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C2B2C" w14:textId="6666F97F" w:rsidR="00FA5EFD" w:rsidRPr="00712FD9" w:rsidRDefault="00731600" w:rsidP="00712FD9">
      <w:pPr>
        <w:pStyle w:val="Heading1"/>
        <w:spacing w:before="120"/>
        <w:rPr>
          <w:sz w:val="36"/>
          <w:szCs w:val="24"/>
        </w:rPr>
      </w:pPr>
      <w:r w:rsidRPr="00712FD9">
        <w:rPr>
          <w:caps w:val="0"/>
          <w:sz w:val="36"/>
          <w:szCs w:val="24"/>
        </w:rPr>
        <w:t>2020-21 INDONESIA DEVELOPMENT PROGRAM PROGRESS REPORT</w:t>
      </w:r>
    </w:p>
    <w:p w14:paraId="511FB480" w14:textId="2C89C04F" w:rsidR="002F1208" w:rsidRPr="00712FD9" w:rsidRDefault="00FE4D78" w:rsidP="00B117B3">
      <w:r w:rsidRPr="00FE4D78">
        <w:rPr>
          <w:noProof/>
        </w:rPr>
        <w:drawing>
          <wp:inline distT="0" distB="0" distL="0" distR="0" wp14:anchorId="039A5C95" wp14:editId="2EE7634B">
            <wp:extent cx="6696710" cy="2571750"/>
            <wp:effectExtent l="0" t="0" r="8890" b="0"/>
            <wp:docPr id="2" name="Picture 2" descr="2020-21 Budget estimate. Total ODA $383.1 million. Bilateral program budget $255.7 million. Regional program budget $24.7 million. Global program budget $15.4 million. Other government departments budget $3.2 million. Temporary, targeted and supplementary measures $84.1 million.&#10;Our development program to Indonesia  contributes towards achieving the following Sustainable Development Goals: 1,3,4,5,6,8,9,10,15,16 and 1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2020-21 Budget estimate. Total ODA $383.1 million. Bilateral program budget $255.7 million. Regional program budget $24.7 million. Global program budget $15.4 million. Other government departments budget $3.2 million. Temporary, targeted and supplementary measures $84.1 million.&#10;Our development program to Indonesia  contributes towards achieving the following Sustainable Development Goals: 1,3,4,5,6,8,9,10,15,16 and 17.&#10;"/>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5555"/>
                    <a:stretch/>
                  </pic:blipFill>
                  <pic:spPr bwMode="auto">
                    <a:xfrm>
                      <a:off x="0" y="0"/>
                      <a:ext cx="6696710" cy="2571750"/>
                    </a:xfrm>
                    <a:prstGeom prst="rect">
                      <a:avLst/>
                    </a:prstGeom>
                    <a:noFill/>
                    <a:ln>
                      <a:noFill/>
                    </a:ln>
                    <a:extLst>
                      <a:ext uri="{53640926-AAD7-44D8-BBD7-CCE9431645EC}">
                        <a14:shadowObscured xmlns:a14="http://schemas.microsoft.com/office/drawing/2010/main"/>
                      </a:ext>
                    </a:extLst>
                  </pic:spPr>
                </pic:pic>
              </a:graphicData>
            </a:graphic>
          </wp:inline>
        </w:drawing>
      </w:r>
    </w:p>
    <w:p w14:paraId="65071618" w14:textId="4162C9EB" w:rsidR="00C84C30" w:rsidRPr="00712FD9" w:rsidRDefault="00C84C30" w:rsidP="0042568A">
      <w:pPr>
        <w:pStyle w:val="Heading2"/>
      </w:pPr>
      <w:r w:rsidRPr="00712FD9">
        <w:t xml:space="preserve">CONTEXT </w:t>
      </w:r>
    </w:p>
    <w:p w14:paraId="654C5BCF" w14:textId="0F86C4D6" w:rsidR="00887434" w:rsidRPr="00DB4BBC" w:rsidRDefault="00887434" w:rsidP="002A5889">
      <w:pPr>
        <w:widowControl w:val="0"/>
        <w:spacing w:before="60" w:after="120" w:line="260" w:lineRule="exact"/>
      </w:pPr>
      <w:r w:rsidRPr="00712FD9">
        <w:t xml:space="preserve">Australia and Indonesia are close neighbours, strategic </w:t>
      </w:r>
      <w:proofErr w:type="gramStart"/>
      <w:r w:rsidRPr="00712FD9">
        <w:t>partners</w:t>
      </w:r>
      <w:proofErr w:type="gramEnd"/>
      <w:r w:rsidRPr="00712FD9">
        <w:t xml:space="preserve"> and friends. The </w:t>
      </w:r>
      <w:r w:rsidRPr="00712FD9">
        <w:rPr>
          <w:i/>
          <w:iCs/>
        </w:rPr>
        <w:t>Australia-Indonesia Comprehensive Strategic Partnership</w:t>
      </w:r>
      <w:r w:rsidRPr="00712FD9">
        <w:t xml:space="preserve"> has elevated our bilateral relationship and sets an ambitious agenda for deeper and broader cooperation across all facets of our partnership. Australia and Indonesia have a long and proud history of supporting each other in times of need, and we have a shared commitment to combatting COVID-19 together.</w:t>
      </w:r>
      <w:r w:rsidR="00DB4BBC">
        <w:t xml:space="preserve"> </w:t>
      </w:r>
      <w:r w:rsidR="00DB4BBC" w:rsidRPr="00893338">
        <w:t xml:space="preserve">Our support to Indonesia </w:t>
      </w:r>
      <w:r w:rsidR="00104823" w:rsidRPr="00893338">
        <w:t>includes a</w:t>
      </w:r>
      <w:r w:rsidR="00DB4BBC" w:rsidRPr="00893338">
        <w:t xml:space="preserve"> </w:t>
      </w:r>
      <w:r w:rsidR="00DB4BBC" w:rsidRPr="00893338">
        <w:rPr>
          <w:rFonts w:ascii="Calibri Light" w:hAnsi="Calibri Light" w:cs="Calibri Light"/>
        </w:rPr>
        <w:t xml:space="preserve">$1.5 billion loan to support Indonesia’s </w:t>
      </w:r>
      <w:r w:rsidR="00DB4BBC" w:rsidRPr="00893338">
        <w:rPr>
          <w:rFonts w:ascii="Calibri Light" w:hAnsi="Calibri Light" w:cs="Calibri Light"/>
          <w:color w:val="313131"/>
          <w:shd w:val="clear" w:color="auto" w:fill="FFFFFF"/>
        </w:rPr>
        <w:t xml:space="preserve">COVID-19 response and economic </w:t>
      </w:r>
      <w:r w:rsidR="00DB4BBC" w:rsidRPr="00893338">
        <w:rPr>
          <w:rFonts w:ascii="Calibri Light" w:hAnsi="Calibri Light" w:cs="Calibri Light"/>
          <w:color w:val="000000"/>
        </w:rPr>
        <w:t>recovery.</w:t>
      </w:r>
      <w:r w:rsidR="00DB4BBC">
        <w:rPr>
          <w:rFonts w:ascii="Calibri Light" w:hAnsi="Calibri Light" w:cs="Calibri Light"/>
          <w:color w:val="000000"/>
        </w:rPr>
        <w:t xml:space="preserve"> </w:t>
      </w:r>
    </w:p>
    <w:p w14:paraId="0CBD6C92" w14:textId="01F44A87" w:rsidR="00FD080E" w:rsidRPr="00712FD9" w:rsidRDefault="00FD080E" w:rsidP="00FD080E">
      <w:pPr>
        <w:widowControl w:val="0"/>
        <w:spacing w:before="60" w:after="120" w:line="260" w:lineRule="exact"/>
      </w:pPr>
      <w:r w:rsidRPr="00712FD9">
        <w:rPr>
          <w:b/>
          <w:bCs/>
        </w:rPr>
        <w:t>Indonesia was severely impacted by the COVID-19 pandemic</w:t>
      </w:r>
      <w:r w:rsidRPr="00712FD9">
        <w:t xml:space="preserve"> and has experienced widespread community transmission. </w:t>
      </w:r>
    </w:p>
    <w:p w14:paraId="71088315" w14:textId="63351DF5" w:rsidR="002A5889" w:rsidRPr="00712FD9" w:rsidRDefault="002A5889" w:rsidP="002A5889">
      <w:pPr>
        <w:pStyle w:val="ListParagraph"/>
        <w:widowControl w:val="0"/>
        <w:spacing w:before="60" w:after="120" w:line="260" w:lineRule="exact"/>
        <w:ind w:left="0"/>
        <w:contextualSpacing w:val="0"/>
      </w:pPr>
      <w:r w:rsidRPr="00712FD9">
        <w:t xml:space="preserve">The pandemic has altered Indonesia’s development trajectory. Growth forecasts have been continually revised, with </w:t>
      </w:r>
      <w:r w:rsidR="00D76355">
        <w:t xml:space="preserve">the </w:t>
      </w:r>
      <w:r w:rsidR="00AF5E80">
        <w:t xml:space="preserve">latest </w:t>
      </w:r>
      <w:r w:rsidR="00D76355">
        <w:t>Asian Development Bank</w:t>
      </w:r>
      <w:r w:rsidR="00893338">
        <w:t xml:space="preserve"> (ADB, </w:t>
      </w:r>
      <w:r w:rsidR="00AF5E80">
        <w:t>Sept</w:t>
      </w:r>
      <w:r w:rsidR="00893338">
        <w:t>ember</w:t>
      </w:r>
      <w:r w:rsidR="00AF5E80">
        <w:t xml:space="preserve"> 2021</w:t>
      </w:r>
      <w:r w:rsidR="00D76355">
        <w:t>)</w:t>
      </w:r>
      <w:r w:rsidRPr="00712FD9">
        <w:t xml:space="preserve"> </w:t>
      </w:r>
      <w:r w:rsidR="00D76355">
        <w:t>forecast</w:t>
      </w:r>
      <w:r w:rsidR="00AF5E80">
        <w:t xml:space="preserve"> of 3.5 per cent </w:t>
      </w:r>
      <w:r w:rsidR="00771F50">
        <w:t>gross domestic product (</w:t>
      </w:r>
      <w:r w:rsidRPr="00712FD9">
        <w:t>GDP</w:t>
      </w:r>
      <w:r w:rsidR="00771F50">
        <w:t>)</w:t>
      </w:r>
      <w:r w:rsidRPr="00712FD9">
        <w:t xml:space="preserve"> growth </w:t>
      </w:r>
      <w:r w:rsidR="00AF5E80">
        <w:t>in 2021.</w:t>
      </w:r>
      <w:r w:rsidRPr="00712FD9">
        <w:t xml:space="preserve"> According to Government of Indonesia estimates</w:t>
      </w:r>
      <w:bookmarkStart w:id="0" w:name="_Hlk82725113"/>
      <w:r w:rsidRPr="00712FD9">
        <w:t xml:space="preserve">, the 2021 fiscal deficit (per cent of GDP) forecast is 5.8 per cent. </w:t>
      </w:r>
      <w:bookmarkEnd w:id="0"/>
      <w:r w:rsidRPr="00712FD9">
        <w:t xml:space="preserve">Ongoing movement restrictions across much of Indonesia have forced businesses to close and many workers to stay home, which has impacted the large informal sector. </w:t>
      </w:r>
    </w:p>
    <w:p w14:paraId="6E99BF9A" w14:textId="0B0F5090" w:rsidR="002A5889" w:rsidRPr="00712FD9" w:rsidRDefault="002A5889" w:rsidP="002A5889">
      <w:pPr>
        <w:pStyle w:val="CommentText"/>
        <w:rPr>
          <w:rFonts w:ascii="Times New Roman" w:hAnsi="Times New Roman" w:cs="Times New Roman"/>
          <w:color w:val="auto"/>
          <w:sz w:val="22"/>
          <w:szCs w:val="22"/>
          <w:lang w:val="en-AU" w:eastAsia="en-AU"/>
        </w:rPr>
      </w:pPr>
      <w:r w:rsidRPr="00712FD9">
        <w:rPr>
          <w:sz w:val="22"/>
          <w:szCs w:val="22"/>
        </w:rPr>
        <w:t xml:space="preserve">After years of progress, </w:t>
      </w:r>
      <w:bookmarkStart w:id="1" w:name="_Hlk82725146"/>
      <w:r w:rsidRPr="00712FD9">
        <w:rPr>
          <w:b/>
          <w:bCs/>
          <w:sz w:val="22"/>
          <w:szCs w:val="22"/>
        </w:rPr>
        <w:t>rates of poverty have risen</w:t>
      </w:r>
      <w:r w:rsidRPr="00712FD9">
        <w:rPr>
          <w:sz w:val="22"/>
          <w:szCs w:val="22"/>
        </w:rPr>
        <w:t xml:space="preserve"> again, with an official Government of Indonesia estimate of </w:t>
      </w:r>
      <w:r w:rsidR="0091566F" w:rsidRPr="00712FD9">
        <w:rPr>
          <w:sz w:val="22"/>
          <w:szCs w:val="22"/>
        </w:rPr>
        <w:br/>
      </w:r>
      <w:r w:rsidRPr="00712FD9">
        <w:rPr>
          <w:sz w:val="22"/>
          <w:szCs w:val="22"/>
        </w:rPr>
        <w:t xml:space="preserve">10.1 per cent (March 2021). </w:t>
      </w:r>
      <w:bookmarkEnd w:id="1"/>
      <w:r w:rsidRPr="00712FD9">
        <w:rPr>
          <w:sz w:val="22"/>
          <w:szCs w:val="22"/>
        </w:rPr>
        <w:t xml:space="preserve">Quick and timely government assistance has helped to cushion the economic and social impact of the pandemic, but risks to vulnerable groups remain. </w:t>
      </w:r>
    </w:p>
    <w:p w14:paraId="1B586445" w14:textId="77777777" w:rsidR="002A5889" w:rsidRPr="00712FD9" w:rsidRDefault="002A5889" w:rsidP="002A5889">
      <w:r w:rsidRPr="00712FD9">
        <w:t xml:space="preserve">The pandemic has had a considerable impact on human development. Children have missed out on education and healthcare. There have been significant learning losses due to school closures, which have forced more than 68 million young Indonesians out of their classrooms for over a year. </w:t>
      </w:r>
    </w:p>
    <w:p w14:paraId="290B5F25" w14:textId="17CA8CB3" w:rsidR="002A5889" w:rsidRPr="00712FD9" w:rsidRDefault="002A5889" w:rsidP="002A5889">
      <w:r w:rsidRPr="00712FD9">
        <w:t xml:space="preserve">The pandemic’s impacts have challenged previous gains made in women’s economic empowerment and in eliminating barriers to paid work. </w:t>
      </w:r>
      <w:r w:rsidRPr="00712FD9">
        <w:rPr>
          <w:b/>
          <w:bCs/>
        </w:rPr>
        <w:t>Gender inequalities have widened</w:t>
      </w:r>
      <w:r w:rsidRPr="00712FD9">
        <w:t xml:space="preserve"> as women have assumed additional caring responsibilities alongside work. </w:t>
      </w:r>
      <w:r w:rsidR="00233195" w:rsidRPr="00712FD9">
        <w:t>Government assistance was provided to women experiencing violence during the pandemic, including through online counselling and psychological support services.</w:t>
      </w:r>
    </w:p>
    <w:p w14:paraId="20BBBF5F" w14:textId="41EBCFCF" w:rsidR="00A4046A" w:rsidRPr="00712FD9" w:rsidRDefault="002A5889" w:rsidP="002A5889">
      <w:r w:rsidRPr="00712FD9">
        <w:t xml:space="preserve">The pandemic has also </w:t>
      </w:r>
      <w:r w:rsidRPr="00712FD9">
        <w:rPr>
          <w:b/>
          <w:bCs/>
        </w:rPr>
        <w:t>heightened existing inequalities</w:t>
      </w:r>
      <w:r w:rsidRPr="00712FD9">
        <w:t xml:space="preserve"> </w:t>
      </w:r>
      <w:r w:rsidRPr="00712FD9">
        <w:rPr>
          <w:b/>
          <w:bCs/>
        </w:rPr>
        <w:t>for</w:t>
      </w:r>
      <w:r w:rsidRPr="00712FD9">
        <w:t xml:space="preserve"> the nine per cent of </w:t>
      </w:r>
      <w:r w:rsidRPr="00712FD9">
        <w:rPr>
          <w:b/>
          <w:bCs/>
        </w:rPr>
        <w:t>Indonesians with disabilit</w:t>
      </w:r>
      <w:r w:rsidR="006D1402">
        <w:rPr>
          <w:b/>
          <w:bCs/>
        </w:rPr>
        <w:t>ies</w:t>
      </w:r>
      <w:r w:rsidRPr="00712FD9">
        <w:t xml:space="preserve">, who are more likely to be poor and face greater exposure to economic </w:t>
      </w:r>
      <w:r w:rsidRPr="00893338">
        <w:t>shocks</w:t>
      </w:r>
      <w:r w:rsidR="00DB4BBC" w:rsidRPr="00893338">
        <w:t>.</w:t>
      </w:r>
      <w:r w:rsidRPr="00712FD9">
        <w:t xml:space="preserve"> </w:t>
      </w:r>
    </w:p>
    <w:p w14:paraId="234C76E7" w14:textId="29619C73" w:rsidR="00D22B5F" w:rsidRPr="00712FD9" w:rsidRDefault="00D22B5F" w:rsidP="0042568A">
      <w:pPr>
        <w:pStyle w:val="Heading2"/>
      </w:pPr>
      <w:r w:rsidRPr="00712FD9">
        <w:lastRenderedPageBreak/>
        <w:t>AUSTRALIA’S RESPONSE and PROGRAM HIGHLIGHTS</w:t>
      </w:r>
    </w:p>
    <w:p w14:paraId="4B3A844E" w14:textId="08E2E95F" w:rsidR="00F4508D" w:rsidRPr="00712FD9" w:rsidRDefault="00887434" w:rsidP="0033347A">
      <w:pPr>
        <w:rPr>
          <w:b/>
          <w:bCs/>
          <w:i/>
          <w:iCs/>
          <w:lang w:val="en-US"/>
        </w:rPr>
      </w:pPr>
      <w:bookmarkStart w:id="2" w:name="_Hlk84315439"/>
      <w:r w:rsidRPr="00712FD9">
        <w:rPr>
          <w:lang w:val="en-US"/>
        </w:rPr>
        <w:t xml:space="preserve">Australia has reshaped its development partnership to support Indonesia’s efforts. </w:t>
      </w:r>
      <w:r w:rsidR="00F4508D" w:rsidRPr="00712FD9">
        <w:rPr>
          <w:lang w:val="en-US"/>
        </w:rPr>
        <w:t xml:space="preserve">COVID-19 has presented significant implementation challenges, restricting the movement of resources and </w:t>
      </w:r>
      <w:r w:rsidR="00F4508D" w:rsidRPr="00893338">
        <w:rPr>
          <w:lang w:val="en-US"/>
        </w:rPr>
        <w:t>expertise</w:t>
      </w:r>
      <w:r w:rsidR="0033347A" w:rsidRPr="00893338">
        <w:rPr>
          <w:lang w:val="en-US"/>
        </w:rPr>
        <w:t xml:space="preserve">, </w:t>
      </w:r>
      <w:r w:rsidR="00A8313B" w:rsidRPr="00893338">
        <w:t>slowing</w:t>
      </w:r>
      <w:r w:rsidR="0033347A">
        <w:t xml:space="preserve"> progress towards outcomes for some investments</w:t>
      </w:r>
      <w:r w:rsidR="00F4508D" w:rsidRPr="00712FD9">
        <w:rPr>
          <w:lang w:val="en-US"/>
        </w:rPr>
        <w:t xml:space="preserve">. </w:t>
      </w:r>
      <w:r w:rsidR="00667A5C">
        <w:rPr>
          <w:lang w:val="en-US"/>
        </w:rPr>
        <w:t>In</w:t>
      </w:r>
      <w:r w:rsidR="00F269F3">
        <w:rPr>
          <w:lang w:val="en-US"/>
        </w:rPr>
        <w:t xml:space="preserve"> the reporting period,</w:t>
      </w:r>
      <w:r w:rsidR="00F269F3" w:rsidRPr="00712FD9">
        <w:rPr>
          <w:lang w:val="en-US"/>
        </w:rPr>
        <w:t xml:space="preserve"> </w:t>
      </w:r>
      <w:r w:rsidR="00F269F3">
        <w:rPr>
          <w:lang w:val="en-US"/>
        </w:rPr>
        <w:t>w</w:t>
      </w:r>
      <w:r w:rsidR="00F4508D" w:rsidRPr="00712FD9">
        <w:rPr>
          <w:lang w:val="en-US"/>
        </w:rPr>
        <w:t xml:space="preserve">e </w:t>
      </w:r>
      <w:r w:rsidRPr="00712FD9">
        <w:rPr>
          <w:lang w:val="en-US"/>
        </w:rPr>
        <w:t xml:space="preserve">have adapted </w:t>
      </w:r>
      <w:r w:rsidR="00F4508D" w:rsidRPr="00712FD9">
        <w:rPr>
          <w:lang w:val="en-US"/>
        </w:rPr>
        <w:t xml:space="preserve">existing programs to deliver results while also meeting new priorities such as </w:t>
      </w:r>
      <w:r w:rsidR="00B91D8E" w:rsidRPr="00712FD9">
        <w:rPr>
          <w:lang w:val="en-US"/>
        </w:rPr>
        <w:t>economic recovery.</w:t>
      </w:r>
    </w:p>
    <w:bookmarkEnd w:id="2"/>
    <w:p w14:paraId="68395E51" w14:textId="08C3665C" w:rsidR="00A4046A" w:rsidRPr="00712FD9" w:rsidRDefault="00297FD1" w:rsidP="0042568A">
      <w:pPr>
        <w:pStyle w:val="Heading3"/>
      </w:pPr>
      <w:r w:rsidRPr="00712FD9">
        <w:t>Health Security</w:t>
      </w:r>
      <w:r w:rsidR="00A4046A" w:rsidRPr="00712FD9">
        <w:t xml:space="preserve">  </w:t>
      </w:r>
    </w:p>
    <w:p w14:paraId="039914D3" w14:textId="1873D19B" w:rsidR="002A5889" w:rsidRPr="00712FD9" w:rsidRDefault="002A5889" w:rsidP="002A5889">
      <w:pPr>
        <w:spacing w:before="0" w:afterLines="60" w:after="144"/>
      </w:pPr>
      <w:r w:rsidRPr="00712FD9">
        <w:t xml:space="preserve">Australia responded swiftly to support Indonesia following the onset of the crisis. We exceeded our </w:t>
      </w:r>
      <w:r w:rsidRPr="00712FD9">
        <w:rPr>
          <w:lang w:val="en-US"/>
        </w:rPr>
        <w:t>Health Security targets</w:t>
      </w:r>
      <w:r w:rsidRPr="00712FD9">
        <w:rPr>
          <w:b/>
          <w:bCs/>
          <w:lang w:val="en-US"/>
        </w:rPr>
        <w:t xml:space="preserve"> </w:t>
      </w:r>
      <w:r w:rsidRPr="00712FD9">
        <w:rPr>
          <w:lang w:val="en-US"/>
        </w:rPr>
        <w:t xml:space="preserve">in the provision of emergency assistance, and supported Indonesia </w:t>
      </w:r>
      <w:r w:rsidR="000623B5" w:rsidRPr="00712FD9">
        <w:rPr>
          <w:lang w:val="en-US"/>
        </w:rPr>
        <w:t xml:space="preserve">to respond to </w:t>
      </w:r>
      <w:r w:rsidRPr="00712FD9">
        <w:rPr>
          <w:lang w:val="en-US"/>
        </w:rPr>
        <w:t xml:space="preserve">the crisis at national and local levels. </w:t>
      </w:r>
      <w:r w:rsidRPr="00712FD9">
        <w:rPr>
          <w:b/>
          <w:bCs/>
          <w:lang w:val="en-US"/>
        </w:rPr>
        <w:t>Our support improve</w:t>
      </w:r>
      <w:r w:rsidR="001A4680" w:rsidRPr="00712FD9">
        <w:rPr>
          <w:b/>
          <w:bCs/>
          <w:lang w:val="en-US"/>
        </w:rPr>
        <w:t>d</w:t>
      </w:r>
      <w:r w:rsidRPr="00712FD9">
        <w:rPr>
          <w:b/>
          <w:bCs/>
          <w:lang w:val="en-US"/>
        </w:rPr>
        <w:t xml:space="preserve"> health surveillance tools and bolster</w:t>
      </w:r>
      <w:r w:rsidR="001A4680" w:rsidRPr="00712FD9">
        <w:rPr>
          <w:b/>
          <w:bCs/>
          <w:lang w:val="en-US"/>
        </w:rPr>
        <w:t>ed</w:t>
      </w:r>
      <w:r w:rsidRPr="00712FD9">
        <w:rPr>
          <w:b/>
          <w:bCs/>
          <w:lang w:val="en-US"/>
        </w:rPr>
        <w:t xml:space="preserve"> coordination among health agencies</w:t>
      </w:r>
      <w:r w:rsidRPr="00712FD9">
        <w:rPr>
          <w:lang w:val="en-US"/>
        </w:rPr>
        <w:t xml:space="preserve">, which is </w:t>
      </w:r>
      <w:r w:rsidRPr="00712FD9">
        <w:t>key to improving overall capacity of the national health security system to better respond to future public health threats.</w:t>
      </w:r>
    </w:p>
    <w:p w14:paraId="59C438D4" w14:textId="6CF7731B" w:rsidR="005E7987" w:rsidRPr="006C7C2C" w:rsidRDefault="005E7987" w:rsidP="005E7987">
      <w:pPr>
        <w:spacing w:afterLines="60" w:after="144"/>
        <w:rPr>
          <w:rFonts w:ascii="Calibri Light" w:eastAsia="Calibri Light" w:hAnsi="Calibri Light" w:cs="Times New Roman"/>
          <w:color w:val="495965"/>
        </w:rPr>
      </w:pPr>
      <w:r w:rsidRPr="006C7C2C">
        <w:rPr>
          <w:rFonts w:ascii="Calibri Light" w:eastAsia="Calibri Light" w:hAnsi="Calibri Light" w:cs="Times New Roman"/>
          <w:color w:val="495965"/>
        </w:rPr>
        <w:t xml:space="preserve">Australia has committed </w:t>
      </w:r>
      <w:r w:rsidR="006C7C2C" w:rsidRPr="006C7C2C">
        <w:rPr>
          <w:rFonts w:ascii="Calibri Light" w:eastAsia="Calibri Light" w:hAnsi="Calibri Light" w:cs="Times New Roman"/>
          <w:color w:val="495965"/>
        </w:rPr>
        <w:t>$</w:t>
      </w:r>
      <w:r w:rsidRPr="006C7C2C">
        <w:rPr>
          <w:rFonts w:ascii="Calibri Light" w:eastAsia="Calibri Light" w:hAnsi="Calibri Light" w:cs="Times New Roman"/>
          <w:color w:val="495965"/>
        </w:rPr>
        <w:t xml:space="preserve">101.9 million over three years (2020-2023) for COVID-19 vaccine access in Indonesia, including delivery support and vaccine procurement, drawing on </w:t>
      </w:r>
      <w:r w:rsidRPr="006C7C2C">
        <w:rPr>
          <w:rFonts w:ascii="Calibri Light" w:eastAsia="Calibri Light" w:hAnsi="Calibri Light" w:cs="Times New Roman"/>
          <w:b/>
          <w:bCs/>
          <w:color w:val="495965"/>
        </w:rPr>
        <w:t xml:space="preserve">Australia’s Regional COVID-19 Vaccine Access and Health Security Initiative (VAHSI). Through VAHSI, Australia has committed to support Indonesia and other Southeast Asian countries to expand COVID-19 vaccine coverage in a safe, and timely manner. Progress will be reported in 2022. </w:t>
      </w:r>
      <w:r w:rsidRPr="006C7C2C">
        <w:rPr>
          <w:rFonts w:ascii="Calibri Light" w:eastAsia="Calibri Light" w:hAnsi="Calibri Light" w:cs="Times New Roman"/>
          <w:color w:val="495965"/>
        </w:rPr>
        <w:t>Australia has committed to share 2.5 million AstraZeneca vaccine doses from Australian supplies with Indonesia by the end of 2021.</w:t>
      </w:r>
    </w:p>
    <w:p w14:paraId="5853F47D" w14:textId="4B1E5869" w:rsidR="005E7987" w:rsidRPr="00712FD9" w:rsidRDefault="005E7987" w:rsidP="005E7987">
      <w:pPr>
        <w:spacing w:before="0" w:afterLines="60" w:after="144"/>
        <w:rPr>
          <w:rFonts w:ascii="Calibri Light" w:eastAsia="Calibri Light" w:hAnsi="Calibri Light" w:cs="Times New Roman"/>
          <w:color w:val="495965"/>
        </w:rPr>
      </w:pPr>
      <w:r w:rsidRPr="006C7C2C">
        <w:rPr>
          <w:rFonts w:ascii="Calibri Light" w:eastAsia="Calibri Light" w:hAnsi="Calibri Light" w:cs="Times New Roman"/>
          <w:color w:val="495965"/>
        </w:rPr>
        <w:t xml:space="preserve">This is in addition to Australia’s support for the </w:t>
      </w:r>
      <w:r w:rsidR="00D76355" w:rsidRPr="00D76355">
        <w:rPr>
          <w:rFonts w:ascii="Calibri Light" w:eastAsia="Calibri Light" w:hAnsi="Calibri Light" w:cs="Times New Roman"/>
          <w:color w:val="495965"/>
        </w:rPr>
        <w:t xml:space="preserve">COVID-19 Vaccines Global Access </w:t>
      </w:r>
      <w:r w:rsidRPr="006C7C2C">
        <w:rPr>
          <w:rFonts w:ascii="Calibri Light" w:eastAsia="Calibri Light" w:hAnsi="Calibri Light" w:cs="Times New Roman"/>
          <w:color w:val="495965"/>
        </w:rPr>
        <w:t>Advance Market Commitment (</w:t>
      </w:r>
      <w:r w:rsidR="00D76355">
        <w:rPr>
          <w:rFonts w:ascii="Calibri Light" w:eastAsia="Calibri Light" w:hAnsi="Calibri Light" w:cs="Times New Roman"/>
          <w:color w:val="495965"/>
        </w:rPr>
        <w:t xml:space="preserve">COVAX </w:t>
      </w:r>
      <w:r w:rsidRPr="006C7C2C">
        <w:rPr>
          <w:rFonts w:ascii="Calibri Light" w:eastAsia="Calibri Light" w:hAnsi="Calibri Light" w:cs="Times New Roman"/>
          <w:color w:val="495965"/>
        </w:rPr>
        <w:t xml:space="preserve">AMC) totalling $130 million. </w:t>
      </w:r>
      <w:proofErr w:type="gramStart"/>
      <w:r w:rsidRPr="006C7C2C">
        <w:rPr>
          <w:rFonts w:ascii="Calibri Light" w:eastAsia="Calibri Light" w:hAnsi="Calibri Light" w:cs="Times New Roman"/>
          <w:color w:val="495965"/>
        </w:rPr>
        <w:t>At</w:t>
      </w:r>
      <w:proofErr w:type="gramEnd"/>
      <w:r w:rsidRPr="006C7C2C">
        <w:rPr>
          <w:rFonts w:ascii="Calibri Light" w:eastAsia="Calibri Light" w:hAnsi="Calibri Light" w:cs="Times New Roman"/>
          <w:color w:val="495965"/>
        </w:rPr>
        <w:t xml:space="preserve"> 30 June, </w:t>
      </w:r>
      <w:r w:rsidR="00FD080E" w:rsidRPr="006C7C2C">
        <w:rPr>
          <w:rFonts w:ascii="Calibri Light" w:eastAsia="Calibri Light" w:hAnsi="Calibri Light" w:cs="Times New Roman"/>
          <w:color w:val="495965"/>
        </w:rPr>
        <w:t>COVAX AMC has</w:t>
      </w:r>
      <w:r w:rsidRPr="006C7C2C">
        <w:rPr>
          <w:rFonts w:ascii="Calibri Light" w:eastAsia="Calibri Light" w:hAnsi="Calibri Light" w:cs="Times New Roman"/>
          <w:color w:val="495965"/>
        </w:rPr>
        <w:t xml:space="preserve"> delivered more than</w:t>
      </w:r>
      <w:r w:rsidR="00FD080E" w:rsidRPr="006C7C2C">
        <w:rPr>
          <w:rFonts w:ascii="Calibri Light" w:eastAsia="Calibri Light" w:hAnsi="Calibri Light" w:cs="Times New Roman"/>
          <w:color w:val="495965"/>
        </w:rPr>
        <w:t xml:space="preserve"> 8.2 million</w:t>
      </w:r>
      <w:r w:rsidRPr="006C7C2C">
        <w:rPr>
          <w:rFonts w:ascii="Calibri Light" w:eastAsia="Calibri Light" w:hAnsi="Calibri Light" w:cs="Times New Roman"/>
          <w:color w:val="495965"/>
        </w:rPr>
        <w:t xml:space="preserve"> COVID-19 vaccine doses to Indonesia’s national rollout</w:t>
      </w:r>
      <w:r w:rsidR="00FD080E" w:rsidRPr="006C7C2C">
        <w:rPr>
          <w:rFonts w:ascii="Calibri Light" w:eastAsia="Calibri Light" w:hAnsi="Calibri Light" w:cs="Times New Roman"/>
          <w:color w:val="495965"/>
        </w:rPr>
        <w:t>.</w:t>
      </w:r>
    </w:p>
    <w:p w14:paraId="1C8283EB" w14:textId="559D5240" w:rsidR="002A5889" w:rsidRPr="00712FD9" w:rsidRDefault="002A5889" w:rsidP="002A5889">
      <w:pPr>
        <w:spacing w:before="0" w:afterLines="60" w:after="144"/>
      </w:pPr>
      <w:r w:rsidRPr="00712FD9">
        <w:t xml:space="preserve">Australia responded to the pandemic with critical life-saving support. </w:t>
      </w:r>
      <w:r w:rsidRPr="00712FD9">
        <w:rPr>
          <w:b/>
          <w:bCs/>
        </w:rPr>
        <w:t>We provided 2.2 million people with emergency assistance, including food packages, and delivered protective medical equipment to front line medical staff</w:t>
      </w:r>
      <w:r w:rsidRPr="00712FD9">
        <w:t xml:space="preserve">. Additional </w:t>
      </w:r>
      <w:r w:rsidRPr="00712FD9">
        <w:rPr>
          <w:lang w:val="en-US"/>
        </w:rPr>
        <w:t xml:space="preserve">emergency assistance was provided through </w:t>
      </w:r>
      <w:r w:rsidR="00D76355" w:rsidRPr="00D76355">
        <w:rPr>
          <w:lang w:val="en-US"/>
        </w:rPr>
        <w:t xml:space="preserve">United Nations Children's Fund </w:t>
      </w:r>
      <w:r w:rsidR="000C426F">
        <w:rPr>
          <w:lang w:val="en-US"/>
        </w:rPr>
        <w:t>(</w:t>
      </w:r>
      <w:r w:rsidRPr="00712FD9">
        <w:t>UNICEF</w:t>
      </w:r>
      <w:r w:rsidR="000C426F">
        <w:t>)</w:t>
      </w:r>
      <w:r w:rsidRPr="00712FD9">
        <w:t xml:space="preserve">, </w:t>
      </w:r>
      <w:proofErr w:type="gramStart"/>
      <w:r w:rsidR="000C426F" w:rsidRPr="00893338">
        <w:rPr>
          <w:lang w:val="en-US"/>
        </w:rPr>
        <w:t>including:</w:t>
      </w:r>
      <w:proofErr w:type="gramEnd"/>
      <w:r w:rsidRPr="00893338">
        <w:rPr>
          <w:lang w:val="en-US"/>
        </w:rPr>
        <w:t xml:space="preserve"> </w:t>
      </w:r>
      <w:r w:rsidR="000C426F" w:rsidRPr="00893338">
        <w:rPr>
          <w:lang w:val="en-US"/>
        </w:rPr>
        <w:t xml:space="preserve"> </w:t>
      </w:r>
      <w:r w:rsidRPr="00893338">
        <w:rPr>
          <w:b/>
          <w:bCs/>
          <w:lang w:val="en-US"/>
        </w:rPr>
        <w:t xml:space="preserve">essential water, sanitation and hygiene supplies </w:t>
      </w:r>
      <w:r w:rsidRPr="00893338">
        <w:rPr>
          <w:lang w:val="en-US"/>
        </w:rPr>
        <w:t xml:space="preserve">to help stop the spread of the infection; </w:t>
      </w:r>
      <w:r w:rsidRPr="00893338">
        <w:rPr>
          <w:b/>
          <w:bCs/>
          <w:lang w:val="en-US"/>
        </w:rPr>
        <w:t>connect</w:t>
      </w:r>
      <w:r w:rsidR="000C426F" w:rsidRPr="00893338">
        <w:rPr>
          <w:b/>
          <w:bCs/>
          <w:lang w:val="en-US"/>
        </w:rPr>
        <w:t xml:space="preserve">ing women and children </w:t>
      </w:r>
      <w:r w:rsidRPr="00893338">
        <w:rPr>
          <w:b/>
          <w:bCs/>
          <w:lang w:val="en-US"/>
        </w:rPr>
        <w:t>to critical basic health services</w:t>
      </w:r>
      <w:r w:rsidRPr="00893338">
        <w:rPr>
          <w:lang w:val="en-US"/>
        </w:rPr>
        <w:t xml:space="preserve"> including pre- and postnatal care, medical care for childhood illnesses and life-saving vaccination; and </w:t>
      </w:r>
      <w:r w:rsidR="000C426F" w:rsidRPr="00893338">
        <w:rPr>
          <w:b/>
          <w:bCs/>
          <w:lang w:val="en-US"/>
        </w:rPr>
        <w:t xml:space="preserve">improved access for </w:t>
      </w:r>
      <w:r w:rsidRPr="00893338">
        <w:rPr>
          <w:b/>
          <w:bCs/>
          <w:lang w:val="en-US"/>
        </w:rPr>
        <w:t>children to essential nutrition services</w:t>
      </w:r>
      <w:r w:rsidRPr="00893338">
        <w:rPr>
          <w:lang w:val="en-US"/>
        </w:rPr>
        <w:t>. We supported Indonesia to improve the management and provision of water and sanitation services which underpinned COVID-19 responsive hygiene practices.</w:t>
      </w:r>
      <w:r w:rsidRPr="00712FD9">
        <w:rPr>
          <w:lang w:val="en-US"/>
        </w:rPr>
        <w:t xml:space="preserve"> </w:t>
      </w:r>
    </w:p>
    <w:p w14:paraId="560B9ACC" w14:textId="2DAF2057" w:rsidR="002A5889" w:rsidRPr="00712FD9" w:rsidRDefault="002A5889" w:rsidP="002A5889">
      <w:pPr>
        <w:spacing w:before="0" w:afterLines="60" w:after="144"/>
      </w:pPr>
      <w:r w:rsidRPr="00712FD9">
        <w:t xml:space="preserve">We continued to be responsive to Indonesia’s priorities as set by its </w:t>
      </w:r>
      <w:r w:rsidRPr="00D76355">
        <w:t>Committee for the Handling of COVID-19 and National Economic Recovery.</w:t>
      </w:r>
      <w:r w:rsidRPr="00712FD9">
        <w:t xml:space="preserve"> We supported </w:t>
      </w:r>
      <w:r w:rsidRPr="00712FD9">
        <w:rPr>
          <w:rStyle w:val="normaltextrun"/>
        </w:rPr>
        <w:t>improve</w:t>
      </w:r>
      <w:r w:rsidR="001A4680" w:rsidRPr="00712FD9">
        <w:rPr>
          <w:rStyle w:val="normaltextrun"/>
        </w:rPr>
        <w:t>d</w:t>
      </w:r>
      <w:r w:rsidRPr="00712FD9">
        <w:rPr>
          <w:rStyle w:val="normaltextrun"/>
        </w:rPr>
        <w:t xml:space="preserve"> coordination between national and sub-national governments, and improve</w:t>
      </w:r>
      <w:r w:rsidR="001A4680" w:rsidRPr="00712FD9">
        <w:rPr>
          <w:rStyle w:val="normaltextrun"/>
        </w:rPr>
        <w:t>d</w:t>
      </w:r>
      <w:r w:rsidRPr="00712FD9">
        <w:rPr>
          <w:rStyle w:val="normaltextrun"/>
        </w:rPr>
        <w:t xml:space="preserve"> data quality on </w:t>
      </w:r>
      <w:r w:rsidRPr="00712FD9">
        <w:rPr>
          <w:rStyle w:val="normaltextrun"/>
          <w:rFonts w:cstheme="minorHAnsi"/>
        </w:rPr>
        <w:t>COVID-19</w:t>
      </w:r>
      <w:r w:rsidRPr="00712FD9">
        <w:rPr>
          <w:rStyle w:val="normaltextrun"/>
        </w:rPr>
        <w:t xml:space="preserve"> cases and responses at the local level. For example, we supported the Indonesian Ministry of Home Affairs to develop official guidance; dashboards of information on health, education, social safety nets, </w:t>
      </w:r>
      <w:proofErr w:type="gramStart"/>
      <w:r w:rsidRPr="00712FD9">
        <w:rPr>
          <w:rStyle w:val="normaltextrun"/>
        </w:rPr>
        <w:t>mobility</w:t>
      </w:r>
      <w:proofErr w:type="gramEnd"/>
      <w:r w:rsidRPr="00712FD9">
        <w:rPr>
          <w:rStyle w:val="normaltextrun"/>
        </w:rPr>
        <w:t xml:space="preserve"> and the economy; and regulations authorising local governments to work with non-government partners in managing the pandemic. </w:t>
      </w:r>
      <w:r w:rsidRPr="00712FD9">
        <w:rPr>
          <w:b/>
          <w:bCs/>
        </w:rPr>
        <w:t xml:space="preserve">This assistance provided Indonesia with the legal </w:t>
      </w:r>
      <w:r w:rsidRPr="00712FD9">
        <w:rPr>
          <w:rFonts w:cstheme="minorHAnsi"/>
          <w:b/>
          <w:bCs/>
        </w:rPr>
        <w:t xml:space="preserve">authority and management </w:t>
      </w:r>
      <w:r w:rsidRPr="00712FD9">
        <w:rPr>
          <w:b/>
          <w:bCs/>
        </w:rPr>
        <w:t xml:space="preserve">tools to respond to the pandemic </w:t>
      </w:r>
      <w:r w:rsidRPr="00712FD9">
        <w:t xml:space="preserve">while also giving visibility of the spread of the virus, and the effectiveness of mitigation efforts. </w:t>
      </w:r>
      <w:r w:rsidRPr="00712FD9">
        <w:rPr>
          <w:rFonts w:cstheme="minorHAnsi"/>
          <w:bCs/>
        </w:rPr>
        <w:t xml:space="preserve">These efforts were </w:t>
      </w:r>
      <w:r w:rsidRPr="00712FD9">
        <w:t xml:space="preserve">critical to the improvement of Indonesia’s all-of-government response to COVID-19. </w:t>
      </w:r>
    </w:p>
    <w:p w14:paraId="733972D7" w14:textId="43ED5B3C" w:rsidR="002A5889" w:rsidRPr="00712FD9" w:rsidRDefault="002A5889" w:rsidP="002A5889">
      <w:pPr>
        <w:spacing w:before="0" w:afterLines="60" w:after="144"/>
      </w:pPr>
      <w:r w:rsidRPr="00712FD9">
        <w:t>Using big data (large, complex data), Australia supported Indonesia to develop policy options to manage the crisis, which resulted in improvements to Indonesia’s COVID</w:t>
      </w:r>
      <w:r w:rsidR="006D1402">
        <w:t>-</w:t>
      </w:r>
      <w:r w:rsidRPr="00712FD9">
        <w:t xml:space="preserve">19 vaccination program. Through Australia’s support for an ‘access and vulnerability matrix’, Indonesia was able to identify where vaccination centres could be placed to have the greatest health impact. Australia supported the West Java Provincial Government to strengthen its data management to identify the risk of COVID-19 transmission at the village level. This supported local authorities to make data-informed decisions around their policies and interventions to prevent COVID-19 spread and target support for high-risk areas. </w:t>
      </w:r>
    </w:p>
    <w:p w14:paraId="09E31572" w14:textId="77777777" w:rsidR="00297FD1" w:rsidRPr="00712FD9" w:rsidRDefault="00297FD1" w:rsidP="0042568A">
      <w:pPr>
        <w:pStyle w:val="Heading3"/>
      </w:pPr>
      <w:r w:rsidRPr="00712FD9">
        <w:t>Stability</w:t>
      </w:r>
    </w:p>
    <w:p w14:paraId="4490746F" w14:textId="5E9C0A43" w:rsidR="002A5889" w:rsidRPr="00712FD9" w:rsidRDefault="00667A5C" w:rsidP="002A5889">
      <w:pPr>
        <w:suppressAutoHyphens w:val="0"/>
        <w:spacing w:before="0" w:afterLines="60" w:after="144"/>
        <w:rPr>
          <w:lang w:val="en-US"/>
        </w:rPr>
      </w:pPr>
      <w:r>
        <w:t>In</w:t>
      </w:r>
      <w:r w:rsidR="00546353">
        <w:t xml:space="preserve"> the reporting period</w:t>
      </w:r>
      <w:r w:rsidR="002A5889" w:rsidRPr="00712FD9">
        <w:t xml:space="preserve">, Australia and Indonesia continued to work together constructively to support communities and the most vulnerable to weather the shocks of COVID-19. We </w:t>
      </w:r>
      <w:r w:rsidR="002A5889" w:rsidRPr="00712FD9">
        <w:rPr>
          <w:lang w:val="en-US"/>
        </w:rPr>
        <w:t xml:space="preserve">supported improvements to the justice system, the </w:t>
      </w:r>
      <w:r w:rsidR="002A5889" w:rsidRPr="00712FD9">
        <w:rPr>
          <w:lang w:val="en-US"/>
        </w:rPr>
        <w:lastRenderedPageBreak/>
        <w:t>deployment of new and improved social protection programs</w:t>
      </w:r>
      <w:r w:rsidR="00893338">
        <w:rPr>
          <w:lang w:val="en-US"/>
        </w:rPr>
        <w:t xml:space="preserve">. </w:t>
      </w:r>
      <w:r w:rsidR="002A5889" w:rsidRPr="00712FD9">
        <w:rPr>
          <w:lang w:val="en-US"/>
        </w:rPr>
        <w:t xml:space="preserve">Our outcomes to support Indonesia’s </w:t>
      </w:r>
      <w:r w:rsidR="00546353">
        <w:rPr>
          <w:lang w:val="en-US"/>
        </w:rPr>
        <w:t>s</w:t>
      </w:r>
      <w:r w:rsidR="002A5889" w:rsidRPr="00712FD9">
        <w:rPr>
          <w:lang w:val="en-US"/>
        </w:rPr>
        <w:t>tability are all on track</w:t>
      </w:r>
      <w:r w:rsidR="0091566F" w:rsidRPr="00712FD9">
        <w:rPr>
          <w:lang w:val="en-US"/>
        </w:rPr>
        <w:t xml:space="preserve">. </w:t>
      </w:r>
    </w:p>
    <w:p w14:paraId="74CF9B37" w14:textId="69C49076" w:rsidR="002A5889" w:rsidRPr="00712FD9" w:rsidRDefault="002A5889" w:rsidP="002A5889">
      <w:pPr>
        <w:suppressAutoHyphens w:val="0"/>
        <w:spacing w:before="0" w:afterLines="60" w:after="144"/>
        <w:rPr>
          <w:lang w:val="en-AU"/>
        </w:rPr>
      </w:pPr>
      <w:r w:rsidRPr="00546353">
        <w:t xml:space="preserve">In June 2020, Indonesia increased </w:t>
      </w:r>
      <w:r w:rsidR="00F05DEA" w:rsidRPr="00546353">
        <w:t xml:space="preserve">its </w:t>
      </w:r>
      <w:r w:rsidRPr="000F0D1F">
        <w:t>National Economic Recovery Program budget (approximately AUD70 billion) to deal with COVID-19 impacts</w:t>
      </w:r>
      <w:r w:rsidRPr="00546353">
        <w:t>.</w:t>
      </w:r>
      <w:r w:rsidRPr="00712FD9">
        <w:rPr>
          <w:b/>
          <w:bCs/>
        </w:rPr>
        <w:t xml:space="preserve"> </w:t>
      </w:r>
      <w:r w:rsidR="00667A5C">
        <w:rPr>
          <w:b/>
          <w:bCs/>
        </w:rPr>
        <w:t>In</w:t>
      </w:r>
      <w:r w:rsidR="00546353">
        <w:rPr>
          <w:b/>
          <w:bCs/>
        </w:rPr>
        <w:t xml:space="preserve"> the reporting period, </w:t>
      </w:r>
      <w:r w:rsidRPr="00712FD9">
        <w:rPr>
          <w:rFonts w:cstheme="minorHAnsi"/>
          <w:b/>
          <w:bCs/>
        </w:rPr>
        <w:t>Australia worked with Indonesian authorities to ensure integrity in the design of social safety net programs</w:t>
      </w:r>
      <w:r w:rsidRPr="00712FD9">
        <w:rPr>
          <w:rFonts w:cstheme="minorHAnsi"/>
        </w:rPr>
        <w:t xml:space="preserve">, which </w:t>
      </w:r>
      <w:r w:rsidRPr="00712FD9">
        <w:rPr>
          <w:rFonts w:cstheme="minorHAnsi"/>
          <w:b/>
          <w:bCs/>
        </w:rPr>
        <w:t xml:space="preserve">resulted in </w:t>
      </w:r>
      <w:bookmarkStart w:id="3" w:name="_Hlk76109209"/>
      <w:r w:rsidRPr="00712FD9">
        <w:rPr>
          <w:rFonts w:cstheme="minorHAnsi"/>
          <w:b/>
          <w:bCs/>
        </w:rPr>
        <w:t>54.6 per cent of the population (147.5 million people) being reached with new or improved social protection programs</w:t>
      </w:r>
      <w:bookmarkEnd w:id="3"/>
      <w:r w:rsidRPr="00712FD9">
        <w:rPr>
          <w:rFonts w:cstheme="minorHAnsi"/>
        </w:rPr>
        <w:t xml:space="preserve">. </w:t>
      </w:r>
      <w:r w:rsidRPr="00712FD9">
        <w:t xml:space="preserve">Australian technical support contributed to Indonesia’s </w:t>
      </w:r>
      <w:r w:rsidRPr="00712FD9">
        <w:rPr>
          <w:lang w:val="en-AU"/>
        </w:rPr>
        <w:t xml:space="preserve">decision to provide free and subsidised electricity to over 31 million poor households. </w:t>
      </w:r>
    </w:p>
    <w:p w14:paraId="5B828577" w14:textId="234285F5" w:rsidR="002A5889" w:rsidRPr="00712FD9" w:rsidRDefault="002A5889" w:rsidP="002A5889">
      <w:pPr>
        <w:spacing w:before="0" w:afterLines="60" w:after="144"/>
      </w:pPr>
      <w:r w:rsidRPr="00712FD9">
        <w:t>COVID-19 has exacerbated the inequalities of Indonesia’s people with disabilit</w:t>
      </w:r>
      <w:r w:rsidR="006D1402">
        <w:t>ies</w:t>
      </w:r>
      <w:r w:rsidRPr="00712FD9">
        <w:t xml:space="preserve"> (nine per cent of the population)</w:t>
      </w:r>
      <w:r w:rsidRPr="00712FD9">
        <w:rPr>
          <w:rFonts w:cstheme="minorHAnsi"/>
        </w:rPr>
        <w:t xml:space="preserve">. Australia and Indonesia have a </w:t>
      </w:r>
      <w:r w:rsidRPr="00712FD9">
        <w:t xml:space="preserve">shared commitment to reduce these inequalities. </w:t>
      </w:r>
      <w:r w:rsidR="00667A5C">
        <w:t>In</w:t>
      </w:r>
      <w:r w:rsidR="00546353">
        <w:t xml:space="preserve"> the reporting period, w</w:t>
      </w:r>
      <w:r w:rsidRPr="00712FD9">
        <w:rPr>
          <w:b/>
          <w:bCs/>
        </w:rPr>
        <w:t xml:space="preserve">e </w:t>
      </w:r>
      <w:r w:rsidRPr="00712FD9">
        <w:rPr>
          <w:rFonts w:cstheme="minorHAnsi"/>
          <w:b/>
          <w:bCs/>
        </w:rPr>
        <w:t>conducted research into the impact of the pandemic on people with disabilities</w:t>
      </w:r>
      <w:r w:rsidRPr="00712FD9">
        <w:rPr>
          <w:rFonts w:cstheme="minorHAnsi"/>
        </w:rPr>
        <w:t>, which led to a decision by Indonesia to develop a comprehensive database on disabilities. Australia was active in ensuring people with disabilit</w:t>
      </w:r>
      <w:r w:rsidR="006D1402">
        <w:rPr>
          <w:rFonts w:cstheme="minorHAnsi"/>
        </w:rPr>
        <w:t>ies</w:t>
      </w:r>
      <w:r w:rsidRPr="00712FD9">
        <w:rPr>
          <w:rFonts w:cstheme="minorHAnsi"/>
        </w:rPr>
        <w:t xml:space="preserve"> had a voice in government decision-making. For example, we facilitated the </w:t>
      </w:r>
      <w:r w:rsidRPr="00712FD9">
        <w:t xml:space="preserve">effective participation of Disabled People's Organisations to contribute meaningfully to government regulations relating to the National Disability Law and to establish Indonesia’s first disability rights indicators to monitor implementation of the law. </w:t>
      </w:r>
    </w:p>
    <w:p w14:paraId="39470311" w14:textId="77777777" w:rsidR="002A5889" w:rsidRPr="00712FD9" w:rsidRDefault="002A5889" w:rsidP="002A5889">
      <w:pPr>
        <w:spacing w:before="0" w:afterLines="60" w:after="144"/>
      </w:pPr>
      <w:r w:rsidRPr="00712FD9">
        <w:rPr>
          <w:rFonts w:cstheme="minorHAnsi"/>
        </w:rPr>
        <w:t xml:space="preserve">We have also supported studies that informed the development of learning from home policies. This included a simplified curriculum and accompanying modules, instruction for teachers to use diagnostic assessments and increased funding from the national government to support the learning from home process in the outermost, </w:t>
      </w:r>
      <w:proofErr w:type="gramStart"/>
      <w:r w:rsidRPr="00712FD9">
        <w:rPr>
          <w:rFonts w:cstheme="minorHAnsi"/>
        </w:rPr>
        <w:t>remote</w:t>
      </w:r>
      <w:proofErr w:type="gramEnd"/>
      <w:r w:rsidRPr="00712FD9">
        <w:rPr>
          <w:rFonts w:cstheme="minorHAnsi"/>
        </w:rPr>
        <w:t xml:space="preserve"> and disadvantaged regions. This was critical given </w:t>
      </w:r>
      <w:r w:rsidRPr="00712FD9">
        <w:rPr>
          <w:rFonts w:cstheme="minorHAnsi"/>
          <w:lang w:eastAsia="en-AU"/>
        </w:rPr>
        <w:t xml:space="preserve">significant regional disparities across Indonesia, including </w:t>
      </w:r>
      <w:proofErr w:type="gramStart"/>
      <w:r w:rsidRPr="00712FD9">
        <w:rPr>
          <w:rFonts w:cstheme="minorHAnsi"/>
          <w:lang w:eastAsia="en-AU"/>
        </w:rPr>
        <w:t>a large number of</w:t>
      </w:r>
      <w:proofErr w:type="gramEnd"/>
      <w:r w:rsidRPr="00712FD9">
        <w:rPr>
          <w:rFonts w:cstheme="minorHAnsi"/>
          <w:lang w:eastAsia="en-AU"/>
        </w:rPr>
        <w:t xml:space="preserve"> students without internet access, devices or electricity. </w:t>
      </w:r>
    </w:p>
    <w:p w14:paraId="480D6AB5" w14:textId="77777777" w:rsidR="00992977" w:rsidRPr="00712FD9" w:rsidRDefault="00297FD1" w:rsidP="0042568A">
      <w:pPr>
        <w:pStyle w:val="Heading3"/>
        <w:rPr>
          <w:sz w:val="20"/>
          <w:szCs w:val="20"/>
          <w:lang w:val="en-US"/>
        </w:rPr>
      </w:pPr>
      <w:r w:rsidRPr="00712FD9">
        <w:t>Economic recovery</w:t>
      </w:r>
      <w:r w:rsidR="00992977" w:rsidRPr="00712FD9">
        <w:rPr>
          <w:sz w:val="20"/>
          <w:szCs w:val="20"/>
          <w:lang w:val="en-US"/>
        </w:rPr>
        <w:t xml:space="preserve"> </w:t>
      </w:r>
    </w:p>
    <w:p w14:paraId="1398FD64" w14:textId="4A19C4C5" w:rsidR="002A5889" w:rsidRPr="00712FD9" w:rsidRDefault="002A5889" w:rsidP="002A5889">
      <w:pPr>
        <w:pStyle w:val="Bullet1"/>
        <w:numPr>
          <w:ilvl w:val="0"/>
          <w:numId w:val="0"/>
        </w:numPr>
        <w:spacing w:afterLines="60" w:after="144"/>
        <w:rPr>
          <w:lang w:val="en-US"/>
        </w:rPr>
      </w:pPr>
      <w:r w:rsidRPr="00712FD9">
        <w:rPr>
          <w:lang w:val="en-US"/>
        </w:rPr>
        <w:t>Our efforts to support Indonesia’s Economic Recovery are yielding results.</w:t>
      </w:r>
      <w:r w:rsidRPr="00712FD9">
        <w:t xml:space="preserve"> </w:t>
      </w:r>
      <w:r w:rsidR="00667A5C">
        <w:t>In</w:t>
      </w:r>
      <w:r w:rsidR="00546353">
        <w:t xml:space="preserve"> the reporting period, w</w:t>
      </w:r>
      <w:r w:rsidRPr="00712FD9">
        <w:rPr>
          <w:b/>
          <w:bCs/>
        </w:rPr>
        <w:t xml:space="preserve">e provided an </w:t>
      </w:r>
      <w:r w:rsidR="006D1402">
        <w:rPr>
          <w:b/>
          <w:bCs/>
        </w:rPr>
        <w:t>$</w:t>
      </w:r>
      <w:r w:rsidRPr="00712FD9">
        <w:rPr>
          <w:b/>
          <w:bCs/>
        </w:rPr>
        <w:t>1.5 billion loan to Indonesia that supported Indonesia’s management of the COVID-19 crisis and economic recovery interventions</w:t>
      </w:r>
      <w:r w:rsidRPr="00712FD9">
        <w:t xml:space="preserve">, and </w:t>
      </w:r>
      <w:r w:rsidRPr="00712FD9">
        <w:rPr>
          <w:b/>
          <w:bCs/>
          <w:lang w:val="en-US"/>
        </w:rPr>
        <w:t xml:space="preserve">successfully leveraged </w:t>
      </w:r>
      <w:r w:rsidR="006D1402">
        <w:rPr>
          <w:b/>
          <w:bCs/>
          <w:lang w:val="en-US"/>
        </w:rPr>
        <w:t>$</w:t>
      </w:r>
      <w:r w:rsidRPr="00712FD9">
        <w:rPr>
          <w:b/>
          <w:bCs/>
          <w:lang w:val="en-US"/>
        </w:rPr>
        <w:t>2.3 billion dollars of additional resources</w:t>
      </w:r>
      <w:r w:rsidRPr="00712FD9">
        <w:rPr>
          <w:lang w:val="en-US"/>
        </w:rPr>
        <w:t xml:space="preserve"> to support Indonesia’s economic development. Our investments contributed to the passing of a critical piece of legislation for job creation, improving the business environment for domestic growth and trade and investment opportunities. While gains were made in supporting Indonesia to increase economic inclusion of women and vulnerable groups, more work is needed. </w:t>
      </w:r>
    </w:p>
    <w:p w14:paraId="6F3DA697" w14:textId="68319BAB" w:rsidR="002A5889" w:rsidRPr="00712FD9" w:rsidRDefault="002A5889" w:rsidP="002A5889">
      <w:pPr>
        <w:spacing w:before="0" w:afterLines="60" w:after="144"/>
      </w:pPr>
      <w:r w:rsidRPr="00712FD9">
        <w:rPr>
          <w:b/>
          <w:bCs/>
        </w:rPr>
        <w:t>We supported Indonesia to identify where COVID</w:t>
      </w:r>
      <w:r w:rsidR="006D1402">
        <w:rPr>
          <w:b/>
          <w:bCs/>
        </w:rPr>
        <w:t>-</w:t>
      </w:r>
      <w:r w:rsidRPr="00712FD9">
        <w:rPr>
          <w:b/>
          <w:bCs/>
        </w:rPr>
        <w:t>19 recovery funds would produce the highest return on investment</w:t>
      </w:r>
      <w:r w:rsidRPr="00712FD9">
        <w:t>, and to monitor the impacts of the crisis on economic growth. For example, we helped produce a map that allowed Indonesia to predict in which sectors COVID-19 was causing the most economic damage, and where to target a recovery package to get the highest return on investment</w:t>
      </w:r>
      <w:r w:rsidRPr="00712FD9">
        <w:rPr>
          <w:rFonts w:cstheme="minorHAnsi"/>
          <w:bCs/>
          <w:iCs/>
        </w:rPr>
        <w:t>.</w:t>
      </w:r>
      <w:r w:rsidRPr="00712FD9">
        <w:t xml:space="preserve"> We also used satellite and mobility data to model the effectiveness of COVID</w:t>
      </w:r>
      <w:r w:rsidR="006D1402">
        <w:t>-19</w:t>
      </w:r>
      <w:r w:rsidRPr="00712FD9">
        <w:t xml:space="preserve"> restrictions.</w:t>
      </w:r>
    </w:p>
    <w:p w14:paraId="2B2CD0B7" w14:textId="77777777" w:rsidR="002A5889" w:rsidRPr="00712FD9" w:rsidRDefault="002A5889" w:rsidP="002A5889">
      <w:pPr>
        <w:spacing w:before="0" w:afterLines="60" w:after="144"/>
        <w:rPr>
          <w:rFonts w:cstheme="minorHAnsi"/>
        </w:rPr>
      </w:pPr>
      <w:r w:rsidRPr="00712FD9">
        <w:rPr>
          <w:rFonts w:cstheme="minorHAnsi"/>
          <w:b/>
          <w:bCs/>
        </w:rPr>
        <w:t>Our trusted trade and investment advice has been critical to support Indonesia to address binding constraints to growth</w:t>
      </w:r>
      <w:r w:rsidRPr="00712FD9">
        <w:rPr>
          <w:rFonts w:cstheme="minorHAnsi"/>
        </w:rPr>
        <w:t xml:space="preserve">, including to improve Indonesia’s business enabling environment to attract investment and create jobs. This has resulted in </w:t>
      </w:r>
      <w:r w:rsidRPr="00712FD9">
        <w:rPr>
          <w:rFonts w:cstheme="minorHAnsi"/>
          <w:bCs/>
        </w:rPr>
        <w:t>improvements to licensing, investment, and labour regulations.</w:t>
      </w:r>
      <w:r w:rsidRPr="00712FD9">
        <w:rPr>
          <w:rFonts w:cstheme="minorHAnsi"/>
        </w:rPr>
        <w:t xml:space="preserve"> These reforms </w:t>
      </w:r>
      <w:r w:rsidRPr="00712FD9">
        <w:rPr>
          <w:rFonts w:cstheme="minorHAnsi"/>
          <w:bCs/>
        </w:rPr>
        <w:t xml:space="preserve">aim to increase economic competitiveness, attract investment, create high quality jobs, and </w:t>
      </w:r>
      <w:r w:rsidRPr="00712FD9">
        <w:rPr>
          <w:rFonts w:cstheme="minorHAnsi"/>
        </w:rPr>
        <w:t xml:space="preserve">promote domestic growth and trade and investment opportunities for Indonesia's partners, including Australia. In 2021-22, we will continue to support the Government of Indonesia to ensure </w:t>
      </w:r>
      <w:r w:rsidRPr="00712FD9">
        <w:rPr>
          <w:rFonts w:cstheme="minorHAnsi"/>
          <w:bCs/>
        </w:rPr>
        <w:t xml:space="preserve">momentum is maintained on priority economic reforms. </w:t>
      </w:r>
    </w:p>
    <w:p w14:paraId="714FB8A5" w14:textId="77777777" w:rsidR="002A5889" w:rsidRPr="00712FD9" w:rsidRDefault="002A5889" w:rsidP="002A5889">
      <w:pPr>
        <w:spacing w:before="0" w:afterLines="60" w:after="144"/>
      </w:pPr>
      <w:r w:rsidRPr="00712FD9">
        <w:rPr>
          <w:rFonts w:eastAsia="Times New Roman" w:cstheme="minorHAnsi"/>
          <w:lang w:val="en-AU" w:eastAsia="en-AU"/>
        </w:rPr>
        <w:t xml:space="preserve">Australia partnered with Indonesia to bolster local government capacity on budget planning, </w:t>
      </w:r>
      <w:proofErr w:type="gramStart"/>
      <w:r w:rsidRPr="00712FD9">
        <w:rPr>
          <w:rFonts w:eastAsia="Times New Roman" w:cstheme="minorHAnsi"/>
          <w:lang w:val="en-AU" w:eastAsia="en-AU"/>
        </w:rPr>
        <w:t>implementation</w:t>
      </w:r>
      <w:proofErr w:type="gramEnd"/>
      <w:r w:rsidRPr="00712FD9">
        <w:rPr>
          <w:rFonts w:eastAsia="Times New Roman" w:cstheme="minorHAnsi"/>
          <w:lang w:val="en-AU" w:eastAsia="en-AU"/>
        </w:rPr>
        <w:t xml:space="preserve"> and expenditure monitoring, which is essential for improved health service delivery and strong health outcomes. </w:t>
      </w:r>
      <w:r w:rsidRPr="00712FD9">
        <w:rPr>
          <w:rFonts w:eastAsia="Times New Roman" w:cstheme="minorHAnsi"/>
          <w:b/>
          <w:bCs/>
          <w:lang w:val="en-AU" w:eastAsia="en-AU"/>
        </w:rPr>
        <w:t>Our research, analysis and advocacy resulted in health budgets being targeted to the services that are most needed</w:t>
      </w:r>
      <w:r w:rsidRPr="00712FD9">
        <w:rPr>
          <w:rFonts w:eastAsia="Times New Roman" w:cstheme="minorHAnsi"/>
          <w:lang w:val="en-AU" w:eastAsia="en-AU"/>
        </w:rPr>
        <w:t xml:space="preserve">, ensuring better access and quality of health services for people in Indonesian communities. </w:t>
      </w:r>
    </w:p>
    <w:p w14:paraId="1A6B8CAD" w14:textId="489A72EA" w:rsidR="002A5889" w:rsidRPr="00712FD9" w:rsidRDefault="002A5889" w:rsidP="002A5889">
      <w:pPr>
        <w:widowControl w:val="0"/>
        <w:suppressAutoHyphens w:val="0"/>
        <w:autoSpaceDE w:val="0"/>
        <w:autoSpaceDN w:val="0"/>
        <w:adjustRightInd w:val="0"/>
        <w:spacing w:before="0" w:afterLines="60" w:after="144"/>
        <w:jc w:val="both"/>
        <w:sectPr w:rsidR="002A5889" w:rsidRPr="00712FD9" w:rsidSect="00B117B3">
          <w:headerReference w:type="default" r:id="rId9"/>
          <w:footerReference w:type="default" r:id="rId10"/>
          <w:headerReference w:type="first" r:id="rId11"/>
          <w:footerReference w:type="first" r:id="rId12"/>
          <w:type w:val="continuous"/>
          <w:pgSz w:w="11906" w:h="16838" w:code="9"/>
          <w:pgMar w:top="1559" w:right="680" w:bottom="1418" w:left="680" w:header="425" w:footer="567" w:gutter="0"/>
          <w:cols w:space="397"/>
          <w:titlePg/>
          <w:docGrid w:linePitch="360"/>
        </w:sectPr>
      </w:pPr>
      <w:r w:rsidRPr="00712FD9">
        <w:t xml:space="preserve">Providing access to economic opportunities to women and other vulnerable groups who have been disproportionately impacted by COVID-19 was a priority focus for Australia. In 2021-22, Australia and Indonesia will commence a new partnership that will help ensure more Indonesian women, children and minority groups can equitably participate in and benefit from social, </w:t>
      </w:r>
      <w:proofErr w:type="gramStart"/>
      <w:r w:rsidRPr="00712FD9">
        <w:t>political</w:t>
      </w:r>
      <w:proofErr w:type="gramEnd"/>
      <w:r w:rsidRPr="00712FD9">
        <w:t xml:space="preserve"> and economic opportunities</w:t>
      </w:r>
      <w:r w:rsidR="0091566F" w:rsidRPr="00712FD9">
        <w:t xml:space="preserve">. </w:t>
      </w:r>
    </w:p>
    <w:p w14:paraId="18402FF8" w14:textId="77777777" w:rsidR="00BC1FED" w:rsidRPr="00712FD9" w:rsidRDefault="00121DDD" w:rsidP="00BD710C">
      <w:pPr>
        <w:pStyle w:val="Heading2"/>
      </w:pPr>
      <w:r w:rsidRPr="00712FD9">
        <w:lastRenderedPageBreak/>
        <w:t>Annex 1</w:t>
      </w:r>
      <w:r w:rsidR="001F7F4D" w:rsidRPr="00712FD9">
        <w:t xml:space="preserve">: </w:t>
      </w:r>
      <w:r w:rsidR="00540A22" w:rsidRPr="00712FD9">
        <w:t xml:space="preserve">Progress against </w:t>
      </w:r>
      <w:r w:rsidR="008A1503" w:rsidRPr="00712FD9">
        <w:t xml:space="preserve">COVID-19 Response plan </w:t>
      </w:r>
      <w:r w:rsidR="00E1666D" w:rsidRPr="00712FD9">
        <w:t>results indicators</w:t>
      </w:r>
    </w:p>
    <w:p w14:paraId="7EB474C6" w14:textId="77777777" w:rsidR="00346789" w:rsidRPr="00712FD9" w:rsidRDefault="00346789" w:rsidP="0042568A">
      <w:pPr>
        <w:pStyle w:val="Heading3"/>
      </w:pPr>
      <w:r w:rsidRPr="00712FD9">
        <w:t>Health Security</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Hezalth Security, Stability and Economic Recovery"/>
      </w:tblPr>
      <w:tblGrid>
        <w:gridCol w:w="3823"/>
        <w:gridCol w:w="6713"/>
      </w:tblGrid>
      <w:tr w:rsidR="004F5615" w:rsidRPr="00712FD9" w14:paraId="41E1B591" w14:textId="77777777" w:rsidTr="00D41312">
        <w:trPr>
          <w:tblHeader/>
        </w:trPr>
        <w:tc>
          <w:tcPr>
            <w:tcW w:w="3823" w:type="dxa"/>
            <w:tcBorders>
              <w:top w:val="single" w:sz="4" w:space="0" w:color="65C5B4" w:themeColor="accent1"/>
              <w:left w:val="single" w:sz="4" w:space="0" w:color="65C5B4" w:themeColor="accent1"/>
              <w:bottom w:val="single" w:sz="4" w:space="0" w:color="A6A6A6" w:themeColor="background1" w:themeShade="A6"/>
              <w:right w:val="single" w:sz="4" w:space="0" w:color="65C5B4" w:themeColor="accent1"/>
            </w:tcBorders>
            <w:shd w:val="clear" w:color="auto" w:fill="A2DCD1" w:themeFill="accent1" w:themeFillTint="99"/>
          </w:tcPr>
          <w:p w14:paraId="626D93F7" w14:textId="33A1EA56" w:rsidR="004F5615" w:rsidRPr="00712FD9" w:rsidRDefault="00346789" w:rsidP="00731600">
            <w:pPr>
              <w:spacing w:before="0" w:after="0" w:line="240" w:lineRule="auto"/>
              <w:jc w:val="center"/>
              <w:rPr>
                <w:rFonts w:asciiTheme="majorHAnsi" w:hAnsiTheme="majorHAnsi" w:cstheme="majorHAnsi"/>
                <w:sz w:val="20"/>
                <w:szCs w:val="20"/>
              </w:rPr>
            </w:pPr>
            <w:r w:rsidRPr="00712FD9">
              <w:rPr>
                <w:b/>
                <w:sz w:val="20"/>
                <w:szCs w:val="20"/>
              </w:rPr>
              <w:t>Key Results Indicators</w:t>
            </w:r>
          </w:p>
        </w:tc>
        <w:tc>
          <w:tcPr>
            <w:tcW w:w="6713" w:type="dxa"/>
            <w:tcBorders>
              <w:top w:val="single" w:sz="4" w:space="0" w:color="65C5B4" w:themeColor="accent1"/>
              <w:left w:val="single" w:sz="4" w:space="0" w:color="65C5B4" w:themeColor="accent1"/>
              <w:bottom w:val="single" w:sz="4" w:space="0" w:color="A6A6A6" w:themeColor="background1" w:themeShade="A6"/>
              <w:right w:val="single" w:sz="4" w:space="0" w:color="65C5B4" w:themeColor="accent1"/>
            </w:tcBorders>
            <w:shd w:val="clear" w:color="auto" w:fill="A2DCD1" w:themeFill="accent1" w:themeFillTint="99"/>
          </w:tcPr>
          <w:p w14:paraId="20D2610B" w14:textId="0EC3A244" w:rsidR="004F5615" w:rsidRPr="00712FD9" w:rsidRDefault="00346789" w:rsidP="00731600">
            <w:pPr>
              <w:spacing w:before="0" w:after="0" w:line="240" w:lineRule="auto"/>
              <w:ind w:left="100"/>
              <w:jc w:val="center"/>
              <w:rPr>
                <w:sz w:val="20"/>
                <w:szCs w:val="20"/>
              </w:rPr>
            </w:pPr>
            <w:r w:rsidRPr="00712FD9">
              <w:rPr>
                <w:b/>
                <w:sz w:val="20"/>
                <w:szCs w:val="20"/>
              </w:rPr>
              <w:t>Progress/Result</w:t>
            </w:r>
          </w:p>
        </w:tc>
      </w:tr>
      <w:tr w:rsidR="00CA5021" w:rsidRPr="00712FD9" w14:paraId="12DF78B2" w14:textId="77777777" w:rsidTr="00731600">
        <w:tc>
          <w:tcPr>
            <w:tcW w:w="3823" w:type="dxa"/>
            <w:tcBorders>
              <w:left w:val="single" w:sz="4" w:space="0" w:color="65C5B4" w:themeColor="accent1"/>
              <w:bottom w:val="single" w:sz="4" w:space="0" w:color="65C5B4" w:themeColor="accent1"/>
              <w:right w:val="single" w:sz="4" w:space="0" w:color="65C5B4" w:themeColor="accent1"/>
            </w:tcBorders>
          </w:tcPr>
          <w:p w14:paraId="4F67F89E" w14:textId="4933526F" w:rsidR="001A01CD" w:rsidRPr="00712FD9" w:rsidRDefault="00467058" w:rsidP="001A01CD">
            <w:pPr>
              <w:rPr>
                <w:sz w:val="20"/>
                <w:szCs w:val="20"/>
              </w:rPr>
            </w:pPr>
            <w:r w:rsidRPr="00712FD9">
              <w:rPr>
                <w:sz w:val="20"/>
                <w:szCs w:val="20"/>
              </w:rPr>
              <w:t>693,000</w:t>
            </w:r>
            <w:r w:rsidR="001A01CD" w:rsidRPr="00712FD9">
              <w:rPr>
                <w:sz w:val="20"/>
                <w:szCs w:val="20"/>
              </w:rPr>
              <w:t xml:space="preserve"> women, men, </w:t>
            </w:r>
            <w:proofErr w:type="gramStart"/>
            <w:r w:rsidR="001A01CD" w:rsidRPr="00712FD9">
              <w:rPr>
                <w:sz w:val="20"/>
                <w:szCs w:val="20"/>
              </w:rPr>
              <w:t>girls</w:t>
            </w:r>
            <w:proofErr w:type="gramEnd"/>
            <w:r w:rsidR="001A01CD" w:rsidRPr="00712FD9">
              <w:rPr>
                <w:sz w:val="20"/>
                <w:szCs w:val="20"/>
              </w:rPr>
              <w:t xml:space="preserve"> and boys provided with emergency assistance</w:t>
            </w:r>
          </w:p>
          <w:p w14:paraId="62B9A0A9" w14:textId="77777777" w:rsidR="00877620" w:rsidRPr="00712FD9" w:rsidRDefault="00877620" w:rsidP="00CA5021">
            <w:pPr>
              <w:spacing w:before="0" w:after="0"/>
              <w:rPr>
                <w:sz w:val="20"/>
                <w:szCs w:val="20"/>
              </w:rPr>
            </w:pPr>
          </w:p>
        </w:tc>
        <w:tc>
          <w:tcPr>
            <w:tcW w:w="6713" w:type="dxa"/>
            <w:tcBorders>
              <w:left w:val="single" w:sz="4" w:space="0" w:color="65C5B4" w:themeColor="accent1"/>
              <w:bottom w:val="single" w:sz="4" w:space="0" w:color="65C5B4" w:themeColor="accent1"/>
              <w:right w:val="single" w:sz="4" w:space="0" w:color="65C5B4" w:themeColor="accent1"/>
            </w:tcBorders>
          </w:tcPr>
          <w:p w14:paraId="06555661" w14:textId="2DC1BA60" w:rsidR="00877620" w:rsidRPr="00712FD9" w:rsidRDefault="00C3147A" w:rsidP="007C13C8">
            <w:pPr>
              <w:spacing w:before="0" w:after="0"/>
              <w:rPr>
                <w:sz w:val="20"/>
                <w:szCs w:val="20"/>
              </w:rPr>
            </w:pPr>
            <w:r w:rsidRPr="00712FD9">
              <w:rPr>
                <w:sz w:val="20"/>
                <w:szCs w:val="20"/>
              </w:rPr>
              <w:t>A</w:t>
            </w:r>
            <w:r w:rsidR="002A5889" w:rsidRPr="00712FD9">
              <w:rPr>
                <w:sz w:val="20"/>
                <w:szCs w:val="20"/>
              </w:rPr>
              <w:t xml:space="preserve">ssisted 2,220,090 women, men, </w:t>
            </w:r>
            <w:proofErr w:type="gramStart"/>
            <w:r w:rsidR="002A5889" w:rsidRPr="00712FD9">
              <w:rPr>
                <w:sz w:val="20"/>
                <w:szCs w:val="20"/>
              </w:rPr>
              <w:t>girls</w:t>
            </w:r>
            <w:proofErr w:type="gramEnd"/>
            <w:r w:rsidR="002A5889" w:rsidRPr="00712FD9">
              <w:rPr>
                <w:sz w:val="20"/>
                <w:szCs w:val="20"/>
              </w:rPr>
              <w:t xml:space="preserve"> and boys with emergency assistance. Examples of assistance included food packages, protective COVID-19 related supplies (including masks and disinfectant) and critical water, sanitation, and hygiene supplies.</w:t>
            </w:r>
          </w:p>
        </w:tc>
      </w:tr>
      <w:tr w:rsidR="00CA5021" w:rsidRPr="00712FD9" w14:paraId="2C3223B4" w14:textId="77777777" w:rsidTr="00731600">
        <w:tc>
          <w:tcPr>
            <w:tcW w:w="3823"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tcPr>
          <w:p w14:paraId="2225F3A5" w14:textId="77777777" w:rsidR="00CA5021" w:rsidRPr="00712FD9" w:rsidRDefault="00467058" w:rsidP="00CA5021">
            <w:pPr>
              <w:spacing w:before="0" w:after="0"/>
              <w:rPr>
                <w:sz w:val="20"/>
                <w:szCs w:val="20"/>
              </w:rPr>
            </w:pPr>
            <w:r w:rsidRPr="00712FD9">
              <w:rPr>
                <w:sz w:val="20"/>
                <w:szCs w:val="20"/>
              </w:rPr>
              <w:t>100 ventilators and associated medical supplies provided to support treatment of COVID-19 in Indonesia</w:t>
            </w:r>
          </w:p>
        </w:tc>
        <w:tc>
          <w:tcPr>
            <w:tcW w:w="6713"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tcPr>
          <w:p w14:paraId="2500D683" w14:textId="3842CB7C" w:rsidR="00CA5021" w:rsidRPr="00712FD9" w:rsidRDefault="00C3147A" w:rsidP="007C13C8">
            <w:pPr>
              <w:spacing w:before="0" w:after="0"/>
              <w:rPr>
                <w:sz w:val="20"/>
                <w:szCs w:val="20"/>
              </w:rPr>
            </w:pPr>
            <w:r w:rsidRPr="00712FD9">
              <w:rPr>
                <w:sz w:val="20"/>
                <w:szCs w:val="20"/>
              </w:rPr>
              <w:t>R</w:t>
            </w:r>
            <w:r w:rsidR="002A5889" w:rsidRPr="00712FD9">
              <w:rPr>
                <w:sz w:val="20"/>
                <w:szCs w:val="20"/>
              </w:rPr>
              <w:t xml:space="preserve">esponded early to support Indonesia’s COVID-19 response through the delivery of an initial 100 non-invasive ventilators, associated </w:t>
            </w:r>
            <w:proofErr w:type="gramStart"/>
            <w:r w:rsidR="002A5889" w:rsidRPr="00712FD9">
              <w:rPr>
                <w:sz w:val="20"/>
                <w:szCs w:val="20"/>
              </w:rPr>
              <w:t>consumables</w:t>
            </w:r>
            <w:proofErr w:type="gramEnd"/>
            <w:r w:rsidR="002A5889" w:rsidRPr="00712FD9">
              <w:rPr>
                <w:sz w:val="20"/>
                <w:szCs w:val="20"/>
              </w:rPr>
              <w:t xml:space="preserve"> and laboratory equipment in July 2020.</w:t>
            </w:r>
          </w:p>
        </w:tc>
      </w:tr>
      <w:tr w:rsidR="009142F2" w:rsidRPr="00712FD9" w14:paraId="313D6FF3" w14:textId="77777777" w:rsidTr="00731600">
        <w:tc>
          <w:tcPr>
            <w:tcW w:w="3823"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tcPr>
          <w:p w14:paraId="1A906824" w14:textId="77777777" w:rsidR="009142F2" w:rsidRPr="00712FD9" w:rsidRDefault="009142F2" w:rsidP="009142F2">
            <w:pPr>
              <w:spacing w:before="0" w:after="0"/>
              <w:rPr>
                <w:sz w:val="20"/>
                <w:szCs w:val="20"/>
              </w:rPr>
            </w:pPr>
            <w:r w:rsidRPr="00712FD9">
              <w:rPr>
                <w:sz w:val="20"/>
                <w:szCs w:val="20"/>
              </w:rPr>
              <w:t>Indonesia improves responses to health security threats (especially COVID-19)</w:t>
            </w:r>
          </w:p>
        </w:tc>
        <w:tc>
          <w:tcPr>
            <w:tcW w:w="6713"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tcPr>
          <w:p w14:paraId="30F7E5F3" w14:textId="408E49D8" w:rsidR="009142F2" w:rsidRPr="00712FD9" w:rsidRDefault="00C3147A" w:rsidP="007C13C8">
            <w:pPr>
              <w:spacing w:before="0" w:after="0"/>
              <w:rPr>
                <w:sz w:val="20"/>
                <w:szCs w:val="20"/>
              </w:rPr>
            </w:pPr>
            <w:r w:rsidRPr="00712FD9">
              <w:rPr>
                <w:sz w:val="20"/>
                <w:szCs w:val="20"/>
              </w:rPr>
              <w:t>C</w:t>
            </w:r>
            <w:r w:rsidR="002A5889" w:rsidRPr="00712FD9">
              <w:rPr>
                <w:sz w:val="20"/>
                <w:szCs w:val="20"/>
              </w:rPr>
              <w:t>ontributed to improved response to health security threats by supporting formulation of nine guidelines and 16 protocols at national and sub-national levels to prevent COVID-19 spread. Technical assistance was provided to the Ministry of Home Affairs to strengthen their information management system that informs decision-making on health, social safety nets and economic issues.</w:t>
            </w:r>
          </w:p>
        </w:tc>
      </w:tr>
      <w:tr w:rsidR="009142F2" w:rsidRPr="00712FD9" w14:paraId="5C085732" w14:textId="77777777" w:rsidTr="00731600">
        <w:tc>
          <w:tcPr>
            <w:tcW w:w="3823"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tcPr>
          <w:p w14:paraId="1CFC7A7F" w14:textId="77777777" w:rsidR="009142F2" w:rsidRPr="00712FD9" w:rsidRDefault="009142F2" w:rsidP="009142F2">
            <w:pPr>
              <w:spacing w:before="0" w:after="0"/>
              <w:rPr>
                <w:sz w:val="20"/>
                <w:szCs w:val="20"/>
              </w:rPr>
            </w:pPr>
            <w:r w:rsidRPr="00712FD9">
              <w:rPr>
                <w:sz w:val="20"/>
                <w:szCs w:val="20"/>
              </w:rPr>
              <w:t>Indonesia strengthens health systems, including preparedness for health emergencies</w:t>
            </w:r>
          </w:p>
        </w:tc>
        <w:tc>
          <w:tcPr>
            <w:tcW w:w="6713"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tcPr>
          <w:p w14:paraId="7F728083" w14:textId="3305C657" w:rsidR="004355BE" w:rsidRPr="00712FD9" w:rsidRDefault="00C3147A" w:rsidP="007C13C8">
            <w:pPr>
              <w:spacing w:before="0"/>
              <w:rPr>
                <w:color w:val="auto"/>
                <w:sz w:val="20"/>
                <w:szCs w:val="20"/>
                <w:lang w:val="en-AU"/>
              </w:rPr>
            </w:pPr>
            <w:r w:rsidRPr="00712FD9">
              <w:rPr>
                <w:sz w:val="20"/>
                <w:szCs w:val="20"/>
                <w:lang w:val="en-ID"/>
              </w:rPr>
              <w:t>C</w:t>
            </w:r>
            <w:r w:rsidR="002A5889" w:rsidRPr="00712FD9">
              <w:rPr>
                <w:sz w:val="20"/>
                <w:szCs w:val="20"/>
                <w:lang w:val="en-ID"/>
              </w:rPr>
              <w:t>onducted a review of laboratory laws and regulations, to help develop a unified public health laboratory system connected to an integrated health information system; as well as a review of laws and regulations related to emergency preparedness and response to eliminate contradictory regulations that caused confusion at local levels. New legislation covering laboratories and emergencies is currently being drafted with Australian support.</w:t>
            </w:r>
          </w:p>
          <w:p w14:paraId="1CF41CFA" w14:textId="0C10DD4A" w:rsidR="009142F2" w:rsidRPr="00712FD9" w:rsidRDefault="002A5889" w:rsidP="007C13C8">
            <w:pPr>
              <w:spacing w:before="0" w:after="0"/>
              <w:rPr>
                <w:sz w:val="20"/>
                <w:szCs w:val="20"/>
              </w:rPr>
            </w:pPr>
            <w:r w:rsidRPr="00712FD9">
              <w:rPr>
                <w:sz w:val="20"/>
                <w:szCs w:val="20"/>
              </w:rPr>
              <w:t>Australia strengthened health surveillance tools, coordination across government bodies and health system data analytics.</w:t>
            </w:r>
          </w:p>
        </w:tc>
      </w:tr>
      <w:tr w:rsidR="009142F2" w:rsidRPr="00712FD9" w14:paraId="7DFA0D84" w14:textId="77777777" w:rsidTr="00731600">
        <w:tc>
          <w:tcPr>
            <w:tcW w:w="3823"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tcPr>
          <w:p w14:paraId="4705F1BB" w14:textId="77777777" w:rsidR="009142F2" w:rsidRPr="00712FD9" w:rsidRDefault="009142F2" w:rsidP="009142F2">
            <w:pPr>
              <w:spacing w:before="0" w:after="0"/>
              <w:rPr>
                <w:sz w:val="20"/>
                <w:szCs w:val="20"/>
              </w:rPr>
            </w:pPr>
            <w:bookmarkStart w:id="6" w:name="_Hlk84500097"/>
            <w:r w:rsidRPr="00712FD9">
              <w:rPr>
                <w:sz w:val="20"/>
                <w:szCs w:val="20"/>
              </w:rPr>
              <w:t>1,970,000 additional women and men have access to improved water and 198,000 sanitation services (625,000 water and 105,000 sanitation respectively in 2020-21)</w:t>
            </w:r>
          </w:p>
        </w:tc>
        <w:tc>
          <w:tcPr>
            <w:tcW w:w="6713"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tcPr>
          <w:p w14:paraId="294EB779" w14:textId="77777777" w:rsidR="0045491B" w:rsidRDefault="000C55D4" w:rsidP="00712FD9">
            <w:pPr>
              <w:autoSpaceDE w:val="0"/>
              <w:autoSpaceDN w:val="0"/>
              <w:spacing w:after="0" w:line="240" w:lineRule="auto"/>
              <w:rPr>
                <w:sz w:val="20"/>
                <w:szCs w:val="20"/>
                <w:lang w:val="en-ID"/>
              </w:rPr>
            </w:pPr>
            <w:r w:rsidRPr="0045491B">
              <w:rPr>
                <w:sz w:val="20"/>
                <w:szCs w:val="20"/>
                <w:lang w:val="en-ID"/>
              </w:rPr>
              <w:t>147,557</w:t>
            </w:r>
            <w:r w:rsidR="00D04B64" w:rsidRPr="0045491B">
              <w:rPr>
                <w:sz w:val="20"/>
                <w:szCs w:val="20"/>
                <w:lang w:val="en-ID"/>
              </w:rPr>
              <w:t xml:space="preserve"> </w:t>
            </w:r>
            <w:r w:rsidR="002A5889" w:rsidRPr="0045491B">
              <w:rPr>
                <w:sz w:val="20"/>
                <w:szCs w:val="20"/>
                <w:lang w:val="en-ID"/>
              </w:rPr>
              <w:t xml:space="preserve">additional women and men were provided access to improved water and an additional </w:t>
            </w:r>
            <w:r w:rsidRPr="0045491B">
              <w:rPr>
                <w:sz w:val="20"/>
                <w:szCs w:val="20"/>
                <w:lang w:val="en-ID"/>
              </w:rPr>
              <w:t>30,535</w:t>
            </w:r>
            <w:r w:rsidR="00D04B64" w:rsidRPr="0045491B">
              <w:rPr>
                <w:sz w:val="20"/>
                <w:szCs w:val="20"/>
                <w:lang w:val="en-ID"/>
              </w:rPr>
              <w:t xml:space="preserve"> </w:t>
            </w:r>
            <w:r w:rsidR="002A5889" w:rsidRPr="0045491B">
              <w:rPr>
                <w:sz w:val="20"/>
                <w:szCs w:val="20"/>
                <w:lang w:val="en-ID"/>
              </w:rPr>
              <w:t>women and men were provided access to improved sanitation in 2020-21.</w:t>
            </w:r>
          </w:p>
          <w:p w14:paraId="4A17613C" w14:textId="03B7F7F3" w:rsidR="009142F2" w:rsidRPr="00712FD9" w:rsidRDefault="0045491B" w:rsidP="00712FD9">
            <w:pPr>
              <w:autoSpaceDE w:val="0"/>
              <w:autoSpaceDN w:val="0"/>
              <w:spacing w:after="0" w:line="240" w:lineRule="auto"/>
              <w:rPr>
                <w:color w:val="auto"/>
                <w:lang w:val="en-AU"/>
              </w:rPr>
            </w:pPr>
            <w:r>
              <w:rPr>
                <w:sz w:val="20"/>
                <w:szCs w:val="20"/>
                <w:lang w:val="en-ID"/>
              </w:rPr>
              <w:t>S</w:t>
            </w:r>
            <w:r w:rsidR="002A5889" w:rsidRPr="0045491B">
              <w:rPr>
                <w:sz w:val="20"/>
                <w:szCs w:val="20"/>
                <w:lang w:val="en-ID"/>
              </w:rPr>
              <w:t xml:space="preserve">upported local governments to invest in neighbourhood scale sewage systems, providing technical input on budgeting, </w:t>
            </w:r>
            <w:proofErr w:type="gramStart"/>
            <w:r w:rsidR="002A5889" w:rsidRPr="0045491B">
              <w:rPr>
                <w:sz w:val="20"/>
                <w:szCs w:val="20"/>
                <w:lang w:val="en-ID"/>
              </w:rPr>
              <w:t>designing</w:t>
            </w:r>
            <w:proofErr w:type="gramEnd"/>
            <w:r w:rsidR="002A5889" w:rsidRPr="0045491B">
              <w:rPr>
                <w:sz w:val="20"/>
                <w:szCs w:val="20"/>
                <w:lang w:val="en-ID"/>
              </w:rPr>
              <w:t xml:space="preserve"> and implementing infrastructure</w:t>
            </w:r>
            <w:r w:rsidR="0091566F" w:rsidRPr="0045491B">
              <w:rPr>
                <w:sz w:val="20"/>
                <w:szCs w:val="20"/>
                <w:lang w:val="en-ID"/>
              </w:rPr>
              <w:t xml:space="preserve">. </w:t>
            </w:r>
            <w:r w:rsidR="00974B6D" w:rsidRPr="00893338">
              <w:rPr>
                <w:sz w:val="20"/>
                <w:szCs w:val="20"/>
                <w:lang w:val="en-ID"/>
              </w:rPr>
              <w:t>Some Indonesia water and sanitation projects did not commence as expected.</w:t>
            </w:r>
            <w:r w:rsidR="00974B6D" w:rsidRPr="00893338">
              <w:rPr>
                <w:sz w:val="20"/>
                <w:szCs w:val="20"/>
              </w:rPr>
              <w:t xml:space="preserve"> </w:t>
            </w:r>
            <w:r w:rsidR="002E6BDA" w:rsidRPr="00893338">
              <w:rPr>
                <w:sz w:val="20"/>
                <w:szCs w:val="20"/>
              </w:rPr>
              <w:t>COVID-19 hampered the Government of Indonesia’s progress, including construction delays, new design work to respond to COVID-19 and reprioritisation of resources.</w:t>
            </w:r>
            <w:r w:rsidR="002E6BDA">
              <w:t xml:space="preserve"> </w:t>
            </w:r>
          </w:p>
        </w:tc>
      </w:tr>
      <w:bookmarkEnd w:id="6"/>
      <w:tr w:rsidR="009142F2" w:rsidRPr="00712FD9" w14:paraId="19391778" w14:textId="77777777" w:rsidTr="00731600">
        <w:tc>
          <w:tcPr>
            <w:tcW w:w="3823"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tcPr>
          <w:p w14:paraId="7CE56F2B" w14:textId="77777777" w:rsidR="009142F2" w:rsidRPr="00712FD9" w:rsidRDefault="009142F2" w:rsidP="009142F2">
            <w:pPr>
              <w:spacing w:before="0" w:after="0"/>
              <w:rPr>
                <w:sz w:val="20"/>
                <w:szCs w:val="20"/>
              </w:rPr>
            </w:pPr>
            <w:r w:rsidRPr="00712FD9">
              <w:rPr>
                <w:sz w:val="20"/>
                <w:szCs w:val="20"/>
              </w:rPr>
              <w:t>Evidence of Indonesia making progress to prevent stunting</w:t>
            </w:r>
          </w:p>
        </w:tc>
        <w:tc>
          <w:tcPr>
            <w:tcW w:w="6713"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tcPr>
          <w:p w14:paraId="7F16C71F" w14:textId="6138E7F6" w:rsidR="004355BE" w:rsidRPr="00712FD9" w:rsidRDefault="00C3147A" w:rsidP="007C13C8">
            <w:pPr>
              <w:spacing w:before="0"/>
              <w:rPr>
                <w:color w:val="auto"/>
                <w:sz w:val="20"/>
                <w:szCs w:val="20"/>
                <w:lang w:val="en-AU"/>
              </w:rPr>
            </w:pPr>
            <w:r w:rsidRPr="00712FD9">
              <w:rPr>
                <w:sz w:val="20"/>
                <w:szCs w:val="20"/>
              </w:rPr>
              <w:t>S</w:t>
            </w:r>
            <w:r w:rsidR="002A5889" w:rsidRPr="00712FD9">
              <w:rPr>
                <w:sz w:val="20"/>
                <w:szCs w:val="20"/>
              </w:rPr>
              <w:t xml:space="preserve">upport </w:t>
            </w:r>
            <w:r w:rsidRPr="00712FD9">
              <w:rPr>
                <w:sz w:val="20"/>
                <w:szCs w:val="20"/>
              </w:rPr>
              <w:t xml:space="preserve">to increase </w:t>
            </w:r>
            <w:r w:rsidR="002A5889" w:rsidRPr="00712FD9">
              <w:rPr>
                <w:sz w:val="20"/>
                <w:szCs w:val="20"/>
              </w:rPr>
              <w:t>access and use of iron folic acid tablets to reduce risk of anaemia in teenage girls and of stunting in any subsequent children they may have, in East Nusa Tenggara province. </w:t>
            </w:r>
          </w:p>
          <w:p w14:paraId="08E6CC52" w14:textId="5F27C545" w:rsidR="009142F2" w:rsidRPr="00712FD9" w:rsidRDefault="00C3147A" w:rsidP="007C13C8">
            <w:pPr>
              <w:spacing w:before="0" w:after="0"/>
              <w:rPr>
                <w:rFonts w:cstheme="minorHAnsi"/>
                <w:sz w:val="20"/>
                <w:szCs w:val="20"/>
              </w:rPr>
            </w:pPr>
            <w:r w:rsidRPr="00712FD9">
              <w:rPr>
                <w:sz w:val="20"/>
                <w:szCs w:val="20"/>
              </w:rPr>
              <w:t>S</w:t>
            </w:r>
            <w:r w:rsidR="002A5889" w:rsidRPr="00712FD9">
              <w:rPr>
                <w:sz w:val="20"/>
                <w:szCs w:val="20"/>
              </w:rPr>
              <w:t>upport also strengthened coordination between national and subnational governments, and increased local government capacity in implementing the national strategy on stunting reduction in West Java and East Nusa Tenggara.</w:t>
            </w:r>
          </w:p>
        </w:tc>
      </w:tr>
    </w:tbl>
    <w:p w14:paraId="319C9273" w14:textId="77777777" w:rsidR="00667A5C" w:rsidRDefault="00667A5C" w:rsidP="00CF0DC8">
      <w:pPr>
        <w:pStyle w:val="Heading3"/>
      </w:pPr>
    </w:p>
    <w:p w14:paraId="64959154" w14:textId="77777777" w:rsidR="00667A5C" w:rsidRDefault="00667A5C">
      <w:pPr>
        <w:suppressAutoHyphens w:val="0"/>
        <w:spacing w:before="0" w:after="120" w:line="440" w:lineRule="atLeast"/>
        <w:rPr>
          <w:rFonts w:eastAsiaTheme="majorEastAsia" w:cstheme="minorHAnsi"/>
          <w:b/>
          <w:bCs/>
          <w:i/>
          <w:iCs/>
        </w:rPr>
      </w:pPr>
      <w:r>
        <w:br w:type="page"/>
      </w:r>
    </w:p>
    <w:p w14:paraId="784969A0" w14:textId="5EAB16C6" w:rsidR="00766DE5" w:rsidRPr="00712FD9" w:rsidRDefault="00346789" w:rsidP="00CF0DC8">
      <w:pPr>
        <w:pStyle w:val="Heading3"/>
      </w:pPr>
      <w:r w:rsidRPr="00712FD9">
        <w:lastRenderedPageBreak/>
        <w:t>Stability</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Hezalth Security, Stability and Economic Recovery"/>
      </w:tblPr>
      <w:tblGrid>
        <w:gridCol w:w="3823"/>
        <w:gridCol w:w="6713"/>
      </w:tblGrid>
      <w:tr w:rsidR="00346789" w:rsidRPr="00712FD9" w14:paraId="28FD79DC" w14:textId="77777777" w:rsidTr="00D41312">
        <w:trPr>
          <w:tblHeader/>
        </w:trPr>
        <w:tc>
          <w:tcPr>
            <w:tcW w:w="3823" w:type="dxa"/>
            <w:tcBorders>
              <w:top w:val="single" w:sz="4" w:space="0" w:color="65C5B4"/>
              <w:left w:val="single" w:sz="4" w:space="0" w:color="65C5B4"/>
              <w:bottom w:val="single" w:sz="4" w:space="0" w:color="65C5B4"/>
              <w:right w:val="single" w:sz="4" w:space="0" w:color="65C5B4"/>
            </w:tcBorders>
            <w:shd w:val="clear" w:color="auto" w:fill="A2DCD1" w:themeFill="accent1" w:themeFillTint="99"/>
          </w:tcPr>
          <w:p w14:paraId="46E890B3" w14:textId="77777777" w:rsidR="00346789" w:rsidRPr="00712FD9" w:rsidRDefault="00346789" w:rsidP="00731600">
            <w:pPr>
              <w:spacing w:before="0" w:after="0" w:line="240" w:lineRule="auto"/>
              <w:jc w:val="center"/>
              <w:rPr>
                <w:b/>
                <w:sz w:val="20"/>
                <w:szCs w:val="20"/>
              </w:rPr>
            </w:pPr>
            <w:r w:rsidRPr="00712FD9">
              <w:rPr>
                <w:b/>
                <w:sz w:val="20"/>
                <w:szCs w:val="20"/>
              </w:rPr>
              <w:t>Key Results Indicators</w:t>
            </w:r>
          </w:p>
        </w:tc>
        <w:tc>
          <w:tcPr>
            <w:tcW w:w="6713" w:type="dxa"/>
            <w:tcBorders>
              <w:top w:val="single" w:sz="4" w:space="0" w:color="65C5B4"/>
              <w:left w:val="single" w:sz="4" w:space="0" w:color="65C5B4"/>
              <w:bottom w:val="single" w:sz="4" w:space="0" w:color="65C5B4"/>
              <w:right w:val="single" w:sz="4" w:space="0" w:color="65C5B4"/>
            </w:tcBorders>
            <w:shd w:val="clear" w:color="auto" w:fill="A2DCD1" w:themeFill="accent1" w:themeFillTint="99"/>
          </w:tcPr>
          <w:p w14:paraId="6303EF3A" w14:textId="77777777" w:rsidR="00346789" w:rsidRPr="00712FD9" w:rsidRDefault="00346789" w:rsidP="00731600">
            <w:pPr>
              <w:spacing w:before="0" w:after="0" w:line="240" w:lineRule="auto"/>
              <w:ind w:left="100"/>
              <w:jc w:val="center"/>
              <w:rPr>
                <w:b/>
                <w:sz w:val="20"/>
                <w:szCs w:val="20"/>
              </w:rPr>
            </w:pPr>
            <w:r w:rsidRPr="00712FD9">
              <w:rPr>
                <w:b/>
                <w:sz w:val="20"/>
                <w:szCs w:val="20"/>
              </w:rPr>
              <w:t>Progress/Result</w:t>
            </w:r>
          </w:p>
        </w:tc>
      </w:tr>
      <w:tr w:rsidR="00346789" w:rsidRPr="00712FD9" w14:paraId="042EC63C" w14:textId="77777777" w:rsidTr="00731600">
        <w:tc>
          <w:tcPr>
            <w:tcW w:w="3823" w:type="dxa"/>
            <w:tcBorders>
              <w:top w:val="single" w:sz="4" w:space="0" w:color="65C5B4"/>
              <w:left w:val="single" w:sz="4" w:space="0" w:color="65C5B4"/>
              <w:bottom w:val="single" w:sz="4" w:space="0" w:color="65C5B4"/>
              <w:right w:val="single" w:sz="4" w:space="0" w:color="65C5B4"/>
            </w:tcBorders>
          </w:tcPr>
          <w:p w14:paraId="40D038A9" w14:textId="2E230213" w:rsidR="00346789" w:rsidRPr="00712FD9" w:rsidRDefault="00346789" w:rsidP="007C37D6">
            <w:pPr>
              <w:spacing w:before="0" w:after="0"/>
              <w:rPr>
                <w:sz w:val="20"/>
                <w:szCs w:val="20"/>
              </w:rPr>
            </w:pPr>
            <w:r w:rsidRPr="00712FD9">
              <w:rPr>
                <w:sz w:val="20"/>
                <w:szCs w:val="20"/>
              </w:rPr>
              <w:t>Indonesia strengthen</w:t>
            </w:r>
            <w:r w:rsidR="004355BE" w:rsidRPr="00712FD9">
              <w:rPr>
                <w:sz w:val="20"/>
                <w:szCs w:val="20"/>
              </w:rPr>
              <w:t>s</w:t>
            </w:r>
            <w:r w:rsidRPr="00712FD9">
              <w:rPr>
                <w:sz w:val="20"/>
                <w:szCs w:val="20"/>
              </w:rPr>
              <w:t xml:space="preserve"> governance systems to mitigate the impact of COVID-19, including in social protection, education, and law and justice</w:t>
            </w:r>
          </w:p>
        </w:tc>
        <w:tc>
          <w:tcPr>
            <w:tcW w:w="6713" w:type="dxa"/>
            <w:tcBorders>
              <w:top w:val="single" w:sz="4" w:space="0" w:color="65C5B4"/>
              <w:left w:val="single" w:sz="4" w:space="0" w:color="65C5B4"/>
              <w:bottom w:val="single" w:sz="4" w:space="0" w:color="65C5B4"/>
              <w:right w:val="single" w:sz="4" w:space="0" w:color="65C5B4"/>
            </w:tcBorders>
          </w:tcPr>
          <w:p w14:paraId="0F1A6F5C" w14:textId="7BA3BCA4" w:rsidR="00346789" w:rsidRPr="00712FD9" w:rsidRDefault="00C3147A" w:rsidP="007C13C8">
            <w:pPr>
              <w:spacing w:before="0"/>
              <w:rPr>
                <w:rFonts w:cstheme="minorHAnsi"/>
                <w:sz w:val="20"/>
                <w:szCs w:val="20"/>
              </w:rPr>
            </w:pPr>
            <w:r w:rsidRPr="00712FD9">
              <w:rPr>
                <w:rFonts w:cstheme="minorHAnsi"/>
                <w:sz w:val="20"/>
                <w:szCs w:val="20"/>
              </w:rPr>
              <w:t xml:space="preserve">Contributed to enhancing </w:t>
            </w:r>
            <w:r w:rsidR="002A5889" w:rsidRPr="00712FD9">
              <w:rPr>
                <w:rFonts w:cstheme="minorHAnsi"/>
                <w:sz w:val="20"/>
                <w:szCs w:val="20"/>
              </w:rPr>
              <w:t xml:space="preserve">Indonesia’s governance systems through </w:t>
            </w:r>
            <w:r w:rsidRPr="00712FD9">
              <w:rPr>
                <w:rFonts w:cstheme="minorHAnsi"/>
                <w:sz w:val="20"/>
                <w:szCs w:val="20"/>
              </w:rPr>
              <w:t xml:space="preserve">a variety of approaches </w:t>
            </w:r>
            <w:r w:rsidR="002A5889" w:rsidRPr="00712FD9">
              <w:rPr>
                <w:rFonts w:cstheme="minorHAnsi"/>
                <w:sz w:val="20"/>
                <w:szCs w:val="20"/>
              </w:rPr>
              <w:t>including</w:t>
            </w:r>
            <w:r w:rsidRPr="00712FD9">
              <w:rPr>
                <w:rFonts w:cstheme="minorHAnsi"/>
                <w:sz w:val="20"/>
                <w:szCs w:val="20"/>
              </w:rPr>
              <w:t xml:space="preserve">: </w:t>
            </w:r>
            <w:r w:rsidR="002A5889" w:rsidRPr="00712FD9">
              <w:rPr>
                <w:rFonts w:cstheme="minorHAnsi"/>
                <w:sz w:val="20"/>
                <w:szCs w:val="20"/>
              </w:rPr>
              <w:t>development of a system to monitor the distribution of COVID-19 social assistance</w:t>
            </w:r>
            <w:r w:rsidRPr="00712FD9">
              <w:rPr>
                <w:rFonts w:cstheme="minorHAnsi"/>
                <w:sz w:val="20"/>
                <w:szCs w:val="20"/>
              </w:rPr>
              <w:t xml:space="preserve">; </w:t>
            </w:r>
            <w:r w:rsidR="002A5889" w:rsidRPr="00712FD9">
              <w:rPr>
                <w:rFonts w:cstheme="minorHAnsi"/>
                <w:sz w:val="20"/>
                <w:szCs w:val="20"/>
              </w:rPr>
              <w:t>training to civil society to monitor goods and services procurement using social safety funds</w:t>
            </w:r>
            <w:r w:rsidRPr="00712FD9">
              <w:rPr>
                <w:rFonts w:cstheme="minorHAnsi"/>
                <w:sz w:val="20"/>
                <w:szCs w:val="20"/>
              </w:rPr>
              <w:t xml:space="preserve">; </w:t>
            </w:r>
            <w:r w:rsidR="002A5889" w:rsidRPr="00712FD9">
              <w:rPr>
                <w:rFonts w:cstheme="minorHAnsi"/>
                <w:sz w:val="20"/>
                <w:szCs w:val="20"/>
              </w:rPr>
              <w:t>mitigating student learning loss due to COVID-19</w:t>
            </w:r>
            <w:r w:rsidRPr="00712FD9">
              <w:rPr>
                <w:rFonts w:cstheme="minorHAnsi"/>
                <w:sz w:val="20"/>
                <w:szCs w:val="20"/>
              </w:rPr>
              <w:t xml:space="preserve">; </w:t>
            </w:r>
            <w:r w:rsidR="002A5889" w:rsidRPr="00712FD9">
              <w:rPr>
                <w:rFonts w:cstheme="minorHAnsi"/>
                <w:sz w:val="20"/>
                <w:szCs w:val="20"/>
              </w:rPr>
              <w:t>provide technical support to Indonesia’s courts and prosecutors to adapt to COVID-19 conditions and continue hearings online</w:t>
            </w:r>
            <w:r w:rsidRPr="00712FD9">
              <w:rPr>
                <w:rFonts w:cstheme="minorHAnsi"/>
                <w:sz w:val="20"/>
                <w:szCs w:val="20"/>
              </w:rPr>
              <w:t xml:space="preserve">; </w:t>
            </w:r>
            <w:r w:rsidR="002A5889" w:rsidRPr="00712FD9">
              <w:rPr>
                <w:rFonts w:cstheme="minorHAnsi"/>
                <w:sz w:val="20"/>
                <w:szCs w:val="20"/>
              </w:rPr>
              <w:t xml:space="preserve">and implementing </w:t>
            </w:r>
            <w:r w:rsidRPr="00712FD9">
              <w:rPr>
                <w:rFonts w:cstheme="minorHAnsi"/>
                <w:sz w:val="20"/>
                <w:szCs w:val="20"/>
              </w:rPr>
              <w:br/>
            </w:r>
            <w:r w:rsidR="002A5889" w:rsidRPr="00712FD9">
              <w:rPr>
                <w:rFonts w:cstheme="minorHAnsi"/>
                <w:sz w:val="20"/>
                <w:szCs w:val="20"/>
              </w:rPr>
              <w:t>e-filing and e-litigation to support court efficiency and transparency and ensure access to justice services through the courts during the pandemic.</w:t>
            </w:r>
          </w:p>
        </w:tc>
      </w:tr>
      <w:tr w:rsidR="00A41E88" w:rsidRPr="00712FD9" w14:paraId="2568FF24" w14:textId="77777777" w:rsidTr="00731600">
        <w:tc>
          <w:tcPr>
            <w:tcW w:w="3823" w:type="dxa"/>
            <w:tcBorders>
              <w:top w:val="single" w:sz="4" w:space="0" w:color="65C5B4"/>
              <w:left w:val="single" w:sz="4" w:space="0" w:color="65C5B4"/>
              <w:bottom w:val="single" w:sz="4" w:space="0" w:color="65C5B4"/>
              <w:right w:val="single" w:sz="4" w:space="0" w:color="65C5B4"/>
            </w:tcBorders>
          </w:tcPr>
          <w:p w14:paraId="25F5945F" w14:textId="77777777" w:rsidR="00A41E88" w:rsidRPr="00712FD9" w:rsidRDefault="00A41E88" w:rsidP="007C37D6">
            <w:pPr>
              <w:spacing w:before="0" w:after="0"/>
              <w:rPr>
                <w:sz w:val="20"/>
                <w:szCs w:val="20"/>
              </w:rPr>
            </w:pPr>
            <w:r w:rsidRPr="00712FD9">
              <w:rPr>
                <w:sz w:val="20"/>
                <w:szCs w:val="20"/>
              </w:rPr>
              <w:t>Examples of significant policy change across COVID-19 response and recovery priorities</w:t>
            </w:r>
          </w:p>
        </w:tc>
        <w:tc>
          <w:tcPr>
            <w:tcW w:w="6713" w:type="dxa"/>
            <w:tcBorders>
              <w:top w:val="single" w:sz="4" w:space="0" w:color="65C5B4"/>
              <w:left w:val="single" w:sz="4" w:space="0" w:color="65C5B4"/>
              <w:bottom w:val="single" w:sz="4" w:space="0" w:color="65C5B4"/>
              <w:right w:val="single" w:sz="4" w:space="0" w:color="65C5B4"/>
            </w:tcBorders>
          </w:tcPr>
          <w:p w14:paraId="5949BA94" w14:textId="7EF3B6C1" w:rsidR="00A41E88" w:rsidRPr="00712FD9" w:rsidRDefault="00A41E88" w:rsidP="007C13C8">
            <w:pPr>
              <w:spacing w:before="0"/>
              <w:rPr>
                <w:rFonts w:cstheme="minorHAnsi"/>
                <w:sz w:val="20"/>
                <w:szCs w:val="20"/>
              </w:rPr>
            </w:pPr>
            <w:r w:rsidRPr="00712FD9">
              <w:rPr>
                <w:rFonts w:cstheme="minorHAnsi"/>
                <w:sz w:val="20"/>
                <w:szCs w:val="20"/>
              </w:rPr>
              <w:t xml:space="preserve">Five significant policy change case studies were reported this year: </w:t>
            </w:r>
          </w:p>
          <w:p w14:paraId="7C87B733" w14:textId="77777777" w:rsidR="00A41E88" w:rsidRPr="00712FD9" w:rsidRDefault="00A41E88" w:rsidP="007C13C8">
            <w:pPr>
              <w:pStyle w:val="ListParagraph"/>
              <w:numPr>
                <w:ilvl w:val="0"/>
                <w:numId w:val="39"/>
              </w:numPr>
              <w:ind w:left="370" w:hanging="370"/>
              <w:rPr>
                <w:rStyle w:val="normaltextrun"/>
                <w:rFonts w:cstheme="minorHAnsi"/>
                <w:sz w:val="20"/>
                <w:szCs w:val="20"/>
              </w:rPr>
            </w:pPr>
            <w:r w:rsidRPr="00712FD9">
              <w:rPr>
                <w:rFonts w:cstheme="minorHAnsi"/>
                <w:sz w:val="20"/>
                <w:szCs w:val="20"/>
              </w:rPr>
              <w:t xml:space="preserve">Support to </w:t>
            </w:r>
            <w:r w:rsidRPr="00712FD9">
              <w:rPr>
                <w:rStyle w:val="normaltextrun"/>
                <w:rFonts w:cstheme="minorHAnsi"/>
                <w:sz w:val="20"/>
                <w:szCs w:val="20"/>
              </w:rPr>
              <w:t>Ministry of Home Affairs o</w:t>
            </w:r>
            <w:r w:rsidRPr="00712FD9">
              <w:rPr>
                <w:rStyle w:val="normaltextrun"/>
                <w:sz w:val="20"/>
                <w:szCs w:val="20"/>
              </w:rPr>
              <w:t xml:space="preserve">n COVID-19 Official </w:t>
            </w:r>
            <w:proofErr w:type="gramStart"/>
            <w:r w:rsidRPr="00712FD9">
              <w:rPr>
                <w:rStyle w:val="normaltextrun"/>
                <w:sz w:val="20"/>
                <w:szCs w:val="20"/>
              </w:rPr>
              <w:t>Guidance;</w:t>
            </w:r>
            <w:proofErr w:type="gramEnd"/>
            <w:r w:rsidRPr="00712FD9">
              <w:rPr>
                <w:rStyle w:val="normaltextrun"/>
                <w:sz w:val="20"/>
                <w:szCs w:val="20"/>
              </w:rPr>
              <w:t xml:space="preserve"> </w:t>
            </w:r>
          </w:p>
          <w:p w14:paraId="7D8C0DE5" w14:textId="77777777" w:rsidR="00A41E88" w:rsidRPr="00712FD9" w:rsidRDefault="00A41E88" w:rsidP="007C13C8">
            <w:pPr>
              <w:pStyle w:val="ListParagraph"/>
              <w:numPr>
                <w:ilvl w:val="0"/>
                <w:numId w:val="39"/>
              </w:numPr>
              <w:ind w:left="370" w:hanging="370"/>
              <w:rPr>
                <w:rFonts w:cstheme="minorHAnsi"/>
                <w:sz w:val="20"/>
                <w:szCs w:val="20"/>
              </w:rPr>
            </w:pPr>
            <w:r w:rsidRPr="00712FD9">
              <w:rPr>
                <w:rFonts w:cstheme="minorHAnsi"/>
                <w:sz w:val="20"/>
                <w:szCs w:val="20"/>
              </w:rPr>
              <w:t xml:space="preserve">Strengthening Government of Indonesia’s governance systems to reduce the risk of COVID-19 in </w:t>
            </w:r>
            <w:proofErr w:type="gramStart"/>
            <w:r w:rsidRPr="00712FD9">
              <w:rPr>
                <w:rFonts w:cstheme="minorHAnsi"/>
                <w:sz w:val="20"/>
                <w:szCs w:val="20"/>
              </w:rPr>
              <w:t>Prisons;</w:t>
            </w:r>
            <w:proofErr w:type="gramEnd"/>
            <w:r w:rsidRPr="00712FD9">
              <w:rPr>
                <w:rFonts w:cstheme="minorHAnsi"/>
                <w:sz w:val="20"/>
                <w:szCs w:val="20"/>
              </w:rPr>
              <w:t xml:space="preserve"> </w:t>
            </w:r>
          </w:p>
          <w:p w14:paraId="00FDF977" w14:textId="77777777" w:rsidR="00A41E88" w:rsidRPr="00712FD9" w:rsidRDefault="00A41E88" w:rsidP="007C13C8">
            <w:pPr>
              <w:pStyle w:val="ListParagraph"/>
              <w:numPr>
                <w:ilvl w:val="0"/>
                <w:numId w:val="39"/>
              </w:numPr>
              <w:ind w:left="370" w:hanging="370"/>
              <w:rPr>
                <w:rFonts w:cstheme="minorHAnsi"/>
                <w:sz w:val="20"/>
                <w:szCs w:val="20"/>
              </w:rPr>
            </w:pPr>
            <w:r w:rsidRPr="00712FD9">
              <w:rPr>
                <w:rFonts w:cstheme="minorHAnsi"/>
                <w:sz w:val="20"/>
                <w:szCs w:val="20"/>
              </w:rPr>
              <w:t xml:space="preserve">Support to Omnibus Law on Job </w:t>
            </w:r>
            <w:proofErr w:type="gramStart"/>
            <w:r w:rsidRPr="00712FD9">
              <w:rPr>
                <w:rFonts w:cstheme="minorHAnsi"/>
                <w:sz w:val="20"/>
                <w:szCs w:val="20"/>
              </w:rPr>
              <w:t>Creation;</w:t>
            </w:r>
            <w:proofErr w:type="gramEnd"/>
            <w:r w:rsidRPr="00712FD9">
              <w:rPr>
                <w:rFonts w:cstheme="minorHAnsi"/>
                <w:sz w:val="20"/>
                <w:szCs w:val="20"/>
              </w:rPr>
              <w:t xml:space="preserve"> </w:t>
            </w:r>
          </w:p>
          <w:p w14:paraId="05310B88" w14:textId="77777777" w:rsidR="000438A0" w:rsidRPr="00712FD9" w:rsidRDefault="000438A0" w:rsidP="007C13C8">
            <w:pPr>
              <w:pStyle w:val="ListParagraph"/>
              <w:numPr>
                <w:ilvl w:val="0"/>
                <w:numId w:val="39"/>
              </w:numPr>
              <w:ind w:left="370" w:hanging="370"/>
              <w:rPr>
                <w:rFonts w:cstheme="minorHAnsi"/>
                <w:sz w:val="20"/>
                <w:szCs w:val="20"/>
              </w:rPr>
            </w:pPr>
            <w:r w:rsidRPr="00712FD9">
              <w:rPr>
                <w:rFonts w:cstheme="minorHAnsi"/>
                <w:sz w:val="20"/>
                <w:szCs w:val="20"/>
              </w:rPr>
              <w:t xml:space="preserve">Support to the Ministry of </w:t>
            </w:r>
            <w:proofErr w:type="gramStart"/>
            <w:r w:rsidRPr="00712FD9">
              <w:rPr>
                <w:rFonts w:cstheme="minorHAnsi"/>
                <w:sz w:val="20"/>
                <w:szCs w:val="20"/>
              </w:rPr>
              <w:t>Health on health</w:t>
            </w:r>
            <w:proofErr w:type="gramEnd"/>
            <w:r w:rsidRPr="00712FD9">
              <w:rPr>
                <w:rFonts w:cstheme="minorHAnsi"/>
                <w:sz w:val="20"/>
                <w:szCs w:val="20"/>
              </w:rPr>
              <w:t xml:space="preserve"> sector costing mechanisms; and</w:t>
            </w:r>
          </w:p>
          <w:p w14:paraId="0B2BABC3" w14:textId="7758C6F8" w:rsidR="00A41E88" w:rsidRPr="00712FD9" w:rsidDel="0069151D" w:rsidRDefault="000438A0" w:rsidP="007C13C8">
            <w:pPr>
              <w:pStyle w:val="ListParagraph"/>
              <w:numPr>
                <w:ilvl w:val="0"/>
                <w:numId w:val="39"/>
              </w:numPr>
              <w:ind w:left="370" w:hanging="370"/>
              <w:rPr>
                <w:rFonts w:cstheme="minorHAnsi"/>
                <w:sz w:val="20"/>
                <w:szCs w:val="20"/>
              </w:rPr>
            </w:pPr>
            <w:r w:rsidRPr="00712FD9">
              <w:rPr>
                <w:rFonts w:cstheme="minorHAnsi"/>
                <w:sz w:val="20"/>
                <w:szCs w:val="20"/>
              </w:rPr>
              <w:t>Support to Ministry of Education, Culture, Research and Technology on online learning media and resources, and curriculum implementation.</w:t>
            </w:r>
          </w:p>
        </w:tc>
      </w:tr>
      <w:tr w:rsidR="00346789" w:rsidRPr="00712FD9" w14:paraId="76A090EF" w14:textId="77777777" w:rsidTr="00731600">
        <w:tc>
          <w:tcPr>
            <w:tcW w:w="3823" w:type="dxa"/>
            <w:tcBorders>
              <w:top w:val="single" w:sz="4" w:space="0" w:color="65C5B4"/>
              <w:left w:val="single" w:sz="4" w:space="0" w:color="65C5B4"/>
              <w:bottom w:val="single" w:sz="4" w:space="0" w:color="65C5B4"/>
              <w:right w:val="single" w:sz="4" w:space="0" w:color="65C5B4"/>
            </w:tcBorders>
          </w:tcPr>
          <w:p w14:paraId="1177ACEA" w14:textId="77777777" w:rsidR="00346789" w:rsidRPr="00712FD9" w:rsidRDefault="00346789" w:rsidP="007C37D6">
            <w:pPr>
              <w:spacing w:before="0" w:after="0"/>
              <w:rPr>
                <w:sz w:val="20"/>
                <w:szCs w:val="20"/>
              </w:rPr>
            </w:pPr>
            <w:r w:rsidRPr="00712FD9">
              <w:rPr>
                <w:sz w:val="20"/>
                <w:szCs w:val="20"/>
              </w:rPr>
              <w:t>Examples of Indonesia improving evidence generation and knowledge-to-policy process</w:t>
            </w:r>
          </w:p>
        </w:tc>
        <w:tc>
          <w:tcPr>
            <w:tcW w:w="6713" w:type="dxa"/>
            <w:tcBorders>
              <w:top w:val="single" w:sz="4" w:space="0" w:color="65C5B4"/>
              <w:left w:val="single" w:sz="4" w:space="0" w:color="65C5B4"/>
              <w:bottom w:val="single" w:sz="4" w:space="0" w:color="65C5B4"/>
              <w:right w:val="single" w:sz="4" w:space="0" w:color="65C5B4"/>
            </w:tcBorders>
          </w:tcPr>
          <w:p w14:paraId="37313A91" w14:textId="70544CE3" w:rsidR="00346789" w:rsidRPr="00712FD9" w:rsidRDefault="00C3147A" w:rsidP="007C13C8">
            <w:pPr>
              <w:suppressAutoHyphens w:val="0"/>
              <w:spacing w:before="0" w:after="0" w:line="240" w:lineRule="auto"/>
              <w:rPr>
                <w:rFonts w:ascii="Times New Roman" w:hAnsi="Times New Roman" w:cs="Times New Roman"/>
                <w:color w:val="auto"/>
                <w:sz w:val="20"/>
                <w:szCs w:val="20"/>
                <w:lang w:val="en-AU" w:eastAsia="en-AU"/>
              </w:rPr>
            </w:pPr>
            <w:r w:rsidRPr="00712FD9">
              <w:rPr>
                <w:rFonts w:cstheme="minorHAnsi"/>
                <w:sz w:val="20"/>
                <w:szCs w:val="20"/>
              </w:rPr>
              <w:t>I</w:t>
            </w:r>
            <w:r w:rsidR="004355BE" w:rsidRPr="00712FD9">
              <w:rPr>
                <w:rFonts w:cstheme="minorHAnsi"/>
                <w:sz w:val="20"/>
                <w:szCs w:val="20"/>
              </w:rPr>
              <w:t>nitiated research into the impact of the pandemic on people with disabilities as well as women and family dynamics. The research supported the Government of Indonesia’s decision to develop a comprehensive database of people with disabilities. Also supported studies regarding key bottlenecks within Indonesia’s disaster management eco-system that are impacting resilience at the local level.</w:t>
            </w:r>
            <w:r w:rsidR="004355BE" w:rsidRPr="00712FD9">
              <w:rPr>
                <w:rFonts w:ascii="Times New Roman" w:hAnsi="Times New Roman" w:cs="Times New Roman"/>
                <w:color w:val="auto"/>
                <w:sz w:val="20"/>
                <w:szCs w:val="20"/>
                <w:lang w:val="en-AU" w:eastAsia="en-AU"/>
              </w:rPr>
              <w:t xml:space="preserve"> </w:t>
            </w:r>
          </w:p>
        </w:tc>
      </w:tr>
      <w:tr w:rsidR="00346789" w:rsidRPr="00712FD9" w14:paraId="625F2185" w14:textId="77777777" w:rsidTr="00731600">
        <w:tc>
          <w:tcPr>
            <w:tcW w:w="3823" w:type="dxa"/>
            <w:tcBorders>
              <w:top w:val="single" w:sz="4" w:space="0" w:color="65C5B4"/>
              <w:left w:val="single" w:sz="4" w:space="0" w:color="65C5B4"/>
              <w:bottom w:val="single" w:sz="4" w:space="0" w:color="65C5B4"/>
              <w:right w:val="single" w:sz="4" w:space="0" w:color="65C5B4"/>
            </w:tcBorders>
          </w:tcPr>
          <w:p w14:paraId="08E50CE0" w14:textId="77777777" w:rsidR="00346789" w:rsidRPr="00712FD9" w:rsidRDefault="00346789" w:rsidP="007C37D6">
            <w:pPr>
              <w:spacing w:before="0" w:after="0"/>
              <w:rPr>
                <w:sz w:val="20"/>
                <w:szCs w:val="20"/>
              </w:rPr>
            </w:pPr>
            <w:r w:rsidRPr="00712FD9">
              <w:rPr>
                <w:sz w:val="20"/>
                <w:szCs w:val="20"/>
              </w:rPr>
              <w:t>Evidence of policy advice and support for agricultural productivity and market access for food security</w:t>
            </w:r>
          </w:p>
        </w:tc>
        <w:tc>
          <w:tcPr>
            <w:tcW w:w="6713" w:type="dxa"/>
            <w:tcBorders>
              <w:top w:val="single" w:sz="4" w:space="0" w:color="65C5B4"/>
              <w:left w:val="single" w:sz="4" w:space="0" w:color="65C5B4"/>
              <w:bottom w:val="single" w:sz="4" w:space="0" w:color="65C5B4"/>
              <w:right w:val="single" w:sz="4" w:space="0" w:color="65C5B4"/>
            </w:tcBorders>
          </w:tcPr>
          <w:p w14:paraId="562B9E27" w14:textId="6AD96A19" w:rsidR="00346789" w:rsidRPr="00712FD9" w:rsidRDefault="00C3147A" w:rsidP="007C13C8">
            <w:pPr>
              <w:spacing w:before="0"/>
              <w:rPr>
                <w:rFonts w:cstheme="minorHAnsi"/>
                <w:sz w:val="20"/>
                <w:szCs w:val="20"/>
                <w:lang w:val="en-ID"/>
              </w:rPr>
            </w:pPr>
            <w:r w:rsidRPr="00712FD9">
              <w:rPr>
                <w:rFonts w:cstheme="minorHAnsi"/>
                <w:sz w:val="20"/>
                <w:szCs w:val="20"/>
              </w:rPr>
              <w:t>S</w:t>
            </w:r>
            <w:r w:rsidR="00346789" w:rsidRPr="00712FD9">
              <w:rPr>
                <w:rFonts w:cstheme="minorHAnsi"/>
                <w:sz w:val="20"/>
                <w:szCs w:val="20"/>
              </w:rPr>
              <w:t xml:space="preserve">upported Indonesia’s 2020 and 2021 agricultural budget review and provided program improvement recommendations to the Ministry of Finance. Support was also provided to East Nusa Tenggara Provincial Government to make substantive changes to its regulatory framework and practice to encourage greater private investment in </w:t>
            </w:r>
            <w:r w:rsidR="00346789" w:rsidRPr="00712FD9">
              <w:rPr>
                <w:rFonts w:cstheme="minorHAnsi"/>
                <w:sz w:val="20"/>
                <w:szCs w:val="20"/>
                <w:lang w:val="en-ID"/>
              </w:rPr>
              <w:t xml:space="preserve">the province. </w:t>
            </w:r>
          </w:p>
        </w:tc>
      </w:tr>
      <w:tr w:rsidR="00346789" w:rsidRPr="00712FD9" w14:paraId="114C0D65" w14:textId="77777777" w:rsidTr="00731600">
        <w:tc>
          <w:tcPr>
            <w:tcW w:w="3823" w:type="dxa"/>
            <w:tcBorders>
              <w:top w:val="single" w:sz="4" w:space="0" w:color="65C5B4"/>
              <w:left w:val="single" w:sz="4" w:space="0" w:color="65C5B4"/>
              <w:bottom w:val="single" w:sz="4" w:space="0" w:color="65C5B4"/>
              <w:right w:val="single" w:sz="4" w:space="0" w:color="65C5B4"/>
            </w:tcBorders>
          </w:tcPr>
          <w:p w14:paraId="7695E5F9" w14:textId="77777777" w:rsidR="00346789" w:rsidRPr="00712FD9" w:rsidRDefault="00346789" w:rsidP="007C37D6">
            <w:pPr>
              <w:spacing w:before="0" w:after="0"/>
              <w:rPr>
                <w:sz w:val="20"/>
                <w:szCs w:val="20"/>
              </w:rPr>
            </w:pPr>
            <w:bookmarkStart w:id="7" w:name="_Hlk84500045"/>
            <w:r w:rsidRPr="00712FD9">
              <w:rPr>
                <w:sz w:val="20"/>
                <w:szCs w:val="20"/>
              </w:rPr>
              <w:t>270,000 smallholder farming households increase their incomes by 30 per cent (120,000 in 2020-21)</w:t>
            </w:r>
          </w:p>
        </w:tc>
        <w:tc>
          <w:tcPr>
            <w:tcW w:w="6713" w:type="dxa"/>
            <w:tcBorders>
              <w:top w:val="single" w:sz="4" w:space="0" w:color="65C5B4"/>
              <w:left w:val="single" w:sz="4" w:space="0" w:color="65C5B4"/>
              <w:bottom w:val="single" w:sz="4" w:space="0" w:color="65C5B4"/>
              <w:right w:val="single" w:sz="4" w:space="0" w:color="65C5B4"/>
            </w:tcBorders>
          </w:tcPr>
          <w:p w14:paraId="6FA4688E" w14:textId="5C7F4013" w:rsidR="00346789" w:rsidRPr="00712FD9" w:rsidRDefault="004355BE" w:rsidP="007C13C8">
            <w:pPr>
              <w:suppressAutoHyphens w:val="0"/>
              <w:spacing w:before="0" w:after="0" w:line="240" w:lineRule="auto"/>
              <w:rPr>
                <w:rFonts w:ascii="Times New Roman" w:hAnsi="Times New Roman" w:cs="Times New Roman"/>
                <w:color w:val="auto"/>
                <w:sz w:val="20"/>
                <w:szCs w:val="20"/>
                <w:lang w:val="en-AU" w:eastAsia="en-AU"/>
              </w:rPr>
            </w:pPr>
            <w:r w:rsidRPr="00712FD9">
              <w:rPr>
                <w:rFonts w:cstheme="minorHAnsi"/>
                <w:sz w:val="20"/>
                <w:szCs w:val="20"/>
              </w:rPr>
              <w:t xml:space="preserve">An estimated 62,824 smallholder farming households </w:t>
            </w:r>
            <w:r w:rsidR="00974B6D" w:rsidRPr="00712FD9">
              <w:rPr>
                <w:rFonts w:cstheme="minorHAnsi"/>
                <w:sz w:val="20"/>
                <w:szCs w:val="20"/>
              </w:rPr>
              <w:t xml:space="preserve">(56 per cent </w:t>
            </w:r>
            <w:r w:rsidR="00D43DEE">
              <w:rPr>
                <w:rFonts w:cstheme="minorHAnsi"/>
                <w:sz w:val="20"/>
                <w:szCs w:val="20"/>
              </w:rPr>
              <w:t>men</w:t>
            </w:r>
            <w:r w:rsidR="00974B6D" w:rsidRPr="00712FD9">
              <w:rPr>
                <w:rFonts w:cstheme="minorHAnsi"/>
                <w:sz w:val="20"/>
                <w:szCs w:val="20"/>
              </w:rPr>
              <w:t xml:space="preserve"> and </w:t>
            </w:r>
            <w:r w:rsidR="00D76355">
              <w:rPr>
                <w:rFonts w:cstheme="minorHAnsi"/>
                <w:sz w:val="20"/>
                <w:szCs w:val="20"/>
              </w:rPr>
              <w:br/>
            </w:r>
            <w:r w:rsidR="00974B6D" w:rsidRPr="00712FD9">
              <w:rPr>
                <w:rFonts w:cstheme="minorHAnsi"/>
                <w:sz w:val="20"/>
                <w:szCs w:val="20"/>
              </w:rPr>
              <w:t xml:space="preserve">44 per cent </w:t>
            </w:r>
            <w:r w:rsidR="00D43DEE">
              <w:rPr>
                <w:rFonts w:cstheme="minorHAnsi"/>
                <w:sz w:val="20"/>
                <w:szCs w:val="20"/>
              </w:rPr>
              <w:t>women</w:t>
            </w:r>
            <w:r w:rsidR="00974B6D" w:rsidRPr="00712FD9">
              <w:rPr>
                <w:rFonts w:cstheme="minorHAnsi"/>
                <w:sz w:val="20"/>
                <w:szCs w:val="20"/>
              </w:rPr>
              <w:t xml:space="preserve">) </w:t>
            </w:r>
            <w:r w:rsidRPr="00712FD9">
              <w:rPr>
                <w:rFonts w:cstheme="minorHAnsi"/>
                <w:sz w:val="20"/>
                <w:szCs w:val="20"/>
              </w:rPr>
              <w:t>experienced an average of 18.36</w:t>
            </w:r>
            <w:r w:rsidR="00F05DEA" w:rsidRPr="00712FD9">
              <w:rPr>
                <w:rFonts w:cstheme="minorHAnsi"/>
                <w:sz w:val="20"/>
                <w:szCs w:val="20"/>
              </w:rPr>
              <w:t xml:space="preserve"> </w:t>
            </w:r>
            <w:r w:rsidR="0091566F" w:rsidRPr="00712FD9">
              <w:rPr>
                <w:rFonts w:cstheme="minorHAnsi"/>
                <w:sz w:val="20"/>
                <w:szCs w:val="20"/>
              </w:rPr>
              <w:t>per cent</w:t>
            </w:r>
            <w:r w:rsidR="00F05DEA" w:rsidRPr="00712FD9">
              <w:rPr>
                <w:rFonts w:cstheme="minorHAnsi"/>
                <w:sz w:val="20"/>
                <w:szCs w:val="20"/>
              </w:rPr>
              <w:t xml:space="preserve"> </w:t>
            </w:r>
            <w:r w:rsidRPr="00712FD9">
              <w:rPr>
                <w:rFonts w:cstheme="minorHAnsi"/>
                <w:sz w:val="20"/>
                <w:szCs w:val="20"/>
              </w:rPr>
              <w:t>net attributable income change in 2020-21. However, theCOVID-19 pandemic delayed field impact assessments, which hampered efforts to track progress toward the target. Additionally, the economic impacts of the pandemic constricted potential new partnerships with private investors, which affected the number of farmers that could be reached.</w:t>
            </w:r>
            <w:r w:rsidRPr="00712FD9">
              <w:rPr>
                <w:rFonts w:ascii="Times New Roman" w:hAnsi="Times New Roman" w:cs="Times New Roman"/>
                <w:color w:val="auto"/>
                <w:sz w:val="20"/>
                <w:szCs w:val="20"/>
                <w:lang w:val="en-AU" w:eastAsia="en-AU"/>
              </w:rPr>
              <w:t xml:space="preserve"> </w:t>
            </w:r>
          </w:p>
        </w:tc>
      </w:tr>
      <w:bookmarkEnd w:id="7"/>
      <w:tr w:rsidR="00346789" w:rsidRPr="00712FD9" w14:paraId="1939BDF3" w14:textId="77777777" w:rsidTr="00731600">
        <w:tc>
          <w:tcPr>
            <w:tcW w:w="3823" w:type="dxa"/>
            <w:tcBorders>
              <w:top w:val="single" w:sz="4" w:space="0" w:color="65C5B4"/>
              <w:left w:val="single" w:sz="4" w:space="0" w:color="65C5B4"/>
              <w:bottom w:val="single" w:sz="4" w:space="0" w:color="A6A6A6" w:themeColor="background1" w:themeShade="A6"/>
              <w:right w:val="single" w:sz="4" w:space="0" w:color="65C5B4"/>
            </w:tcBorders>
          </w:tcPr>
          <w:p w14:paraId="2DAA8E45" w14:textId="4596C6E9" w:rsidR="00346789" w:rsidRPr="00712FD9" w:rsidRDefault="00346789" w:rsidP="007C37D6">
            <w:pPr>
              <w:spacing w:before="0" w:after="0"/>
              <w:rPr>
                <w:sz w:val="20"/>
                <w:szCs w:val="20"/>
              </w:rPr>
            </w:pPr>
            <w:r w:rsidRPr="00712FD9">
              <w:rPr>
                <w:sz w:val="20"/>
                <w:szCs w:val="20"/>
              </w:rPr>
              <w:t>55</w:t>
            </w:r>
            <w:r w:rsidR="00C3147A" w:rsidRPr="00712FD9">
              <w:rPr>
                <w:sz w:val="20"/>
                <w:szCs w:val="20"/>
              </w:rPr>
              <w:t xml:space="preserve"> per cent</w:t>
            </w:r>
            <w:r w:rsidRPr="00712FD9">
              <w:rPr>
                <w:sz w:val="20"/>
                <w:szCs w:val="20"/>
              </w:rPr>
              <w:t xml:space="preserve"> of the Indonesian population reached with new or improved social protection programs</w:t>
            </w:r>
          </w:p>
        </w:tc>
        <w:tc>
          <w:tcPr>
            <w:tcW w:w="6713" w:type="dxa"/>
            <w:tcBorders>
              <w:top w:val="single" w:sz="4" w:space="0" w:color="65C5B4"/>
              <w:left w:val="single" w:sz="4" w:space="0" w:color="65C5B4"/>
              <w:bottom w:val="single" w:sz="4" w:space="0" w:color="A6A6A6" w:themeColor="background1" w:themeShade="A6"/>
              <w:right w:val="single" w:sz="4" w:space="0" w:color="65C5B4"/>
            </w:tcBorders>
          </w:tcPr>
          <w:p w14:paraId="0320B7D9" w14:textId="562A4C4C" w:rsidR="00346789" w:rsidRPr="00712FD9" w:rsidRDefault="00346789" w:rsidP="007C13C8">
            <w:pPr>
              <w:spacing w:before="0"/>
              <w:rPr>
                <w:sz w:val="20"/>
                <w:szCs w:val="20"/>
              </w:rPr>
            </w:pPr>
            <w:r w:rsidRPr="00712FD9">
              <w:rPr>
                <w:rFonts w:cstheme="majorHAnsi"/>
                <w:sz w:val="20"/>
                <w:szCs w:val="20"/>
              </w:rPr>
              <w:t>54.6</w:t>
            </w:r>
            <w:r w:rsidR="00B64049" w:rsidRPr="00712FD9">
              <w:rPr>
                <w:rFonts w:cstheme="majorHAnsi"/>
                <w:sz w:val="20"/>
                <w:szCs w:val="20"/>
              </w:rPr>
              <w:t xml:space="preserve"> per cent</w:t>
            </w:r>
            <w:r w:rsidRPr="00712FD9">
              <w:rPr>
                <w:rFonts w:cstheme="majorHAnsi"/>
                <w:sz w:val="20"/>
                <w:szCs w:val="20"/>
              </w:rPr>
              <w:t xml:space="preserve"> of the population or 147.5 million people</w:t>
            </w:r>
            <w:r w:rsidR="00C3147A" w:rsidRPr="00712FD9">
              <w:rPr>
                <w:rFonts w:cstheme="majorHAnsi"/>
                <w:sz w:val="20"/>
                <w:szCs w:val="20"/>
              </w:rPr>
              <w:t xml:space="preserve">, </w:t>
            </w:r>
            <w:r w:rsidRPr="00712FD9">
              <w:rPr>
                <w:rFonts w:cstheme="majorHAnsi"/>
                <w:sz w:val="20"/>
                <w:szCs w:val="20"/>
              </w:rPr>
              <w:t xml:space="preserve">including </w:t>
            </w:r>
            <w:r w:rsidR="004355BE" w:rsidRPr="00712FD9">
              <w:rPr>
                <w:rFonts w:cstheme="majorHAnsi"/>
                <w:sz w:val="20"/>
                <w:szCs w:val="20"/>
              </w:rPr>
              <w:t xml:space="preserve">at least </w:t>
            </w:r>
            <w:r w:rsidRPr="00712FD9">
              <w:rPr>
                <w:rFonts w:cstheme="majorHAnsi"/>
                <w:sz w:val="20"/>
                <w:szCs w:val="20"/>
              </w:rPr>
              <w:t>215,155 people with disabilit</w:t>
            </w:r>
            <w:r w:rsidR="006D1402">
              <w:rPr>
                <w:rFonts w:cstheme="majorHAnsi"/>
                <w:sz w:val="20"/>
                <w:szCs w:val="20"/>
              </w:rPr>
              <w:t>ies</w:t>
            </w:r>
            <w:r w:rsidR="00C3147A" w:rsidRPr="00712FD9">
              <w:rPr>
                <w:rFonts w:cstheme="majorHAnsi"/>
                <w:sz w:val="20"/>
                <w:szCs w:val="20"/>
              </w:rPr>
              <w:t xml:space="preserve">, </w:t>
            </w:r>
            <w:r w:rsidRPr="00712FD9">
              <w:rPr>
                <w:rFonts w:cstheme="majorHAnsi"/>
                <w:sz w:val="20"/>
                <w:szCs w:val="20"/>
              </w:rPr>
              <w:t>had access to one or more social protection programs including provision of basic food, electricity subsidy and direct cash transfer. More than 2 million people had access to skill</w:t>
            </w:r>
            <w:r w:rsidR="004355BE" w:rsidRPr="00712FD9">
              <w:rPr>
                <w:rFonts w:cstheme="majorHAnsi"/>
                <w:sz w:val="20"/>
                <w:szCs w:val="20"/>
              </w:rPr>
              <w:t>s</w:t>
            </w:r>
            <w:r w:rsidRPr="00712FD9">
              <w:rPr>
                <w:rFonts w:cstheme="majorHAnsi"/>
                <w:sz w:val="20"/>
                <w:szCs w:val="20"/>
              </w:rPr>
              <w:t xml:space="preserve">-training opportunities using vouchers for one-off training and financial assistance. </w:t>
            </w:r>
          </w:p>
        </w:tc>
      </w:tr>
    </w:tbl>
    <w:p w14:paraId="524551C2" w14:textId="77777777" w:rsidR="00667A5C" w:rsidRDefault="00667A5C">
      <w: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Hezalth Security, Stability and Economic Recovery"/>
      </w:tblPr>
      <w:tblGrid>
        <w:gridCol w:w="3823"/>
        <w:gridCol w:w="6713"/>
      </w:tblGrid>
      <w:tr w:rsidR="00346789" w:rsidRPr="00712FD9" w14:paraId="3E47693C" w14:textId="77777777" w:rsidTr="00731600">
        <w:tc>
          <w:tcPr>
            <w:tcW w:w="3823" w:type="dxa"/>
            <w:tcBorders>
              <w:top w:val="single" w:sz="4" w:space="0" w:color="65C5B4"/>
              <w:left w:val="single" w:sz="4" w:space="0" w:color="65C5B4"/>
              <w:bottom w:val="single" w:sz="4" w:space="0" w:color="65C5B4"/>
              <w:right w:val="single" w:sz="4" w:space="0" w:color="65C5B4"/>
            </w:tcBorders>
          </w:tcPr>
          <w:p w14:paraId="5738DD02" w14:textId="58F536D4" w:rsidR="00346789" w:rsidRPr="00712FD9" w:rsidRDefault="00346789" w:rsidP="007C37D6">
            <w:pPr>
              <w:spacing w:before="0" w:after="0"/>
              <w:rPr>
                <w:sz w:val="20"/>
                <w:szCs w:val="20"/>
              </w:rPr>
            </w:pPr>
            <w:r w:rsidRPr="00712FD9">
              <w:rPr>
                <w:sz w:val="20"/>
                <w:szCs w:val="20"/>
              </w:rPr>
              <w:lastRenderedPageBreak/>
              <w:t xml:space="preserve">Evidence of women and </w:t>
            </w:r>
            <w:proofErr w:type="gramStart"/>
            <w:r w:rsidRPr="00712FD9">
              <w:rPr>
                <w:sz w:val="20"/>
                <w:szCs w:val="20"/>
              </w:rPr>
              <w:t>girls</w:t>
            </w:r>
            <w:proofErr w:type="gramEnd"/>
            <w:r w:rsidRPr="00712FD9">
              <w:rPr>
                <w:sz w:val="20"/>
                <w:szCs w:val="20"/>
              </w:rPr>
              <w:t xml:space="preserve"> survivors of violence receiving services </w:t>
            </w:r>
          </w:p>
        </w:tc>
        <w:tc>
          <w:tcPr>
            <w:tcW w:w="6713" w:type="dxa"/>
            <w:tcBorders>
              <w:top w:val="single" w:sz="4" w:space="0" w:color="65C5B4"/>
              <w:left w:val="single" w:sz="4" w:space="0" w:color="65C5B4"/>
              <w:bottom w:val="single" w:sz="4" w:space="0" w:color="65C5B4"/>
              <w:right w:val="single" w:sz="4" w:space="0" w:color="65C5B4"/>
            </w:tcBorders>
          </w:tcPr>
          <w:p w14:paraId="3B837C61" w14:textId="327C0261" w:rsidR="00346789" w:rsidRPr="00712FD9" w:rsidRDefault="00346789" w:rsidP="007C13C8">
            <w:pPr>
              <w:spacing w:before="0"/>
              <w:rPr>
                <w:sz w:val="20"/>
                <w:szCs w:val="20"/>
              </w:rPr>
            </w:pPr>
            <w:r w:rsidRPr="00712FD9">
              <w:rPr>
                <w:rFonts w:cstheme="majorHAnsi"/>
                <w:sz w:val="20"/>
                <w:szCs w:val="20"/>
              </w:rPr>
              <w:t xml:space="preserve">1,439 women survivors accessed services including trauma counselling, legal assistance, with referral delivered through local providers. </w:t>
            </w:r>
            <w:r w:rsidR="00C3147A" w:rsidRPr="00712FD9">
              <w:rPr>
                <w:rFonts w:cstheme="majorHAnsi"/>
                <w:sz w:val="20"/>
                <w:szCs w:val="20"/>
              </w:rPr>
              <w:t>Su</w:t>
            </w:r>
            <w:r w:rsidRPr="00712FD9">
              <w:rPr>
                <w:rFonts w:cstheme="majorHAnsi"/>
                <w:sz w:val="20"/>
                <w:szCs w:val="20"/>
              </w:rPr>
              <w:t>pported the service providers to progress replication of the integrated criminal justice system for handling cases of violence against women across Indonesia and to strengthen the database management to align with the database of Ministry of Women’s Empowerment and Child Protection.</w:t>
            </w:r>
            <w:r w:rsidRPr="00712FD9">
              <w:rPr>
                <w:sz w:val="20"/>
                <w:szCs w:val="20"/>
              </w:rPr>
              <w:t xml:space="preserve"> </w:t>
            </w:r>
            <w:r w:rsidR="004355BE" w:rsidRPr="00712FD9">
              <w:rPr>
                <w:sz w:val="20"/>
                <w:szCs w:val="20"/>
              </w:rPr>
              <w:t>However, t</w:t>
            </w:r>
            <w:r w:rsidRPr="00712FD9">
              <w:rPr>
                <w:sz w:val="20"/>
                <w:szCs w:val="20"/>
              </w:rPr>
              <w:t>he replication led by the ministry had slower progress than expected</w:t>
            </w:r>
            <w:r w:rsidR="0091566F" w:rsidRPr="00712FD9">
              <w:rPr>
                <w:sz w:val="20"/>
                <w:szCs w:val="20"/>
              </w:rPr>
              <w:t xml:space="preserve">. </w:t>
            </w:r>
          </w:p>
        </w:tc>
      </w:tr>
      <w:tr w:rsidR="00346789" w:rsidRPr="00712FD9" w14:paraId="5895972C" w14:textId="77777777" w:rsidTr="00731600">
        <w:tc>
          <w:tcPr>
            <w:tcW w:w="3823" w:type="dxa"/>
            <w:tcBorders>
              <w:top w:val="single" w:sz="4" w:space="0" w:color="65C5B4"/>
              <w:left w:val="single" w:sz="4" w:space="0" w:color="65C5B4"/>
              <w:bottom w:val="single" w:sz="4" w:space="0" w:color="65C5B4"/>
              <w:right w:val="single" w:sz="4" w:space="0" w:color="65C5B4"/>
            </w:tcBorders>
          </w:tcPr>
          <w:p w14:paraId="549CEE06" w14:textId="77777777" w:rsidR="00346789" w:rsidRPr="00712FD9" w:rsidRDefault="00346789" w:rsidP="007C37D6">
            <w:pPr>
              <w:spacing w:before="0" w:after="0"/>
              <w:rPr>
                <w:sz w:val="20"/>
                <w:szCs w:val="20"/>
              </w:rPr>
            </w:pPr>
            <w:r w:rsidRPr="00712FD9">
              <w:rPr>
                <w:sz w:val="20"/>
                <w:szCs w:val="20"/>
              </w:rPr>
              <w:t>Evidence of women and other vulnerable group participating in the decision-making</w:t>
            </w:r>
          </w:p>
        </w:tc>
        <w:tc>
          <w:tcPr>
            <w:tcW w:w="6713" w:type="dxa"/>
            <w:tcBorders>
              <w:top w:val="single" w:sz="4" w:space="0" w:color="65C5B4"/>
              <w:left w:val="single" w:sz="4" w:space="0" w:color="65C5B4"/>
              <w:bottom w:val="single" w:sz="4" w:space="0" w:color="65C5B4"/>
              <w:right w:val="single" w:sz="4" w:space="0" w:color="65C5B4"/>
            </w:tcBorders>
          </w:tcPr>
          <w:p w14:paraId="2364441B" w14:textId="6A851BC2" w:rsidR="00346789" w:rsidRPr="00712FD9" w:rsidRDefault="00C3147A" w:rsidP="007C13C8">
            <w:pPr>
              <w:spacing w:before="0"/>
              <w:rPr>
                <w:sz w:val="20"/>
                <w:szCs w:val="20"/>
                <w:lang w:val="en-US"/>
              </w:rPr>
            </w:pPr>
            <w:r w:rsidRPr="00712FD9">
              <w:rPr>
                <w:sz w:val="20"/>
                <w:szCs w:val="20"/>
                <w:lang w:val="en-AU"/>
              </w:rPr>
              <w:t>S</w:t>
            </w:r>
            <w:r w:rsidR="00346789" w:rsidRPr="00712FD9">
              <w:rPr>
                <w:sz w:val="20"/>
                <w:szCs w:val="20"/>
                <w:lang w:val="en-AU"/>
              </w:rPr>
              <w:t>upported the participation of people with disabilities, including women with disabilities, in the refinement of the Student Learning Profile</w:t>
            </w:r>
            <w:r w:rsidR="00D76355">
              <w:rPr>
                <w:sz w:val="20"/>
                <w:szCs w:val="20"/>
                <w:lang w:val="en-AU"/>
              </w:rPr>
              <w:t xml:space="preserve"> (SLP)</w:t>
            </w:r>
            <w:r w:rsidR="00346789" w:rsidRPr="00712FD9">
              <w:rPr>
                <w:sz w:val="20"/>
                <w:szCs w:val="20"/>
                <w:lang w:val="en-AU"/>
              </w:rPr>
              <w:t xml:space="preserve"> instrument to identify student functional difficulties and additional support needs. Of 20 participants, </w:t>
            </w:r>
            <w:r w:rsidR="00B64049" w:rsidRPr="00712FD9">
              <w:rPr>
                <w:sz w:val="20"/>
                <w:szCs w:val="20"/>
                <w:lang w:val="en-AU"/>
              </w:rPr>
              <w:t xml:space="preserve">nine </w:t>
            </w:r>
            <w:r w:rsidR="00346789" w:rsidRPr="00712FD9">
              <w:rPr>
                <w:sz w:val="20"/>
                <w:szCs w:val="20"/>
                <w:lang w:val="en-AU"/>
              </w:rPr>
              <w:t xml:space="preserve">were women and </w:t>
            </w:r>
            <w:r w:rsidR="00B64049" w:rsidRPr="00712FD9">
              <w:rPr>
                <w:sz w:val="20"/>
                <w:szCs w:val="20"/>
                <w:lang w:val="en-AU"/>
              </w:rPr>
              <w:t xml:space="preserve">three </w:t>
            </w:r>
            <w:r w:rsidR="00346789" w:rsidRPr="00712FD9">
              <w:rPr>
                <w:sz w:val="20"/>
                <w:szCs w:val="20"/>
                <w:lang w:val="en-AU"/>
              </w:rPr>
              <w:t xml:space="preserve">were people with disabilities. In 2020, the Ministry of Education, Culture, Research and Technology adopted the </w:t>
            </w:r>
            <w:r w:rsidR="00D76355">
              <w:rPr>
                <w:sz w:val="20"/>
                <w:szCs w:val="20"/>
                <w:lang w:val="en-AU"/>
              </w:rPr>
              <w:t>SLP</w:t>
            </w:r>
            <w:r w:rsidR="00D76355" w:rsidRPr="00712FD9">
              <w:rPr>
                <w:sz w:val="20"/>
                <w:szCs w:val="20"/>
                <w:lang w:val="en-AU"/>
              </w:rPr>
              <w:t xml:space="preserve"> </w:t>
            </w:r>
            <w:r w:rsidR="00346789" w:rsidRPr="00712FD9">
              <w:rPr>
                <w:sz w:val="20"/>
                <w:szCs w:val="20"/>
                <w:lang w:val="en-AU"/>
              </w:rPr>
              <w:t xml:space="preserve">instrument and began to prepare its national rollout. </w:t>
            </w:r>
            <w:r w:rsidR="003B3E79" w:rsidRPr="00712FD9">
              <w:rPr>
                <w:sz w:val="20"/>
                <w:szCs w:val="20"/>
                <w:lang w:val="en-AU"/>
              </w:rPr>
              <w:t xml:space="preserve">Also supported civil society and women’s rights organisations to participate in developing policy advice on addressing the impact of COVID-19 on access to justice services. This helped to secure an increase in national funding to waive court fees for family law applications to meet an increased demand during the pandemic, including from vulnerable women and their families. </w:t>
            </w:r>
          </w:p>
        </w:tc>
      </w:tr>
      <w:tr w:rsidR="00346789" w:rsidRPr="00712FD9" w14:paraId="701E9526" w14:textId="77777777" w:rsidTr="00731600">
        <w:tc>
          <w:tcPr>
            <w:tcW w:w="3823" w:type="dxa"/>
            <w:tcBorders>
              <w:top w:val="single" w:sz="4" w:space="0" w:color="65C5B4"/>
              <w:left w:val="single" w:sz="4" w:space="0" w:color="65C5B4"/>
              <w:bottom w:val="single" w:sz="4" w:space="0" w:color="65C5B4"/>
              <w:right w:val="single" w:sz="4" w:space="0" w:color="65C5B4"/>
            </w:tcBorders>
          </w:tcPr>
          <w:p w14:paraId="7DD56B3E" w14:textId="77777777" w:rsidR="00346789" w:rsidRPr="00712FD9" w:rsidRDefault="00346789" w:rsidP="007C37D6">
            <w:pPr>
              <w:spacing w:before="0" w:after="0"/>
              <w:rPr>
                <w:sz w:val="20"/>
                <w:szCs w:val="20"/>
              </w:rPr>
            </w:pPr>
            <w:r w:rsidRPr="00712FD9">
              <w:rPr>
                <w:sz w:val="20"/>
                <w:szCs w:val="20"/>
              </w:rPr>
              <w:t xml:space="preserve">Improved civil society engagement in government </w:t>
            </w:r>
            <w:proofErr w:type="gramStart"/>
            <w:r w:rsidRPr="00712FD9">
              <w:rPr>
                <w:sz w:val="20"/>
                <w:szCs w:val="20"/>
              </w:rPr>
              <w:t>policy-making</w:t>
            </w:r>
            <w:proofErr w:type="gramEnd"/>
            <w:r w:rsidRPr="00712FD9">
              <w:rPr>
                <w:sz w:val="20"/>
                <w:szCs w:val="20"/>
              </w:rPr>
              <w:t xml:space="preserve"> and progress delivery </w:t>
            </w:r>
          </w:p>
        </w:tc>
        <w:tc>
          <w:tcPr>
            <w:tcW w:w="6713" w:type="dxa"/>
            <w:tcBorders>
              <w:top w:val="single" w:sz="4" w:space="0" w:color="65C5B4"/>
              <w:left w:val="single" w:sz="4" w:space="0" w:color="65C5B4"/>
              <w:bottom w:val="single" w:sz="4" w:space="0" w:color="65C5B4"/>
              <w:right w:val="single" w:sz="4" w:space="0" w:color="65C5B4"/>
            </w:tcBorders>
          </w:tcPr>
          <w:p w14:paraId="7F8017D0" w14:textId="36800540" w:rsidR="00346789" w:rsidRPr="00712FD9" w:rsidRDefault="00C3147A" w:rsidP="007C13C8">
            <w:pPr>
              <w:spacing w:before="0"/>
              <w:rPr>
                <w:sz w:val="20"/>
                <w:szCs w:val="20"/>
              </w:rPr>
            </w:pPr>
            <w:r w:rsidRPr="00712FD9">
              <w:rPr>
                <w:sz w:val="20"/>
                <w:szCs w:val="20"/>
              </w:rPr>
              <w:t>S</w:t>
            </w:r>
            <w:r w:rsidR="000438A0" w:rsidRPr="00712FD9">
              <w:rPr>
                <w:sz w:val="20"/>
                <w:szCs w:val="20"/>
              </w:rPr>
              <w:t xml:space="preserve">upported at least 13 civil society organisations (CSOs) in 14 districts to work with their local governments to strengthen policies, </w:t>
            </w:r>
            <w:proofErr w:type="gramStart"/>
            <w:r w:rsidR="000438A0" w:rsidRPr="00712FD9">
              <w:rPr>
                <w:sz w:val="20"/>
                <w:szCs w:val="20"/>
              </w:rPr>
              <w:t>response</w:t>
            </w:r>
            <w:proofErr w:type="gramEnd"/>
            <w:r w:rsidR="000438A0" w:rsidRPr="00712FD9">
              <w:rPr>
                <w:sz w:val="20"/>
                <w:szCs w:val="20"/>
              </w:rPr>
              <w:t xml:space="preserve"> and data collection around inclusion in COVID-19 government assistance. </w:t>
            </w:r>
            <w:r w:rsidRPr="00712FD9">
              <w:rPr>
                <w:sz w:val="20"/>
                <w:szCs w:val="20"/>
              </w:rPr>
              <w:t>S</w:t>
            </w:r>
            <w:r w:rsidR="003B3E79" w:rsidRPr="00712FD9">
              <w:rPr>
                <w:sz w:val="20"/>
                <w:szCs w:val="20"/>
              </w:rPr>
              <w:t xml:space="preserve">upported a CSO disability network to collaborate with Government to develop Indonesia’s first Disability Rights Indicators. These will be used as a national monitoring tool to assess disabled peoples’ rights, in response to evidence confirming the disproportionate impact of COVID-19 on people with disabilities. </w:t>
            </w:r>
            <w:r w:rsidR="000438A0" w:rsidRPr="00712FD9">
              <w:rPr>
                <w:sz w:val="20"/>
                <w:szCs w:val="20"/>
              </w:rPr>
              <w:t xml:space="preserve">Eight CSOs were also engaged in the distribution of personal protective equipment to health workers, public water sanitation and hygiene facilities. </w:t>
            </w:r>
          </w:p>
        </w:tc>
      </w:tr>
      <w:tr w:rsidR="00346789" w:rsidRPr="00712FD9" w14:paraId="0B206E20" w14:textId="77777777" w:rsidTr="00731600">
        <w:tc>
          <w:tcPr>
            <w:tcW w:w="3823" w:type="dxa"/>
            <w:tcBorders>
              <w:top w:val="single" w:sz="4" w:space="0" w:color="65C5B4"/>
              <w:left w:val="single" w:sz="4" w:space="0" w:color="65C5B4"/>
              <w:bottom w:val="single" w:sz="4" w:space="0" w:color="65C5B4"/>
              <w:right w:val="single" w:sz="4" w:space="0" w:color="65C5B4"/>
            </w:tcBorders>
          </w:tcPr>
          <w:p w14:paraId="604CC61E" w14:textId="77777777" w:rsidR="00346789" w:rsidRPr="00712FD9" w:rsidRDefault="00346789" w:rsidP="007C37D6">
            <w:pPr>
              <w:spacing w:before="0" w:after="0"/>
              <w:rPr>
                <w:sz w:val="20"/>
                <w:szCs w:val="20"/>
              </w:rPr>
            </w:pPr>
            <w:r w:rsidRPr="00712FD9">
              <w:rPr>
                <w:sz w:val="20"/>
                <w:szCs w:val="20"/>
              </w:rPr>
              <w:t>Indonesian and Australian public sector agencies partnering to address shared risks to stability and security</w:t>
            </w:r>
          </w:p>
        </w:tc>
        <w:tc>
          <w:tcPr>
            <w:tcW w:w="6713" w:type="dxa"/>
            <w:tcBorders>
              <w:top w:val="single" w:sz="4" w:space="0" w:color="65C5B4"/>
              <w:left w:val="single" w:sz="4" w:space="0" w:color="65C5B4"/>
              <w:bottom w:val="single" w:sz="4" w:space="0" w:color="65C5B4"/>
              <w:right w:val="single" w:sz="4" w:space="0" w:color="65C5B4"/>
            </w:tcBorders>
          </w:tcPr>
          <w:p w14:paraId="7C595BB7" w14:textId="60701E48" w:rsidR="00346789" w:rsidRPr="00712FD9" w:rsidRDefault="00346789" w:rsidP="007C13C8">
            <w:pPr>
              <w:spacing w:before="0"/>
              <w:rPr>
                <w:rFonts w:cstheme="minorHAnsi"/>
                <w:sz w:val="20"/>
                <w:szCs w:val="20"/>
              </w:rPr>
            </w:pPr>
            <w:r w:rsidRPr="00712FD9">
              <w:rPr>
                <w:rFonts w:cstheme="minorHAnsi"/>
                <w:sz w:val="20"/>
                <w:szCs w:val="20"/>
              </w:rPr>
              <w:t xml:space="preserve">Australian Treasurer and Indonesian Finance Minister announced </w:t>
            </w:r>
            <w:r w:rsidR="0091566F" w:rsidRPr="00712FD9">
              <w:rPr>
                <w:rFonts w:cstheme="minorHAnsi"/>
                <w:sz w:val="20"/>
                <w:szCs w:val="20"/>
              </w:rPr>
              <w:t>an</w:t>
            </w:r>
            <w:r w:rsidRPr="00712FD9">
              <w:rPr>
                <w:rFonts w:cstheme="minorHAnsi"/>
                <w:sz w:val="20"/>
                <w:szCs w:val="20"/>
              </w:rPr>
              <w:t xml:space="preserve"> </w:t>
            </w:r>
            <w:r w:rsidR="00C3147A" w:rsidRPr="00712FD9">
              <w:rPr>
                <w:rFonts w:cstheme="minorHAnsi"/>
                <w:sz w:val="20"/>
                <w:szCs w:val="20"/>
              </w:rPr>
              <w:t>$</w:t>
            </w:r>
            <w:r w:rsidRPr="00712FD9">
              <w:rPr>
                <w:rFonts w:cstheme="minorHAnsi"/>
                <w:sz w:val="20"/>
                <w:szCs w:val="20"/>
              </w:rPr>
              <w:t>1.5 billion bilateral loan in November 2020. The loan was in support of the Asia Development Bank’s COVID-19 Active Response and Expenditure Support. The loan was a valuable source of financial assistance for Indonesia as it focused on managing the COVID-19 crises and recovery.</w:t>
            </w:r>
          </w:p>
        </w:tc>
      </w:tr>
    </w:tbl>
    <w:p w14:paraId="2F847480" w14:textId="4B015CCF" w:rsidR="00346789" w:rsidRPr="00712FD9" w:rsidRDefault="00346789" w:rsidP="00CF0DC8">
      <w:pPr>
        <w:pStyle w:val="Heading3"/>
      </w:pPr>
      <w:r w:rsidRPr="00712FD9">
        <w:t>Economic Recovery</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Hezalth Security, Stability and Economic Recovery"/>
      </w:tblPr>
      <w:tblGrid>
        <w:gridCol w:w="3823"/>
        <w:gridCol w:w="6713"/>
      </w:tblGrid>
      <w:tr w:rsidR="00346789" w:rsidRPr="00712FD9" w14:paraId="74D8EDC7" w14:textId="77777777" w:rsidTr="00D41312">
        <w:trPr>
          <w:tblHeader/>
        </w:trPr>
        <w:tc>
          <w:tcPr>
            <w:tcW w:w="3823" w:type="dxa"/>
            <w:tcBorders>
              <w:top w:val="single" w:sz="4" w:space="0" w:color="65C5B4"/>
              <w:left w:val="single" w:sz="4" w:space="0" w:color="65C5B4"/>
              <w:bottom w:val="single" w:sz="4" w:space="0" w:color="65C5B4"/>
              <w:right w:val="single" w:sz="4" w:space="0" w:color="65C5B4"/>
            </w:tcBorders>
            <w:shd w:val="clear" w:color="auto" w:fill="A2DCD1" w:themeFill="accent1" w:themeFillTint="99"/>
          </w:tcPr>
          <w:p w14:paraId="0876F4E4" w14:textId="77777777" w:rsidR="00346789" w:rsidRPr="00712FD9" w:rsidRDefault="00346789" w:rsidP="00731600">
            <w:pPr>
              <w:spacing w:before="0" w:after="0" w:line="240" w:lineRule="auto"/>
              <w:jc w:val="center"/>
              <w:rPr>
                <w:b/>
                <w:sz w:val="20"/>
                <w:szCs w:val="20"/>
              </w:rPr>
            </w:pPr>
            <w:r w:rsidRPr="00712FD9">
              <w:rPr>
                <w:b/>
                <w:sz w:val="20"/>
                <w:szCs w:val="20"/>
              </w:rPr>
              <w:t>Key Results Indicators</w:t>
            </w:r>
          </w:p>
        </w:tc>
        <w:tc>
          <w:tcPr>
            <w:tcW w:w="6713" w:type="dxa"/>
            <w:tcBorders>
              <w:top w:val="single" w:sz="4" w:space="0" w:color="65C5B4"/>
              <w:left w:val="single" w:sz="4" w:space="0" w:color="65C5B4"/>
              <w:bottom w:val="single" w:sz="4" w:space="0" w:color="65C5B4"/>
              <w:right w:val="single" w:sz="4" w:space="0" w:color="65C5B4"/>
            </w:tcBorders>
            <w:shd w:val="clear" w:color="auto" w:fill="A2DCD1" w:themeFill="accent1" w:themeFillTint="99"/>
          </w:tcPr>
          <w:p w14:paraId="569D8A8C" w14:textId="77777777" w:rsidR="00346789" w:rsidRPr="00712FD9" w:rsidRDefault="00346789" w:rsidP="00731600">
            <w:pPr>
              <w:spacing w:before="0" w:after="0" w:line="240" w:lineRule="auto"/>
              <w:ind w:left="100"/>
              <w:jc w:val="center"/>
              <w:rPr>
                <w:b/>
                <w:sz w:val="20"/>
                <w:szCs w:val="20"/>
              </w:rPr>
            </w:pPr>
            <w:r w:rsidRPr="00712FD9">
              <w:rPr>
                <w:b/>
                <w:sz w:val="20"/>
                <w:szCs w:val="20"/>
              </w:rPr>
              <w:t>Progress/Result</w:t>
            </w:r>
          </w:p>
        </w:tc>
      </w:tr>
      <w:tr w:rsidR="00346789" w:rsidRPr="00712FD9" w14:paraId="3DEC2CCA" w14:textId="77777777" w:rsidTr="00731600">
        <w:tc>
          <w:tcPr>
            <w:tcW w:w="3823" w:type="dxa"/>
            <w:tcBorders>
              <w:top w:val="single" w:sz="4" w:space="0" w:color="65C5B4"/>
              <w:left w:val="single" w:sz="4" w:space="0" w:color="65C5B4"/>
              <w:right w:val="single" w:sz="4" w:space="0" w:color="65C5B4"/>
            </w:tcBorders>
          </w:tcPr>
          <w:p w14:paraId="19F61BE7" w14:textId="77777777" w:rsidR="00346789" w:rsidRPr="00712FD9" w:rsidRDefault="00346789" w:rsidP="007C37D6">
            <w:pPr>
              <w:spacing w:before="0" w:after="0"/>
              <w:rPr>
                <w:sz w:val="20"/>
                <w:szCs w:val="20"/>
              </w:rPr>
            </w:pPr>
            <w:r w:rsidRPr="00712FD9">
              <w:rPr>
                <w:sz w:val="20"/>
                <w:szCs w:val="20"/>
              </w:rPr>
              <w:t xml:space="preserve">Evidence of Indonesia promoting economic and financial stability, including economic stimulus measure </w:t>
            </w:r>
          </w:p>
        </w:tc>
        <w:tc>
          <w:tcPr>
            <w:tcW w:w="6713" w:type="dxa"/>
            <w:tcBorders>
              <w:top w:val="single" w:sz="4" w:space="0" w:color="65C5B4"/>
              <w:left w:val="single" w:sz="4" w:space="0" w:color="65C5B4"/>
              <w:right w:val="single" w:sz="4" w:space="0" w:color="65C5B4"/>
            </w:tcBorders>
          </w:tcPr>
          <w:p w14:paraId="11993753" w14:textId="17DCE612" w:rsidR="00346789" w:rsidRPr="00712FD9" w:rsidRDefault="00C3147A" w:rsidP="007C13C8">
            <w:pPr>
              <w:spacing w:before="0"/>
              <w:rPr>
                <w:sz w:val="20"/>
                <w:szCs w:val="20"/>
              </w:rPr>
            </w:pPr>
            <w:r w:rsidRPr="00712FD9">
              <w:rPr>
                <w:rFonts w:cstheme="minorHAnsi"/>
                <w:sz w:val="20"/>
                <w:szCs w:val="20"/>
              </w:rPr>
              <w:t>S</w:t>
            </w:r>
            <w:r w:rsidR="00346789" w:rsidRPr="00712FD9">
              <w:rPr>
                <w:rFonts w:cstheme="minorHAnsi"/>
                <w:sz w:val="20"/>
                <w:szCs w:val="20"/>
              </w:rPr>
              <w:t xml:space="preserve">upported the Government of Indonesia </w:t>
            </w:r>
            <w:r w:rsidRPr="00712FD9">
              <w:rPr>
                <w:rFonts w:cstheme="minorHAnsi"/>
                <w:sz w:val="20"/>
                <w:szCs w:val="20"/>
              </w:rPr>
              <w:t xml:space="preserve">to </w:t>
            </w:r>
            <w:r w:rsidR="00346789" w:rsidRPr="00712FD9">
              <w:rPr>
                <w:rFonts w:cstheme="minorHAnsi"/>
                <w:sz w:val="20"/>
                <w:szCs w:val="20"/>
              </w:rPr>
              <w:t>manag</w:t>
            </w:r>
            <w:r w:rsidRPr="00712FD9">
              <w:rPr>
                <w:rFonts w:cstheme="minorHAnsi"/>
                <w:sz w:val="20"/>
                <w:szCs w:val="20"/>
              </w:rPr>
              <w:t>e</w:t>
            </w:r>
            <w:r w:rsidR="00346789" w:rsidRPr="00712FD9">
              <w:rPr>
                <w:rFonts w:cstheme="minorHAnsi"/>
                <w:sz w:val="20"/>
                <w:szCs w:val="20"/>
              </w:rPr>
              <w:t xml:space="preserve"> financial instability through issuance of an emergency regulation on State Finances and Financial System Stability</w:t>
            </w:r>
            <w:r w:rsidR="00356173" w:rsidRPr="00712FD9">
              <w:rPr>
                <w:rFonts w:cstheme="minorHAnsi"/>
                <w:sz w:val="20"/>
                <w:szCs w:val="20"/>
              </w:rPr>
              <w:t xml:space="preserve">, </w:t>
            </w:r>
            <w:r w:rsidR="00346789" w:rsidRPr="00712FD9">
              <w:rPr>
                <w:rFonts w:cstheme="minorHAnsi"/>
                <w:sz w:val="20"/>
                <w:szCs w:val="20"/>
              </w:rPr>
              <w:t>which became Law 2 of 2020. Support was provided to Ministries of Finance</w:t>
            </w:r>
            <w:r w:rsidR="000438A0" w:rsidRPr="00712FD9">
              <w:rPr>
                <w:rFonts w:cstheme="minorHAnsi"/>
                <w:sz w:val="20"/>
                <w:szCs w:val="20"/>
              </w:rPr>
              <w:t xml:space="preserve"> and </w:t>
            </w:r>
            <w:r w:rsidR="00346789" w:rsidRPr="00712FD9">
              <w:rPr>
                <w:rFonts w:cstheme="minorHAnsi"/>
                <w:sz w:val="20"/>
                <w:szCs w:val="20"/>
              </w:rPr>
              <w:t>National Development Planning on health and COVID-19 related costing to improve forecasting used in government policies and budgets.</w:t>
            </w:r>
            <w:r w:rsidR="00346789" w:rsidRPr="00712FD9">
              <w:rPr>
                <w:sz w:val="20"/>
                <w:szCs w:val="20"/>
              </w:rPr>
              <w:t xml:space="preserve"> </w:t>
            </w:r>
          </w:p>
        </w:tc>
      </w:tr>
      <w:tr w:rsidR="00346789" w:rsidRPr="00712FD9" w14:paraId="3DC1D311" w14:textId="77777777" w:rsidTr="00731600">
        <w:tc>
          <w:tcPr>
            <w:tcW w:w="3823" w:type="dxa"/>
            <w:tcBorders>
              <w:top w:val="single" w:sz="4" w:space="0" w:color="65C5B4"/>
              <w:left w:val="single" w:sz="4" w:space="0" w:color="65C5B4"/>
              <w:bottom w:val="single" w:sz="4" w:space="0" w:color="65C5B4"/>
              <w:right w:val="single" w:sz="4" w:space="0" w:color="65C5B4"/>
            </w:tcBorders>
          </w:tcPr>
          <w:p w14:paraId="287F1FB8" w14:textId="77777777" w:rsidR="00346789" w:rsidRPr="00712FD9" w:rsidRDefault="00346789" w:rsidP="007C37D6">
            <w:pPr>
              <w:spacing w:before="0" w:after="0"/>
              <w:rPr>
                <w:sz w:val="20"/>
                <w:szCs w:val="20"/>
              </w:rPr>
            </w:pPr>
            <w:r w:rsidRPr="00712FD9">
              <w:rPr>
                <w:sz w:val="20"/>
                <w:szCs w:val="20"/>
              </w:rPr>
              <w:t>Dollars leveraged as additional resources to support economic development</w:t>
            </w:r>
          </w:p>
        </w:tc>
        <w:tc>
          <w:tcPr>
            <w:tcW w:w="6713" w:type="dxa"/>
            <w:tcBorders>
              <w:top w:val="single" w:sz="4" w:space="0" w:color="65C5B4"/>
              <w:left w:val="single" w:sz="4" w:space="0" w:color="65C5B4"/>
              <w:bottom w:val="single" w:sz="4" w:space="0" w:color="65C5B4"/>
              <w:right w:val="single" w:sz="4" w:space="0" w:color="65C5B4"/>
            </w:tcBorders>
          </w:tcPr>
          <w:p w14:paraId="2FF0A39F" w14:textId="4633AB78" w:rsidR="00346789" w:rsidRPr="00712FD9" w:rsidRDefault="00346789" w:rsidP="007C13C8">
            <w:pPr>
              <w:spacing w:before="0"/>
              <w:rPr>
                <w:rFonts w:cstheme="minorHAnsi"/>
                <w:sz w:val="20"/>
                <w:szCs w:val="20"/>
                <w:lang w:val="en-US"/>
              </w:rPr>
            </w:pPr>
            <w:r w:rsidRPr="00712FD9">
              <w:rPr>
                <w:rFonts w:cstheme="minorHAnsi"/>
                <w:sz w:val="20"/>
                <w:szCs w:val="20"/>
              </w:rPr>
              <w:t xml:space="preserve">Approximately </w:t>
            </w:r>
            <w:r w:rsidR="00356173" w:rsidRPr="00712FD9">
              <w:rPr>
                <w:rFonts w:cstheme="minorHAnsi"/>
                <w:sz w:val="20"/>
                <w:szCs w:val="20"/>
              </w:rPr>
              <w:t>$</w:t>
            </w:r>
            <w:r w:rsidRPr="00712FD9">
              <w:rPr>
                <w:rFonts w:cstheme="minorHAnsi"/>
                <w:sz w:val="20"/>
                <w:szCs w:val="20"/>
              </w:rPr>
              <w:t>2.3 billion</w:t>
            </w:r>
            <w:r w:rsidRPr="00712FD9">
              <w:rPr>
                <w:sz w:val="20"/>
                <w:szCs w:val="20"/>
                <w:vertAlign w:val="superscript"/>
              </w:rPr>
              <w:footnoteReference w:id="1"/>
            </w:r>
            <w:r w:rsidRPr="00712FD9">
              <w:rPr>
                <w:rFonts w:cstheme="minorHAnsi"/>
                <w:sz w:val="20"/>
                <w:szCs w:val="20"/>
              </w:rPr>
              <w:t xml:space="preserve"> of additional resources were leveraged to support economic development. This includes </w:t>
            </w:r>
            <w:r w:rsidR="00356173" w:rsidRPr="00712FD9">
              <w:rPr>
                <w:rFonts w:cstheme="minorHAnsi"/>
                <w:sz w:val="20"/>
                <w:szCs w:val="20"/>
              </w:rPr>
              <w:t>$</w:t>
            </w:r>
            <w:r w:rsidRPr="00712FD9">
              <w:rPr>
                <w:rFonts w:cstheme="minorHAnsi"/>
                <w:sz w:val="20"/>
                <w:szCs w:val="20"/>
              </w:rPr>
              <w:t xml:space="preserve">571,000 to implement rapid surveys on Indonesia’s COVID-19 social assistance response and </w:t>
            </w:r>
            <w:r w:rsidR="00356173" w:rsidRPr="00712FD9">
              <w:rPr>
                <w:rFonts w:cstheme="minorHAnsi"/>
                <w:sz w:val="20"/>
                <w:szCs w:val="20"/>
              </w:rPr>
              <w:t>$</w:t>
            </w:r>
            <w:r w:rsidRPr="00712FD9">
              <w:rPr>
                <w:rFonts w:cstheme="minorHAnsi"/>
                <w:sz w:val="20"/>
                <w:szCs w:val="20"/>
              </w:rPr>
              <w:t xml:space="preserve">20.2 million private </w:t>
            </w:r>
            <w:r w:rsidR="00356173" w:rsidRPr="00712FD9">
              <w:rPr>
                <w:rFonts w:cstheme="minorHAnsi"/>
                <w:sz w:val="20"/>
                <w:szCs w:val="20"/>
              </w:rPr>
              <w:br/>
            </w:r>
            <w:r w:rsidRPr="00712FD9">
              <w:rPr>
                <w:rFonts w:cstheme="minorHAnsi"/>
                <w:sz w:val="20"/>
                <w:szCs w:val="20"/>
              </w:rPr>
              <w:t xml:space="preserve">co-investment for </w:t>
            </w:r>
            <w:r w:rsidR="000438A0" w:rsidRPr="00712FD9">
              <w:rPr>
                <w:rFonts w:cstheme="minorHAnsi"/>
                <w:sz w:val="20"/>
                <w:szCs w:val="20"/>
              </w:rPr>
              <w:t>nine</w:t>
            </w:r>
            <w:r w:rsidRPr="00712FD9">
              <w:rPr>
                <w:rFonts w:cstheme="minorHAnsi"/>
                <w:sz w:val="20"/>
                <w:szCs w:val="20"/>
              </w:rPr>
              <w:t xml:space="preserve"> Indonesian women’s small and medium enterprises.</w:t>
            </w:r>
          </w:p>
        </w:tc>
      </w:tr>
      <w:tr w:rsidR="00346789" w:rsidRPr="00712FD9" w14:paraId="24BBB32A" w14:textId="77777777" w:rsidTr="00731600">
        <w:tc>
          <w:tcPr>
            <w:tcW w:w="3823" w:type="dxa"/>
            <w:tcBorders>
              <w:top w:val="single" w:sz="4" w:space="0" w:color="65C5B4"/>
              <w:left w:val="single" w:sz="4" w:space="0" w:color="65C5B4"/>
              <w:bottom w:val="single" w:sz="4" w:space="0" w:color="65C5B4"/>
              <w:right w:val="single" w:sz="4" w:space="0" w:color="65C5B4"/>
            </w:tcBorders>
          </w:tcPr>
          <w:p w14:paraId="4FCB17E1" w14:textId="77777777" w:rsidR="00346789" w:rsidRPr="00712FD9" w:rsidRDefault="00346789" w:rsidP="007C37D6">
            <w:pPr>
              <w:spacing w:before="0" w:after="0"/>
              <w:rPr>
                <w:sz w:val="20"/>
                <w:szCs w:val="20"/>
              </w:rPr>
            </w:pPr>
            <w:r w:rsidRPr="00712FD9">
              <w:rPr>
                <w:sz w:val="20"/>
                <w:szCs w:val="20"/>
              </w:rPr>
              <w:lastRenderedPageBreak/>
              <w:t>Evidence of Indonesia promoting stable and inclusive economic growth, including reforms that promote a business enabling environment or human capital development</w:t>
            </w:r>
          </w:p>
        </w:tc>
        <w:tc>
          <w:tcPr>
            <w:tcW w:w="6713" w:type="dxa"/>
            <w:tcBorders>
              <w:top w:val="single" w:sz="4" w:space="0" w:color="65C5B4"/>
              <w:left w:val="single" w:sz="4" w:space="0" w:color="65C5B4"/>
              <w:bottom w:val="single" w:sz="4" w:space="0" w:color="65C5B4"/>
              <w:right w:val="single" w:sz="4" w:space="0" w:color="65C5B4"/>
            </w:tcBorders>
          </w:tcPr>
          <w:p w14:paraId="3D5FF160" w14:textId="1DB698B4" w:rsidR="00346789" w:rsidRPr="00712FD9" w:rsidRDefault="00356173" w:rsidP="007C13C8">
            <w:pPr>
              <w:spacing w:before="0"/>
              <w:rPr>
                <w:rFonts w:cstheme="minorHAnsi"/>
                <w:sz w:val="20"/>
                <w:szCs w:val="20"/>
              </w:rPr>
            </w:pPr>
            <w:r w:rsidRPr="00712FD9">
              <w:rPr>
                <w:rFonts w:cstheme="minorHAnsi"/>
                <w:sz w:val="20"/>
                <w:szCs w:val="20"/>
              </w:rPr>
              <w:t>C</w:t>
            </w:r>
            <w:r w:rsidR="00346789" w:rsidRPr="00712FD9">
              <w:rPr>
                <w:rFonts w:cstheme="minorHAnsi"/>
                <w:sz w:val="20"/>
                <w:szCs w:val="20"/>
              </w:rPr>
              <w:t>ontributed to the development of the Job Creation Law (the Omnibus Law). It is a wide-ranging law aimed at simplifying a complex regulatory landscape to promote investment and increase employment. Assisted the Government of Indonesia’s COVID-19 response policies to support micro, small and medium enterprises, which had been severely impacted by COVID-19.</w:t>
            </w:r>
          </w:p>
        </w:tc>
      </w:tr>
      <w:tr w:rsidR="00346789" w:rsidRPr="00712FD9" w14:paraId="3889D724" w14:textId="77777777" w:rsidTr="00731600">
        <w:tc>
          <w:tcPr>
            <w:tcW w:w="3823" w:type="dxa"/>
            <w:tcBorders>
              <w:top w:val="single" w:sz="4" w:space="0" w:color="65C5B4"/>
              <w:left w:val="single" w:sz="4" w:space="0" w:color="65C5B4"/>
              <w:bottom w:val="single" w:sz="4" w:space="0" w:color="65C5B4"/>
              <w:right w:val="single" w:sz="4" w:space="0" w:color="65C5B4"/>
            </w:tcBorders>
          </w:tcPr>
          <w:p w14:paraId="4FD50A14" w14:textId="77777777" w:rsidR="00346789" w:rsidRPr="00712FD9" w:rsidRDefault="00346789" w:rsidP="007C37D6">
            <w:pPr>
              <w:spacing w:before="0" w:after="0"/>
              <w:rPr>
                <w:sz w:val="20"/>
                <w:szCs w:val="20"/>
              </w:rPr>
            </w:pPr>
            <w:r w:rsidRPr="00712FD9">
              <w:rPr>
                <w:sz w:val="20"/>
                <w:szCs w:val="20"/>
              </w:rPr>
              <w:t>Evidence of Indonesia introducing reform to promote job creation</w:t>
            </w:r>
          </w:p>
        </w:tc>
        <w:tc>
          <w:tcPr>
            <w:tcW w:w="6713" w:type="dxa"/>
            <w:tcBorders>
              <w:top w:val="single" w:sz="4" w:space="0" w:color="65C5B4"/>
              <w:left w:val="single" w:sz="4" w:space="0" w:color="65C5B4"/>
              <w:bottom w:val="single" w:sz="4" w:space="0" w:color="65C5B4"/>
              <w:right w:val="single" w:sz="4" w:space="0" w:color="65C5B4"/>
            </w:tcBorders>
          </w:tcPr>
          <w:p w14:paraId="3AF08778" w14:textId="101AB25A" w:rsidR="00346789" w:rsidRPr="00712FD9" w:rsidRDefault="00356173" w:rsidP="007C13C8">
            <w:pPr>
              <w:spacing w:before="0"/>
              <w:rPr>
                <w:sz w:val="20"/>
                <w:szCs w:val="20"/>
              </w:rPr>
            </w:pPr>
            <w:r w:rsidRPr="00712FD9">
              <w:rPr>
                <w:rFonts w:cstheme="minorHAnsi"/>
                <w:sz w:val="20"/>
                <w:szCs w:val="20"/>
              </w:rPr>
              <w:t>P</w:t>
            </w:r>
            <w:r w:rsidR="00346789" w:rsidRPr="00712FD9">
              <w:rPr>
                <w:rFonts w:cstheme="minorHAnsi"/>
                <w:sz w:val="20"/>
                <w:szCs w:val="20"/>
              </w:rPr>
              <w:t>rovided significant support to the development of the Job Creation Omnibus Law. The Law amends 78 individual laws in the most wide-scale economic reform in decades. The Job Creation Law, and specifically the Australian-supported adjustments, are expected to create quality jobs through simpler and centralised business licensing and investment rules, as well as reform of labour regulations.</w:t>
            </w:r>
            <w:r w:rsidR="00346789" w:rsidRPr="00712FD9">
              <w:rPr>
                <w:rFonts w:cs="Segoe UI Light"/>
                <w:sz w:val="20"/>
                <w:szCs w:val="20"/>
                <w:lang w:val="en-AU"/>
              </w:rPr>
              <w:t xml:space="preserve"> These reforms were substantial, but there is still room for improvement.</w:t>
            </w:r>
            <w:r w:rsidR="000438A0" w:rsidRPr="00712FD9">
              <w:rPr>
                <w:rFonts w:cs="Segoe UI Light"/>
                <w:sz w:val="20"/>
                <w:szCs w:val="20"/>
              </w:rPr>
              <w:t xml:space="preserve"> </w:t>
            </w:r>
          </w:p>
        </w:tc>
      </w:tr>
      <w:tr w:rsidR="00346789" w:rsidRPr="00712FD9" w14:paraId="3EBB7CA0" w14:textId="77777777" w:rsidTr="00731600">
        <w:tc>
          <w:tcPr>
            <w:tcW w:w="3823" w:type="dxa"/>
            <w:tcBorders>
              <w:top w:val="single" w:sz="4" w:space="0" w:color="65C5B4"/>
              <w:left w:val="single" w:sz="4" w:space="0" w:color="65C5B4"/>
              <w:bottom w:val="single" w:sz="4" w:space="0" w:color="65C5B4"/>
              <w:right w:val="single" w:sz="4" w:space="0" w:color="65C5B4"/>
            </w:tcBorders>
          </w:tcPr>
          <w:p w14:paraId="1B0F6409" w14:textId="77777777" w:rsidR="00346789" w:rsidRPr="00712FD9" w:rsidRDefault="00346789" w:rsidP="007C37D6">
            <w:pPr>
              <w:spacing w:before="0" w:after="0"/>
              <w:rPr>
                <w:sz w:val="20"/>
                <w:szCs w:val="20"/>
              </w:rPr>
            </w:pPr>
            <w:bookmarkStart w:id="8" w:name="_Hlk84499908"/>
            <w:r w:rsidRPr="00712FD9">
              <w:rPr>
                <w:sz w:val="20"/>
                <w:szCs w:val="20"/>
              </w:rPr>
              <w:t>200,000 women and other vulnerable groups access economic opportunities (80,000 in 2020-21)</w:t>
            </w:r>
          </w:p>
        </w:tc>
        <w:tc>
          <w:tcPr>
            <w:tcW w:w="6713" w:type="dxa"/>
            <w:tcBorders>
              <w:top w:val="single" w:sz="4" w:space="0" w:color="65C5B4"/>
              <w:left w:val="single" w:sz="4" w:space="0" w:color="65C5B4"/>
              <w:bottom w:val="single" w:sz="4" w:space="0" w:color="65C5B4"/>
              <w:right w:val="single" w:sz="4" w:space="0" w:color="65C5B4"/>
            </w:tcBorders>
          </w:tcPr>
          <w:p w14:paraId="387D6C96" w14:textId="7AC1E956" w:rsidR="00346789" w:rsidRPr="00712FD9" w:rsidRDefault="000438A0" w:rsidP="007C13C8">
            <w:pPr>
              <w:suppressAutoHyphens w:val="0"/>
              <w:spacing w:before="0" w:after="0" w:line="240" w:lineRule="auto"/>
              <w:rPr>
                <w:rFonts w:ascii="Times New Roman" w:hAnsi="Times New Roman" w:cs="Times New Roman"/>
                <w:color w:val="auto"/>
                <w:sz w:val="20"/>
                <w:szCs w:val="20"/>
                <w:lang w:val="en-AU" w:eastAsia="en-AU"/>
              </w:rPr>
            </w:pPr>
            <w:r w:rsidRPr="00712FD9">
              <w:rPr>
                <w:rFonts w:cstheme="minorHAnsi"/>
                <w:sz w:val="20"/>
                <w:szCs w:val="20"/>
              </w:rPr>
              <w:t xml:space="preserve">69,798 women </w:t>
            </w:r>
            <w:r w:rsidR="00D04B64" w:rsidRPr="00712FD9">
              <w:rPr>
                <w:rFonts w:cstheme="minorHAnsi"/>
                <w:sz w:val="20"/>
                <w:szCs w:val="20"/>
              </w:rPr>
              <w:t xml:space="preserve">and 89,331 men </w:t>
            </w:r>
            <w:r w:rsidRPr="00712FD9">
              <w:rPr>
                <w:rFonts w:cstheme="minorHAnsi"/>
                <w:sz w:val="20"/>
                <w:szCs w:val="20"/>
              </w:rPr>
              <w:t xml:space="preserve">gained access to economic opportunities. </w:t>
            </w:r>
            <w:r w:rsidR="00356173" w:rsidRPr="00712FD9">
              <w:rPr>
                <w:sz w:val="20"/>
                <w:szCs w:val="20"/>
              </w:rPr>
              <w:t>S</w:t>
            </w:r>
            <w:r w:rsidRPr="00712FD9">
              <w:rPr>
                <w:sz w:val="20"/>
                <w:szCs w:val="20"/>
              </w:rPr>
              <w:t>upported the introduction of improved seed and agricultural practices to 68,760 women which in turn will increase yield. 570 women received e-commerce training and joined business assistance groups. 468 women also benefitted</w:t>
            </w:r>
            <w:r w:rsidRPr="00712FD9">
              <w:rPr>
                <w:rFonts w:cstheme="minorHAnsi"/>
                <w:sz w:val="20"/>
                <w:szCs w:val="20"/>
              </w:rPr>
              <w:t xml:space="preserve"> from jobs created and sustained by Australia’s investment.</w:t>
            </w:r>
            <w:r w:rsidRPr="00712FD9">
              <w:rPr>
                <w:sz w:val="20"/>
                <w:szCs w:val="20"/>
              </w:rPr>
              <w:t xml:space="preserve"> </w:t>
            </w:r>
          </w:p>
        </w:tc>
      </w:tr>
      <w:tr w:rsidR="00346789" w:rsidRPr="00712FD9" w14:paraId="27420FEF" w14:textId="77777777" w:rsidTr="00731600">
        <w:tc>
          <w:tcPr>
            <w:tcW w:w="3823" w:type="dxa"/>
            <w:tcBorders>
              <w:top w:val="single" w:sz="4" w:space="0" w:color="65C5B4"/>
              <w:left w:val="single" w:sz="4" w:space="0" w:color="65C5B4"/>
              <w:bottom w:val="single" w:sz="4" w:space="0" w:color="65C5B4"/>
              <w:right w:val="single" w:sz="4" w:space="0" w:color="65C5B4"/>
            </w:tcBorders>
          </w:tcPr>
          <w:p w14:paraId="39A8E090" w14:textId="77777777" w:rsidR="00346789" w:rsidRPr="00712FD9" w:rsidRDefault="00346789" w:rsidP="007C37D6">
            <w:pPr>
              <w:spacing w:before="0" w:after="0"/>
              <w:rPr>
                <w:sz w:val="20"/>
                <w:szCs w:val="20"/>
              </w:rPr>
            </w:pPr>
            <w:bookmarkStart w:id="9" w:name="_Hlk86417953"/>
            <w:bookmarkEnd w:id="8"/>
            <w:r w:rsidRPr="00712FD9">
              <w:rPr>
                <w:sz w:val="20"/>
                <w:szCs w:val="20"/>
              </w:rPr>
              <w:t>Opportunities are created for Indonesian and Australian businesses/organisations in support of economic recovery</w:t>
            </w:r>
            <w:bookmarkEnd w:id="9"/>
          </w:p>
        </w:tc>
        <w:tc>
          <w:tcPr>
            <w:tcW w:w="6713" w:type="dxa"/>
            <w:tcBorders>
              <w:top w:val="single" w:sz="4" w:space="0" w:color="65C5B4"/>
              <w:left w:val="single" w:sz="4" w:space="0" w:color="65C5B4"/>
              <w:bottom w:val="single" w:sz="4" w:space="0" w:color="65C5B4"/>
              <w:right w:val="single" w:sz="4" w:space="0" w:color="65C5B4"/>
            </w:tcBorders>
          </w:tcPr>
          <w:p w14:paraId="1EBBD75F" w14:textId="77A7FF27" w:rsidR="00346789" w:rsidRPr="00712FD9" w:rsidRDefault="00346789" w:rsidP="007C13C8">
            <w:pPr>
              <w:spacing w:before="0"/>
              <w:rPr>
                <w:rFonts w:cstheme="minorHAnsi"/>
                <w:sz w:val="20"/>
                <w:szCs w:val="20"/>
              </w:rPr>
            </w:pPr>
            <w:r w:rsidRPr="00712FD9">
              <w:rPr>
                <w:rFonts w:cstheme="minorHAnsi"/>
                <w:sz w:val="20"/>
                <w:szCs w:val="20"/>
              </w:rPr>
              <w:t xml:space="preserve">Progress </w:t>
            </w:r>
            <w:r w:rsidR="00F05DEA" w:rsidRPr="00712FD9">
              <w:rPr>
                <w:rFonts w:cstheme="minorHAnsi"/>
                <w:sz w:val="20"/>
                <w:szCs w:val="20"/>
              </w:rPr>
              <w:t>against</w:t>
            </w:r>
            <w:r w:rsidRPr="00712FD9">
              <w:rPr>
                <w:rFonts w:cstheme="minorHAnsi"/>
                <w:sz w:val="20"/>
                <w:szCs w:val="20"/>
              </w:rPr>
              <w:t xml:space="preserve"> this indicator </w:t>
            </w:r>
            <w:r w:rsidR="00F05DEA" w:rsidRPr="00712FD9">
              <w:rPr>
                <w:rFonts w:cstheme="minorHAnsi"/>
                <w:sz w:val="20"/>
                <w:szCs w:val="20"/>
              </w:rPr>
              <w:t>will be</w:t>
            </w:r>
            <w:r w:rsidRPr="00712FD9">
              <w:rPr>
                <w:rFonts w:cstheme="minorHAnsi"/>
                <w:sz w:val="20"/>
                <w:szCs w:val="20"/>
              </w:rPr>
              <w:t xml:space="preserve"> reported in 2022</w:t>
            </w:r>
            <w:r w:rsidR="00A334D3">
              <w:rPr>
                <w:rFonts w:cstheme="minorHAnsi"/>
                <w:sz w:val="20"/>
                <w:szCs w:val="20"/>
              </w:rPr>
              <w:t xml:space="preserve"> due to contributing investment commencing in 2021. </w:t>
            </w:r>
          </w:p>
        </w:tc>
      </w:tr>
      <w:tr w:rsidR="00346789" w:rsidRPr="00712FD9" w14:paraId="74EDCA52" w14:textId="77777777" w:rsidTr="00731600">
        <w:tc>
          <w:tcPr>
            <w:tcW w:w="3823" w:type="dxa"/>
            <w:tcBorders>
              <w:top w:val="single" w:sz="4" w:space="0" w:color="65C5B4"/>
              <w:left w:val="single" w:sz="4" w:space="0" w:color="65C5B4"/>
              <w:bottom w:val="single" w:sz="4" w:space="0" w:color="65C5B4"/>
              <w:right w:val="single" w:sz="4" w:space="0" w:color="65C5B4"/>
            </w:tcBorders>
          </w:tcPr>
          <w:p w14:paraId="587A7940" w14:textId="7250DE88" w:rsidR="00346789" w:rsidRPr="00712FD9" w:rsidRDefault="00346789" w:rsidP="007C37D6">
            <w:pPr>
              <w:spacing w:before="0" w:after="0"/>
              <w:rPr>
                <w:sz w:val="20"/>
                <w:szCs w:val="20"/>
              </w:rPr>
            </w:pPr>
            <w:bookmarkStart w:id="10" w:name="_Hlk84142075"/>
            <w:r w:rsidRPr="00712FD9">
              <w:rPr>
                <w:sz w:val="20"/>
                <w:szCs w:val="20"/>
              </w:rPr>
              <w:t>80</w:t>
            </w:r>
            <w:r w:rsidR="00C3147A" w:rsidRPr="00712FD9">
              <w:rPr>
                <w:sz w:val="20"/>
                <w:szCs w:val="20"/>
              </w:rPr>
              <w:t xml:space="preserve"> per cent</w:t>
            </w:r>
            <w:r w:rsidRPr="00712FD9">
              <w:rPr>
                <w:sz w:val="20"/>
                <w:szCs w:val="20"/>
              </w:rPr>
              <w:t xml:space="preserve"> of investments effectively address gender issues regardless of objective</w:t>
            </w:r>
            <w:bookmarkEnd w:id="10"/>
          </w:p>
        </w:tc>
        <w:tc>
          <w:tcPr>
            <w:tcW w:w="6713" w:type="dxa"/>
            <w:tcBorders>
              <w:top w:val="single" w:sz="4" w:space="0" w:color="65C5B4"/>
              <w:left w:val="single" w:sz="4" w:space="0" w:color="65C5B4"/>
              <w:bottom w:val="single" w:sz="4" w:space="0" w:color="65C5B4"/>
              <w:right w:val="single" w:sz="4" w:space="0" w:color="65C5B4"/>
            </w:tcBorders>
          </w:tcPr>
          <w:p w14:paraId="6D8A7D17" w14:textId="4DDC1B10" w:rsidR="00346789" w:rsidRPr="00712FD9" w:rsidRDefault="00346789" w:rsidP="007C13C8">
            <w:pPr>
              <w:spacing w:before="0"/>
              <w:rPr>
                <w:sz w:val="20"/>
                <w:szCs w:val="20"/>
              </w:rPr>
            </w:pPr>
            <w:r w:rsidRPr="00712FD9">
              <w:rPr>
                <w:rFonts w:cstheme="minorHAnsi"/>
                <w:sz w:val="20"/>
                <w:szCs w:val="20"/>
              </w:rPr>
              <w:t>The Indonesia development program’s gender performance has improved by ten per cent since last year, from 65.7</w:t>
            </w:r>
            <w:r w:rsidR="00C3147A" w:rsidRPr="00712FD9">
              <w:rPr>
                <w:rFonts w:cstheme="minorHAnsi"/>
                <w:sz w:val="20"/>
                <w:szCs w:val="20"/>
              </w:rPr>
              <w:t xml:space="preserve"> per cent</w:t>
            </w:r>
            <w:r w:rsidRPr="00712FD9">
              <w:rPr>
                <w:rFonts w:cstheme="minorHAnsi"/>
                <w:sz w:val="20"/>
                <w:szCs w:val="20"/>
              </w:rPr>
              <w:t xml:space="preserve"> to 75.7</w:t>
            </w:r>
            <w:r w:rsidR="00C3147A" w:rsidRPr="00712FD9">
              <w:rPr>
                <w:rFonts w:cstheme="minorHAnsi"/>
                <w:sz w:val="20"/>
                <w:szCs w:val="20"/>
              </w:rPr>
              <w:t xml:space="preserve"> per cent</w:t>
            </w:r>
            <w:r w:rsidRPr="00712FD9">
              <w:rPr>
                <w:rFonts w:cstheme="minorHAnsi"/>
                <w:sz w:val="20"/>
                <w:szCs w:val="20"/>
              </w:rPr>
              <w:t xml:space="preserve"> investments receiving a satisfactory rating in gender equality. Significant improvement was made on gender analysis, and partner performance including better evidenced-based reporting.</w:t>
            </w:r>
          </w:p>
        </w:tc>
      </w:tr>
    </w:tbl>
    <w:p w14:paraId="22F12515" w14:textId="6F3A235C" w:rsidR="00591826" w:rsidRPr="00712FD9" w:rsidRDefault="006675BC" w:rsidP="0042568A">
      <w:pPr>
        <w:pStyle w:val="Heading2"/>
      </w:pPr>
      <w:r w:rsidRPr="00712FD9">
        <w:lastRenderedPageBreak/>
        <w:t>Annex 2: Investment Performance ratings</w:t>
      </w:r>
    </w:p>
    <w:tbl>
      <w:tblPr>
        <w:tblStyle w:val="DFATTable1"/>
        <w:tblpPr w:leftFromText="180" w:rightFromText="180" w:vertAnchor="text" w:tblpY="1"/>
        <w:tblOverlap w:val="never"/>
        <w:tblW w:w="10620"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ayout w:type="fixed"/>
        <w:tblLook w:val="04A0" w:firstRow="1" w:lastRow="0" w:firstColumn="1" w:lastColumn="0" w:noHBand="0" w:noVBand="1"/>
        <w:tblCaption w:val="Supporting Investment Performance"/>
        <w:tblDescription w:val="Development Program Investment details, name, duration, budget and performance ratings for 2020 and 2021 for Effectiveness, Efficiency, Gender Equality; Risk and Safeguards "/>
      </w:tblPr>
      <w:tblGrid>
        <w:gridCol w:w="5804"/>
        <w:gridCol w:w="1133"/>
        <w:gridCol w:w="1275"/>
        <w:gridCol w:w="1133"/>
        <w:gridCol w:w="1275"/>
      </w:tblGrid>
      <w:tr w:rsidR="00111111" w:rsidRPr="00712FD9" w14:paraId="2EAFF598"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left w:val="single" w:sz="4" w:space="0" w:color="65C5B4" w:themeColor="accent1"/>
              <w:right w:val="single" w:sz="4" w:space="0" w:color="65C5B4" w:themeColor="accent1"/>
            </w:tcBorders>
            <w:shd w:val="clear" w:color="auto" w:fill="A2DCD1" w:themeFill="accent1" w:themeFillTint="99"/>
            <w:noWrap/>
            <w:hideMark/>
          </w:tcPr>
          <w:p w14:paraId="442E93F0" w14:textId="77777777" w:rsidR="00111111" w:rsidRPr="00712FD9" w:rsidRDefault="00111111" w:rsidP="00591826">
            <w:pPr>
              <w:suppressAutoHyphens w:val="0"/>
              <w:spacing w:before="0" w:after="0" w:line="240" w:lineRule="auto"/>
              <w:jc w:val="center"/>
              <w:rPr>
                <w:rFonts w:eastAsia="Times New Roman" w:cstheme="minorHAnsi"/>
                <w:b/>
                <w:bCs/>
                <w:sz w:val="20"/>
                <w:szCs w:val="20"/>
                <w:lang w:val="en-AU" w:eastAsia="en-AU"/>
              </w:rPr>
            </w:pPr>
            <w:r w:rsidRPr="00712FD9">
              <w:rPr>
                <w:rFonts w:eastAsia="Times New Roman" w:cstheme="minorHAnsi"/>
                <w:b/>
                <w:bCs/>
                <w:sz w:val="20"/>
                <w:szCs w:val="20"/>
                <w:lang w:val="en-AU" w:eastAsia="en-AU"/>
              </w:rPr>
              <w:t>Investment Details</w:t>
            </w:r>
          </w:p>
        </w:tc>
        <w:tc>
          <w:tcPr>
            <w:tcW w:w="1133" w:type="dxa"/>
            <w:tcBorders>
              <w:left w:val="single" w:sz="4" w:space="0" w:color="65C5B4" w:themeColor="accent1"/>
              <w:right w:val="single" w:sz="4" w:space="0" w:color="65C5B4" w:themeColor="accent1"/>
            </w:tcBorders>
            <w:shd w:val="clear" w:color="auto" w:fill="A2DCD1" w:themeFill="accent1" w:themeFillTint="99"/>
            <w:noWrap/>
            <w:hideMark/>
          </w:tcPr>
          <w:p w14:paraId="49EE3434" w14:textId="3823D721" w:rsidR="00111111" w:rsidRPr="00712FD9" w:rsidRDefault="00111111"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bCs/>
                <w:sz w:val="20"/>
                <w:szCs w:val="20"/>
                <w:lang w:val="en-AU" w:eastAsia="en-AU"/>
              </w:rPr>
            </w:pPr>
            <w:r w:rsidRPr="00712FD9">
              <w:rPr>
                <w:rFonts w:eastAsia="Times New Roman" w:cstheme="minorHAnsi"/>
                <w:b/>
                <w:bCs/>
                <w:sz w:val="20"/>
                <w:szCs w:val="20"/>
                <w:lang w:val="en-AU" w:eastAsia="en-AU"/>
              </w:rPr>
              <w:t>Year</w:t>
            </w:r>
          </w:p>
        </w:tc>
        <w:tc>
          <w:tcPr>
            <w:tcW w:w="1275" w:type="dxa"/>
            <w:tcBorders>
              <w:left w:val="single" w:sz="4" w:space="0" w:color="65C5B4" w:themeColor="accent1"/>
              <w:right w:val="single" w:sz="4" w:space="0" w:color="65C5B4" w:themeColor="accent1"/>
            </w:tcBorders>
            <w:shd w:val="clear" w:color="auto" w:fill="A2DCD1" w:themeFill="accent1" w:themeFillTint="99"/>
            <w:noWrap/>
            <w:hideMark/>
          </w:tcPr>
          <w:p w14:paraId="52559CCF" w14:textId="77777777" w:rsidR="00111111" w:rsidRPr="00712FD9" w:rsidRDefault="00111111"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bCs/>
                <w:sz w:val="20"/>
                <w:szCs w:val="20"/>
                <w:lang w:val="en-AU" w:eastAsia="en-AU"/>
              </w:rPr>
            </w:pPr>
            <w:r w:rsidRPr="00712FD9">
              <w:rPr>
                <w:rFonts w:eastAsia="Times New Roman" w:cstheme="minorHAnsi"/>
                <w:b/>
                <w:bCs/>
                <w:sz w:val="20"/>
                <w:szCs w:val="20"/>
                <w:lang w:val="en-AU" w:eastAsia="en-AU"/>
              </w:rPr>
              <w:t>Effectiveness</w:t>
            </w:r>
          </w:p>
        </w:tc>
        <w:tc>
          <w:tcPr>
            <w:tcW w:w="1133" w:type="dxa"/>
            <w:tcBorders>
              <w:left w:val="single" w:sz="4" w:space="0" w:color="65C5B4" w:themeColor="accent1"/>
              <w:right w:val="single" w:sz="4" w:space="0" w:color="65C5B4" w:themeColor="accent1"/>
            </w:tcBorders>
            <w:shd w:val="clear" w:color="auto" w:fill="A2DCD1" w:themeFill="accent1" w:themeFillTint="99"/>
            <w:noWrap/>
            <w:hideMark/>
          </w:tcPr>
          <w:p w14:paraId="396D9CF2" w14:textId="77777777" w:rsidR="00111111" w:rsidRPr="00712FD9" w:rsidRDefault="00111111"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bCs/>
                <w:sz w:val="20"/>
                <w:szCs w:val="20"/>
                <w:lang w:val="en-AU" w:eastAsia="en-AU"/>
              </w:rPr>
            </w:pPr>
            <w:r w:rsidRPr="00712FD9">
              <w:rPr>
                <w:rFonts w:eastAsia="Times New Roman" w:cstheme="minorHAnsi"/>
                <w:b/>
                <w:bCs/>
                <w:sz w:val="20"/>
                <w:szCs w:val="20"/>
                <w:lang w:val="en-AU" w:eastAsia="en-AU"/>
              </w:rPr>
              <w:t>Efficiency</w:t>
            </w:r>
          </w:p>
        </w:tc>
        <w:tc>
          <w:tcPr>
            <w:tcW w:w="1275" w:type="dxa"/>
            <w:tcBorders>
              <w:left w:val="single" w:sz="4" w:space="0" w:color="65C5B4" w:themeColor="accent1"/>
              <w:right w:val="single" w:sz="4" w:space="0" w:color="65C5B4" w:themeColor="accent1"/>
            </w:tcBorders>
            <w:shd w:val="clear" w:color="auto" w:fill="A2DCD1" w:themeFill="accent1" w:themeFillTint="99"/>
            <w:noWrap/>
            <w:hideMark/>
          </w:tcPr>
          <w:p w14:paraId="3D2AD165" w14:textId="77777777" w:rsidR="00111111" w:rsidRPr="00712FD9" w:rsidRDefault="00111111"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bCs/>
                <w:sz w:val="20"/>
                <w:szCs w:val="20"/>
                <w:lang w:val="en-AU" w:eastAsia="en-AU"/>
              </w:rPr>
            </w:pPr>
            <w:r w:rsidRPr="00712FD9">
              <w:rPr>
                <w:rFonts w:eastAsia="Times New Roman" w:cstheme="minorHAnsi"/>
                <w:b/>
                <w:bCs/>
                <w:sz w:val="20"/>
                <w:szCs w:val="20"/>
                <w:lang w:val="en-AU" w:eastAsia="en-AU"/>
              </w:rPr>
              <w:t>Gender Equality</w:t>
            </w:r>
          </w:p>
        </w:tc>
      </w:tr>
      <w:tr w:rsidR="00111111" w:rsidRPr="00712FD9" w14:paraId="44742F65"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left w:val="single" w:sz="4" w:space="0" w:color="65C5B4" w:themeColor="accent1"/>
              <w:bottom w:val="nil"/>
              <w:right w:val="single" w:sz="4" w:space="0" w:color="65C5B4" w:themeColor="accent1"/>
            </w:tcBorders>
            <w:shd w:val="clear" w:color="auto" w:fill="F2F2F2" w:themeFill="background1" w:themeFillShade="F2"/>
            <w:vAlign w:val="center"/>
          </w:tcPr>
          <w:p w14:paraId="2F6DA342" w14:textId="211C8BF9" w:rsidR="00111111" w:rsidRPr="00712FD9" w:rsidRDefault="00111111" w:rsidP="00591826">
            <w:pPr>
              <w:suppressAutoHyphens w:val="0"/>
              <w:spacing w:before="0" w:after="0" w:line="240" w:lineRule="auto"/>
              <w:rPr>
                <w:rFonts w:eastAsia="Times New Roman" w:cstheme="minorHAnsi"/>
                <w:b/>
                <w:bCs/>
                <w:color w:val="595959" w:themeColor="text1" w:themeTint="A6"/>
                <w:sz w:val="20"/>
                <w:szCs w:val="20"/>
                <w:lang w:val="en-AU" w:eastAsia="en-AU"/>
              </w:rPr>
            </w:pPr>
            <w:r w:rsidRPr="00712FD9">
              <w:rPr>
                <w:rFonts w:eastAsia="Times New Roman" w:cstheme="minorHAnsi"/>
                <w:b/>
                <w:bCs/>
                <w:color w:val="595959" w:themeColor="text1" w:themeTint="A6"/>
                <w:sz w:val="20"/>
                <w:szCs w:val="20"/>
                <w:lang w:eastAsia="en-AU"/>
              </w:rPr>
              <w:t>Indonesia Infrastructure Program Phase 1</w:t>
            </w:r>
            <w:r w:rsidR="00D43DEE">
              <w:rPr>
                <w:rFonts w:eastAsia="Times New Roman" w:cstheme="minorHAnsi"/>
                <w:b/>
                <w:bCs/>
                <w:color w:val="595959" w:themeColor="text1" w:themeTint="A6"/>
                <w:sz w:val="20"/>
                <w:szCs w:val="20"/>
                <w:lang w:eastAsia="en-AU"/>
              </w:rPr>
              <w:t xml:space="preserve"> </w:t>
            </w:r>
            <w:r w:rsidR="00D43DEE" w:rsidRPr="00712FD9">
              <w:rPr>
                <w:rFonts w:eastAsia="Times New Roman" w:cstheme="minorHAnsi"/>
                <w:b/>
                <w:bCs/>
                <w:color w:val="595959" w:themeColor="text1" w:themeTint="A6"/>
                <w:sz w:val="20"/>
                <w:szCs w:val="20"/>
                <w:lang w:eastAsia="en-AU"/>
              </w:rPr>
              <w:t>(KIAT)</w:t>
            </w:r>
          </w:p>
        </w:tc>
        <w:tc>
          <w:tcPr>
            <w:tcW w:w="1133" w:type="dxa"/>
            <w:tcBorders>
              <w:left w:val="single" w:sz="4" w:space="0" w:color="65C5B4" w:themeColor="accent1"/>
              <w:right w:val="single" w:sz="4" w:space="0" w:color="65C5B4" w:themeColor="accent1"/>
            </w:tcBorders>
            <w:shd w:val="clear" w:color="auto" w:fill="F2F2F2" w:themeFill="background1" w:themeFillShade="F2"/>
            <w:hideMark/>
          </w:tcPr>
          <w:p w14:paraId="1C1CE90E" w14:textId="77777777" w:rsidR="00111111" w:rsidRPr="00712FD9" w:rsidRDefault="00111111"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val="en-AU" w:eastAsia="en-AU"/>
              </w:rPr>
            </w:pPr>
            <w:r w:rsidRPr="00712FD9">
              <w:rPr>
                <w:rFonts w:eastAsia="Times New Roman" w:cstheme="minorHAnsi"/>
                <w:color w:val="595959" w:themeColor="text1" w:themeTint="A6"/>
                <w:sz w:val="20"/>
                <w:szCs w:val="20"/>
                <w:lang w:eastAsia="en-AU"/>
              </w:rPr>
              <w:t>2021</w:t>
            </w:r>
          </w:p>
        </w:tc>
        <w:tc>
          <w:tcPr>
            <w:tcW w:w="1275" w:type="dxa"/>
            <w:tcBorders>
              <w:left w:val="single" w:sz="4" w:space="0" w:color="65C5B4" w:themeColor="accent1"/>
              <w:right w:val="single" w:sz="4" w:space="0" w:color="65C5B4" w:themeColor="accent1"/>
            </w:tcBorders>
            <w:shd w:val="clear" w:color="auto" w:fill="F2F2F2" w:themeFill="background1" w:themeFillShade="F2"/>
            <w:noWrap/>
          </w:tcPr>
          <w:p w14:paraId="1C257BE7" w14:textId="79025971" w:rsidR="00111111"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val="en-AU" w:eastAsia="en-AU"/>
              </w:rPr>
            </w:pPr>
            <w:r w:rsidRPr="00712FD9">
              <w:rPr>
                <w:rFonts w:eastAsia="Times New Roman" w:cstheme="minorHAnsi"/>
                <w:color w:val="595959" w:themeColor="text1" w:themeTint="A6"/>
                <w:sz w:val="20"/>
                <w:szCs w:val="20"/>
                <w:lang w:val="en-AU" w:eastAsia="en-AU"/>
              </w:rPr>
              <w:t>5</w:t>
            </w:r>
          </w:p>
        </w:tc>
        <w:tc>
          <w:tcPr>
            <w:tcW w:w="1133" w:type="dxa"/>
            <w:tcBorders>
              <w:left w:val="single" w:sz="4" w:space="0" w:color="65C5B4" w:themeColor="accent1"/>
              <w:right w:val="single" w:sz="4" w:space="0" w:color="65C5B4" w:themeColor="accent1"/>
            </w:tcBorders>
            <w:shd w:val="clear" w:color="auto" w:fill="F2F2F2" w:themeFill="background1" w:themeFillShade="F2"/>
            <w:noWrap/>
          </w:tcPr>
          <w:p w14:paraId="650F2123" w14:textId="6A2E29CD" w:rsidR="00111111"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val="en-AU" w:eastAsia="en-AU"/>
              </w:rPr>
            </w:pPr>
            <w:r w:rsidRPr="00712FD9">
              <w:rPr>
                <w:rFonts w:eastAsia="Times New Roman" w:cstheme="minorHAnsi"/>
                <w:color w:val="595959" w:themeColor="text1" w:themeTint="A6"/>
                <w:sz w:val="20"/>
                <w:szCs w:val="20"/>
                <w:lang w:val="en-AU" w:eastAsia="en-AU"/>
              </w:rPr>
              <w:t>5</w:t>
            </w:r>
          </w:p>
        </w:tc>
        <w:tc>
          <w:tcPr>
            <w:tcW w:w="1275" w:type="dxa"/>
            <w:tcBorders>
              <w:left w:val="single" w:sz="4" w:space="0" w:color="65C5B4" w:themeColor="accent1"/>
              <w:right w:val="single" w:sz="4" w:space="0" w:color="65C5B4" w:themeColor="accent1"/>
            </w:tcBorders>
            <w:shd w:val="clear" w:color="auto" w:fill="F2F2F2" w:themeFill="background1" w:themeFillShade="F2"/>
            <w:noWrap/>
          </w:tcPr>
          <w:p w14:paraId="10771BDA" w14:textId="08069117" w:rsidR="00111111"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val="en-AU" w:eastAsia="en-AU"/>
              </w:rPr>
            </w:pPr>
            <w:r w:rsidRPr="00712FD9">
              <w:rPr>
                <w:rFonts w:eastAsia="Times New Roman" w:cstheme="minorHAnsi"/>
                <w:color w:val="595959" w:themeColor="text1" w:themeTint="A6"/>
                <w:sz w:val="20"/>
                <w:szCs w:val="20"/>
                <w:lang w:val="en-AU" w:eastAsia="en-AU"/>
              </w:rPr>
              <w:t>5</w:t>
            </w:r>
          </w:p>
        </w:tc>
      </w:tr>
      <w:tr w:rsidR="00111111" w:rsidRPr="00712FD9" w14:paraId="19864157"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top w:val="nil"/>
              <w:left w:val="single" w:sz="4" w:space="0" w:color="65C5B4" w:themeColor="accent1"/>
              <w:right w:val="single" w:sz="4" w:space="0" w:color="65C5B4" w:themeColor="accent1"/>
            </w:tcBorders>
            <w:shd w:val="clear" w:color="auto" w:fill="F2F2F2" w:themeFill="background1" w:themeFillShade="F2"/>
          </w:tcPr>
          <w:p w14:paraId="76167BD3" w14:textId="62C43616" w:rsidR="00111111" w:rsidRPr="00712FD9" w:rsidRDefault="00325DD6" w:rsidP="00591826">
            <w:pPr>
              <w:suppressAutoHyphens w:val="0"/>
              <w:spacing w:before="0" w:after="0" w:line="240" w:lineRule="auto"/>
              <w:ind w:firstLineChars="100" w:firstLine="200"/>
              <w:rPr>
                <w:rFonts w:eastAsia="Times New Roman" w:cstheme="minorHAnsi"/>
                <w:color w:val="595959" w:themeColor="text1" w:themeTint="A6"/>
                <w:sz w:val="20"/>
                <w:szCs w:val="20"/>
                <w:lang w:val="en-AU" w:eastAsia="en-AU"/>
              </w:rPr>
            </w:pPr>
            <w:r w:rsidRPr="00712FD9">
              <w:rPr>
                <w:rFonts w:eastAsia="Times New Roman" w:cstheme="minorHAnsi"/>
                <w:color w:val="595959" w:themeColor="text1" w:themeTint="A6"/>
                <w:sz w:val="20"/>
                <w:szCs w:val="20"/>
                <w:lang w:val="en-AU" w:eastAsia="en-AU"/>
              </w:rPr>
              <w:t xml:space="preserve">Investment duration: </w:t>
            </w:r>
            <w:r w:rsidR="00111111" w:rsidRPr="00712FD9">
              <w:rPr>
                <w:rFonts w:eastAsia="Times New Roman" w:cstheme="minorHAnsi"/>
                <w:color w:val="595959" w:themeColor="text1" w:themeTint="A6"/>
                <w:sz w:val="20"/>
                <w:szCs w:val="20"/>
                <w:lang w:val="en-AU" w:eastAsia="en-AU"/>
              </w:rPr>
              <w:t>20</w:t>
            </w:r>
            <w:r w:rsidR="00805614" w:rsidRPr="00712FD9">
              <w:rPr>
                <w:rFonts w:eastAsia="Times New Roman" w:cstheme="minorHAnsi"/>
                <w:color w:val="595959" w:themeColor="text1" w:themeTint="A6"/>
                <w:sz w:val="20"/>
                <w:szCs w:val="20"/>
                <w:lang w:val="en-AU" w:eastAsia="en-AU"/>
              </w:rPr>
              <w:t>16</w:t>
            </w:r>
            <w:r w:rsidR="00111111" w:rsidRPr="00712FD9">
              <w:rPr>
                <w:rFonts w:eastAsia="Times New Roman" w:cstheme="minorHAnsi"/>
                <w:color w:val="595959" w:themeColor="text1" w:themeTint="A6"/>
                <w:sz w:val="20"/>
                <w:szCs w:val="20"/>
                <w:lang w:val="en-AU" w:eastAsia="en-AU"/>
              </w:rPr>
              <w:t>-2021; Budget: $</w:t>
            </w:r>
            <w:r w:rsidR="00805614" w:rsidRPr="00712FD9">
              <w:rPr>
                <w:rFonts w:eastAsia="Times New Roman" w:cstheme="minorHAnsi"/>
                <w:color w:val="595959" w:themeColor="text1" w:themeTint="A6"/>
                <w:sz w:val="20"/>
                <w:szCs w:val="20"/>
                <w:lang w:val="en-AU" w:eastAsia="en-AU"/>
              </w:rPr>
              <w:t xml:space="preserve">107.1 </w:t>
            </w:r>
            <w:r w:rsidR="00111111" w:rsidRPr="00712FD9">
              <w:rPr>
                <w:rFonts w:eastAsia="Times New Roman" w:cstheme="minorHAnsi"/>
                <w:color w:val="595959" w:themeColor="text1" w:themeTint="A6"/>
                <w:sz w:val="20"/>
                <w:szCs w:val="20"/>
                <w:lang w:val="en-AU" w:eastAsia="en-AU"/>
              </w:rPr>
              <w:t xml:space="preserve">m </w:t>
            </w:r>
          </w:p>
          <w:p w14:paraId="384B0E2F" w14:textId="1C727585" w:rsidR="00111111" w:rsidRPr="00712FD9" w:rsidRDefault="00111111" w:rsidP="00591826">
            <w:pPr>
              <w:suppressAutoHyphens w:val="0"/>
              <w:spacing w:before="0" w:after="0" w:line="240" w:lineRule="auto"/>
              <w:ind w:firstLineChars="100" w:firstLine="200"/>
              <w:rPr>
                <w:rFonts w:eastAsia="Times New Roman" w:cstheme="minorHAnsi"/>
                <w:color w:val="595959" w:themeColor="text1" w:themeTint="A6"/>
                <w:sz w:val="20"/>
                <w:szCs w:val="20"/>
                <w:lang w:val="en-AU" w:eastAsia="en-AU"/>
              </w:rPr>
            </w:pPr>
          </w:p>
        </w:tc>
        <w:tc>
          <w:tcPr>
            <w:tcW w:w="1133" w:type="dxa"/>
            <w:tcBorders>
              <w:left w:val="single" w:sz="4" w:space="0" w:color="65C5B4" w:themeColor="accent1"/>
              <w:right w:val="single" w:sz="4" w:space="0" w:color="65C5B4" w:themeColor="accent1"/>
            </w:tcBorders>
            <w:shd w:val="clear" w:color="auto" w:fill="F2F2F2" w:themeFill="background1" w:themeFillShade="F2"/>
            <w:hideMark/>
          </w:tcPr>
          <w:p w14:paraId="326BE868" w14:textId="77777777" w:rsidR="00111111" w:rsidRPr="00712FD9" w:rsidRDefault="00111111"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2020</w:t>
            </w:r>
          </w:p>
        </w:tc>
        <w:tc>
          <w:tcPr>
            <w:tcW w:w="1275" w:type="dxa"/>
            <w:tcBorders>
              <w:left w:val="single" w:sz="4" w:space="0" w:color="65C5B4" w:themeColor="accent1"/>
              <w:right w:val="single" w:sz="4" w:space="0" w:color="65C5B4" w:themeColor="accent1"/>
            </w:tcBorders>
            <w:shd w:val="clear" w:color="auto" w:fill="F2F2F2" w:themeFill="background1" w:themeFillShade="F2"/>
            <w:noWrap/>
          </w:tcPr>
          <w:p w14:paraId="70BFB49F" w14:textId="7EF8DD3E" w:rsidR="00111111"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c>
          <w:tcPr>
            <w:tcW w:w="1133" w:type="dxa"/>
            <w:tcBorders>
              <w:left w:val="single" w:sz="4" w:space="0" w:color="65C5B4" w:themeColor="accent1"/>
              <w:right w:val="single" w:sz="4" w:space="0" w:color="65C5B4" w:themeColor="accent1"/>
            </w:tcBorders>
            <w:shd w:val="clear" w:color="auto" w:fill="F2F2F2" w:themeFill="background1" w:themeFillShade="F2"/>
            <w:noWrap/>
          </w:tcPr>
          <w:p w14:paraId="0581259C" w14:textId="2C4C9513" w:rsidR="00111111"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c>
          <w:tcPr>
            <w:tcW w:w="1275" w:type="dxa"/>
            <w:tcBorders>
              <w:left w:val="single" w:sz="4" w:space="0" w:color="65C5B4" w:themeColor="accent1"/>
              <w:right w:val="single" w:sz="4" w:space="0" w:color="65C5B4" w:themeColor="accent1"/>
            </w:tcBorders>
            <w:shd w:val="clear" w:color="auto" w:fill="F2F2F2" w:themeFill="background1" w:themeFillShade="F2"/>
            <w:noWrap/>
          </w:tcPr>
          <w:p w14:paraId="468C903D" w14:textId="10FFD5FE" w:rsidR="00111111"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r>
      <w:tr w:rsidR="00805614" w:rsidRPr="00712FD9" w14:paraId="7CE43608"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left w:val="single" w:sz="4" w:space="0" w:color="65C5B4" w:themeColor="accent1"/>
              <w:bottom w:val="nil"/>
              <w:right w:val="single" w:sz="4" w:space="0" w:color="65C5B4" w:themeColor="accent1"/>
            </w:tcBorders>
            <w:shd w:val="clear" w:color="auto" w:fill="E0F3EF" w:themeFill="accent1" w:themeFillTint="33"/>
            <w:noWrap/>
            <w:vAlign w:val="bottom"/>
          </w:tcPr>
          <w:p w14:paraId="4E855D87" w14:textId="4CAF443B" w:rsidR="00805614" w:rsidRPr="00712FD9" w:rsidRDefault="00805614" w:rsidP="00591826">
            <w:pPr>
              <w:suppressAutoHyphens w:val="0"/>
              <w:spacing w:before="0" w:after="0" w:line="240" w:lineRule="auto"/>
              <w:rPr>
                <w:rFonts w:eastAsia="Times New Roman" w:cstheme="minorHAnsi"/>
                <w:b/>
                <w:bCs/>
                <w:color w:val="595959" w:themeColor="text1" w:themeTint="A6"/>
                <w:sz w:val="20"/>
                <w:szCs w:val="20"/>
                <w:lang w:eastAsia="en-AU"/>
              </w:rPr>
            </w:pPr>
            <w:r w:rsidRPr="00712FD9">
              <w:rPr>
                <w:rFonts w:eastAsia="Times New Roman" w:cstheme="minorHAnsi"/>
                <w:b/>
                <w:bCs/>
                <w:color w:val="595959" w:themeColor="text1" w:themeTint="A6"/>
                <w:sz w:val="20"/>
                <w:szCs w:val="20"/>
                <w:lang w:eastAsia="en-AU"/>
              </w:rPr>
              <w:t>MDB Infrastructure Assistance Program</w:t>
            </w:r>
          </w:p>
        </w:tc>
        <w:tc>
          <w:tcPr>
            <w:tcW w:w="1133" w:type="dxa"/>
            <w:tcBorders>
              <w:left w:val="single" w:sz="4" w:space="0" w:color="65C5B4" w:themeColor="accent1"/>
              <w:right w:val="single" w:sz="4" w:space="0" w:color="65C5B4" w:themeColor="accent1"/>
            </w:tcBorders>
            <w:shd w:val="clear" w:color="auto" w:fill="E0F3EF" w:themeFill="accent1" w:themeFillTint="33"/>
            <w:hideMark/>
          </w:tcPr>
          <w:p w14:paraId="6D61E359" w14:textId="77777777"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2021</w:t>
            </w:r>
          </w:p>
        </w:tc>
        <w:tc>
          <w:tcPr>
            <w:tcW w:w="1275" w:type="dxa"/>
            <w:tcBorders>
              <w:left w:val="single" w:sz="4" w:space="0" w:color="65C5B4" w:themeColor="accent1"/>
              <w:right w:val="single" w:sz="4" w:space="0" w:color="65C5B4" w:themeColor="accent1"/>
            </w:tcBorders>
            <w:shd w:val="clear" w:color="auto" w:fill="E0F3EF" w:themeFill="accent1" w:themeFillTint="33"/>
            <w:noWrap/>
            <w:vAlign w:val="center"/>
          </w:tcPr>
          <w:p w14:paraId="5F5BCF55" w14:textId="0C9C1EC1"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c>
          <w:tcPr>
            <w:tcW w:w="1133" w:type="dxa"/>
            <w:tcBorders>
              <w:left w:val="single" w:sz="4" w:space="0" w:color="65C5B4" w:themeColor="accent1"/>
              <w:right w:val="single" w:sz="4" w:space="0" w:color="65C5B4" w:themeColor="accent1"/>
            </w:tcBorders>
            <w:shd w:val="clear" w:color="auto" w:fill="E0F3EF" w:themeFill="accent1" w:themeFillTint="33"/>
            <w:noWrap/>
            <w:vAlign w:val="center"/>
          </w:tcPr>
          <w:p w14:paraId="602DCF69" w14:textId="5C5498EB"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c>
          <w:tcPr>
            <w:tcW w:w="1275" w:type="dxa"/>
            <w:tcBorders>
              <w:left w:val="single" w:sz="4" w:space="0" w:color="65C5B4" w:themeColor="accent1"/>
              <w:right w:val="single" w:sz="4" w:space="0" w:color="65C5B4" w:themeColor="accent1"/>
            </w:tcBorders>
            <w:shd w:val="clear" w:color="auto" w:fill="E0F3EF" w:themeFill="accent1" w:themeFillTint="33"/>
            <w:noWrap/>
            <w:vAlign w:val="center"/>
          </w:tcPr>
          <w:p w14:paraId="587ADFB0" w14:textId="347B622A"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3</w:t>
            </w:r>
          </w:p>
        </w:tc>
      </w:tr>
      <w:tr w:rsidR="00805614" w:rsidRPr="00712FD9" w14:paraId="319619C7"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top w:val="nil"/>
              <w:left w:val="single" w:sz="4" w:space="0" w:color="65C5B4" w:themeColor="accent1"/>
              <w:right w:val="single" w:sz="4" w:space="0" w:color="65C5B4" w:themeColor="accent1"/>
            </w:tcBorders>
            <w:shd w:val="clear" w:color="auto" w:fill="E0F3EF" w:themeFill="accent1" w:themeFillTint="33"/>
            <w:vAlign w:val="center"/>
          </w:tcPr>
          <w:p w14:paraId="59F9BB9A" w14:textId="1C5BC4A8" w:rsidR="00805614" w:rsidRPr="00712FD9" w:rsidRDefault="00325DD6" w:rsidP="00591826">
            <w:pPr>
              <w:suppressAutoHyphens w:val="0"/>
              <w:spacing w:before="0" w:after="0" w:line="240" w:lineRule="auto"/>
              <w:ind w:firstLineChars="100" w:firstLine="200"/>
              <w:rPr>
                <w:rFonts w:eastAsia="Times New Roman" w:cstheme="minorHAnsi"/>
                <w:color w:val="595959" w:themeColor="text1" w:themeTint="A6"/>
                <w:sz w:val="20"/>
                <w:szCs w:val="20"/>
                <w:lang w:val="en-AU" w:eastAsia="en-AU"/>
              </w:rPr>
            </w:pPr>
            <w:r w:rsidRPr="00712FD9">
              <w:rPr>
                <w:rFonts w:eastAsia="Times New Roman" w:cstheme="minorHAnsi"/>
                <w:color w:val="595959" w:themeColor="text1" w:themeTint="A6"/>
                <w:sz w:val="20"/>
                <w:szCs w:val="20"/>
                <w:lang w:val="en-AU" w:eastAsia="en-AU"/>
              </w:rPr>
              <w:t xml:space="preserve">Investment duration: </w:t>
            </w:r>
            <w:r w:rsidR="00805614" w:rsidRPr="00712FD9">
              <w:rPr>
                <w:rFonts w:eastAsia="Times New Roman" w:cstheme="minorHAnsi"/>
                <w:color w:val="595959" w:themeColor="text1" w:themeTint="A6"/>
                <w:sz w:val="20"/>
                <w:szCs w:val="20"/>
                <w:lang w:val="en-AU" w:eastAsia="en-AU"/>
              </w:rPr>
              <w:t xml:space="preserve">2013-2021; Budget:  $56.4m </w:t>
            </w:r>
          </w:p>
        </w:tc>
        <w:tc>
          <w:tcPr>
            <w:tcW w:w="1133" w:type="dxa"/>
            <w:tcBorders>
              <w:left w:val="single" w:sz="4" w:space="0" w:color="65C5B4" w:themeColor="accent1"/>
              <w:right w:val="single" w:sz="4" w:space="0" w:color="65C5B4" w:themeColor="accent1"/>
            </w:tcBorders>
            <w:shd w:val="clear" w:color="auto" w:fill="E0F3EF" w:themeFill="accent1" w:themeFillTint="33"/>
            <w:hideMark/>
          </w:tcPr>
          <w:p w14:paraId="5C9EF5F5" w14:textId="77777777"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2020</w:t>
            </w:r>
          </w:p>
        </w:tc>
        <w:tc>
          <w:tcPr>
            <w:tcW w:w="1275" w:type="dxa"/>
            <w:tcBorders>
              <w:left w:val="single" w:sz="4" w:space="0" w:color="65C5B4" w:themeColor="accent1"/>
              <w:right w:val="single" w:sz="4" w:space="0" w:color="65C5B4" w:themeColor="accent1"/>
            </w:tcBorders>
            <w:shd w:val="clear" w:color="auto" w:fill="E0F3EF" w:themeFill="accent1" w:themeFillTint="33"/>
            <w:noWrap/>
            <w:vAlign w:val="center"/>
          </w:tcPr>
          <w:p w14:paraId="594EB13D" w14:textId="7C71A338"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c>
          <w:tcPr>
            <w:tcW w:w="1133" w:type="dxa"/>
            <w:tcBorders>
              <w:left w:val="single" w:sz="4" w:space="0" w:color="65C5B4" w:themeColor="accent1"/>
              <w:right w:val="single" w:sz="4" w:space="0" w:color="65C5B4" w:themeColor="accent1"/>
            </w:tcBorders>
            <w:shd w:val="clear" w:color="auto" w:fill="E0F3EF" w:themeFill="accent1" w:themeFillTint="33"/>
            <w:noWrap/>
            <w:vAlign w:val="center"/>
          </w:tcPr>
          <w:p w14:paraId="3AF246F4" w14:textId="2E8FA3DD"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c>
          <w:tcPr>
            <w:tcW w:w="1275" w:type="dxa"/>
            <w:tcBorders>
              <w:left w:val="single" w:sz="4" w:space="0" w:color="65C5B4" w:themeColor="accent1"/>
              <w:right w:val="single" w:sz="4" w:space="0" w:color="65C5B4" w:themeColor="accent1"/>
            </w:tcBorders>
            <w:shd w:val="clear" w:color="auto" w:fill="E0F3EF" w:themeFill="accent1" w:themeFillTint="33"/>
            <w:noWrap/>
            <w:vAlign w:val="center"/>
          </w:tcPr>
          <w:p w14:paraId="7B98D7A7" w14:textId="578E2D53"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3</w:t>
            </w:r>
          </w:p>
        </w:tc>
      </w:tr>
      <w:tr w:rsidR="00805614" w:rsidRPr="00712FD9" w14:paraId="2781C4B7"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left w:val="single" w:sz="4" w:space="0" w:color="65C5B4" w:themeColor="accent1"/>
              <w:bottom w:val="nil"/>
              <w:right w:val="single" w:sz="4" w:space="0" w:color="65C5B4" w:themeColor="accent1"/>
            </w:tcBorders>
            <w:shd w:val="clear" w:color="auto" w:fill="F2F2F2" w:themeFill="background1" w:themeFillShade="F2"/>
            <w:vAlign w:val="center"/>
          </w:tcPr>
          <w:p w14:paraId="6667C7B9" w14:textId="58D47CF0" w:rsidR="00805614" w:rsidRPr="00712FD9" w:rsidRDefault="00805614" w:rsidP="00591826">
            <w:pPr>
              <w:suppressAutoHyphens w:val="0"/>
              <w:spacing w:before="0" w:after="0" w:line="240" w:lineRule="auto"/>
              <w:rPr>
                <w:rFonts w:eastAsia="Times New Roman" w:cstheme="minorHAnsi"/>
                <w:b/>
                <w:bCs/>
                <w:color w:val="595959" w:themeColor="text1" w:themeTint="A6"/>
                <w:sz w:val="20"/>
                <w:szCs w:val="20"/>
                <w:lang w:eastAsia="en-AU"/>
              </w:rPr>
            </w:pPr>
            <w:r w:rsidRPr="00712FD9">
              <w:rPr>
                <w:rFonts w:eastAsia="Times New Roman" w:cstheme="minorHAnsi"/>
                <w:b/>
                <w:bCs/>
                <w:color w:val="595959" w:themeColor="text1" w:themeTint="A6"/>
                <w:sz w:val="20"/>
                <w:szCs w:val="20"/>
                <w:lang w:eastAsia="en-AU"/>
              </w:rPr>
              <w:t xml:space="preserve">Provincial Road Improvement &amp; Maintenance (PRIM) </w:t>
            </w:r>
          </w:p>
        </w:tc>
        <w:tc>
          <w:tcPr>
            <w:tcW w:w="1133" w:type="dxa"/>
            <w:tcBorders>
              <w:left w:val="single" w:sz="4" w:space="0" w:color="65C5B4" w:themeColor="accent1"/>
              <w:right w:val="single" w:sz="4" w:space="0" w:color="65C5B4" w:themeColor="accent1"/>
            </w:tcBorders>
            <w:shd w:val="clear" w:color="auto" w:fill="F2F2F2" w:themeFill="background1" w:themeFillShade="F2"/>
            <w:hideMark/>
          </w:tcPr>
          <w:p w14:paraId="3665FBA5" w14:textId="77777777"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2021</w:t>
            </w:r>
          </w:p>
        </w:tc>
        <w:tc>
          <w:tcPr>
            <w:tcW w:w="1275"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0173B0F4" w14:textId="40C29B82"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6</w:t>
            </w:r>
          </w:p>
        </w:tc>
        <w:tc>
          <w:tcPr>
            <w:tcW w:w="1133"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4E58231B" w14:textId="04D49AEE"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c>
          <w:tcPr>
            <w:tcW w:w="1275"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2647B1EE" w14:textId="6B4841A0"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r>
      <w:tr w:rsidR="00805614" w:rsidRPr="00712FD9" w14:paraId="54F4CEB0"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top w:val="nil"/>
              <w:left w:val="single" w:sz="4" w:space="0" w:color="65C5B4" w:themeColor="accent1"/>
              <w:right w:val="single" w:sz="4" w:space="0" w:color="65C5B4" w:themeColor="accent1"/>
            </w:tcBorders>
            <w:shd w:val="clear" w:color="auto" w:fill="F2F2F2" w:themeFill="background1" w:themeFillShade="F2"/>
            <w:vAlign w:val="center"/>
          </w:tcPr>
          <w:p w14:paraId="38645E5F" w14:textId="74F8922A" w:rsidR="00805614" w:rsidRPr="00712FD9" w:rsidRDefault="00325DD6" w:rsidP="00591826">
            <w:pPr>
              <w:suppressAutoHyphens w:val="0"/>
              <w:spacing w:before="0" w:after="0" w:line="240" w:lineRule="auto"/>
              <w:ind w:firstLineChars="100" w:firstLine="200"/>
              <w:rPr>
                <w:rFonts w:eastAsia="Times New Roman" w:cstheme="minorHAnsi"/>
                <w:color w:val="595959" w:themeColor="text1" w:themeTint="A6"/>
                <w:sz w:val="20"/>
                <w:szCs w:val="20"/>
                <w:lang w:val="en-AU" w:eastAsia="en-AU"/>
              </w:rPr>
            </w:pPr>
            <w:r w:rsidRPr="00712FD9">
              <w:rPr>
                <w:rFonts w:eastAsia="Times New Roman" w:cstheme="minorHAnsi"/>
                <w:color w:val="595959" w:themeColor="text1" w:themeTint="A6"/>
                <w:sz w:val="20"/>
                <w:szCs w:val="20"/>
                <w:lang w:val="en-AU" w:eastAsia="en-AU"/>
              </w:rPr>
              <w:t xml:space="preserve">Investment duration: </w:t>
            </w:r>
            <w:r w:rsidR="00805614" w:rsidRPr="00712FD9">
              <w:rPr>
                <w:rFonts w:eastAsia="Times New Roman" w:cstheme="minorHAnsi"/>
                <w:color w:val="595959" w:themeColor="text1" w:themeTint="A6"/>
                <w:sz w:val="20"/>
                <w:szCs w:val="20"/>
                <w:lang w:val="en-AU" w:eastAsia="en-AU"/>
              </w:rPr>
              <w:t>2014-</w:t>
            </w:r>
            <w:proofErr w:type="gramStart"/>
            <w:r w:rsidR="00805614" w:rsidRPr="00712FD9">
              <w:rPr>
                <w:rFonts w:eastAsia="Times New Roman" w:cstheme="minorHAnsi"/>
                <w:color w:val="595959" w:themeColor="text1" w:themeTint="A6"/>
                <w:sz w:val="20"/>
                <w:szCs w:val="20"/>
                <w:lang w:val="en-AU" w:eastAsia="en-AU"/>
              </w:rPr>
              <w:t xml:space="preserve">2021; </w:t>
            </w:r>
            <w:r w:rsidR="001A441E" w:rsidRPr="00712FD9">
              <w:rPr>
                <w:rFonts w:eastAsia="Times New Roman" w:cstheme="minorHAnsi"/>
                <w:color w:val="595959" w:themeColor="text1" w:themeTint="A6"/>
                <w:sz w:val="20"/>
                <w:szCs w:val="20"/>
                <w:lang w:val="en-AU" w:eastAsia="en-AU"/>
              </w:rPr>
              <w:t xml:space="preserve"> </w:t>
            </w:r>
            <w:r w:rsidR="00805614" w:rsidRPr="00712FD9">
              <w:rPr>
                <w:rFonts w:eastAsia="Times New Roman" w:cstheme="minorHAnsi"/>
                <w:color w:val="595959" w:themeColor="text1" w:themeTint="A6"/>
                <w:sz w:val="20"/>
                <w:szCs w:val="20"/>
                <w:lang w:val="en-AU" w:eastAsia="en-AU"/>
              </w:rPr>
              <w:t>Budget</w:t>
            </w:r>
            <w:proofErr w:type="gramEnd"/>
            <w:r w:rsidR="00805614" w:rsidRPr="00712FD9">
              <w:rPr>
                <w:rFonts w:eastAsia="Times New Roman" w:cstheme="minorHAnsi"/>
                <w:color w:val="595959" w:themeColor="text1" w:themeTint="A6"/>
                <w:sz w:val="20"/>
                <w:szCs w:val="20"/>
                <w:lang w:val="en-AU" w:eastAsia="en-AU"/>
              </w:rPr>
              <w:t xml:space="preserve">:  $37.7m </w:t>
            </w:r>
          </w:p>
        </w:tc>
        <w:tc>
          <w:tcPr>
            <w:tcW w:w="1133" w:type="dxa"/>
            <w:tcBorders>
              <w:left w:val="single" w:sz="4" w:space="0" w:color="65C5B4" w:themeColor="accent1"/>
              <w:right w:val="single" w:sz="4" w:space="0" w:color="65C5B4" w:themeColor="accent1"/>
            </w:tcBorders>
            <w:shd w:val="clear" w:color="auto" w:fill="F2F2F2" w:themeFill="background1" w:themeFillShade="F2"/>
            <w:hideMark/>
          </w:tcPr>
          <w:p w14:paraId="7D853DB2" w14:textId="77777777"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2020</w:t>
            </w:r>
          </w:p>
        </w:tc>
        <w:tc>
          <w:tcPr>
            <w:tcW w:w="1275"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7B9CD809" w14:textId="4E0A748F"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6</w:t>
            </w:r>
          </w:p>
        </w:tc>
        <w:tc>
          <w:tcPr>
            <w:tcW w:w="1133"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4B18D392" w14:textId="02267F46"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c>
          <w:tcPr>
            <w:tcW w:w="1275"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12795D16" w14:textId="19ED546F"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r>
      <w:tr w:rsidR="00805614" w:rsidRPr="00712FD9" w14:paraId="76F4D2AC" w14:textId="77777777" w:rsidTr="00755DB2">
        <w:trPr>
          <w:cnfStyle w:val="100000000000" w:firstRow="1" w:lastRow="0" w:firstColumn="0" w:lastColumn="0" w:oddVBand="0" w:evenVBand="0" w:oddHBand="0" w:evenHBand="0" w:firstRowFirstColumn="0" w:firstRowLastColumn="0" w:lastRowFirstColumn="0" w:lastRowLastColumn="0"/>
          <w:trHeight w:hRule="exact" w:val="341"/>
          <w:tblHeader/>
        </w:trPr>
        <w:tc>
          <w:tcPr>
            <w:cnfStyle w:val="001000000000" w:firstRow="0" w:lastRow="0" w:firstColumn="1" w:lastColumn="0" w:oddVBand="0" w:evenVBand="0" w:oddHBand="0" w:evenHBand="0" w:firstRowFirstColumn="0" w:firstRowLastColumn="0" w:lastRowFirstColumn="0" w:lastRowLastColumn="0"/>
            <w:tcW w:w="5804" w:type="dxa"/>
            <w:tcBorders>
              <w:left w:val="single" w:sz="4" w:space="0" w:color="65C5B4" w:themeColor="accent1"/>
              <w:bottom w:val="nil"/>
              <w:right w:val="single" w:sz="4" w:space="0" w:color="65C5B4" w:themeColor="accent1"/>
            </w:tcBorders>
            <w:shd w:val="clear" w:color="auto" w:fill="E0F3EF" w:themeFill="accent1" w:themeFillTint="33"/>
            <w:vAlign w:val="center"/>
          </w:tcPr>
          <w:p w14:paraId="4EAA0A88" w14:textId="7401EE19" w:rsidR="00805614" w:rsidRPr="00712FD9" w:rsidRDefault="00805614" w:rsidP="00591826">
            <w:pPr>
              <w:suppressAutoHyphens w:val="0"/>
              <w:spacing w:before="0" w:after="0" w:line="240" w:lineRule="auto"/>
              <w:rPr>
                <w:rFonts w:eastAsia="Times New Roman" w:cstheme="minorHAnsi"/>
                <w:color w:val="595959" w:themeColor="text1" w:themeTint="A6"/>
                <w:sz w:val="20"/>
                <w:szCs w:val="20"/>
                <w:lang w:val="en-AU" w:eastAsia="en-AU"/>
              </w:rPr>
            </w:pPr>
            <w:r w:rsidRPr="00712FD9">
              <w:rPr>
                <w:rFonts w:eastAsia="Times New Roman" w:cstheme="minorHAnsi"/>
                <w:b/>
                <w:bCs/>
                <w:color w:val="595959" w:themeColor="text1" w:themeTint="A6"/>
                <w:sz w:val="20"/>
                <w:szCs w:val="20"/>
                <w:lang w:eastAsia="en-AU"/>
              </w:rPr>
              <w:t>Water and Sanitation Hibah Phase 2</w:t>
            </w:r>
          </w:p>
        </w:tc>
        <w:tc>
          <w:tcPr>
            <w:tcW w:w="1133" w:type="dxa"/>
            <w:tcBorders>
              <w:left w:val="single" w:sz="4" w:space="0" w:color="65C5B4" w:themeColor="accent1"/>
              <w:right w:val="single" w:sz="4" w:space="0" w:color="65C5B4" w:themeColor="accent1"/>
            </w:tcBorders>
            <w:shd w:val="clear" w:color="auto" w:fill="E0F3EF" w:themeFill="accent1" w:themeFillTint="33"/>
            <w:hideMark/>
          </w:tcPr>
          <w:p w14:paraId="6C62E004" w14:textId="77777777"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2021</w:t>
            </w:r>
          </w:p>
        </w:tc>
        <w:tc>
          <w:tcPr>
            <w:tcW w:w="1275" w:type="dxa"/>
            <w:tcBorders>
              <w:left w:val="single" w:sz="4" w:space="0" w:color="65C5B4" w:themeColor="accent1"/>
              <w:right w:val="single" w:sz="4" w:space="0" w:color="65C5B4" w:themeColor="accent1"/>
            </w:tcBorders>
            <w:shd w:val="clear" w:color="auto" w:fill="E0F3EF" w:themeFill="accent1" w:themeFillTint="33"/>
            <w:noWrap/>
            <w:vAlign w:val="center"/>
          </w:tcPr>
          <w:p w14:paraId="2838E6C6" w14:textId="588C064E"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c>
          <w:tcPr>
            <w:tcW w:w="1133" w:type="dxa"/>
            <w:tcBorders>
              <w:left w:val="single" w:sz="4" w:space="0" w:color="65C5B4" w:themeColor="accent1"/>
              <w:right w:val="single" w:sz="4" w:space="0" w:color="65C5B4" w:themeColor="accent1"/>
            </w:tcBorders>
            <w:shd w:val="clear" w:color="auto" w:fill="E0F3EF" w:themeFill="accent1" w:themeFillTint="33"/>
            <w:noWrap/>
            <w:vAlign w:val="center"/>
          </w:tcPr>
          <w:p w14:paraId="29FA145F" w14:textId="0EDAC00C"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c>
          <w:tcPr>
            <w:tcW w:w="1275" w:type="dxa"/>
            <w:tcBorders>
              <w:left w:val="single" w:sz="4" w:space="0" w:color="65C5B4" w:themeColor="accent1"/>
              <w:right w:val="single" w:sz="4" w:space="0" w:color="65C5B4" w:themeColor="accent1"/>
            </w:tcBorders>
            <w:shd w:val="clear" w:color="auto" w:fill="E0F3EF" w:themeFill="accent1" w:themeFillTint="33"/>
            <w:noWrap/>
            <w:vAlign w:val="center"/>
          </w:tcPr>
          <w:p w14:paraId="79EC3D33" w14:textId="79063A70"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r>
      <w:tr w:rsidR="00805614" w:rsidRPr="00712FD9" w14:paraId="216AB3FB"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top w:val="nil"/>
              <w:left w:val="single" w:sz="4" w:space="0" w:color="65C5B4" w:themeColor="accent1"/>
              <w:right w:val="single" w:sz="4" w:space="0" w:color="65C5B4" w:themeColor="accent1"/>
            </w:tcBorders>
            <w:shd w:val="clear" w:color="auto" w:fill="E0F3EF" w:themeFill="accent1" w:themeFillTint="33"/>
            <w:vAlign w:val="center"/>
          </w:tcPr>
          <w:p w14:paraId="29430826" w14:textId="148580A8" w:rsidR="00805614" w:rsidRPr="00712FD9" w:rsidRDefault="00325DD6" w:rsidP="00591826">
            <w:pPr>
              <w:suppressAutoHyphens w:val="0"/>
              <w:spacing w:before="0" w:after="0" w:line="240" w:lineRule="auto"/>
              <w:ind w:firstLineChars="100" w:firstLine="200"/>
              <w:rPr>
                <w:rFonts w:eastAsia="Times New Roman" w:cstheme="minorHAnsi"/>
                <w:color w:val="595959" w:themeColor="text1" w:themeTint="A6"/>
                <w:sz w:val="20"/>
                <w:szCs w:val="20"/>
                <w:lang w:val="en-AU" w:eastAsia="en-AU"/>
              </w:rPr>
            </w:pPr>
            <w:r w:rsidRPr="00712FD9">
              <w:rPr>
                <w:rFonts w:eastAsia="Times New Roman" w:cstheme="minorHAnsi"/>
                <w:color w:val="595959" w:themeColor="text1" w:themeTint="A6"/>
                <w:sz w:val="20"/>
                <w:szCs w:val="20"/>
                <w:lang w:val="en-AU" w:eastAsia="en-AU"/>
              </w:rPr>
              <w:t xml:space="preserve">Investment duration: </w:t>
            </w:r>
            <w:r w:rsidR="00805614" w:rsidRPr="00712FD9">
              <w:rPr>
                <w:rFonts w:eastAsia="Times New Roman" w:cstheme="minorHAnsi"/>
                <w:color w:val="595959" w:themeColor="text1" w:themeTint="A6"/>
                <w:sz w:val="20"/>
                <w:szCs w:val="20"/>
                <w:lang w:val="en-AU" w:eastAsia="en-AU"/>
              </w:rPr>
              <w:t>2009-</w:t>
            </w:r>
            <w:proofErr w:type="gramStart"/>
            <w:r w:rsidR="00805614" w:rsidRPr="00712FD9">
              <w:rPr>
                <w:rFonts w:eastAsia="Times New Roman" w:cstheme="minorHAnsi"/>
                <w:color w:val="595959" w:themeColor="text1" w:themeTint="A6"/>
                <w:sz w:val="20"/>
                <w:szCs w:val="20"/>
                <w:lang w:val="en-AU" w:eastAsia="en-AU"/>
              </w:rPr>
              <w:t xml:space="preserve">2022; </w:t>
            </w:r>
            <w:r w:rsidR="001A441E" w:rsidRPr="00712FD9">
              <w:rPr>
                <w:rFonts w:eastAsia="Times New Roman" w:cstheme="minorHAnsi"/>
                <w:color w:val="595959" w:themeColor="text1" w:themeTint="A6"/>
                <w:sz w:val="20"/>
                <w:szCs w:val="20"/>
                <w:lang w:val="en-AU" w:eastAsia="en-AU"/>
              </w:rPr>
              <w:t xml:space="preserve"> </w:t>
            </w:r>
            <w:r w:rsidR="00805614" w:rsidRPr="00712FD9">
              <w:rPr>
                <w:rFonts w:eastAsia="Times New Roman" w:cstheme="minorHAnsi"/>
                <w:color w:val="595959" w:themeColor="text1" w:themeTint="A6"/>
                <w:sz w:val="20"/>
                <w:szCs w:val="20"/>
                <w:lang w:val="en-AU" w:eastAsia="en-AU"/>
              </w:rPr>
              <w:t>Budget</w:t>
            </w:r>
            <w:proofErr w:type="gramEnd"/>
            <w:r w:rsidR="00805614" w:rsidRPr="00712FD9">
              <w:rPr>
                <w:rFonts w:eastAsia="Times New Roman" w:cstheme="minorHAnsi"/>
                <w:color w:val="595959" w:themeColor="text1" w:themeTint="A6"/>
                <w:sz w:val="20"/>
                <w:szCs w:val="20"/>
                <w:lang w:val="en-AU" w:eastAsia="en-AU"/>
              </w:rPr>
              <w:t xml:space="preserve">:  $119.7m </w:t>
            </w:r>
          </w:p>
        </w:tc>
        <w:tc>
          <w:tcPr>
            <w:tcW w:w="1133" w:type="dxa"/>
            <w:tcBorders>
              <w:left w:val="single" w:sz="4" w:space="0" w:color="65C5B4" w:themeColor="accent1"/>
              <w:right w:val="single" w:sz="4" w:space="0" w:color="65C5B4" w:themeColor="accent1"/>
            </w:tcBorders>
            <w:shd w:val="clear" w:color="auto" w:fill="E0F3EF" w:themeFill="accent1" w:themeFillTint="33"/>
            <w:hideMark/>
          </w:tcPr>
          <w:p w14:paraId="0B9C506E" w14:textId="77777777"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2020</w:t>
            </w:r>
          </w:p>
        </w:tc>
        <w:tc>
          <w:tcPr>
            <w:tcW w:w="1275" w:type="dxa"/>
            <w:tcBorders>
              <w:left w:val="single" w:sz="4" w:space="0" w:color="65C5B4" w:themeColor="accent1"/>
              <w:right w:val="single" w:sz="4" w:space="0" w:color="65C5B4" w:themeColor="accent1"/>
            </w:tcBorders>
            <w:shd w:val="clear" w:color="auto" w:fill="E0F3EF" w:themeFill="accent1" w:themeFillTint="33"/>
            <w:noWrap/>
            <w:vAlign w:val="center"/>
          </w:tcPr>
          <w:p w14:paraId="06C64F66" w14:textId="7EFCCFB9"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c>
          <w:tcPr>
            <w:tcW w:w="1133" w:type="dxa"/>
            <w:tcBorders>
              <w:left w:val="single" w:sz="4" w:space="0" w:color="65C5B4" w:themeColor="accent1"/>
              <w:right w:val="single" w:sz="4" w:space="0" w:color="65C5B4" w:themeColor="accent1"/>
            </w:tcBorders>
            <w:shd w:val="clear" w:color="auto" w:fill="E0F3EF" w:themeFill="accent1" w:themeFillTint="33"/>
            <w:noWrap/>
            <w:vAlign w:val="center"/>
          </w:tcPr>
          <w:p w14:paraId="00E0C1D1" w14:textId="43B9E1EB"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3</w:t>
            </w:r>
          </w:p>
        </w:tc>
        <w:tc>
          <w:tcPr>
            <w:tcW w:w="1275" w:type="dxa"/>
            <w:tcBorders>
              <w:left w:val="single" w:sz="4" w:space="0" w:color="65C5B4" w:themeColor="accent1"/>
              <w:right w:val="single" w:sz="4" w:space="0" w:color="65C5B4" w:themeColor="accent1"/>
            </w:tcBorders>
            <w:shd w:val="clear" w:color="auto" w:fill="E0F3EF" w:themeFill="accent1" w:themeFillTint="33"/>
            <w:noWrap/>
            <w:vAlign w:val="center"/>
          </w:tcPr>
          <w:p w14:paraId="49782686" w14:textId="4D1CDBFF"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3</w:t>
            </w:r>
          </w:p>
        </w:tc>
      </w:tr>
      <w:tr w:rsidR="00805614" w:rsidRPr="00712FD9" w14:paraId="0B6AAC0E"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left w:val="single" w:sz="4" w:space="0" w:color="65C5B4" w:themeColor="accent1"/>
              <w:bottom w:val="nil"/>
              <w:right w:val="single" w:sz="4" w:space="0" w:color="65C5B4" w:themeColor="accent1"/>
            </w:tcBorders>
            <w:shd w:val="clear" w:color="auto" w:fill="F2F2F2" w:themeFill="background1" w:themeFillShade="F2"/>
            <w:vAlign w:val="center"/>
          </w:tcPr>
          <w:p w14:paraId="15876633" w14:textId="4C605B71" w:rsidR="00805614" w:rsidRPr="00712FD9" w:rsidRDefault="00805614" w:rsidP="00591826">
            <w:pPr>
              <w:suppressAutoHyphens w:val="0"/>
              <w:spacing w:before="0" w:after="0" w:line="240" w:lineRule="auto"/>
              <w:rPr>
                <w:rFonts w:eastAsia="Times New Roman" w:cstheme="minorHAnsi"/>
                <w:b/>
                <w:bCs/>
                <w:color w:val="595959" w:themeColor="text1" w:themeTint="A6"/>
                <w:sz w:val="20"/>
                <w:szCs w:val="20"/>
                <w:lang w:eastAsia="en-AU"/>
              </w:rPr>
            </w:pPr>
            <w:r w:rsidRPr="00712FD9">
              <w:rPr>
                <w:rFonts w:eastAsia="Times New Roman" w:cstheme="minorHAnsi"/>
                <w:b/>
                <w:bCs/>
                <w:color w:val="595959" w:themeColor="text1" w:themeTint="A6"/>
                <w:sz w:val="20"/>
                <w:szCs w:val="20"/>
                <w:lang w:eastAsia="en-AU"/>
              </w:rPr>
              <w:t>SAIIG - Infrastructure Grants Municipal Sanitation</w:t>
            </w:r>
          </w:p>
        </w:tc>
        <w:tc>
          <w:tcPr>
            <w:tcW w:w="1133" w:type="dxa"/>
            <w:tcBorders>
              <w:left w:val="single" w:sz="4" w:space="0" w:color="65C5B4" w:themeColor="accent1"/>
              <w:right w:val="single" w:sz="4" w:space="0" w:color="65C5B4" w:themeColor="accent1"/>
            </w:tcBorders>
            <w:shd w:val="clear" w:color="auto" w:fill="F2F2F2" w:themeFill="background1" w:themeFillShade="F2"/>
            <w:hideMark/>
          </w:tcPr>
          <w:p w14:paraId="066866FB" w14:textId="77777777"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2021</w:t>
            </w:r>
          </w:p>
        </w:tc>
        <w:tc>
          <w:tcPr>
            <w:tcW w:w="1275"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6E43645A" w14:textId="6E6A9740"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c>
          <w:tcPr>
            <w:tcW w:w="1133"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2A6DC13D" w14:textId="0A3964AB"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c>
          <w:tcPr>
            <w:tcW w:w="1275"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4F9B1468" w14:textId="56D7B5AF"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3</w:t>
            </w:r>
          </w:p>
        </w:tc>
      </w:tr>
      <w:tr w:rsidR="00805614" w:rsidRPr="00712FD9" w14:paraId="719AF33F"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top w:val="nil"/>
              <w:left w:val="single" w:sz="4" w:space="0" w:color="65C5B4" w:themeColor="accent1"/>
              <w:right w:val="single" w:sz="4" w:space="0" w:color="65C5B4" w:themeColor="accent1"/>
            </w:tcBorders>
            <w:shd w:val="clear" w:color="auto" w:fill="F2F2F2" w:themeFill="background1" w:themeFillShade="F2"/>
            <w:vAlign w:val="center"/>
          </w:tcPr>
          <w:p w14:paraId="16575980" w14:textId="4421B1AB" w:rsidR="00805614" w:rsidRPr="00712FD9" w:rsidRDefault="00325DD6" w:rsidP="00591826">
            <w:pPr>
              <w:suppressAutoHyphens w:val="0"/>
              <w:spacing w:before="0" w:after="0" w:line="240" w:lineRule="auto"/>
              <w:ind w:firstLineChars="100" w:firstLine="200"/>
              <w:rPr>
                <w:rFonts w:eastAsia="Times New Roman" w:cstheme="minorHAnsi"/>
                <w:color w:val="595959" w:themeColor="text1" w:themeTint="A6"/>
                <w:sz w:val="20"/>
                <w:szCs w:val="20"/>
                <w:lang w:val="en-AU" w:eastAsia="en-AU"/>
              </w:rPr>
            </w:pPr>
            <w:r w:rsidRPr="00712FD9">
              <w:rPr>
                <w:rFonts w:eastAsia="Times New Roman" w:cstheme="minorHAnsi"/>
                <w:color w:val="595959" w:themeColor="text1" w:themeTint="A6"/>
                <w:sz w:val="20"/>
                <w:szCs w:val="20"/>
                <w:lang w:val="en-AU" w:eastAsia="en-AU"/>
              </w:rPr>
              <w:t xml:space="preserve">Investment duration: </w:t>
            </w:r>
            <w:r w:rsidR="00805614" w:rsidRPr="00712FD9">
              <w:rPr>
                <w:rFonts w:eastAsia="Times New Roman" w:cstheme="minorHAnsi"/>
                <w:color w:val="595959" w:themeColor="text1" w:themeTint="A6"/>
                <w:sz w:val="20"/>
                <w:szCs w:val="20"/>
                <w:lang w:val="en-AU" w:eastAsia="en-AU"/>
              </w:rPr>
              <w:t>2012-2021;</w:t>
            </w:r>
            <w:r w:rsidR="001A441E" w:rsidRPr="00712FD9">
              <w:rPr>
                <w:rFonts w:eastAsia="Times New Roman" w:cstheme="minorHAnsi"/>
                <w:color w:val="595959" w:themeColor="text1" w:themeTint="A6"/>
                <w:sz w:val="20"/>
                <w:szCs w:val="20"/>
                <w:lang w:val="en-AU" w:eastAsia="en-AU"/>
              </w:rPr>
              <w:t xml:space="preserve"> </w:t>
            </w:r>
            <w:r w:rsidR="00805614" w:rsidRPr="00712FD9">
              <w:rPr>
                <w:rFonts w:eastAsia="Times New Roman" w:cstheme="minorHAnsi"/>
                <w:color w:val="595959" w:themeColor="text1" w:themeTint="A6"/>
                <w:sz w:val="20"/>
                <w:szCs w:val="20"/>
                <w:lang w:val="en-AU" w:eastAsia="en-AU"/>
              </w:rPr>
              <w:t xml:space="preserve">Budget:  $40m </w:t>
            </w:r>
          </w:p>
        </w:tc>
        <w:tc>
          <w:tcPr>
            <w:tcW w:w="1133" w:type="dxa"/>
            <w:tcBorders>
              <w:left w:val="single" w:sz="4" w:space="0" w:color="65C5B4" w:themeColor="accent1"/>
              <w:right w:val="single" w:sz="4" w:space="0" w:color="65C5B4" w:themeColor="accent1"/>
            </w:tcBorders>
            <w:shd w:val="clear" w:color="auto" w:fill="F2F2F2" w:themeFill="background1" w:themeFillShade="F2"/>
            <w:hideMark/>
          </w:tcPr>
          <w:p w14:paraId="301130C2" w14:textId="77777777"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2020</w:t>
            </w:r>
          </w:p>
        </w:tc>
        <w:tc>
          <w:tcPr>
            <w:tcW w:w="1275"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1E88513B" w14:textId="2C61D1F1"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c>
          <w:tcPr>
            <w:tcW w:w="1133"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6EA0F43C" w14:textId="3FBFDC73"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c>
          <w:tcPr>
            <w:tcW w:w="1275"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2FC69DA8" w14:textId="3E78EFB5"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3</w:t>
            </w:r>
          </w:p>
        </w:tc>
      </w:tr>
      <w:tr w:rsidR="00805614" w:rsidRPr="00712FD9" w14:paraId="0AC10A06"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left w:val="single" w:sz="4" w:space="0" w:color="65C5B4" w:themeColor="accent1"/>
              <w:bottom w:val="nil"/>
              <w:right w:val="single" w:sz="4" w:space="0" w:color="65C5B4" w:themeColor="accent1"/>
            </w:tcBorders>
            <w:shd w:val="clear" w:color="auto" w:fill="E0F3EF" w:themeFill="accent1" w:themeFillTint="33"/>
            <w:vAlign w:val="center"/>
          </w:tcPr>
          <w:p w14:paraId="6072A116" w14:textId="70A4128B" w:rsidR="00805614" w:rsidRPr="00712FD9" w:rsidRDefault="00805614" w:rsidP="00591826">
            <w:pPr>
              <w:suppressAutoHyphens w:val="0"/>
              <w:spacing w:before="0" w:after="0" w:line="240" w:lineRule="auto"/>
              <w:rPr>
                <w:rFonts w:eastAsia="Times New Roman" w:cstheme="minorHAnsi"/>
                <w:b/>
                <w:bCs/>
                <w:color w:val="595959" w:themeColor="text1" w:themeTint="A6"/>
                <w:sz w:val="20"/>
                <w:szCs w:val="20"/>
                <w:lang w:eastAsia="en-AU"/>
              </w:rPr>
            </w:pPr>
            <w:r w:rsidRPr="00712FD9">
              <w:rPr>
                <w:rFonts w:eastAsia="Times New Roman" w:cstheme="minorHAnsi"/>
                <w:b/>
                <w:bCs/>
                <w:color w:val="595959" w:themeColor="text1" w:themeTint="A6"/>
                <w:sz w:val="20"/>
                <w:szCs w:val="20"/>
                <w:lang w:eastAsia="en-AU"/>
              </w:rPr>
              <w:t>Rural Water Supply &amp; Sanitation (PAMSIMAS 3)</w:t>
            </w:r>
          </w:p>
        </w:tc>
        <w:tc>
          <w:tcPr>
            <w:tcW w:w="1133" w:type="dxa"/>
            <w:tcBorders>
              <w:left w:val="single" w:sz="4" w:space="0" w:color="65C5B4" w:themeColor="accent1"/>
              <w:right w:val="single" w:sz="4" w:space="0" w:color="65C5B4" w:themeColor="accent1"/>
            </w:tcBorders>
            <w:shd w:val="clear" w:color="auto" w:fill="E0F3EF" w:themeFill="accent1" w:themeFillTint="33"/>
            <w:hideMark/>
          </w:tcPr>
          <w:p w14:paraId="289AA3BB" w14:textId="77777777"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2021</w:t>
            </w:r>
          </w:p>
        </w:tc>
        <w:tc>
          <w:tcPr>
            <w:tcW w:w="1275" w:type="dxa"/>
            <w:tcBorders>
              <w:left w:val="single" w:sz="4" w:space="0" w:color="65C5B4" w:themeColor="accent1"/>
              <w:right w:val="single" w:sz="4" w:space="0" w:color="65C5B4" w:themeColor="accent1"/>
            </w:tcBorders>
            <w:shd w:val="clear" w:color="auto" w:fill="E0F3EF" w:themeFill="accent1" w:themeFillTint="33"/>
            <w:noWrap/>
            <w:vAlign w:val="center"/>
          </w:tcPr>
          <w:p w14:paraId="4F881580" w14:textId="730DB3A7"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c>
          <w:tcPr>
            <w:tcW w:w="1133" w:type="dxa"/>
            <w:tcBorders>
              <w:left w:val="single" w:sz="4" w:space="0" w:color="65C5B4" w:themeColor="accent1"/>
              <w:right w:val="single" w:sz="4" w:space="0" w:color="65C5B4" w:themeColor="accent1"/>
            </w:tcBorders>
            <w:shd w:val="clear" w:color="auto" w:fill="E0F3EF" w:themeFill="accent1" w:themeFillTint="33"/>
            <w:noWrap/>
            <w:vAlign w:val="center"/>
          </w:tcPr>
          <w:p w14:paraId="32AD9DCD" w14:textId="6FB20267"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c>
          <w:tcPr>
            <w:tcW w:w="1275" w:type="dxa"/>
            <w:tcBorders>
              <w:left w:val="single" w:sz="4" w:space="0" w:color="65C5B4" w:themeColor="accent1"/>
              <w:right w:val="single" w:sz="4" w:space="0" w:color="65C5B4" w:themeColor="accent1"/>
            </w:tcBorders>
            <w:shd w:val="clear" w:color="auto" w:fill="E0F3EF" w:themeFill="accent1" w:themeFillTint="33"/>
            <w:noWrap/>
            <w:vAlign w:val="center"/>
          </w:tcPr>
          <w:p w14:paraId="498B9431" w14:textId="1B13299F"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r>
      <w:tr w:rsidR="00805614" w:rsidRPr="00712FD9" w14:paraId="14834F39"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top w:val="nil"/>
              <w:left w:val="single" w:sz="4" w:space="0" w:color="65C5B4" w:themeColor="accent1"/>
              <w:right w:val="single" w:sz="4" w:space="0" w:color="65C5B4" w:themeColor="accent1"/>
            </w:tcBorders>
            <w:shd w:val="clear" w:color="auto" w:fill="E0F3EF" w:themeFill="accent1" w:themeFillTint="33"/>
            <w:vAlign w:val="center"/>
          </w:tcPr>
          <w:p w14:paraId="2AAA4313" w14:textId="49FD3A14" w:rsidR="00805614" w:rsidRPr="00712FD9" w:rsidRDefault="00325DD6" w:rsidP="00591826">
            <w:pPr>
              <w:suppressAutoHyphens w:val="0"/>
              <w:spacing w:before="0" w:after="0" w:line="240" w:lineRule="auto"/>
              <w:ind w:firstLineChars="100" w:firstLine="200"/>
              <w:rPr>
                <w:rFonts w:eastAsia="Times New Roman" w:cstheme="minorHAnsi"/>
                <w:color w:val="595959" w:themeColor="text1" w:themeTint="A6"/>
                <w:sz w:val="20"/>
                <w:szCs w:val="20"/>
                <w:lang w:val="en-AU" w:eastAsia="en-AU"/>
              </w:rPr>
            </w:pPr>
            <w:r w:rsidRPr="00712FD9">
              <w:rPr>
                <w:rFonts w:eastAsia="Times New Roman" w:cstheme="minorHAnsi"/>
                <w:color w:val="595959" w:themeColor="text1" w:themeTint="A6"/>
                <w:sz w:val="20"/>
                <w:szCs w:val="20"/>
                <w:lang w:val="en-AU" w:eastAsia="en-AU"/>
              </w:rPr>
              <w:t xml:space="preserve">Investment duration: </w:t>
            </w:r>
            <w:r w:rsidR="00805614" w:rsidRPr="00712FD9">
              <w:rPr>
                <w:rFonts w:eastAsia="Times New Roman" w:cstheme="minorHAnsi"/>
                <w:color w:val="595959" w:themeColor="text1" w:themeTint="A6"/>
                <w:sz w:val="20"/>
                <w:szCs w:val="20"/>
                <w:lang w:val="en-AU" w:eastAsia="en-AU"/>
              </w:rPr>
              <w:t xml:space="preserve">2016-2022; Budget:  $20.1m </w:t>
            </w:r>
          </w:p>
        </w:tc>
        <w:tc>
          <w:tcPr>
            <w:tcW w:w="1133" w:type="dxa"/>
            <w:tcBorders>
              <w:left w:val="single" w:sz="4" w:space="0" w:color="65C5B4" w:themeColor="accent1"/>
              <w:right w:val="single" w:sz="4" w:space="0" w:color="65C5B4" w:themeColor="accent1"/>
            </w:tcBorders>
            <w:shd w:val="clear" w:color="auto" w:fill="E0F3EF" w:themeFill="accent1" w:themeFillTint="33"/>
            <w:hideMark/>
          </w:tcPr>
          <w:p w14:paraId="60DC00E6" w14:textId="77777777"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2020</w:t>
            </w:r>
          </w:p>
        </w:tc>
        <w:tc>
          <w:tcPr>
            <w:tcW w:w="1275" w:type="dxa"/>
            <w:tcBorders>
              <w:left w:val="single" w:sz="4" w:space="0" w:color="65C5B4" w:themeColor="accent1"/>
              <w:right w:val="single" w:sz="4" w:space="0" w:color="65C5B4" w:themeColor="accent1"/>
            </w:tcBorders>
            <w:shd w:val="clear" w:color="auto" w:fill="E0F3EF" w:themeFill="accent1" w:themeFillTint="33"/>
            <w:noWrap/>
            <w:vAlign w:val="center"/>
          </w:tcPr>
          <w:p w14:paraId="731B5EF4" w14:textId="49308A82"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c>
          <w:tcPr>
            <w:tcW w:w="1133" w:type="dxa"/>
            <w:tcBorders>
              <w:left w:val="single" w:sz="4" w:space="0" w:color="65C5B4" w:themeColor="accent1"/>
              <w:right w:val="single" w:sz="4" w:space="0" w:color="65C5B4" w:themeColor="accent1"/>
            </w:tcBorders>
            <w:shd w:val="clear" w:color="auto" w:fill="E0F3EF" w:themeFill="accent1" w:themeFillTint="33"/>
            <w:noWrap/>
            <w:vAlign w:val="center"/>
          </w:tcPr>
          <w:p w14:paraId="7C16A9F4" w14:textId="663E7D95"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c>
          <w:tcPr>
            <w:tcW w:w="1275" w:type="dxa"/>
            <w:tcBorders>
              <w:left w:val="single" w:sz="4" w:space="0" w:color="65C5B4" w:themeColor="accent1"/>
              <w:right w:val="single" w:sz="4" w:space="0" w:color="65C5B4" w:themeColor="accent1"/>
            </w:tcBorders>
            <w:shd w:val="clear" w:color="auto" w:fill="E0F3EF" w:themeFill="accent1" w:themeFillTint="33"/>
            <w:noWrap/>
            <w:vAlign w:val="center"/>
          </w:tcPr>
          <w:p w14:paraId="0C82E477" w14:textId="0664AD9A"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r>
      <w:tr w:rsidR="00805614" w:rsidRPr="00712FD9" w14:paraId="436EEA11"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left w:val="single" w:sz="4" w:space="0" w:color="65C5B4" w:themeColor="accent1"/>
              <w:bottom w:val="nil"/>
              <w:right w:val="single" w:sz="4" w:space="0" w:color="65C5B4" w:themeColor="accent1"/>
            </w:tcBorders>
            <w:shd w:val="clear" w:color="auto" w:fill="F2F2F2" w:themeFill="background1" w:themeFillShade="F2"/>
            <w:vAlign w:val="center"/>
          </w:tcPr>
          <w:p w14:paraId="0C82F4B5" w14:textId="067F4F14" w:rsidR="00805614" w:rsidRPr="00712FD9" w:rsidRDefault="00805614" w:rsidP="00591826">
            <w:pPr>
              <w:suppressAutoHyphens w:val="0"/>
              <w:spacing w:before="0" w:after="0" w:line="240" w:lineRule="auto"/>
              <w:rPr>
                <w:rFonts w:eastAsia="Times New Roman" w:cstheme="minorHAnsi"/>
                <w:b/>
                <w:bCs/>
                <w:color w:val="595959" w:themeColor="text1" w:themeTint="A6"/>
                <w:sz w:val="20"/>
                <w:szCs w:val="20"/>
                <w:lang w:eastAsia="en-AU"/>
              </w:rPr>
            </w:pPr>
            <w:r w:rsidRPr="00712FD9">
              <w:rPr>
                <w:rFonts w:eastAsia="Times New Roman" w:cstheme="minorHAnsi"/>
                <w:b/>
                <w:bCs/>
                <w:color w:val="595959" w:themeColor="text1" w:themeTint="A6"/>
                <w:sz w:val="20"/>
                <w:szCs w:val="20"/>
                <w:lang w:eastAsia="en-AU"/>
              </w:rPr>
              <w:t>AIP for Economic Development (</w:t>
            </w:r>
            <w:proofErr w:type="spellStart"/>
            <w:r w:rsidRPr="00712FD9">
              <w:rPr>
                <w:rFonts w:eastAsia="Times New Roman" w:cstheme="minorHAnsi"/>
                <w:b/>
                <w:bCs/>
                <w:color w:val="595959" w:themeColor="text1" w:themeTint="A6"/>
                <w:sz w:val="20"/>
                <w:szCs w:val="20"/>
                <w:lang w:eastAsia="en-AU"/>
              </w:rPr>
              <w:t>Prospera</w:t>
            </w:r>
            <w:proofErr w:type="spellEnd"/>
            <w:r w:rsidRPr="00712FD9">
              <w:rPr>
                <w:rFonts w:eastAsia="Times New Roman" w:cstheme="minorHAnsi"/>
                <w:b/>
                <w:bCs/>
                <w:color w:val="595959" w:themeColor="text1" w:themeTint="A6"/>
                <w:sz w:val="20"/>
                <w:szCs w:val="20"/>
                <w:lang w:eastAsia="en-AU"/>
              </w:rPr>
              <w:t xml:space="preserve">) </w:t>
            </w:r>
          </w:p>
        </w:tc>
        <w:tc>
          <w:tcPr>
            <w:tcW w:w="1133" w:type="dxa"/>
            <w:tcBorders>
              <w:left w:val="single" w:sz="4" w:space="0" w:color="65C5B4" w:themeColor="accent1"/>
              <w:right w:val="single" w:sz="4" w:space="0" w:color="65C5B4" w:themeColor="accent1"/>
            </w:tcBorders>
            <w:shd w:val="clear" w:color="auto" w:fill="F2F2F2" w:themeFill="background1" w:themeFillShade="F2"/>
            <w:vAlign w:val="center"/>
            <w:hideMark/>
          </w:tcPr>
          <w:p w14:paraId="16F283AC" w14:textId="229541FD"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2021</w:t>
            </w:r>
          </w:p>
        </w:tc>
        <w:tc>
          <w:tcPr>
            <w:tcW w:w="1275"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70B20EA2" w14:textId="53114BFE"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6</w:t>
            </w:r>
          </w:p>
        </w:tc>
        <w:tc>
          <w:tcPr>
            <w:tcW w:w="1133"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79E8630C" w14:textId="599D3B3E"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c>
          <w:tcPr>
            <w:tcW w:w="1275"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632CA97C" w14:textId="7FF6AFE8"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6</w:t>
            </w:r>
          </w:p>
        </w:tc>
      </w:tr>
      <w:tr w:rsidR="00805614" w:rsidRPr="00712FD9" w14:paraId="16BB5723"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top w:val="nil"/>
              <w:left w:val="single" w:sz="4" w:space="0" w:color="65C5B4" w:themeColor="accent1"/>
              <w:right w:val="single" w:sz="4" w:space="0" w:color="65C5B4" w:themeColor="accent1"/>
            </w:tcBorders>
            <w:shd w:val="clear" w:color="auto" w:fill="F2F2F2" w:themeFill="background1" w:themeFillShade="F2"/>
            <w:vAlign w:val="center"/>
          </w:tcPr>
          <w:p w14:paraId="111656DC" w14:textId="36ADF0D7" w:rsidR="00805614" w:rsidRPr="00712FD9" w:rsidRDefault="00325DD6" w:rsidP="00591826">
            <w:pPr>
              <w:suppressAutoHyphens w:val="0"/>
              <w:spacing w:before="0" w:after="0" w:line="240" w:lineRule="auto"/>
              <w:ind w:firstLineChars="100" w:firstLine="200"/>
              <w:rPr>
                <w:rFonts w:eastAsia="Times New Roman" w:cstheme="minorHAnsi"/>
                <w:color w:val="595959" w:themeColor="text1" w:themeTint="A6"/>
                <w:sz w:val="20"/>
                <w:szCs w:val="20"/>
                <w:lang w:val="en-AU" w:eastAsia="en-AU"/>
              </w:rPr>
            </w:pPr>
            <w:r w:rsidRPr="00712FD9">
              <w:rPr>
                <w:rFonts w:eastAsia="Times New Roman" w:cstheme="minorHAnsi"/>
                <w:color w:val="595959" w:themeColor="text1" w:themeTint="A6"/>
                <w:sz w:val="20"/>
                <w:szCs w:val="20"/>
                <w:lang w:val="en-AU" w:eastAsia="en-AU"/>
              </w:rPr>
              <w:t xml:space="preserve">Investment duration: </w:t>
            </w:r>
            <w:r w:rsidR="00805614" w:rsidRPr="00712FD9">
              <w:rPr>
                <w:rFonts w:eastAsia="Times New Roman" w:cstheme="minorHAnsi"/>
                <w:color w:val="595959" w:themeColor="text1" w:themeTint="A6"/>
                <w:sz w:val="20"/>
                <w:szCs w:val="20"/>
                <w:lang w:val="en-AU" w:eastAsia="en-AU"/>
              </w:rPr>
              <w:t>2018-</w:t>
            </w:r>
            <w:r w:rsidR="001A441E" w:rsidRPr="00712FD9">
              <w:rPr>
                <w:rFonts w:eastAsia="Times New Roman" w:cstheme="minorHAnsi"/>
                <w:color w:val="595959" w:themeColor="text1" w:themeTint="A6"/>
                <w:sz w:val="20"/>
                <w:szCs w:val="20"/>
                <w:lang w:val="en-AU" w:eastAsia="en-AU"/>
              </w:rPr>
              <w:t>20</w:t>
            </w:r>
            <w:r w:rsidR="00805614" w:rsidRPr="00712FD9">
              <w:rPr>
                <w:rFonts w:eastAsia="Times New Roman" w:cstheme="minorHAnsi"/>
                <w:color w:val="595959" w:themeColor="text1" w:themeTint="A6"/>
                <w:sz w:val="20"/>
                <w:szCs w:val="20"/>
                <w:lang w:val="en-AU" w:eastAsia="en-AU"/>
              </w:rPr>
              <w:t>23;</w:t>
            </w:r>
            <w:r w:rsidR="001A441E" w:rsidRPr="00712FD9">
              <w:rPr>
                <w:rFonts w:eastAsia="Times New Roman" w:cstheme="minorHAnsi"/>
                <w:color w:val="595959" w:themeColor="text1" w:themeTint="A6"/>
                <w:sz w:val="20"/>
                <w:szCs w:val="20"/>
                <w:lang w:val="en-AU" w:eastAsia="en-AU"/>
              </w:rPr>
              <w:t xml:space="preserve"> </w:t>
            </w:r>
            <w:r w:rsidR="00805614" w:rsidRPr="00712FD9">
              <w:rPr>
                <w:rFonts w:eastAsia="Times New Roman" w:cstheme="minorHAnsi"/>
                <w:color w:val="595959" w:themeColor="text1" w:themeTint="A6"/>
                <w:sz w:val="20"/>
                <w:szCs w:val="20"/>
                <w:lang w:val="en-AU" w:eastAsia="en-AU"/>
              </w:rPr>
              <w:t xml:space="preserve">Budget: $145m </w:t>
            </w:r>
          </w:p>
        </w:tc>
        <w:tc>
          <w:tcPr>
            <w:tcW w:w="1133" w:type="dxa"/>
            <w:tcBorders>
              <w:left w:val="single" w:sz="4" w:space="0" w:color="65C5B4" w:themeColor="accent1"/>
              <w:right w:val="single" w:sz="4" w:space="0" w:color="65C5B4" w:themeColor="accent1"/>
            </w:tcBorders>
            <w:shd w:val="clear" w:color="auto" w:fill="F2F2F2" w:themeFill="background1" w:themeFillShade="F2"/>
            <w:vAlign w:val="center"/>
            <w:hideMark/>
          </w:tcPr>
          <w:p w14:paraId="210EF0BE" w14:textId="2E608FDB"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2020</w:t>
            </w:r>
          </w:p>
        </w:tc>
        <w:tc>
          <w:tcPr>
            <w:tcW w:w="1275"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5536730D" w14:textId="497BA0F2"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6</w:t>
            </w:r>
          </w:p>
        </w:tc>
        <w:tc>
          <w:tcPr>
            <w:tcW w:w="1133"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24E8A53F" w14:textId="26DA3C55"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c>
          <w:tcPr>
            <w:tcW w:w="1275"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0C182E78" w14:textId="1D49493F"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r>
      <w:tr w:rsidR="00805614" w:rsidRPr="00712FD9" w14:paraId="1387CA26"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left w:val="single" w:sz="4" w:space="0" w:color="65C5B4" w:themeColor="accent1"/>
              <w:bottom w:val="nil"/>
              <w:right w:val="single" w:sz="4" w:space="0" w:color="65C5B4" w:themeColor="accent1"/>
            </w:tcBorders>
            <w:shd w:val="clear" w:color="auto" w:fill="E0F3EF" w:themeFill="accent1" w:themeFillTint="33"/>
            <w:vAlign w:val="center"/>
          </w:tcPr>
          <w:p w14:paraId="2C0A8D44" w14:textId="0F7CDC72" w:rsidR="00805614" w:rsidRPr="00712FD9" w:rsidRDefault="00805614" w:rsidP="00591826">
            <w:pPr>
              <w:suppressAutoHyphens w:val="0"/>
              <w:spacing w:before="0" w:after="0" w:line="240" w:lineRule="auto"/>
              <w:rPr>
                <w:rFonts w:eastAsia="Times New Roman" w:cstheme="minorHAnsi"/>
                <w:b/>
                <w:bCs/>
                <w:color w:val="595959" w:themeColor="text1" w:themeTint="A6"/>
                <w:sz w:val="20"/>
                <w:szCs w:val="20"/>
                <w:lang w:val="en-AU" w:eastAsia="en-AU"/>
              </w:rPr>
            </w:pPr>
            <w:r w:rsidRPr="00712FD9">
              <w:rPr>
                <w:rFonts w:eastAsia="Times New Roman" w:cstheme="minorHAnsi"/>
                <w:b/>
                <w:bCs/>
                <w:color w:val="595959" w:themeColor="text1" w:themeTint="A6"/>
                <w:sz w:val="20"/>
                <w:szCs w:val="20"/>
                <w:lang w:eastAsia="en-AU"/>
              </w:rPr>
              <w:t>ADB Sustainable Infrastructure Assistance Prog</w:t>
            </w:r>
            <w:r w:rsidR="00D43DEE">
              <w:rPr>
                <w:rFonts w:eastAsia="Times New Roman" w:cstheme="minorHAnsi"/>
                <w:b/>
                <w:bCs/>
                <w:color w:val="595959" w:themeColor="text1" w:themeTint="A6"/>
                <w:sz w:val="20"/>
                <w:szCs w:val="20"/>
                <w:lang w:eastAsia="en-AU"/>
              </w:rPr>
              <w:t>ram</w:t>
            </w:r>
            <w:r w:rsidRPr="00712FD9">
              <w:rPr>
                <w:rFonts w:eastAsia="Times New Roman" w:cstheme="minorHAnsi"/>
                <w:b/>
                <w:bCs/>
                <w:color w:val="595959" w:themeColor="text1" w:themeTint="A6"/>
                <w:sz w:val="20"/>
                <w:szCs w:val="20"/>
                <w:lang w:eastAsia="en-AU"/>
              </w:rPr>
              <w:t xml:space="preserve"> II</w:t>
            </w:r>
            <w:r w:rsidR="00D43DEE">
              <w:rPr>
                <w:rFonts w:eastAsia="Times New Roman" w:cstheme="minorHAnsi"/>
                <w:b/>
                <w:bCs/>
                <w:color w:val="595959" w:themeColor="text1" w:themeTint="A6"/>
                <w:sz w:val="20"/>
                <w:szCs w:val="20"/>
                <w:lang w:eastAsia="en-AU"/>
              </w:rPr>
              <w:t xml:space="preserve"> (</w:t>
            </w:r>
            <w:r w:rsidRPr="00712FD9">
              <w:rPr>
                <w:rFonts w:eastAsia="Times New Roman" w:cstheme="minorHAnsi"/>
                <w:b/>
                <w:bCs/>
                <w:color w:val="595959" w:themeColor="text1" w:themeTint="A6"/>
                <w:sz w:val="20"/>
                <w:szCs w:val="20"/>
                <w:lang w:eastAsia="en-AU"/>
              </w:rPr>
              <w:t>SIAP2</w:t>
            </w:r>
            <w:r w:rsidR="00D43DEE">
              <w:rPr>
                <w:rFonts w:eastAsia="Times New Roman" w:cstheme="minorHAnsi"/>
                <w:b/>
                <w:bCs/>
                <w:color w:val="595959" w:themeColor="text1" w:themeTint="A6"/>
                <w:sz w:val="20"/>
                <w:szCs w:val="20"/>
                <w:lang w:eastAsia="en-AU"/>
              </w:rPr>
              <w:t>)</w:t>
            </w:r>
            <w:r w:rsidRPr="00712FD9">
              <w:rPr>
                <w:rFonts w:ascii="Calibri Light" w:eastAsia="Times New Roman" w:hAnsi="Calibri Light" w:cs="Calibri Light"/>
                <w:b/>
                <w:bCs/>
                <w:color w:val="404040"/>
                <w:sz w:val="20"/>
                <w:szCs w:val="20"/>
                <w:lang w:eastAsia="en-GB"/>
              </w:rPr>
              <w:t xml:space="preserve"> </w:t>
            </w:r>
          </w:p>
        </w:tc>
        <w:tc>
          <w:tcPr>
            <w:tcW w:w="1133" w:type="dxa"/>
            <w:tcBorders>
              <w:left w:val="single" w:sz="4" w:space="0" w:color="65C5B4" w:themeColor="accent1"/>
              <w:right w:val="single" w:sz="4" w:space="0" w:color="65C5B4" w:themeColor="accent1"/>
            </w:tcBorders>
            <w:shd w:val="clear" w:color="auto" w:fill="E0F3EF" w:themeFill="accent1" w:themeFillTint="33"/>
            <w:vAlign w:val="center"/>
            <w:hideMark/>
          </w:tcPr>
          <w:p w14:paraId="2BDA4258" w14:textId="6D1CCCB0"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2021</w:t>
            </w:r>
          </w:p>
        </w:tc>
        <w:tc>
          <w:tcPr>
            <w:tcW w:w="1275" w:type="dxa"/>
            <w:tcBorders>
              <w:left w:val="single" w:sz="4" w:space="0" w:color="65C5B4" w:themeColor="accent1"/>
              <w:right w:val="single" w:sz="4" w:space="0" w:color="65C5B4" w:themeColor="accent1"/>
            </w:tcBorders>
            <w:shd w:val="clear" w:color="auto" w:fill="E0F3EF" w:themeFill="accent1" w:themeFillTint="33"/>
            <w:noWrap/>
            <w:vAlign w:val="center"/>
          </w:tcPr>
          <w:p w14:paraId="6F2FFF3C" w14:textId="04E56BA9"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c>
          <w:tcPr>
            <w:tcW w:w="1133" w:type="dxa"/>
            <w:tcBorders>
              <w:left w:val="single" w:sz="4" w:space="0" w:color="65C5B4" w:themeColor="accent1"/>
              <w:right w:val="single" w:sz="4" w:space="0" w:color="65C5B4" w:themeColor="accent1"/>
            </w:tcBorders>
            <w:shd w:val="clear" w:color="auto" w:fill="E0F3EF" w:themeFill="accent1" w:themeFillTint="33"/>
            <w:noWrap/>
            <w:vAlign w:val="center"/>
          </w:tcPr>
          <w:p w14:paraId="1F5F95C3" w14:textId="705FDF46"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c>
          <w:tcPr>
            <w:tcW w:w="1275" w:type="dxa"/>
            <w:tcBorders>
              <w:left w:val="single" w:sz="4" w:space="0" w:color="65C5B4" w:themeColor="accent1"/>
              <w:right w:val="single" w:sz="4" w:space="0" w:color="65C5B4" w:themeColor="accent1"/>
            </w:tcBorders>
            <w:shd w:val="clear" w:color="auto" w:fill="E0F3EF" w:themeFill="accent1" w:themeFillTint="33"/>
            <w:noWrap/>
            <w:vAlign w:val="center"/>
          </w:tcPr>
          <w:p w14:paraId="31012226" w14:textId="29057911"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r>
      <w:tr w:rsidR="00805614" w:rsidRPr="00712FD9" w14:paraId="44EE7690"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top w:val="nil"/>
              <w:left w:val="single" w:sz="4" w:space="0" w:color="65C5B4" w:themeColor="accent1"/>
              <w:right w:val="single" w:sz="4" w:space="0" w:color="65C5B4" w:themeColor="accent1"/>
            </w:tcBorders>
            <w:shd w:val="clear" w:color="auto" w:fill="E0F3EF" w:themeFill="accent1" w:themeFillTint="33"/>
            <w:vAlign w:val="center"/>
          </w:tcPr>
          <w:p w14:paraId="5B62CC13" w14:textId="5DB3FC47" w:rsidR="00805614" w:rsidRPr="00712FD9" w:rsidRDefault="00325DD6" w:rsidP="00591826">
            <w:pPr>
              <w:suppressAutoHyphens w:val="0"/>
              <w:spacing w:before="0" w:after="0" w:line="240" w:lineRule="auto"/>
              <w:ind w:firstLineChars="100" w:firstLine="200"/>
              <w:rPr>
                <w:rFonts w:eastAsia="Times New Roman" w:cstheme="minorHAnsi"/>
                <w:color w:val="595959" w:themeColor="text1" w:themeTint="A6"/>
                <w:sz w:val="20"/>
                <w:szCs w:val="20"/>
                <w:lang w:val="en-AU" w:eastAsia="en-AU"/>
              </w:rPr>
            </w:pPr>
            <w:r w:rsidRPr="00712FD9">
              <w:rPr>
                <w:rFonts w:eastAsia="Times New Roman" w:cstheme="minorHAnsi"/>
                <w:color w:val="595959" w:themeColor="text1" w:themeTint="A6"/>
                <w:sz w:val="20"/>
                <w:szCs w:val="20"/>
                <w:lang w:val="en-AU" w:eastAsia="en-AU"/>
              </w:rPr>
              <w:t xml:space="preserve">Investment duration: </w:t>
            </w:r>
            <w:r w:rsidR="00805614" w:rsidRPr="00712FD9">
              <w:rPr>
                <w:rFonts w:eastAsia="Times New Roman" w:cstheme="minorHAnsi"/>
                <w:color w:val="595959" w:themeColor="text1" w:themeTint="A6"/>
                <w:sz w:val="20"/>
                <w:szCs w:val="20"/>
                <w:lang w:val="en-AU" w:eastAsia="en-AU"/>
              </w:rPr>
              <w:t>2018-</w:t>
            </w:r>
            <w:proofErr w:type="gramStart"/>
            <w:r w:rsidR="001A441E" w:rsidRPr="00712FD9">
              <w:rPr>
                <w:rFonts w:eastAsia="Times New Roman" w:cstheme="minorHAnsi"/>
                <w:color w:val="595959" w:themeColor="text1" w:themeTint="A6"/>
                <w:sz w:val="20"/>
                <w:szCs w:val="20"/>
                <w:lang w:val="en-AU" w:eastAsia="en-AU"/>
              </w:rPr>
              <w:t>20</w:t>
            </w:r>
            <w:r w:rsidR="00805614" w:rsidRPr="00712FD9">
              <w:rPr>
                <w:rFonts w:eastAsia="Times New Roman" w:cstheme="minorHAnsi"/>
                <w:color w:val="595959" w:themeColor="text1" w:themeTint="A6"/>
                <w:sz w:val="20"/>
                <w:szCs w:val="20"/>
                <w:lang w:val="en-AU" w:eastAsia="en-AU"/>
              </w:rPr>
              <w:t xml:space="preserve">24; </w:t>
            </w:r>
            <w:r w:rsidR="001A441E" w:rsidRPr="00712FD9">
              <w:rPr>
                <w:rFonts w:eastAsia="Times New Roman" w:cstheme="minorHAnsi"/>
                <w:color w:val="595959" w:themeColor="text1" w:themeTint="A6"/>
                <w:sz w:val="20"/>
                <w:szCs w:val="20"/>
                <w:lang w:val="en-AU" w:eastAsia="en-AU"/>
              </w:rPr>
              <w:t xml:space="preserve"> </w:t>
            </w:r>
            <w:r w:rsidR="00805614" w:rsidRPr="00712FD9">
              <w:rPr>
                <w:rFonts w:eastAsia="Times New Roman" w:cstheme="minorHAnsi"/>
                <w:color w:val="595959" w:themeColor="text1" w:themeTint="A6"/>
                <w:sz w:val="20"/>
                <w:szCs w:val="20"/>
                <w:lang w:val="en-AU" w:eastAsia="en-AU"/>
              </w:rPr>
              <w:t>Budget</w:t>
            </w:r>
            <w:proofErr w:type="gramEnd"/>
            <w:r w:rsidR="00805614" w:rsidRPr="00712FD9">
              <w:rPr>
                <w:rFonts w:eastAsia="Times New Roman" w:cstheme="minorHAnsi"/>
                <w:color w:val="595959" w:themeColor="text1" w:themeTint="A6"/>
                <w:sz w:val="20"/>
                <w:szCs w:val="20"/>
                <w:lang w:val="en-AU" w:eastAsia="en-AU"/>
              </w:rPr>
              <w:t xml:space="preserve">: $40m </w:t>
            </w:r>
          </w:p>
        </w:tc>
        <w:tc>
          <w:tcPr>
            <w:tcW w:w="1133" w:type="dxa"/>
            <w:tcBorders>
              <w:left w:val="single" w:sz="4" w:space="0" w:color="65C5B4" w:themeColor="accent1"/>
              <w:right w:val="single" w:sz="4" w:space="0" w:color="65C5B4" w:themeColor="accent1"/>
            </w:tcBorders>
            <w:shd w:val="clear" w:color="auto" w:fill="E0F3EF" w:themeFill="accent1" w:themeFillTint="33"/>
            <w:vAlign w:val="center"/>
            <w:hideMark/>
          </w:tcPr>
          <w:p w14:paraId="783BDE8C" w14:textId="1CBE7E12"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2020</w:t>
            </w:r>
          </w:p>
        </w:tc>
        <w:tc>
          <w:tcPr>
            <w:tcW w:w="1275" w:type="dxa"/>
            <w:tcBorders>
              <w:left w:val="single" w:sz="4" w:space="0" w:color="65C5B4" w:themeColor="accent1"/>
              <w:right w:val="single" w:sz="4" w:space="0" w:color="65C5B4" w:themeColor="accent1"/>
            </w:tcBorders>
            <w:shd w:val="clear" w:color="auto" w:fill="E0F3EF" w:themeFill="accent1" w:themeFillTint="33"/>
            <w:noWrap/>
            <w:vAlign w:val="center"/>
          </w:tcPr>
          <w:p w14:paraId="2BD5A569" w14:textId="52F72917"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c>
          <w:tcPr>
            <w:tcW w:w="1133" w:type="dxa"/>
            <w:tcBorders>
              <w:left w:val="single" w:sz="4" w:space="0" w:color="65C5B4" w:themeColor="accent1"/>
              <w:right w:val="single" w:sz="4" w:space="0" w:color="65C5B4" w:themeColor="accent1"/>
            </w:tcBorders>
            <w:shd w:val="clear" w:color="auto" w:fill="E0F3EF" w:themeFill="accent1" w:themeFillTint="33"/>
            <w:noWrap/>
            <w:vAlign w:val="center"/>
          </w:tcPr>
          <w:p w14:paraId="3E376D0F" w14:textId="6EF04C2B"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3</w:t>
            </w:r>
          </w:p>
        </w:tc>
        <w:tc>
          <w:tcPr>
            <w:tcW w:w="1275" w:type="dxa"/>
            <w:tcBorders>
              <w:left w:val="single" w:sz="4" w:space="0" w:color="65C5B4" w:themeColor="accent1"/>
              <w:right w:val="single" w:sz="4" w:space="0" w:color="65C5B4" w:themeColor="accent1"/>
            </w:tcBorders>
            <w:shd w:val="clear" w:color="auto" w:fill="E0F3EF" w:themeFill="accent1" w:themeFillTint="33"/>
            <w:noWrap/>
            <w:vAlign w:val="center"/>
          </w:tcPr>
          <w:p w14:paraId="6F5FAFF7" w14:textId="13A6EE48"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3</w:t>
            </w:r>
          </w:p>
        </w:tc>
      </w:tr>
      <w:tr w:rsidR="00805614" w:rsidRPr="00712FD9" w14:paraId="354EF5D8"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left w:val="single" w:sz="4" w:space="0" w:color="65C5B4" w:themeColor="accent1"/>
              <w:bottom w:val="nil"/>
              <w:right w:val="single" w:sz="4" w:space="0" w:color="65C5B4" w:themeColor="accent1"/>
            </w:tcBorders>
            <w:shd w:val="clear" w:color="auto" w:fill="F2F2F2" w:themeFill="background1" w:themeFillShade="F2"/>
            <w:vAlign w:val="center"/>
          </w:tcPr>
          <w:p w14:paraId="0B475871" w14:textId="004097A8" w:rsidR="00805614" w:rsidRPr="00712FD9" w:rsidRDefault="00805614" w:rsidP="00591826">
            <w:pPr>
              <w:suppressAutoHyphens w:val="0"/>
              <w:spacing w:before="0" w:after="0" w:line="240" w:lineRule="auto"/>
              <w:rPr>
                <w:rFonts w:eastAsia="Times New Roman" w:cstheme="minorHAnsi"/>
                <w:b/>
                <w:bCs/>
                <w:color w:val="595959" w:themeColor="text1" w:themeTint="A6"/>
                <w:sz w:val="20"/>
                <w:szCs w:val="20"/>
                <w:lang w:eastAsia="en-AU"/>
              </w:rPr>
            </w:pPr>
            <w:r w:rsidRPr="00712FD9">
              <w:rPr>
                <w:rFonts w:eastAsia="Times New Roman" w:cstheme="minorHAnsi"/>
                <w:b/>
                <w:bCs/>
                <w:color w:val="595959" w:themeColor="text1" w:themeTint="A6"/>
                <w:sz w:val="20"/>
                <w:szCs w:val="20"/>
                <w:lang w:eastAsia="en-AU"/>
              </w:rPr>
              <w:t>Palembang City Sewerage Project (PCSP)</w:t>
            </w:r>
          </w:p>
        </w:tc>
        <w:tc>
          <w:tcPr>
            <w:tcW w:w="1133" w:type="dxa"/>
            <w:tcBorders>
              <w:left w:val="single" w:sz="4" w:space="0" w:color="65C5B4" w:themeColor="accent1"/>
              <w:right w:val="single" w:sz="4" w:space="0" w:color="65C5B4" w:themeColor="accent1"/>
            </w:tcBorders>
            <w:shd w:val="clear" w:color="auto" w:fill="F2F2F2" w:themeFill="background1" w:themeFillShade="F2"/>
            <w:vAlign w:val="center"/>
            <w:hideMark/>
          </w:tcPr>
          <w:p w14:paraId="4B18B0A1" w14:textId="74334723"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2021</w:t>
            </w:r>
          </w:p>
        </w:tc>
        <w:tc>
          <w:tcPr>
            <w:tcW w:w="1275"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0D3CF891" w14:textId="6E3CEF04"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c>
          <w:tcPr>
            <w:tcW w:w="1133"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7718919D" w14:textId="32AA5C79"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c>
          <w:tcPr>
            <w:tcW w:w="1275"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0497240F" w14:textId="4CAA56B6"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r>
      <w:tr w:rsidR="00805614" w:rsidRPr="00712FD9" w14:paraId="6CD4020B"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top w:val="nil"/>
              <w:left w:val="single" w:sz="4" w:space="0" w:color="65C5B4" w:themeColor="accent1"/>
              <w:right w:val="single" w:sz="4" w:space="0" w:color="65C5B4" w:themeColor="accent1"/>
            </w:tcBorders>
            <w:shd w:val="clear" w:color="auto" w:fill="F2F2F2" w:themeFill="background1" w:themeFillShade="F2"/>
            <w:vAlign w:val="center"/>
          </w:tcPr>
          <w:p w14:paraId="313A2142" w14:textId="5B637688" w:rsidR="00805614" w:rsidRPr="00712FD9" w:rsidRDefault="00325DD6" w:rsidP="00591826">
            <w:pPr>
              <w:suppressAutoHyphens w:val="0"/>
              <w:spacing w:before="0" w:after="0" w:line="240" w:lineRule="auto"/>
              <w:ind w:firstLineChars="100" w:firstLine="200"/>
              <w:rPr>
                <w:rFonts w:eastAsia="Times New Roman" w:cstheme="minorHAnsi"/>
                <w:color w:val="595959" w:themeColor="text1" w:themeTint="A6"/>
                <w:sz w:val="20"/>
                <w:szCs w:val="20"/>
                <w:lang w:val="en-AU" w:eastAsia="en-AU"/>
              </w:rPr>
            </w:pPr>
            <w:r w:rsidRPr="00712FD9">
              <w:rPr>
                <w:rFonts w:eastAsia="Times New Roman" w:cstheme="minorHAnsi"/>
                <w:color w:val="595959" w:themeColor="text1" w:themeTint="A6"/>
                <w:sz w:val="20"/>
                <w:szCs w:val="20"/>
                <w:lang w:val="en-AU" w:eastAsia="en-AU"/>
              </w:rPr>
              <w:t xml:space="preserve">Investment duration: </w:t>
            </w:r>
            <w:r w:rsidR="00805614" w:rsidRPr="00712FD9">
              <w:rPr>
                <w:rFonts w:eastAsia="Times New Roman" w:cstheme="minorHAnsi"/>
                <w:color w:val="595959" w:themeColor="text1" w:themeTint="A6"/>
                <w:sz w:val="20"/>
                <w:szCs w:val="20"/>
                <w:lang w:val="en-AU" w:eastAsia="en-AU"/>
              </w:rPr>
              <w:t>2017-</w:t>
            </w:r>
            <w:proofErr w:type="gramStart"/>
            <w:r w:rsidR="001A441E" w:rsidRPr="00712FD9">
              <w:rPr>
                <w:rFonts w:eastAsia="Times New Roman" w:cstheme="minorHAnsi"/>
                <w:color w:val="595959" w:themeColor="text1" w:themeTint="A6"/>
                <w:sz w:val="20"/>
                <w:szCs w:val="20"/>
                <w:lang w:val="en-AU" w:eastAsia="en-AU"/>
              </w:rPr>
              <w:t>20</w:t>
            </w:r>
            <w:r w:rsidR="00805614" w:rsidRPr="00712FD9">
              <w:rPr>
                <w:rFonts w:eastAsia="Times New Roman" w:cstheme="minorHAnsi"/>
                <w:color w:val="595959" w:themeColor="text1" w:themeTint="A6"/>
                <w:sz w:val="20"/>
                <w:szCs w:val="20"/>
                <w:lang w:val="en-AU" w:eastAsia="en-AU"/>
              </w:rPr>
              <w:t xml:space="preserve">24; </w:t>
            </w:r>
            <w:r w:rsidR="001A441E" w:rsidRPr="00712FD9">
              <w:rPr>
                <w:rFonts w:eastAsia="Times New Roman" w:cstheme="minorHAnsi"/>
                <w:color w:val="595959" w:themeColor="text1" w:themeTint="A6"/>
                <w:sz w:val="20"/>
                <w:szCs w:val="20"/>
                <w:lang w:val="en-AU" w:eastAsia="en-AU"/>
              </w:rPr>
              <w:t xml:space="preserve"> </w:t>
            </w:r>
            <w:r w:rsidR="00805614" w:rsidRPr="00712FD9">
              <w:rPr>
                <w:rFonts w:eastAsia="Times New Roman" w:cstheme="minorHAnsi"/>
                <w:color w:val="595959" w:themeColor="text1" w:themeTint="A6"/>
                <w:sz w:val="20"/>
                <w:szCs w:val="20"/>
                <w:lang w:val="en-AU" w:eastAsia="en-AU"/>
              </w:rPr>
              <w:t>Budget</w:t>
            </w:r>
            <w:proofErr w:type="gramEnd"/>
            <w:r w:rsidR="00805614" w:rsidRPr="00712FD9">
              <w:rPr>
                <w:rFonts w:eastAsia="Times New Roman" w:cstheme="minorHAnsi"/>
                <w:color w:val="595959" w:themeColor="text1" w:themeTint="A6"/>
                <w:sz w:val="20"/>
                <w:szCs w:val="20"/>
                <w:lang w:val="en-AU" w:eastAsia="en-AU"/>
              </w:rPr>
              <w:t xml:space="preserve">: $45m </w:t>
            </w:r>
          </w:p>
        </w:tc>
        <w:tc>
          <w:tcPr>
            <w:tcW w:w="1133" w:type="dxa"/>
            <w:tcBorders>
              <w:left w:val="single" w:sz="4" w:space="0" w:color="65C5B4" w:themeColor="accent1"/>
              <w:right w:val="single" w:sz="4" w:space="0" w:color="65C5B4" w:themeColor="accent1"/>
            </w:tcBorders>
            <w:shd w:val="clear" w:color="auto" w:fill="F2F2F2" w:themeFill="background1" w:themeFillShade="F2"/>
            <w:vAlign w:val="center"/>
            <w:hideMark/>
          </w:tcPr>
          <w:p w14:paraId="1E1AA6E3" w14:textId="23C5345B"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2020</w:t>
            </w:r>
          </w:p>
        </w:tc>
        <w:tc>
          <w:tcPr>
            <w:tcW w:w="1275"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7F8117FF" w14:textId="5F76501D"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c>
          <w:tcPr>
            <w:tcW w:w="1133"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1682810F" w14:textId="58EC4632"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c>
          <w:tcPr>
            <w:tcW w:w="1275"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279DD3D3" w14:textId="7B4DC7F3"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r>
      <w:tr w:rsidR="00805614" w:rsidRPr="00712FD9" w14:paraId="7E5F3616" w14:textId="77777777" w:rsidTr="00755DB2">
        <w:trPr>
          <w:cnfStyle w:val="100000000000" w:firstRow="1" w:lastRow="0" w:firstColumn="0" w:lastColumn="0" w:oddVBand="0" w:evenVBand="0" w:oddHBand="0" w:evenHBand="0" w:firstRowFirstColumn="0" w:firstRowLastColumn="0" w:lastRowFirstColumn="0" w:lastRowLastColumn="0"/>
          <w:trHeight w:hRule="exact" w:val="369"/>
          <w:tblHeader/>
        </w:trPr>
        <w:tc>
          <w:tcPr>
            <w:cnfStyle w:val="001000000000" w:firstRow="0" w:lastRow="0" w:firstColumn="1" w:lastColumn="0" w:oddVBand="0" w:evenVBand="0" w:oddHBand="0" w:evenHBand="0" w:firstRowFirstColumn="0" w:firstRowLastColumn="0" w:lastRowFirstColumn="0" w:lastRowLastColumn="0"/>
            <w:tcW w:w="5804" w:type="dxa"/>
            <w:tcBorders>
              <w:left w:val="single" w:sz="4" w:space="0" w:color="65C5B4" w:themeColor="accent1"/>
              <w:bottom w:val="nil"/>
              <w:right w:val="single" w:sz="4" w:space="0" w:color="65C5B4" w:themeColor="accent1"/>
            </w:tcBorders>
            <w:shd w:val="clear" w:color="auto" w:fill="E0F3EF" w:themeFill="accent1" w:themeFillTint="33"/>
            <w:vAlign w:val="center"/>
          </w:tcPr>
          <w:p w14:paraId="1C5F4946" w14:textId="232A73AB" w:rsidR="00805614" w:rsidRPr="00712FD9" w:rsidRDefault="00805614" w:rsidP="00591826">
            <w:pPr>
              <w:suppressAutoHyphens w:val="0"/>
              <w:spacing w:before="0" w:after="0" w:line="240" w:lineRule="auto"/>
              <w:rPr>
                <w:rFonts w:eastAsia="Times New Roman" w:cstheme="minorHAnsi"/>
                <w:b/>
                <w:bCs/>
                <w:color w:val="595959" w:themeColor="text1" w:themeTint="A6"/>
                <w:sz w:val="20"/>
                <w:szCs w:val="20"/>
                <w:lang w:eastAsia="en-AU"/>
              </w:rPr>
            </w:pPr>
            <w:r w:rsidRPr="00712FD9">
              <w:rPr>
                <w:rFonts w:eastAsia="Times New Roman" w:cstheme="minorHAnsi"/>
                <w:b/>
                <w:bCs/>
                <w:color w:val="595959" w:themeColor="text1" w:themeTint="A6"/>
                <w:sz w:val="20"/>
                <w:szCs w:val="20"/>
                <w:lang w:eastAsia="en-AU"/>
              </w:rPr>
              <w:t>Australia - World Bank Indonesia Partnership (ABIP)</w:t>
            </w:r>
          </w:p>
        </w:tc>
        <w:tc>
          <w:tcPr>
            <w:tcW w:w="1133" w:type="dxa"/>
            <w:tcBorders>
              <w:left w:val="single" w:sz="4" w:space="0" w:color="65C5B4" w:themeColor="accent1"/>
              <w:right w:val="single" w:sz="4" w:space="0" w:color="65C5B4" w:themeColor="accent1"/>
            </w:tcBorders>
            <w:shd w:val="clear" w:color="auto" w:fill="E0F3EF" w:themeFill="accent1" w:themeFillTint="33"/>
            <w:vAlign w:val="center"/>
            <w:hideMark/>
          </w:tcPr>
          <w:p w14:paraId="0E8ABDDA" w14:textId="15F606F8"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2021</w:t>
            </w:r>
          </w:p>
        </w:tc>
        <w:tc>
          <w:tcPr>
            <w:tcW w:w="1275" w:type="dxa"/>
            <w:tcBorders>
              <w:left w:val="single" w:sz="4" w:space="0" w:color="65C5B4" w:themeColor="accent1"/>
              <w:right w:val="single" w:sz="4" w:space="0" w:color="65C5B4" w:themeColor="accent1"/>
            </w:tcBorders>
            <w:shd w:val="clear" w:color="auto" w:fill="E0F3EF" w:themeFill="accent1" w:themeFillTint="33"/>
            <w:noWrap/>
            <w:vAlign w:val="center"/>
          </w:tcPr>
          <w:p w14:paraId="7BA2093E" w14:textId="1A761BFB"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c>
          <w:tcPr>
            <w:tcW w:w="1133" w:type="dxa"/>
            <w:tcBorders>
              <w:left w:val="single" w:sz="4" w:space="0" w:color="65C5B4" w:themeColor="accent1"/>
              <w:right w:val="single" w:sz="4" w:space="0" w:color="65C5B4" w:themeColor="accent1"/>
            </w:tcBorders>
            <w:shd w:val="clear" w:color="auto" w:fill="E0F3EF" w:themeFill="accent1" w:themeFillTint="33"/>
            <w:noWrap/>
            <w:vAlign w:val="center"/>
          </w:tcPr>
          <w:p w14:paraId="12498072" w14:textId="401C3564"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c>
          <w:tcPr>
            <w:tcW w:w="1275" w:type="dxa"/>
            <w:tcBorders>
              <w:left w:val="single" w:sz="4" w:space="0" w:color="65C5B4" w:themeColor="accent1"/>
              <w:right w:val="single" w:sz="4" w:space="0" w:color="65C5B4" w:themeColor="accent1"/>
            </w:tcBorders>
            <w:shd w:val="clear" w:color="auto" w:fill="E0F3EF" w:themeFill="accent1" w:themeFillTint="33"/>
            <w:noWrap/>
            <w:vAlign w:val="center"/>
          </w:tcPr>
          <w:p w14:paraId="28D13EB4" w14:textId="15390291"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r>
      <w:tr w:rsidR="00805614" w:rsidRPr="00712FD9" w14:paraId="64E67DEF"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top w:val="nil"/>
              <w:left w:val="single" w:sz="4" w:space="0" w:color="65C5B4" w:themeColor="accent1"/>
              <w:right w:val="single" w:sz="4" w:space="0" w:color="65C5B4" w:themeColor="accent1"/>
            </w:tcBorders>
            <w:shd w:val="clear" w:color="auto" w:fill="E0F3EF" w:themeFill="accent1" w:themeFillTint="33"/>
            <w:vAlign w:val="center"/>
          </w:tcPr>
          <w:p w14:paraId="25AADAC3" w14:textId="45ADC6BC" w:rsidR="00805614" w:rsidRPr="00712FD9" w:rsidRDefault="00325DD6" w:rsidP="00591826">
            <w:pPr>
              <w:suppressAutoHyphens w:val="0"/>
              <w:spacing w:before="0" w:after="0" w:line="240" w:lineRule="auto"/>
              <w:ind w:firstLineChars="100" w:firstLine="200"/>
              <w:rPr>
                <w:rFonts w:eastAsia="Times New Roman" w:cstheme="minorHAnsi"/>
                <w:color w:val="595959" w:themeColor="text1" w:themeTint="A6"/>
                <w:sz w:val="20"/>
                <w:szCs w:val="20"/>
                <w:lang w:val="en-AU" w:eastAsia="en-AU"/>
              </w:rPr>
            </w:pPr>
            <w:r w:rsidRPr="00712FD9">
              <w:rPr>
                <w:rFonts w:eastAsia="Times New Roman" w:cstheme="minorHAnsi"/>
                <w:color w:val="595959" w:themeColor="text1" w:themeTint="A6"/>
                <w:sz w:val="20"/>
                <w:szCs w:val="20"/>
                <w:lang w:val="en-AU" w:eastAsia="en-AU"/>
              </w:rPr>
              <w:t xml:space="preserve">Investment duration: </w:t>
            </w:r>
            <w:r w:rsidR="00805614" w:rsidRPr="00712FD9">
              <w:rPr>
                <w:rFonts w:eastAsia="Times New Roman" w:cstheme="minorHAnsi"/>
                <w:color w:val="595959" w:themeColor="text1" w:themeTint="A6"/>
                <w:sz w:val="20"/>
                <w:szCs w:val="20"/>
                <w:lang w:val="en-AU" w:eastAsia="en-AU"/>
              </w:rPr>
              <w:t>2020-</w:t>
            </w:r>
            <w:r w:rsidR="001A441E" w:rsidRPr="00712FD9">
              <w:rPr>
                <w:rFonts w:eastAsia="Times New Roman" w:cstheme="minorHAnsi"/>
                <w:color w:val="595959" w:themeColor="text1" w:themeTint="A6"/>
                <w:sz w:val="20"/>
                <w:szCs w:val="20"/>
                <w:lang w:val="en-AU" w:eastAsia="en-AU"/>
              </w:rPr>
              <w:t>20</w:t>
            </w:r>
            <w:r w:rsidR="00805614" w:rsidRPr="00712FD9">
              <w:rPr>
                <w:rFonts w:eastAsia="Times New Roman" w:cstheme="minorHAnsi"/>
                <w:color w:val="595959" w:themeColor="text1" w:themeTint="A6"/>
                <w:sz w:val="20"/>
                <w:szCs w:val="20"/>
                <w:lang w:val="en-AU" w:eastAsia="en-AU"/>
              </w:rPr>
              <w:t xml:space="preserve">25; Budget: $25m </w:t>
            </w:r>
          </w:p>
        </w:tc>
        <w:tc>
          <w:tcPr>
            <w:tcW w:w="1133" w:type="dxa"/>
            <w:tcBorders>
              <w:left w:val="single" w:sz="4" w:space="0" w:color="65C5B4" w:themeColor="accent1"/>
              <w:right w:val="single" w:sz="4" w:space="0" w:color="65C5B4" w:themeColor="accent1"/>
            </w:tcBorders>
            <w:shd w:val="clear" w:color="auto" w:fill="E0F3EF" w:themeFill="accent1" w:themeFillTint="33"/>
            <w:vAlign w:val="center"/>
            <w:hideMark/>
          </w:tcPr>
          <w:p w14:paraId="26972C8E" w14:textId="6BDB1FAD"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2020</w:t>
            </w:r>
          </w:p>
        </w:tc>
        <w:tc>
          <w:tcPr>
            <w:tcW w:w="1275" w:type="dxa"/>
            <w:tcBorders>
              <w:left w:val="single" w:sz="4" w:space="0" w:color="65C5B4" w:themeColor="accent1"/>
              <w:right w:val="single" w:sz="4" w:space="0" w:color="65C5B4" w:themeColor="accent1"/>
            </w:tcBorders>
            <w:shd w:val="clear" w:color="auto" w:fill="E0F3EF" w:themeFill="accent1" w:themeFillTint="33"/>
            <w:noWrap/>
            <w:vAlign w:val="center"/>
          </w:tcPr>
          <w:p w14:paraId="10950287" w14:textId="505B2B54"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n/a</w:t>
            </w:r>
          </w:p>
        </w:tc>
        <w:tc>
          <w:tcPr>
            <w:tcW w:w="1133" w:type="dxa"/>
            <w:tcBorders>
              <w:left w:val="single" w:sz="4" w:space="0" w:color="65C5B4" w:themeColor="accent1"/>
              <w:right w:val="single" w:sz="4" w:space="0" w:color="65C5B4" w:themeColor="accent1"/>
            </w:tcBorders>
            <w:shd w:val="clear" w:color="auto" w:fill="E0F3EF" w:themeFill="accent1" w:themeFillTint="33"/>
            <w:noWrap/>
            <w:vAlign w:val="center"/>
          </w:tcPr>
          <w:p w14:paraId="3F8EBEB3" w14:textId="549A1C8B"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n/a</w:t>
            </w:r>
          </w:p>
        </w:tc>
        <w:tc>
          <w:tcPr>
            <w:tcW w:w="1275" w:type="dxa"/>
            <w:tcBorders>
              <w:left w:val="single" w:sz="4" w:space="0" w:color="65C5B4" w:themeColor="accent1"/>
              <w:right w:val="single" w:sz="4" w:space="0" w:color="65C5B4" w:themeColor="accent1"/>
            </w:tcBorders>
            <w:shd w:val="clear" w:color="auto" w:fill="E0F3EF" w:themeFill="accent1" w:themeFillTint="33"/>
            <w:noWrap/>
            <w:vAlign w:val="center"/>
          </w:tcPr>
          <w:p w14:paraId="6236A1B5" w14:textId="3745D0F8"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n/a</w:t>
            </w:r>
          </w:p>
        </w:tc>
      </w:tr>
      <w:tr w:rsidR="00805614" w:rsidRPr="00712FD9" w14:paraId="6AAFBB29"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left w:val="single" w:sz="4" w:space="0" w:color="65C5B4" w:themeColor="accent1"/>
              <w:bottom w:val="nil"/>
              <w:right w:val="single" w:sz="4" w:space="0" w:color="65C5B4" w:themeColor="accent1"/>
            </w:tcBorders>
            <w:shd w:val="clear" w:color="auto" w:fill="F2F2F2" w:themeFill="background1" w:themeFillShade="F2"/>
            <w:vAlign w:val="center"/>
          </w:tcPr>
          <w:p w14:paraId="47A4D4FB" w14:textId="16D4FF7C" w:rsidR="00805614" w:rsidRPr="00712FD9" w:rsidRDefault="00805614" w:rsidP="00591826">
            <w:pPr>
              <w:suppressAutoHyphens w:val="0"/>
              <w:spacing w:before="0" w:after="0" w:line="240" w:lineRule="auto"/>
              <w:rPr>
                <w:rFonts w:eastAsia="Times New Roman" w:cstheme="minorHAnsi"/>
                <w:color w:val="595959" w:themeColor="text1" w:themeTint="A6"/>
                <w:sz w:val="20"/>
                <w:szCs w:val="20"/>
                <w:lang w:val="en-AU" w:eastAsia="en-AU"/>
              </w:rPr>
            </w:pPr>
            <w:r w:rsidRPr="00712FD9">
              <w:rPr>
                <w:rFonts w:eastAsia="Times New Roman" w:cstheme="minorHAnsi"/>
                <w:b/>
                <w:bCs/>
                <w:color w:val="595959" w:themeColor="text1" w:themeTint="A6"/>
                <w:sz w:val="20"/>
                <w:szCs w:val="20"/>
                <w:lang w:eastAsia="en-AU"/>
              </w:rPr>
              <w:t>Promoting Rural Income thru Support in Agriculture (</w:t>
            </w:r>
            <w:r w:rsidRPr="00712FD9">
              <w:rPr>
                <w:rFonts w:ascii="Calibri Light" w:eastAsia="Times New Roman" w:hAnsi="Calibri Light" w:cs="Calibri Light"/>
                <w:b/>
                <w:bCs/>
                <w:color w:val="404040"/>
                <w:sz w:val="20"/>
                <w:szCs w:val="20"/>
                <w:lang w:val="en-AU" w:eastAsia="en-GB"/>
              </w:rPr>
              <w:t>PRISMA)</w:t>
            </w:r>
          </w:p>
        </w:tc>
        <w:tc>
          <w:tcPr>
            <w:tcW w:w="1133" w:type="dxa"/>
            <w:tcBorders>
              <w:left w:val="single" w:sz="4" w:space="0" w:color="65C5B4" w:themeColor="accent1"/>
              <w:right w:val="single" w:sz="4" w:space="0" w:color="65C5B4" w:themeColor="accent1"/>
            </w:tcBorders>
            <w:shd w:val="clear" w:color="auto" w:fill="F2F2F2" w:themeFill="background1" w:themeFillShade="F2"/>
            <w:vAlign w:val="center"/>
          </w:tcPr>
          <w:p w14:paraId="198B806C" w14:textId="09A6C411"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2021</w:t>
            </w:r>
          </w:p>
        </w:tc>
        <w:tc>
          <w:tcPr>
            <w:tcW w:w="1275"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17CA5D8B" w14:textId="5DBC85EF"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c>
          <w:tcPr>
            <w:tcW w:w="1133"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49735AB6" w14:textId="246AFFC9"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c>
          <w:tcPr>
            <w:tcW w:w="1275"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696BE150" w14:textId="37E39351"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r>
      <w:tr w:rsidR="00805614" w:rsidRPr="00712FD9" w14:paraId="081740CA"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top w:val="nil"/>
              <w:left w:val="single" w:sz="4" w:space="0" w:color="65C5B4" w:themeColor="accent1"/>
              <w:right w:val="single" w:sz="4" w:space="0" w:color="65C5B4" w:themeColor="accent1"/>
            </w:tcBorders>
            <w:shd w:val="clear" w:color="auto" w:fill="F2F2F2" w:themeFill="background1" w:themeFillShade="F2"/>
            <w:vAlign w:val="center"/>
          </w:tcPr>
          <w:p w14:paraId="1BECCAF2" w14:textId="681F8F38" w:rsidR="00805614" w:rsidRPr="00712FD9" w:rsidRDefault="00325DD6" w:rsidP="00591826">
            <w:pPr>
              <w:suppressAutoHyphens w:val="0"/>
              <w:spacing w:before="0" w:after="0" w:line="240" w:lineRule="auto"/>
              <w:ind w:firstLineChars="100" w:firstLine="200"/>
              <w:rPr>
                <w:rFonts w:eastAsia="Times New Roman" w:cstheme="minorHAnsi"/>
                <w:color w:val="595959" w:themeColor="text1" w:themeTint="A6"/>
                <w:sz w:val="20"/>
                <w:szCs w:val="20"/>
                <w:lang w:val="en-AU" w:eastAsia="en-AU"/>
              </w:rPr>
            </w:pPr>
            <w:r w:rsidRPr="00712FD9">
              <w:rPr>
                <w:rFonts w:eastAsia="Times New Roman" w:cstheme="minorHAnsi"/>
                <w:color w:val="595959" w:themeColor="text1" w:themeTint="A6"/>
                <w:sz w:val="20"/>
                <w:szCs w:val="20"/>
                <w:lang w:val="en-AU" w:eastAsia="en-AU"/>
              </w:rPr>
              <w:t xml:space="preserve">Investment duration: </w:t>
            </w:r>
            <w:r w:rsidR="00805614" w:rsidRPr="00712FD9">
              <w:rPr>
                <w:rFonts w:eastAsia="Times New Roman" w:cstheme="minorHAnsi"/>
                <w:color w:val="595959" w:themeColor="text1" w:themeTint="A6"/>
                <w:sz w:val="20"/>
                <w:szCs w:val="20"/>
                <w:lang w:val="en-AU" w:eastAsia="en-AU"/>
              </w:rPr>
              <w:t>2018-</w:t>
            </w:r>
            <w:proofErr w:type="gramStart"/>
            <w:r w:rsidR="001A441E" w:rsidRPr="00712FD9">
              <w:rPr>
                <w:rFonts w:eastAsia="Times New Roman" w:cstheme="minorHAnsi"/>
                <w:color w:val="595959" w:themeColor="text1" w:themeTint="A6"/>
                <w:sz w:val="20"/>
                <w:szCs w:val="20"/>
                <w:lang w:val="en-AU" w:eastAsia="en-AU"/>
              </w:rPr>
              <w:t>20</w:t>
            </w:r>
            <w:r w:rsidR="00805614" w:rsidRPr="00712FD9">
              <w:rPr>
                <w:rFonts w:eastAsia="Times New Roman" w:cstheme="minorHAnsi"/>
                <w:color w:val="595959" w:themeColor="text1" w:themeTint="A6"/>
                <w:sz w:val="20"/>
                <w:szCs w:val="20"/>
                <w:lang w:val="en-AU" w:eastAsia="en-AU"/>
              </w:rPr>
              <w:t xml:space="preserve">23; </w:t>
            </w:r>
            <w:r w:rsidR="001A441E" w:rsidRPr="00712FD9">
              <w:rPr>
                <w:rFonts w:eastAsia="Times New Roman" w:cstheme="minorHAnsi"/>
                <w:color w:val="595959" w:themeColor="text1" w:themeTint="A6"/>
                <w:sz w:val="20"/>
                <w:szCs w:val="20"/>
                <w:lang w:val="en-AU" w:eastAsia="en-AU"/>
              </w:rPr>
              <w:t xml:space="preserve"> </w:t>
            </w:r>
            <w:r w:rsidR="00805614" w:rsidRPr="00712FD9">
              <w:rPr>
                <w:rFonts w:eastAsia="Times New Roman" w:cstheme="minorHAnsi"/>
                <w:color w:val="595959" w:themeColor="text1" w:themeTint="A6"/>
                <w:sz w:val="20"/>
                <w:szCs w:val="20"/>
                <w:lang w:val="en-AU" w:eastAsia="en-AU"/>
              </w:rPr>
              <w:t>Budget</w:t>
            </w:r>
            <w:proofErr w:type="gramEnd"/>
            <w:r w:rsidR="00805614" w:rsidRPr="00712FD9">
              <w:rPr>
                <w:rFonts w:eastAsia="Times New Roman" w:cstheme="minorHAnsi"/>
                <w:color w:val="595959" w:themeColor="text1" w:themeTint="A6"/>
                <w:sz w:val="20"/>
                <w:szCs w:val="20"/>
                <w:lang w:val="en-AU" w:eastAsia="en-AU"/>
              </w:rPr>
              <w:t xml:space="preserve">: $95.5m </w:t>
            </w:r>
          </w:p>
        </w:tc>
        <w:tc>
          <w:tcPr>
            <w:tcW w:w="1133" w:type="dxa"/>
            <w:tcBorders>
              <w:left w:val="single" w:sz="4" w:space="0" w:color="65C5B4" w:themeColor="accent1"/>
              <w:right w:val="single" w:sz="4" w:space="0" w:color="65C5B4" w:themeColor="accent1"/>
            </w:tcBorders>
            <w:shd w:val="clear" w:color="auto" w:fill="F2F2F2" w:themeFill="background1" w:themeFillShade="F2"/>
            <w:vAlign w:val="center"/>
          </w:tcPr>
          <w:p w14:paraId="6632636E" w14:textId="3B643113"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2020</w:t>
            </w:r>
          </w:p>
        </w:tc>
        <w:tc>
          <w:tcPr>
            <w:tcW w:w="1275"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361D51AC" w14:textId="0DBB6FC9"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c>
          <w:tcPr>
            <w:tcW w:w="1133"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1DD2FDBE" w14:textId="6ABC293D"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c>
          <w:tcPr>
            <w:tcW w:w="1275"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425D15B9" w14:textId="4F870457"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r>
      <w:tr w:rsidR="00805614" w:rsidRPr="00712FD9" w14:paraId="08D5B69B"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left w:val="single" w:sz="4" w:space="0" w:color="65C5B4" w:themeColor="accent1"/>
              <w:bottom w:val="nil"/>
              <w:right w:val="single" w:sz="4" w:space="0" w:color="65C5B4" w:themeColor="accent1"/>
            </w:tcBorders>
            <w:shd w:val="clear" w:color="auto" w:fill="E0F3EF" w:themeFill="accent1" w:themeFillTint="33"/>
            <w:vAlign w:val="center"/>
          </w:tcPr>
          <w:p w14:paraId="29B0C7E1" w14:textId="4348FCB8" w:rsidR="00805614" w:rsidRPr="00712FD9" w:rsidRDefault="00805614" w:rsidP="00591826">
            <w:pPr>
              <w:suppressAutoHyphens w:val="0"/>
              <w:spacing w:before="0" w:after="0" w:line="240" w:lineRule="auto"/>
              <w:rPr>
                <w:rFonts w:eastAsia="Times New Roman" w:cstheme="minorHAnsi"/>
                <w:color w:val="595959" w:themeColor="text1" w:themeTint="A6"/>
                <w:sz w:val="20"/>
                <w:szCs w:val="20"/>
                <w:lang w:val="en-AU" w:eastAsia="en-AU"/>
              </w:rPr>
            </w:pPr>
            <w:r w:rsidRPr="00712FD9">
              <w:rPr>
                <w:rFonts w:eastAsia="Times New Roman" w:cstheme="minorHAnsi"/>
                <w:b/>
                <w:bCs/>
                <w:color w:val="595959" w:themeColor="text1" w:themeTint="A6"/>
                <w:sz w:val="20"/>
                <w:szCs w:val="20"/>
                <w:lang w:eastAsia="en-AU"/>
              </w:rPr>
              <w:t>Australia - Indonesia Health Security Partnership (AIHSP)</w:t>
            </w:r>
          </w:p>
        </w:tc>
        <w:tc>
          <w:tcPr>
            <w:tcW w:w="1133" w:type="dxa"/>
            <w:tcBorders>
              <w:left w:val="single" w:sz="4" w:space="0" w:color="65C5B4" w:themeColor="accent1"/>
              <w:right w:val="single" w:sz="4" w:space="0" w:color="65C5B4" w:themeColor="accent1"/>
            </w:tcBorders>
            <w:shd w:val="clear" w:color="auto" w:fill="E0F3EF" w:themeFill="accent1" w:themeFillTint="33"/>
            <w:vAlign w:val="center"/>
          </w:tcPr>
          <w:p w14:paraId="7DF0D2AF" w14:textId="69B9D937"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2021</w:t>
            </w:r>
          </w:p>
        </w:tc>
        <w:tc>
          <w:tcPr>
            <w:tcW w:w="1275" w:type="dxa"/>
            <w:tcBorders>
              <w:left w:val="single" w:sz="4" w:space="0" w:color="65C5B4" w:themeColor="accent1"/>
              <w:right w:val="single" w:sz="4" w:space="0" w:color="65C5B4" w:themeColor="accent1"/>
            </w:tcBorders>
            <w:shd w:val="clear" w:color="auto" w:fill="E0F3EF" w:themeFill="accent1" w:themeFillTint="33"/>
            <w:noWrap/>
            <w:vAlign w:val="center"/>
          </w:tcPr>
          <w:p w14:paraId="1ACF7C83" w14:textId="19CF14D5"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c>
          <w:tcPr>
            <w:tcW w:w="1133" w:type="dxa"/>
            <w:tcBorders>
              <w:left w:val="single" w:sz="4" w:space="0" w:color="65C5B4" w:themeColor="accent1"/>
              <w:right w:val="single" w:sz="4" w:space="0" w:color="65C5B4" w:themeColor="accent1"/>
            </w:tcBorders>
            <w:shd w:val="clear" w:color="auto" w:fill="E0F3EF" w:themeFill="accent1" w:themeFillTint="33"/>
            <w:noWrap/>
            <w:vAlign w:val="center"/>
          </w:tcPr>
          <w:p w14:paraId="24E867A9" w14:textId="385F00E7"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c>
          <w:tcPr>
            <w:tcW w:w="1275" w:type="dxa"/>
            <w:tcBorders>
              <w:left w:val="single" w:sz="4" w:space="0" w:color="65C5B4" w:themeColor="accent1"/>
              <w:right w:val="single" w:sz="4" w:space="0" w:color="65C5B4" w:themeColor="accent1"/>
            </w:tcBorders>
            <w:shd w:val="clear" w:color="auto" w:fill="E0F3EF" w:themeFill="accent1" w:themeFillTint="33"/>
            <w:noWrap/>
            <w:vAlign w:val="center"/>
          </w:tcPr>
          <w:p w14:paraId="02DD8F79" w14:textId="2FB2695F"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r>
      <w:tr w:rsidR="00805614" w:rsidRPr="00712FD9" w14:paraId="0E67C7E6"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top w:val="nil"/>
              <w:left w:val="single" w:sz="4" w:space="0" w:color="65C5B4" w:themeColor="accent1"/>
              <w:right w:val="single" w:sz="4" w:space="0" w:color="65C5B4" w:themeColor="accent1"/>
            </w:tcBorders>
            <w:shd w:val="clear" w:color="auto" w:fill="E0F3EF" w:themeFill="accent1" w:themeFillTint="33"/>
            <w:vAlign w:val="center"/>
          </w:tcPr>
          <w:p w14:paraId="03C51EED" w14:textId="08587BE6" w:rsidR="00805614" w:rsidRPr="00712FD9" w:rsidRDefault="00325DD6" w:rsidP="00591826">
            <w:pPr>
              <w:suppressAutoHyphens w:val="0"/>
              <w:spacing w:before="0" w:after="0" w:line="240" w:lineRule="auto"/>
              <w:ind w:firstLineChars="100" w:firstLine="200"/>
              <w:rPr>
                <w:rFonts w:eastAsia="Times New Roman" w:cstheme="minorHAnsi"/>
                <w:color w:val="595959" w:themeColor="text1" w:themeTint="A6"/>
                <w:sz w:val="20"/>
                <w:szCs w:val="20"/>
                <w:lang w:val="en-AU" w:eastAsia="en-AU"/>
              </w:rPr>
            </w:pPr>
            <w:r w:rsidRPr="00712FD9">
              <w:rPr>
                <w:rFonts w:eastAsia="Times New Roman" w:cstheme="minorHAnsi"/>
                <w:color w:val="595959" w:themeColor="text1" w:themeTint="A6"/>
                <w:sz w:val="20"/>
                <w:szCs w:val="20"/>
                <w:lang w:val="en-AU" w:eastAsia="en-AU"/>
              </w:rPr>
              <w:t xml:space="preserve">Investment duration: </w:t>
            </w:r>
            <w:r w:rsidR="00805614" w:rsidRPr="00712FD9">
              <w:rPr>
                <w:rFonts w:eastAsia="Times New Roman" w:cstheme="minorHAnsi"/>
                <w:color w:val="595959" w:themeColor="text1" w:themeTint="A6"/>
                <w:sz w:val="20"/>
                <w:szCs w:val="20"/>
                <w:lang w:val="en-AU" w:eastAsia="en-AU"/>
              </w:rPr>
              <w:t>2018-</w:t>
            </w:r>
            <w:proofErr w:type="gramStart"/>
            <w:r w:rsidR="001A441E" w:rsidRPr="00712FD9">
              <w:rPr>
                <w:rFonts w:eastAsia="Times New Roman" w:cstheme="minorHAnsi"/>
                <w:color w:val="595959" w:themeColor="text1" w:themeTint="A6"/>
                <w:sz w:val="20"/>
                <w:szCs w:val="20"/>
                <w:lang w:val="en-AU" w:eastAsia="en-AU"/>
              </w:rPr>
              <w:t>20</w:t>
            </w:r>
            <w:r w:rsidR="00805614" w:rsidRPr="00712FD9">
              <w:rPr>
                <w:rFonts w:eastAsia="Times New Roman" w:cstheme="minorHAnsi"/>
                <w:color w:val="595959" w:themeColor="text1" w:themeTint="A6"/>
                <w:sz w:val="20"/>
                <w:szCs w:val="20"/>
                <w:lang w:val="en-AU" w:eastAsia="en-AU"/>
              </w:rPr>
              <w:t xml:space="preserve">25; </w:t>
            </w:r>
            <w:r w:rsidR="001A441E" w:rsidRPr="00712FD9">
              <w:rPr>
                <w:rFonts w:eastAsia="Times New Roman" w:cstheme="minorHAnsi"/>
                <w:color w:val="595959" w:themeColor="text1" w:themeTint="A6"/>
                <w:sz w:val="20"/>
                <w:szCs w:val="20"/>
                <w:lang w:val="en-AU" w:eastAsia="en-AU"/>
              </w:rPr>
              <w:t xml:space="preserve"> </w:t>
            </w:r>
            <w:r w:rsidR="00805614" w:rsidRPr="00712FD9">
              <w:rPr>
                <w:rFonts w:eastAsia="Times New Roman" w:cstheme="minorHAnsi"/>
                <w:color w:val="595959" w:themeColor="text1" w:themeTint="A6"/>
                <w:sz w:val="20"/>
                <w:szCs w:val="20"/>
                <w:lang w:val="en-AU" w:eastAsia="en-AU"/>
              </w:rPr>
              <w:t>Budget</w:t>
            </w:r>
            <w:proofErr w:type="gramEnd"/>
            <w:r w:rsidR="00805614" w:rsidRPr="00712FD9">
              <w:rPr>
                <w:rFonts w:eastAsia="Times New Roman" w:cstheme="minorHAnsi"/>
                <w:color w:val="595959" w:themeColor="text1" w:themeTint="A6"/>
                <w:sz w:val="20"/>
                <w:szCs w:val="20"/>
                <w:lang w:val="en-AU" w:eastAsia="en-AU"/>
              </w:rPr>
              <w:t xml:space="preserve">: $29.6m </w:t>
            </w:r>
          </w:p>
        </w:tc>
        <w:tc>
          <w:tcPr>
            <w:tcW w:w="1133" w:type="dxa"/>
            <w:tcBorders>
              <w:left w:val="single" w:sz="4" w:space="0" w:color="65C5B4" w:themeColor="accent1"/>
              <w:right w:val="single" w:sz="4" w:space="0" w:color="65C5B4" w:themeColor="accent1"/>
            </w:tcBorders>
            <w:shd w:val="clear" w:color="auto" w:fill="E0F3EF" w:themeFill="accent1" w:themeFillTint="33"/>
            <w:vAlign w:val="center"/>
          </w:tcPr>
          <w:p w14:paraId="3C4019C1" w14:textId="7A4D632F"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2020</w:t>
            </w:r>
          </w:p>
        </w:tc>
        <w:tc>
          <w:tcPr>
            <w:tcW w:w="1275" w:type="dxa"/>
            <w:tcBorders>
              <w:left w:val="single" w:sz="4" w:space="0" w:color="65C5B4" w:themeColor="accent1"/>
              <w:right w:val="single" w:sz="4" w:space="0" w:color="65C5B4" w:themeColor="accent1"/>
            </w:tcBorders>
            <w:shd w:val="clear" w:color="auto" w:fill="E0F3EF" w:themeFill="accent1" w:themeFillTint="33"/>
            <w:noWrap/>
            <w:vAlign w:val="center"/>
          </w:tcPr>
          <w:p w14:paraId="0228C8AD" w14:textId="05E2FB76"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n/a</w:t>
            </w:r>
          </w:p>
        </w:tc>
        <w:tc>
          <w:tcPr>
            <w:tcW w:w="1133" w:type="dxa"/>
            <w:tcBorders>
              <w:left w:val="single" w:sz="4" w:space="0" w:color="65C5B4" w:themeColor="accent1"/>
              <w:right w:val="single" w:sz="4" w:space="0" w:color="65C5B4" w:themeColor="accent1"/>
            </w:tcBorders>
            <w:shd w:val="clear" w:color="auto" w:fill="E0F3EF" w:themeFill="accent1" w:themeFillTint="33"/>
            <w:noWrap/>
            <w:vAlign w:val="center"/>
          </w:tcPr>
          <w:p w14:paraId="71A733DE" w14:textId="6FD59B3B"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n/a</w:t>
            </w:r>
          </w:p>
        </w:tc>
        <w:tc>
          <w:tcPr>
            <w:tcW w:w="1275" w:type="dxa"/>
            <w:tcBorders>
              <w:left w:val="single" w:sz="4" w:space="0" w:color="65C5B4" w:themeColor="accent1"/>
              <w:right w:val="single" w:sz="4" w:space="0" w:color="65C5B4" w:themeColor="accent1"/>
            </w:tcBorders>
            <w:shd w:val="clear" w:color="auto" w:fill="E0F3EF" w:themeFill="accent1" w:themeFillTint="33"/>
            <w:noWrap/>
            <w:vAlign w:val="center"/>
          </w:tcPr>
          <w:p w14:paraId="367DAD22" w14:textId="70B11D91"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n/a</w:t>
            </w:r>
          </w:p>
        </w:tc>
      </w:tr>
      <w:tr w:rsidR="00805614" w:rsidRPr="00712FD9" w14:paraId="23DF8A37"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left w:val="single" w:sz="4" w:space="0" w:color="65C5B4" w:themeColor="accent1"/>
              <w:bottom w:val="nil"/>
              <w:right w:val="single" w:sz="4" w:space="0" w:color="65C5B4" w:themeColor="accent1"/>
            </w:tcBorders>
            <w:shd w:val="clear" w:color="auto" w:fill="F2F2F2" w:themeFill="background1" w:themeFillShade="F2"/>
            <w:vAlign w:val="center"/>
          </w:tcPr>
          <w:p w14:paraId="5DF1A93C" w14:textId="24DBAF90" w:rsidR="00805614" w:rsidRPr="00712FD9" w:rsidRDefault="00805614" w:rsidP="00591826">
            <w:pPr>
              <w:suppressAutoHyphens w:val="0"/>
              <w:spacing w:before="0" w:after="0" w:line="240" w:lineRule="auto"/>
              <w:rPr>
                <w:rFonts w:eastAsia="Times New Roman" w:cstheme="minorHAnsi"/>
                <w:color w:val="595959" w:themeColor="text1" w:themeTint="A6"/>
                <w:sz w:val="20"/>
                <w:szCs w:val="20"/>
                <w:lang w:val="en-AU" w:eastAsia="en-AU"/>
              </w:rPr>
            </w:pPr>
            <w:r w:rsidRPr="00712FD9">
              <w:rPr>
                <w:rFonts w:eastAsia="Times New Roman" w:cstheme="minorHAnsi"/>
                <w:b/>
                <w:bCs/>
                <w:color w:val="595959" w:themeColor="text1" w:themeTint="A6"/>
                <w:sz w:val="20"/>
                <w:szCs w:val="20"/>
                <w:lang w:eastAsia="en-AU"/>
              </w:rPr>
              <w:t>Innovation for Indonesia's School Children Phase</w:t>
            </w:r>
            <w:r w:rsidRPr="00712FD9">
              <w:rPr>
                <w:rFonts w:ascii="Calibri Light" w:eastAsia="Times New Roman" w:hAnsi="Calibri Light" w:cs="Calibri Light"/>
                <w:b/>
                <w:bCs/>
                <w:color w:val="404040"/>
                <w:sz w:val="20"/>
                <w:szCs w:val="20"/>
                <w:lang w:eastAsia="en-GB"/>
              </w:rPr>
              <w:t xml:space="preserve"> 2</w:t>
            </w:r>
            <w:r w:rsidR="00D43DEE">
              <w:rPr>
                <w:rFonts w:ascii="Calibri Light" w:eastAsia="Times New Roman" w:hAnsi="Calibri Light" w:cs="Calibri Light"/>
                <w:b/>
                <w:bCs/>
                <w:color w:val="404040"/>
                <w:sz w:val="20"/>
                <w:szCs w:val="20"/>
                <w:lang w:eastAsia="en-GB"/>
              </w:rPr>
              <w:t xml:space="preserve"> </w:t>
            </w:r>
            <w:r w:rsidR="00D43DEE" w:rsidRPr="00712FD9">
              <w:rPr>
                <w:rFonts w:eastAsia="Times New Roman" w:cstheme="minorHAnsi"/>
                <w:b/>
                <w:bCs/>
                <w:color w:val="595959" w:themeColor="text1" w:themeTint="A6"/>
                <w:sz w:val="20"/>
                <w:szCs w:val="20"/>
                <w:lang w:eastAsia="en-AU"/>
              </w:rPr>
              <w:t>(INOVASI)</w:t>
            </w:r>
          </w:p>
        </w:tc>
        <w:tc>
          <w:tcPr>
            <w:tcW w:w="1133" w:type="dxa"/>
            <w:tcBorders>
              <w:left w:val="single" w:sz="4" w:space="0" w:color="65C5B4" w:themeColor="accent1"/>
              <w:right w:val="single" w:sz="4" w:space="0" w:color="65C5B4" w:themeColor="accent1"/>
            </w:tcBorders>
            <w:shd w:val="clear" w:color="auto" w:fill="F2F2F2" w:themeFill="background1" w:themeFillShade="F2"/>
            <w:vAlign w:val="center"/>
          </w:tcPr>
          <w:p w14:paraId="1AF63ED0" w14:textId="66190287"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2021</w:t>
            </w:r>
          </w:p>
        </w:tc>
        <w:tc>
          <w:tcPr>
            <w:tcW w:w="1275"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73D46722" w14:textId="6882D94B"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c>
          <w:tcPr>
            <w:tcW w:w="1133"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36857EAF" w14:textId="7ED713CB"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c>
          <w:tcPr>
            <w:tcW w:w="1275"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3A59D8D1" w14:textId="1C1F5520"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r>
      <w:tr w:rsidR="00805614" w:rsidRPr="00712FD9" w14:paraId="10DE397E"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top w:val="nil"/>
              <w:left w:val="single" w:sz="4" w:space="0" w:color="65C5B4" w:themeColor="accent1"/>
              <w:right w:val="single" w:sz="4" w:space="0" w:color="65C5B4" w:themeColor="accent1"/>
            </w:tcBorders>
            <w:shd w:val="clear" w:color="auto" w:fill="F2F2F2" w:themeFill="background1" w:themeFillShade="F2"/>
            <w:vAlign w:val="center"/>
          </w:tcPr>
          <w:p w14:paraId="33E951B8" w14:textId="1A6F94D7" w:rsidR="00805614" w:rsidRPr="00712FD9" w:rsidRDefault="00325DD6" w:rsidP="00591826">
            <w:pPr>
              <w:suppressAutoHyphens w:val="0"/>
              <w:spacing w:before="0" w:after="0" w:line="240" w:lineRule="auto"/>
              <w:ind w:firstLineChars="100" w:firstLine="200"/>
              <w:rPr>
                <w:rFonts w:eastAsia="Times New Roman" w:cstheme="minorHAnsi"/>
                <w:color w:val="595959" w:themeColor="text1" w:themeTint="A6"/>
                <w:sz w:val="20"/>
                <w:szCs w:val="20"/>
                <w:lang w:val="en-AU" w:eastAsia="en-AU"/>
              </w:rPr>
            </w:pPr>
            <w:r w:rsidRPr="00712FD9">
              <w:rPr>
                <w:rFonts w:eastAsia="Times New Roman" w:cstheme="minorHAnsi"/>
                <w:color w:val="595959" w:themeColor="text1" w:themeTint="A6"/>
                <w:sz w:val="20"/>
                <w:szCs w:val="20"/>
                <w:lang w:val="en-AU" w:eastAsia="en-AU"/>
              </w:rPr>
              <w:t xml:space="preserve">Investment duration: </w:t>
            </w:r>
            <w:r w:rsidR="00805614" w:rsidRPr="00712FD9">
              <w:rPr>
                <w:rFonts w:eastAsia="Times New Roman" w:cstheme="minorHAnsi"/>
                <w:color w:val="595959" w:themeColor="text1" w:themeTint="A6"/>
                <w:sz w:val="20"/>
                <w:szCs w:val="20"/>
                <w:lang w:val="en-AU" w:eastAsia="en-AU"/>
              </w:rPr>
              <w:t>2019-</w:t>
            </w:r>
            <w:r w:rsidR="001A441E" w:rsidRPr="00712FD9">
              <w:rPr>
                <w:rFonts w:eastAsia="Times New Roman" w:cstheme="minorHAnsi"/>
                <w:color w:val="595959" w:themeColor="text1" w:themeTint="A6"/>
                <w:sz w:val="20"/>
                <w:szCs w:val="20"/>
                <w:lang w:val="en-AU" w:eastAsia="en-AU"/>
              </w:rPr>
              <w:t>20</w:t>
            </w:r>
            <w:r w:rsidR="00805614" w:rsidRPr="00712FD9">
              <w:rPr>
                <w:rFonts w:eastAsia="Times New Roman" w:cstheme="minorHAnsi"/>
                <w:color w:val="595959" w:themeColor="text1" w:themeTint="A6"/>
                <w:sz w:val="20"/>
                <w:szCs w:val="20"/>
                <w:lang w:val="en-AU" w:eastAsia="en-AU"/>
              </w:rPr>
              <w:t xml:space="preserve">23; Budget: $54.3 m </w:t>
            </w:r>
          </w:p>
        </w:tc>
        <w:tc>
          <w:tcPr>
            <w:tcW w:w="1133" w:type="dxa"/>
            <w:tcBorders>
              <w:left w:val="single" w:sz="4" w:space="0" w:color="65C5B4" w:themeColor="accent1"/>
              <w:right w:val="single" w:sz="4" w:space="0" w:color="65C5B4" w:themeColor="accent1"/>
            </w:tcBorders>
            <w:shd w:val="clear" w:color="auto" w:fill="F2F2F2" w:themeFill="background1" w:themeFillShade="F2"/>
            <w:vAlign w:val="center"/>
          </w:tcPr>
          <w:p w14:paraId="18F0C1B5" w14:textId="2AF1137F"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2020</w:t>
            </w:r>
          </w:p>
        </w:tc>
        <w:tc>
          <w:tcPr>
            <w:tcW w:w="1275"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674409A1" w14:textId="7D85C85F"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6</w:t>
            </w:r>
          </w:p>
        </w:tc>
        <w:tc>
          <w:tcPr>
            <w:tcW w:w="1133"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38324D44" w14:textId="1064F188"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c>
          <w:tcPr>
            <w:tcW w:w="1275"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7CCAF321" w14:textId="0B929C31"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r>
      <w:tr w:rsidR="00805614" w:rsidRPr="00712FD9" w14:paraId="6C3D6BD1"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left w:val="single" w:sz="4" w:space="0" w:color="65C5B4" w:themeColor="accent1"/>
              <w:bottom w:val="nil"/>
              <w:right w:val="single" w:sz="4" w:space="0" w:color="65C5B4" w:themeColor="accent1"/>
            </w:tcBorders>
            <w:shd w:val="clear" w:color="auto" w:fill="E0F3EF" w:themeFill="accent1" w:themeFillTint="33"/>
            <w:vAlign w:val="center"/>
          </w:tcPr>
          <w:p w14:paraId="6DE395CE" w14:textId="3D02A719" w:rsidR="00805614" w:rsidRPr="00712FD9" w:rsidRDefault="00805614" w:rsidP="00591826">
            <w:pPr>
              <w:suppressAutoHyphens w:val="0"/>
              <w:spacing w:before="0" w:after="0" w:line="240" w:lineRule="auto"/>
              <w:rPr>
                <w:rFonts w:eastAsia="Times New Roman" w:cstheme="minorHAnsi"/>
                <w:color w:val="595959" w:themeColor="text1" w:themeTint="A6"/>
                <w:sz w:val="20"/>
                <w:szCs w:val="20"/>
                <w:lang w:val="en-AU" w:eastAsia="en-AU"/>
              </w:rPr>
            </w:pPr>
            <w:r w:rsidRPr="00712FD9">
              <w:rPr>
                <w:rFonts w:eastAsia="Times New Roman" w:cstheme="minorHAnsi"/>
                <w:b/>
                <w:bCs/>
                <w:color w:val="595959" w:themeColor="text1" w:themeTint="A6"/>
                <w:sz w:val="20"/>
                <w:szCs w:val="20"/>
                <w:lang w:eastAsia="en-AU"/>
              </w:rPr>
              <w:t xml:space="preserve">Governance for Growth </w:t>
            </w:r>
            <w:r w:rsidR="00D43DEE">
              <w:rPr>
                <w:rFonts w:eastAsia="Times New Roman" w:cstheme="minorHAnsi"/>
                <w:b/>
                <w:bCs/>
                <w:color w:val="595959" w:themeColor="text1" w:themeTint="A6"/>
                <w:sz w:val="20"/>
                <w:szCs w:val="20"/>
                <w:lang w:eastAsia="en-AU"/>
              </w:rPr>
              <w:t>(</w:t>
            </w:r>
            <w:r w:rsidRPr="00712FD9">
              <w:rPr>
                <w:rFonts w:eastAsia="Times New Roman" w:cstheme="minorHAnsi"/>
                <w:b/>
                <w:bCs/>
                <w:color w:val="595959" w:themeColor="text1" w:themeTint="A6"/>
                <w:sz w:val="20"/>
                <w:szCs w:val="20"/>
                <w:lang w:eastAsia="en-AU"/>
              </w:rPr>
              <w:t>KOMPAK</w:t>
            </w:r>
            <w:r w:rsidR="00D43DEE">
              <w:rPr>
                <w:rFonts w:ascii="Calibri Light" w:eastAsia="Times New Roman" w:hAnsi="Calibri Light" w:cs="Calibri Light"/>
                <w:b/>
                <w:bCs/>
                <w:color w:val="404040"/>
                <w:sz w:val="20"/>
                <w:szCs w:val="20"/>
                <w:lang w:eastAsia="en-GB"/>
              </w:rPr>
              <w:t>)</w:t>
            </w:r>
          </w:p>
        </w:tc>
        <w:tc>
          <w:tcPr>
            <w:tcW w:w="1133" w:type="dxa"/>
            <w:tcBorders>
              <w:left w:val="single" w:sz="4" w:space="0" w:color="65C5B4" w:themeColor="accent1"/>
              <w:right w:val="single" w:sz="4" w:space="0" w:color="65C5B4" w:themeColor="accent1"/>
            </w:tcBorders>
            <w:shd w:val="clear" w:color="auto" w:fill="E0F3EF" w:themeFill="accent1" w:themeFillTint="33"/>
            <w:vAlign w:val="center"/>
          </w:tcPr>
          <w:p w14:paraId="4EF6ED28" w14:textId="223011A2"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2021</w:t>
            </w:r>
          </w:p>
        </w:tc>
        <w:tc>
          <w:tcPr>
            <w:tcW w:w="1275" w:type="dxa"/>
            <w:tcBorders>
              <w:left w:val="single" w:sz="4" w:space="0" w:color="65C5B4" w:themeColor="accent1"/>
              <w:right w:val="single" w:sz="4" w:space="0" w:color="65C5B4" w:themeColor="accent1"/>
            </w:tcBorders>
            <w:shd w:val="clear" w:color="auto" w:fill="E0F3EF" w:themeFill="accent1" w:themeFillTint="33"/>
            <w:noWrap/>
            <w:vAlign w:val="center"/>
          </w:tcPr>
          <w:p w14:paraId="71F4F1F8" w14:textId="2921259B"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c>
          <w:tcPr>
            <w:tcW w:w="1133" w:type="dxa"/>
            <w:tcBorders>
              <w:left w:val="single" w:sz="4" w:space="0" w:color="65C5B4" w:themeColor="accent1"/>
              <w:right w:val="single" w:sz="4" w:space="0" w:color="65C5B4" w:themeColor="accent1"/>
            </w:tcBorders>
            <w:shd w:val="clear" w:color="auto" w:fill="E0F3EF" w:themeFill="accent1" w:themeFillTint="33"/>
            <w:noWrap/>
            <w:vAlign w:val="center"/>
          </w:tcPr>
          <w:p w14:paraId="5CF39A26" w14:textId="77AC7629"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c>
          <w:tcPr>
            <w:tcW w:w="1275" w:type="dxa"/>
            <w:tcBorders>
              <w:left w:val="single" w:sz="4" w:space="0" w:color="65C5B4" w:themeColor="accent1"/>
              <w:right w:val="single" w:sz="4" w:space="0" w:color="65C5B4" w:themeColor="accent1"/>
            </w:tcBorders>
            <w:shd w:val="clear" w:color="auto" w:fill="E0F3EF" w:themeFill="accent1" w:themeFillTint="33"/>
            <w:noWrap/>
            <w:vAlign w:val="center"/>
          </w:tcPr>
          <w:p w14:paraId="086D82BE" w14:textId="2E3DEE58"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r>
      <w:tr w:rsidR="00805614" w:rsidRPr="00712FD9" w14:paraId="0D7E1560"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top w:val="nil"/>
              <w:left w:val="single" w:sz="4" w:space="0" w:color="65C5B4" w:themeColor="accent1"/>
              <w:right w:val="single" w:sz="4" w:space="0" w:color="65C5B4" w:themeColor="accent1"/>
            </w:tcBorders>
            <w:shd w:val="clear" w:color="auto" w:fill="E0F3EF" w:themeFill="accent1" w:themeFillTint="33"/>
            <w:vAlign w:val="center"/>
          </w:tcPr>
          <w:p w14:paraId="0AFC2D16" w14:textId="72E000A4" w:rsidR="00805614" w:rsidRPr="00712FD9" w:rsidRDefault="00325DD6" w:rsidP="00591826">
            <w:pPr>
              <w:suppressAutoHyphens w:val="0"/>
              <w:spacing w:before="0" w:after="0" w:line="240" w:lineRule="auto"/>
              <w:ind w:firstLineChars="100" w:firstLine="200"/>
              <w:rPr>
                <w:rFonts w:eastAsia="Times New Roman" w:cstheme="minorHAnsi"/>
                <w:color w:val="595959" w:themeColor="text1" w:themeTint="A6"/>
                <w:sz w:val="20"/>
                <w:szCs w:val="20"/>
                <w:lang w:val="en-AU" w:eastAsia="en-AU"/>
              </w:rPr>
            </w:pPr>
            <w:r w:rsidRPr="00712FD9">
              <w:rPr>
                <w:rFonts w:eastAsia="Times New Roman" w:cstheme="minorHAnsi"/>
                <w:color w:val="595959" w:themeColor="text1" w:themeTint="A6"/>
                <w:sz w:val="20"/>
                <w:szCs w:val="20"/>
                <w:lang w:val="en-AU" w:eastAsia="en-AU"/>
              </w:rPr>
              <w:t xml:space="preserve">Investment duration: </w:t>
            </w:r>
            <w:r w:rsidR="00805614" w:rsidRPr="00712FD9">
              <w:rPr>
                <w:rFonts w:eastAsia="Times New Roman" w:cstheme="minorHAnsi"/>
                <w:color w:val="595959" w:themeColor="text1" w:themeTint="A6"/>
                <w:sz w:val="20"/>
                <w:szCs w:val="20"/>
                <w:lang w:val="en-AU" w:eastAsia="en-AU"/>
              </w:rPr>
              <w:t>2015-</w:t>
            </w:r>
            <w:r w:rsidR="001A441E" w:rsidRPr="00712FD9">
              <w:rPr>
                <w:rFonts w:eastAsia="Times New Roman" w:cstheme="minorHAnsi"/>
                <w:color w:val="595959" w:themeColor="text1" w:themeTint="A6"/>
                <w:sz w:val="20"/>
                <w:szCs w:val="20"/>
                <w:lang w:val="en-AU" w:eastAsia="en-AU"/>
              </w:rPr>
              <w:t>20</w:t>
            </w:r>
            <w:r w:rsidR="00805614" w:rsidRPr="00712FD9">
              <w:rPr>
                <w:rFonts w:eastAsia="Times New Roman" w:cstheme="minorHAnsi"/>
                <w:color w:val="595959" w:themeColor="text1" w:themeTint="A6"/>
                <w:sz w:val="20"/>
                <w:szCs w:val="20"/>
                <w:lang w:val="en-AU" w:eastAsia="en-AU"/>
              </w:rPr>
              <w:t xml:space="preserve">22; Budget: $179.9m </w:t>
            </w:r>
          </w:p>
        </w:tc>
        <w:tc>
          <w:tcPr>
            <w:tcW w:w="1133" w:type="dxa"/>
            <w:tcBorders>
              <w:left w:val="single" w:sz="4" w:space="0" w:color="65C5B4" w:themeColor="accent1"/>
              <w:right w:val="single" w:sz="4" w:space="0" w:color="65C5B4" w:themeColor="accent1"/>
            </w:tcBorders>
            <w:shd w:val="clear" w:color="auto" w:fill="E0F3EF" w:themeFill="accent1" w:themeFillTint="33"/>
            <w:vAlign w:val="center"/>
          </w:tcPr>
          <w:p w14:paraId="075A4E6E" w14:textId="674A9C87"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2020</w:t>
            </w:r>
          </w:p>
        </w:tc>
        <w:tc>
          <w:tcPr>
            <w:tcW w:w="1275" w:type="dxa"/>
            <w:tcBorders>
              <w:left w:val="single" w:sz="4" w:space="0" w:color="65C5B4" w:themeColor="accent1"/>
              <w:right w:val="single" w:sz="4" w:space="0" w:color="65C5B4" w:themeColor="accent1"/>
            </w:tcBorders>
            <w:shd w:val="clear" w:color="auto" w:fill="E0F3EF" w:themeFill="accent1" w:themeFillTint="33"/>
            <w:noWrap/>
            <w:vAlign w:val="center"/>
          </w:tcPr>
          <w:p w14:paraId="2E7F9699" w14:textId="3463DEB4"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c>
          <w:tcPr>
            <w:tcW w:w="1133" w:type="dxa"/>
            <w:tcBorders>
              <w:left w:val="single" w:sz="4" w:space="0" w:color="65C5B4" w:themeColor="accent1"/>
              <w:right w:val="single" w:sz="4" w:space="0" w:color="65C5B4" w:themeColor="accent1"/>
            </w:tcBorders>
            <w:shd w:val="clear" w:color="auto" w:fill="E0F3EF" w:themeFill="accent1" w:themeFillTint="33"/>
            <w:noWrap/>
            <w:vAlign w:val="center"/>
          </w:tcPr>
          <w:p w14:paraId="6FC12DBE" w14:textId="76637C4C"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c>
          <w:tcPr>
            <w:tcW w:w="1275" w:type="dxa"/>
            <w:tcBorders>
              <w:left w:val="single" w:sz="4" w:space="0" w:color="65C5B4" w:themeColor="accent1"/>
              <w:right w:val="single" w:sz="4" w:space="0" w:color="65C5B4" w:themeColor="accent1"/>
            </w:tcBorders>
            <w:shd w:val="clear" w:color="auto" w:fill="E0F3EF" w:themeFill="accent1" w:themeFillTint="33"/>
            <w:noWrap/>
            <w:vAlign w:val="center"/>
          </w:tcPr>
          <w:p w14:paraId="6104BAC6" w14:textId="61A478CD"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r>
      <w:tr w:rsidR="00805614" w:rsidRPr="00712FD9" w14:paraId="4489D190"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left w:val="single" w:sz="4" w:space="0" w:color="65C5B4" w:themeColor="accent1"/>
              <w:bottom w:val="nil"/>
              <w:right w:val="single" w:sz="4" w:space="0" w:color="65C5B4" w:themeColor="accent1"/>
            </w:tcBorders>
            <w:shd w:val="clear" w:color="auto" w:fill="F2F2F2" w:themeFill="background1" w:themeFillShade="F2"/>
            <w:vAlign w:val="center"/>
          </w:tcPr>
          <w:p w14:paraId="6334658A" w14:textId="2F6921B6" w:rsidR="00805614" w:rsidRPr="00712FD9" w:rsidRDefault="00805614" w:rsidP="00591826">
            <w:pPr>
              <w:suppressAutoHyphens w:val="0"/>
              <w:spacing w:before="0" w:after="0" w:line="240" w:lineRule="auto"/>
              <w:rPr>
                <w:rFonts w:eastAsia="Times New Roman" w:cstheme="minorHAnsi"/>
                <w:b/>
                <w:bCs/>
                <w:color w:val="595959" w:themeColor="text1" w:themeTint="A6"/>
                <w:sz w:val="20"/>
                <w:szCs w:val="20"/>
                <w:lang w:eastAsia="en-AU"/>
              </w:rPr>
            </w:pPr>
            <w:r w:rsidRPr="00712FD9">
              <w:rPr>
                <w:rFonts w:eastAsia="Times New Roman" w:cstheme="minorHAnsi"/>
                <w:b/>
                <w:bCs/>
                <w:color w:val="595959" w:themeColor="text1" w:themeTint="A6"/>
                <w:sz w:val="20"/>
                <w:szCs w:val="20"/>
                <w:lang w:eastAsia="en-AU"/>
              </w:rPr>
              <w:t xml:space="preserve">Towards a Strong and Prosperous Indonesian Society (MAHKOTA) </w:t>
            </w:r>
          </w:p>
        </w:tc>
        <w:tc>
          <w:tcPr>
            <w:tcW w:w="1133" w:type="dxa"/>
            <w:tcBorders>
              <w:left w:val="single" w:sz="4" w:space="0" w:color="65C5B4" w:themeColor="accent1"/>
              <w:right w:val="single" w:sz="4" w:space="0" w:color="65C5B4" w:themeColor="accent1"/>
            </w:tcBorders>
            <w:shd w:val="clear" w:color="auto" w:fill="F2F2F2" w:themeFill="background1" w:themeFillShade="F2"/>
            <w:vAlign w:val="center"/>
          </w:tcPr>
          <w:p w14:paraId="6C284E06" w14:textId="229BF1D2"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2021</w:t>
            </w:r>
          </w:p>
        </w:tc>
        <w:tc>
          <w:tcPr>
            <w:tcW w:w="1275"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614635C9" w14:textId="5398CF3E"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c>
          <w:tcPr>
            <w:tcW w:w="1133"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5D8A58BA" w14:textId="28536214"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6</w:t>
            </w:r>
          </w:p>
        </w:tc>
        <w:tc>
          <w:tcPr>
            <w:tcW w:w="1275"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1F7AC950" w14:textId="21E669F7"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r>
      <w:tr w:rsidR="00805614" w:rsidRPr="00712FD9" w14:paraId="7E88C0B2"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top w:val="nil"/>
              <w:left w:val="single" w:sz="4" w:space="0" w:color="65C5B4" w:themeColor="accent1"/>
              <w:right w:val="single" w:sz="4" w:space="0" w:color="65C5B4" w:themeColor="accent1"/>
            </w:tcBorders>
            <w:shd w:val="clear" w:color="auto" w:fill="F2F2F2" w:themeFill="background1" w:themeFillShade="F2"/>
            <w:vAlign w:val="center"/>
          </w:tcPr>
          <w:p w14:paraId="5D14ECB1" w14:textId="16857F41" w:rsidR="00805614" w:rsidRPr="00712FD9" w:rsidRDefault="00325DD6" w:rsidP="00591826">
            <w:pPr>
              <w:suppressAutoHyphens w:val="0"/>
              <w:spacing w:before="0" w:after="0" w:line="240" w:lineRule="auto"/>
              <w:ind w:firstLineChars="100" w:firstLine="200"/>
              <w:rPr>
                <w:rFonts w:eastAsia="Times New Roman" w:cstheme="minorHAnsi"/>
                <w:color w:val="595959" w:themeColor="text1" w:themeTint="A6"/>
                <w:sz w:val="20"/>
                <w:szCs w:val="20"/>
                <w:lang w:val="en-AU" w:eastAsia="en-AU"/>
              </w:rPr>
            </w:pPr>
            <w:r w:rsidRPr="00712FD9">
              <w:rPr>
                <w:rFonts w:eastAsia="Times New Roman" w:cstheme="minorHAnsi"/>
                <w:color w:val="595959" w:themeColor="text1" w:themeTint="A6"/>
                <w:sz w:val="20"/>
                <w:szCs w:val="20"/>
                <w:lang w:val="en-AU" w:eastAsia="en-AU"/>
              </w:rPr>
              <w:t xml:space="preserve">Investment duration: </w:t>
            </w:r>
            <w:r w:rsidR="00805614" w:rsidRPr="00712FD9">
              <w:rPr>
                <w:rFonts w:eastAsia="Times New Roman" w:cstheme="minorHAnsi"/>
                <w:color w:val="595959" w:themeColor="text1" w:themeTint="A6"/>
                <w:sz w:val="20"/>
                <w:szCs w:val="20"/>
                <w:lang w:val="en-AU" w:eastAsia="en-AU"/>
              </w:rPr>
              <w:t>2015-</w:t>
            </w:r>
            <w:r w:rsidR="001A441E" w:rsidRPr="00712FD9">
              <w:rPr>
                <w:rFonts w:eastAsia="Times New Roman" w:cstheme="minorHAnsi"/>
                <w:color w:val="595959" w:themeColor="text1" w:themeTint="A6"/>
                <w:sz w:val="20"/>
                <w:szCs w:val="20"/>
                <w:lang w:val="en-AU" w:eastAsia="en-AU"/>
              </w:rPr>
              <w:t>20</w:t>
            </w:r>
            <w:r w:rsidR="00805614" w:rsidRPr="00712FD9">
              <w:rPr>
                <w:rFonts w:eastAsia="Times New Roman" w:cstheme="minorHAnsi"/>
                <w:color w:val="595959" w:themeColor="text1" w:themeTint="A6"/>
                <w:sz w:val="20"/>
                <w:szCs w:val="20"/>
                <w:lang w:val="en-AU" w:eastAsia="en-AU"/>
              </w:rPr>
              <w:t>21;</w:t>
            </w:r>
            <w:r w:rsidR="001A441E" w:rsidRPr="00712FD9">
              <w:rPr>
                <w:rFonts w:eastAsia="Times New Roman" w:cstheme="minorHAnsi"/>
                <w:color w:val="595959" w:themeColor="text1" w:themeTint="A6"/>
                <w:sz w:val="20"/>
                <w:szCs w:val="20"/>
                <w:lang w:val="en-AU" w:eastAsia="en-AU"/>
              </w:rPr>
              <w:t xml:space="preserve"> </w:t>
            </w:r>
            <w:r w:rsidR="00805614" w:rsidRPr="00712FD9">
              <w:rPr>
                <w:rFonts w:eastAsia="Times New Roman" w:cstheme="minorHAnsi"/>
                <w:color w:val="595959" w:themeColor="text1" w:themeTint="A6"/>
                <w:sz w:val="20"/>
                <w:szCs w:val="20"/>
                <w:lang w:val="en-AU" w:eastAsia="en-AU"/>
              </w:rPr>
              <w:t xml:space="preserve">Budget: $81.2m </w:t>
            </w:r>
          </w:p>
        </w:tc>
        <w:tc>
          <w:tcPr>
            <w:tcW w:w="1133" w:type="dxa"/>
            <w:tcBorders>
              <w:left w:val="single" w:sz="4" w:space="0" w:color="65C5B4" w:themeColor="accent1"/>
              <w:right w:val="single" w:sz="4" w:space="0" w:color="65C5B4" w:themeColor="accent1"/>
            </w:tcBorders>
            <w:shd w:val="clear" w:color="auto" w:fill="F2F2F2" w:themeFill="background1" w:themeFillShade="F2"/>
            <w:vAlign w:val="center"/>
          </w:tcPr>
          <w:p w14:paraId="06C92057" w14:textId="71566569"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2020</w:t>
            </w:r>
          </w:p>
        </w:tc>
        <w:tc>
          <w:tcPr>
            <w:tcW w:w="1275"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6CEA5B81" w14:textId="1A7D5A65"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c>
          <w:tcPr>
            <w:tcW w:w="1133"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75C56303" w14:textId="560181DF"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6</w:t>
            </w:r>
          </w:p>
        </w:tc>
        <w:tc>
          <w:tcPr>
            <w:tcW w:w="1275"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307473BC" w14:textId="12E03629"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r>
      <w:tr w:rsidR="00805614" w:rsidRPr="00712FD9" w14:paraId="016D221D"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left w:val="single" w:sz="4" w:space="0" w:color="65C5B4" w:themeColor="accent1"/>
              <w:bottom w:val="nil"/>
              <w:right w:val="single" w:sz="4" w:space="0" w:color="65C5B4" w:themeColor="accent1"/>
            </w:tcBorders>
            <w:shd w:val="clear" w:color="auto" w:fill="E0F3EF" w:themeFill="accent1" w:themeFillTint="33"/>
            <w:vAlign w:val="center"/>
          </w:tcPr>
          <w:p w14:paraId="2783E968" w14:textId="75E41783" w:rsidR="00805614" w:rsidRPr="00712FD9" w:rsidRDefault="00805614" w:rsidP="00591826">
            <w:pPr>
              <w:suppressAutoHyphens w:val="0"/>
              <w:spacing w:before="0" w:after="0" w:line="240" w:lineRule="auto"/>
              <w:rPr>
                <w:rFonts w:eastAsia="Times New Roman" w:cstheme="minorHAnsi"/>
                <w:color w:val="595959" w:themeColor="text1" w:themeTint="A6"/>
                <w:sz w:val="20"/>
                <w:szCs w:val="20"/>
                <w:lang w:val="en-AU" w:eastAsia="en-AU"/>
              </w:rPr>
            </w:pPr>
            <w:r w:rsidRPr="00712FD9">
              <w:rPr>
                <w:rFonts w:eastAsia="Times New Roman" w:cstheme="minorHAnsi"/>
                <w:b/>
                <w:bCs/>
                <w:color w:val="595959" w:themeColor="text1" w:themeTint="A6"/>
                <w:sz w:val="20"/>
                <w:szCs w:val="20"/>
                <w:lang w:eastAsia="en-AU"/>
              </w:rPr>
              <w:t>Micronutrient</w:t>
            </w:r>
          </w:p>
        </w:tc>
        <w:tc>
          <w:tcPr>
            <w:tcW w:w="1133" w:type="dxa"/>
            <w:tcBorders>
              <w:left w:val="single" w:sz="4" w:space="0" w:color="65C5B4" w:themeColor="accent1"/>
              <w:right w:val="single" w:sz="4" w:space="0" w:color="65C5B4" w:themeColor="accent1"/>
            </w:tcBorders>
            <w:shd w:val="clear" w:color="auto" w:fill="E0F3EF" w:themeFill="accent1" w:themeFillTint="33"/>
            <w:vAlign w:val="center"/>
          </w:tcPr>
          <w:p w14:paraId="0A9E12A3" w14:textId="60FD2B68"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2021</w:t>
            </w:r>
          </w:p>
        </w:tc>
        <w:tc>
          <w:tcPr>
            <w:tcW w:w="1275" w:type="dxa"/>
            <w:tcBorders>
              <w:left w:val="single" w:sz="4" w:space="0" w:color="65C5B4" w:themeColor="accent1"/>
              <w:right w:val="single" w:sz="4" w:space="0" w:color="65C5B4" w:themeColor="accent1"/>
            </w:tcBorders>
            <w:shd w:val="clear" w:color="auto" w:fill="E0F3EF" w:themeFill="accent1" w:themeFillTint="33"/>
            <w:noWrap/>
            <w:vAlign w:val="center"/>
          </w:tcPr>
          <w:p w14:paraId="6D3DBCDC" w14:textId="6B771BCE"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c>
          <w:tcPr>
            <w:tcW w:w="1133" w:type="dxa"/>
            <w:tcBorders>
              <w:left w:val="single" w:sz="4" w:space="0" w:color="65C5B4" w:themeColor="accent1"/>
              <w:right w:val="single" w:sz="4" w:space="0" w:color="65C5B4" w:themeColor="accent1"/>
            </w:tcBorders>
            <w:shd w:val="clear" w:color="auto" w:fill="E0F3EF" w:themeFill="accent1" w:themeFillTint="33"/>
            <w:noWrap/>
            <w:vAlign w:val="center"/>
          </w:tcPr>
          <w:p w14:paraId="74832A9C" w14:textId="5372A4AC"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c>
          <w:tcPr>
            <w:tcW w:w="1275" w:type="dxa"/>
            <w:tcBorders>
              <w:left w:val="single" w:sz="4" w:space="0" w:color="65C5B4" w:themeColor="accent1"/>
              <w:right w:val="single" w:sz="4" w:space="0" w:color="65C5B4" w:themeColor="accent1"/>
            </w:tcBorders>
            <w:shd w:val="clear" w:color="auto" w:fill="E0F3EF" w:themeFill="accent1" w:themeFillTint="33"/>
            <w:noWrap/>
            <w:vAlign w:val="center"/>
          </w:tcPr>
          <w:p w14:paraId="67068D71" w14:textId="7024379E"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r>
      <w:tr w:rsidR="00805614" w:rsidRPr="00712FD9" w14:paraId="2F7932CC"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top w:val="nil"/>
              <w:left w:val="single" w:sz="4" w:space="0" w:color="65C5B4" w:themeColor="accent1"/>
              <w:right w:val="single" w:sz="4" w:space="0" w:color="65C5B4" w:themeColor="accent1"/>
            </w:tcBorders>
            <w:shd w:val="clear" w:color="auto" w:fill="E0F3EF" w:themeFill="accent1" w:themeFillTint="33"/>
            <w:vAlign w:val="center"/>
          </w:tcPr>
          <w:p w14:paraId="41EC28F4" w14:textId="4B74D305" w:rsidR="00805614" w:rsidRPr="00712FD9" w:rsidRDefault="00325DD6" w:rsidP="00591826">
            <w:pPr>
              <w:suppressAutoHyphens w:val="0"/>
              <w:spacing w:before="0" w:after="0" w:line="240" w:lineRule="auto"/>
              <w:ind w:firstLineChars="100" w:firstLine="200"/>
              <w:rPr>
                <w:rFonts w:eastAsia="Times New Roman" w:cstheme="minorHAnsi"/>
                <w:color w:val="595959" w:themeColor="text1" w:themeTint="A6"/>
                <w:sz w:val="20"/>
                <w:szCs w:val="20"/>
                <w:lang w:val="en-AU" w:eastAsia="en-AU"/>
              </w:rPr>
            </w:pPr>
            <w:r w:rsidRPr="00712FD9">
              <w:rPr>
                <w:rFonts w:eastAsia="Times New Roman" w:cstheme="minorHAnsi"/>
                <w:color w:val="595959" w:themeColor="text1" w:themeTint="A6"/>
                <w:sz w:val="20"/>
                <w:szCs w:val="20"/>
                <w:lang w:val="en-AU" w:eastAsia="en-AU"/>
              </w:rPr>
              <w:t xml:space="preserve">Investment duration: </w:t>
            </w:r>
            <w:r w:rsidR="00805614" w:rsidRPr="00712FD9">
              <w:rPr>
                <w:rFonts w:eastAsia="Times New Roman" w:cstheme="minorHAnsi"/>
                <w:color w:val="595959" w:themeColor="text1" w:themeTint="A6"/>
                <w:sz w:val="20"/>
                <w:szCs w:val="20"/>
                <w:lang w:val="en-AU" w:eastAsia="en-AU"/>
              </w:rPr>
              <w:t>2015-</w:t>
            </w:r>
            <w:proofErr w:type="gramStart"/>
            <w:r w:rsidR="001A441E" w:rsidRPr="00712FD9">
              <w:rPr>
                <w:rFonts w:eastAsia="Times New Roman" w:cstheme="minorHAnsi"/>
                <w:color w:val="595959" w:themeColor="text1" w:themeTint="A6"/>
                <w:sz w:val="20"/>
                <w:szCs w:val="20"/>
                <w:lang w:val="en-AU" w:eastAsia="en-AU"/>
              </w:rPr>
              <w:t>20</w:t>
            </w:r>
            <w:r w:rsidR="00805614" w:rsidRPr="00712FD9">
              <w:rPr>
                <w:rFonts w:eastAsia="Times New Roman" w:cstheme="minorHAnsi"/>
                <w:color w:val="595959" w:themeColor="text1" w:themeTint="A6"/>
                <w:sz w:val="20"/>
                <w:szCs w:val="20"/>
                <w:lang w:val="en-AU" w:eastAsia="en-AU"/>
              </w:rPr>
              <w:t xml:space="preserve">24; </w:t>
            </w:r>
            <w:r w:rsidR="001A441E" w:rsidRPr="00712FD9">
              <w:rPr>
                <w:rFonts w:eastAsia="Times New Roman" w:cstheme="minorHAnsi"/>
                <w:color w:val="595959" w:themeColor="text1" w:themeTint="A6"/>
                <w:sz w:val="20"/>
                <w:szCs w:val="20"/>
                <w:lang w:val="en-AU" w:eastAsia="en-AU"/>
              </w:rPr>
              <w:t xml:space="preserve"> </w:t>
            </w:r>
            <w:r w:rsidR="00805614" w:rsidRPr="00712FD9">
              <w:rPr>
                <w:rFonts w:eastAsia="Times New Roman" w:cstheme="minorHAnsi"/>
                <w:color w:val="595959" w:themeColor="text1" w:themeTint="A6"/>
                <w:sz w:val="20"/>
                <w:szCs w:val="20"/>
                <w:lang w:val="en-AU" w:eastAsia="en-AU"/>
              </w:rPr>
              <w:t>Budget</w:t>
            </w:r>
            <w:proofErr w:type="gramEnd"/>
            <w:r w:rsidR="00805614" w:rsidRPr="00712FD9">
              <w:rPr>
                <w:rFonts w:eastAsia="Times New Roman" w:cstheme="minorHAnsi"/>
                <w:color w:val="595959" w:themeColor="text1" w:themeTint="A6"/>
                <w:sz w:val="20"/>
                <w:szCs w:val="20"/>
                <w:lang w:val="en-AU" w:eastAsia="en-AU"/>
              </w:rPr>
              <w:t xml:space="preserve">: $8m </w:t>
            </w:r>
          </w:p>
        </w:tc>
        <w:tc>
          <w:tcPr>
            <w:tcW w:w="1133" w:type="dxa"/>
            <w:tcBorders>
              <w:left w:val="single" w:sz="4" w:space="0" w:color="65C5B4" w:themeColor="accent1"/>
              <w:right w:val="single" w:sz="4" w:space="0" w:color="65C5B4" w:themeColor="accent1"/>
            </w:tcBorders>
            <w:shd w:val="clear" w:color="auto" w:fill="E0F3EF" w:themeFill="accent1" w:themeFillTint="33"/>
            <w:vAlign w:val="center"/>
          </w:tcPr>
          <w:p w14:paraId="1BEBDD81" w14:textId="39EA1C62"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2020</w:t>
            </w:r>
          </w:p>
        </w:tc>
        <w:tc>
          <w:tcPr>
            <w:tcW w:w="1275" w:type="dxa"/>
            <w:tcBorders>
              <w:left w:val="single" w:sz="4" w:space="0" w:color="65C5B4" w:themeColor="accent1"/>
              <w:right w:val="single" w:sz="4" w:space="0" w:color="65C5B4" w:themeColor="accent1"/>
            </w:tcBorders>
            <w:shd w:val="clear" w:color="auto" w:fill="E0F3EF" w:themeFill="accent1" w:themeFillTint="33"/>
            <w:noWrap/>
            <w:vAlign w:val="center"/>
          </w:tcPr>
          <w:p w14:paraId="429D4E91" w14:textId="654FA1E2"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c>
          <w:tcPr>
            <w:tcW w:w="1133" w:type="dxa"/>
            <w:tcBorders>
              <w:left w:val="single" w:sz="4" w:space="0" w:color="65C5B4" w:themeColor="accent1"/>
              <w:right w:val="single" w:sz="4" w:space="0" w:color="65C5B4" w:themeColor="accent1"/>
            </w:tcBorders>
            <w:shd w:val="clear" w:color="auto" w:fill="E0F3EF" w:themeFill="accent1" w:themeFillTint="33"/>
            <w:noWrap/>
            <w:vAlign w:val="center"/>
          </w:tcPr>
          <w:p w14:paraId="27DBED10" w14:textId="3B02437A"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c>
          <w:tcPr>
            <w:tcW w:w="1275" w:type="dxa"/>
            <w:tcBorders>
              <w:left w:val="single" w:sz="4" w:space="0" w:color="65C5B4" w:themeColor="accent1"/>
              <w:right w:val="single" w:sz="4" w:space="0" w:color="65C5B4" w:themeColor="accent1"/>
            </w:tcBorders>
            <w:shd w:val="clear" w:color="auto" w:fill="E0F3EF" w:themeFill="accent1" w:themeFillTint="33"/>
            <w:noWrap/>
            <w:vAlign w:val="center"/>
          </w:tcPr>
          <w:p w14:paraId="3B22573A" w14:textId="60E37A22"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r>
      <w:tr w:rsidR="00805614" w:rsidRPr="00712FD9" w14:paraId="5E4EAB98"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left w:val="single" w:sz="4" w:space="0" w:color="65C5B4" w:themeColor="accent1"/>
              <w:bottom w:val="nil"/>
              <w:right w:val="single" w:sz="4" w:space="0" w:color="65C5B4" w:themeColor="accent1"/>
            </w:tcBorders>
            <w:shd w:val="clear" w:color="auto" w:fill="F2F2F2" w:themeFill="background1" w:themeFillShade="F2"/>
            <w:vAlign w:val="center"/>
          </w:tcPr>
          <w:p w14:paraId="4D732691" w14:textId="720F8C12" w:rsidR="00805614" w:rsidRPr="00712FD9" w:rsidRDefault="00805614" w:rsidP="00591826">
            <w:pPr>
              <w:suppressAutoHyphens w:val="0"/>
              <w:spacing w:before="0" w:after="0" w:line="240" w:lineRule="auto"/>
              <w:rPr>
                <w:rFonts w:eastAsia="Times New Roman" w:cstheme="minorHAnsi"/>
                <w:color w:val="595959" w:themeColor="text1" w:themeTint="A6"/>
                <w:sz w:val="20"/>
                <w:szCs w:val="20"/>
                <w:lang w:val="en-AU" w:eastAsia="en-AU"/>
              </w:rPr>
            </w:pPr>
            <w:r w:rsidRPr="00712FD9">
              <w:rPr>
                <w:rFonts w:eastAsia="Times New Roman" w:cstheme="minorHAnsi"/>
                <w:b/>
                <w:bCs/>
                <w:color w:val="595959" w:themeColor="text1" w:themeTint="A6"/>
                <w:sz w:val="20"/>
                <w:szCs w:val="20"/>
                <w:lang w:eastAsia="en-AU"/>
              </w:rPr>
              <w:t>Environmental Governance</w:t>
            </w:r>
          </w:p>
        </w:tc>
        <w:tc>
          <w:tcPr>
            <w:tcW w:w="1133" w:type="dxa"/>
            <w:tcBorders>
              <w:left w:val="single" w:sz="4" w:space="0" w:color="65C5B4" w:themeColor="accent1"/>
              <w:right w:val="single" w:sz="4" w:space="0" w:color="65C5B4" w:themeColor="accent1"/>
            </w:tcBorders>
            <w:shd w:val="clear" w:color="auto" w:fill="F2F2F2" w:themeFill="background1" w:themeFillShade="F2"/>
            <w:vAlign w:val="center"/>
          </w:tcPr>
          <w:p w14:paraId="559B5F4B" w14:textId="250C53A5"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2021</w:t>
            </w:r>
          </w:p>
        </w:tc>
        <w:tc>
          <w:tcPr>
            <w:tcW w:w="1275"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44A39930" w14:textId="64F1B409"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c>
          <w:tcPr>
            <w:tcW w:w="1133"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53389137" w14:textId="2794A7F8"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c>
          <w:tcPr>
            <w:tcW w:w="1275"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3C27CF76" w14:textId="0CFCA1C0"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3</w:t>
            </w:r>
          </w:p>
        </w:tc>
      </w:tr>
      <w:tr w:rsidR="00805614" w:rsidRPr="00712FD9" w14:paraId="7BE3B538"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top w:val="nil"/>
              <w:left w:val="single" w:sz="4" w:space="0" w:color="65C5B4" w:themeColor="accent1"/>
              <w:right w:val="single" w:sz="4" w:space="0" w:color="65C5B4" w:themeColor="accent1"/>
            </w:tcBorders>
            <w:shd w:val="clear" w:color="auto" w:fill="F2F2F2" w:themeFill="background1" w:themeFillShade="F2"/>
            <w:vAlign w:val="center"/>
          </w:tcPr>
          <w:p w14:paraId="2AE8759B" w14:textId="330FAAB1" w:rsidR="00805614" w:rsidRPr="00712FD9" w:rsidRDefault="00325DD6" w:rsidP="00591826">
            <w:pPr>
              <w:suppressAutoHyphens w:val="0"/>
              <w:spacing w:before="0" w:after="0" w:line="240" w:lineRule="auto"/>
              <w:ind w:firstLineChars="100" w:firstLine="200"/>
              <w:rPr>
                <w:rFonts w:eastAsia="Times New Roman" w:cstheme="minorHAnsi"/>
                <w:color w:val="595959" w:themeColor="text1" w:themeTint="A6"/>
                <w:sz w:val="20"/>
                <w:szCs w:val="20"/>
                <w:lang w:val="en-AU" w:eastAsia="en-AU"/>
              </w:rPr>
            </w:pPr>
            <w:r w:rsidRPr="00712FD9">
              <w:rPr>
                <w:rFonts w:eastAsia="Times New Roman" w:cstheme="minorHAnsi"/>
                <w:color w:val="595959" w:themeColor="text1" w:themeTint="A6"/>
                <w:sz w:val="20"/>
                <w:szCs w:val="20"/>
                <w:lang w:val="en-AU" w:eastAsia="en-AU"/>
              </w:rPr>
              <w:t xml:space="preserve">Investment duration: </w:t>
            </w:r>
            <w:r w:rsidR="00805614" w:rsidRPr="00712FD9">
              <w:rPr>
                <w:rFonts w:eastAsia="Times New Roman" w:cstheme="minorHAnsi"/>
                <w:color w:val="595959" w:themeColor="text1" w:themeTint="A6"/>
                <w:sz w:val="20"/>
                <w:szCs w:val="20"/>
                <w:lang w:val="en-AU" w:eastAsia="en-AU"/>
              </w:rPr>
              <w:t>2015-</w:t>
            </w:r>
            <w:proofErr w:type="gramStart"/>
            <w:r w:rsidR="001A441E" w:rsidRPr="00712FD9">
              <w:rPr>
                <w:rFonts w:eastAsia="Times New Roman" w:cstheme="minorHAnsi"/>
                <w:color w:val="595959" w:themeColor="text1" w:themeTint="A6"/>
                <w:sz w:val="20"/>
                <w:szCs w:val="20"/>
                <w:lang w:val="en-AU" w:eastAsia="en-AU"/>
              </w:rPr>
              <w:t>20</w:t>
            </w:r>
            <w:r w:rsidR="00805614" w:rsidRPr="00712FD9">
              <w:rPr>
                <w:rFonts w:eastAsia="Times New Roman" w:cstheme="minorHAnsi"/>
                <w:color w:val="595959" w:themeColor="text1" w:themeTint="A6"/>
                <w:sz w:val="20"/>
                <w:szCs w:val="20"/>
                <w:lang w:val="en-AU" w:eastAsia="en-AU"/>
              </w:rPr>
              <w:t xml:space="preserve">24; </w:t>
            </w:r>
            <w:r w:rsidR="001A441E" w:rsidRPr="00712FD9">
              <w:rPr>
                <w:rFonts w:eastAsia="Times New Roman" w:cstheme="minorHAnsi"/>
                <w:color w:val="595959" w:themeColor="text1" w:themeTint="A6"/>
                <w:sz w:val="20"/>
                <w:szCs w:val="20"/>
                <w:lang w:val="en-AU" w:eastAsia="en-AU"/>
              </w:rPr>
              <w:t xml:space="preserve"> </w:t>
            </w:r>
            <w:r w:rsidR="00805614" w:rsidRPr="00712FD9">
              <w:rPr>
                <w:rFonts w:eastAsia="Times New Roman" w:cstheme="minorHAnsi"/>
                <w:color w:val="595959" w:themeColor="text1" w:themeTint="A6"/>
                <w:sz w:val="20"/>
                <w:szCs w:val="20"/>
                <w:lang w:val="en-AU" w:eastAsia="en-AU"/>
              </w:rPr>
              <w:t>Budget</w:t>
            </w:r>
            <w:proofErr w:type="gramEnd"/>
            <w:r w:rsidR="00805614" w:rsidRPr="00712FD9">
              <w:rPr>
                <w:rFonts w:eastAsia="Times New Roman" w:cstheme="minorHAnsi"/>
                <w:color w:val="595959" w:themeColor="text1" w:themeTint="A6"/>
                <w:sz w:val="20"/>
                <w:szCs w:val="20"/>
                <w:lang w:val="en-AU" w:eastAsia="en-AU"/>
              </w:rPr>
              <w:t>: $10.1 m</w:t>
            </w:r>
            <w:r w:rsidR="00805614" w:rsidRPr="00712FD9">
              <w:rPr>
                <w:rFonts w:ascii="Calibri Light" w:eastAsia="Times New Roman" w:hAnsi="Calibri Light" w:cs="Calibri Light"/>
                <w:color w:val="404040"/>
                <w:sz w:val="20"/>
                <w:szCs w:val="20"/>
                <w:lang w:val="en-AU" w:eastAsia="en-GB"/>
              </w:rPr>
              <w:t xml:space="preserve"> </w:t>
            </w:r>
          </w:p>
        </w:tc>
        <w:tc>
          <w:tcPr>
            <w:tcW w:w="1133" w:type="dxa"/>
            <w:tcBorders>
              <w:left w:val="single" w:sz="4" w:space="0" w:color="65C5B4" w:themeColor="accent1"/>
              <w:right w:val="single" w:sz="4" w:space="0" w:color="65C5B4" w:themeColor="accent1"/>
            </w:tcBorders>
            <w:shd w:val="clear" w:color="auto" w:fill="F2F2F2" w:themeFill="background1" w:themeFillShade="F2"/>
            <w:vAlign w:val="center"/>
          </w:tcPr>
          <w:p w14:paraId="32F483FD" w14:textId="74488CC4"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2020</w:t>
            </w:r>
          </w:p>
        </w:tc>
        <w:tc>
          <w:tcPr>
            <w:tcW w:w="1275"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69786217" w14:textId="1E4D3A95"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c>
          <w:tcPr>
            <w:tcW w:w="1133"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4A57FCBF" w14:textId="13CD37E1"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3</w:t>
            </w:r>
          </w:p>
        </w:tc>
        <w:tc>
          <w:tcPr>
            <w:tcW w:w="1275"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2C8816E9" w14:textId="42E56CBC"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3</w:t>
            </w:r>
          </w:p>
        </w:tc>
      </w:tr>
    </w:tbl>
    <w:p w14:paraId="13B9A233" w14:textId="51B9A4CF" w:rsidR="00591826" w:rsidRPr="00712FD9" w:rsidRDefault="00591826"/>
    <w:p w14:paraId="59F47FC6" w14:textId="77777777" w:rsidR="007C13C8" w:rsidRPr="00712FD9" w:rsidRDefault="007C13C8"/>
    <w:p w14:paraId="0803103B" w14:textId="77777777" w:rsidR="00591826" w:rsidRPr="00712FD9" w:rsidRDefault="00591826"/>
    <w:tbl>
      <w:tblPr>
        <w:tblStyle w:val="DFATTable1"/>
        <w:tblpPr w:leftFromText="180" w:rightFromText="180" w:vertAnchor="text" w:tblpY="1"/>
        <w:tblOverlap w:val="never"/>
        <w:tblW w:w="10620"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ayout w:type="fixed"/>
        <w:tblLook w:val="04A0" w:firstRow="1" w:lastRow="0" w:firstColumn="1" w:lastColumn="0" w:noHBand="0" w:noVBand="1"/>
        <w:tblCaption w:val="Supporting Investment Performance"/>
        <w:tblDescription w:val="Development Program Investment details, name, duration, budget and performance ratings for 2020 and 2021 for Effectiveness, Efficiency, Gender Equality; Risk and Safeguards "/>
      </w:tblPr>
      <w:tblGrid>
        <w:gridCol w:w="5804"/>
        <w:gridCol w:w="1133"/>
        <w:gridCol w:w="1275"/>
        <w:gridCol w:w="1133"/>
        <w:gridCol w:w="1275"/>
      </w:tblGrid>
      <w:tr w:rsidR="00CF0DC8" w:rsidRPr="00712FD9" w14:paraId="1EE1BD24" w14:textId="77777777" w:rsidTr="00CF0DC8">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left w:val="single" w:sz="4" w:space="0" w:color="65C5B4" w:themeColor="accent1"/>
              <w:bottom w:val="nil"/>
              <w:right w:val="single" w:sz="4" w:space="0" w:color="65C5B4" w:themeColor="accent1"/>
            </w:tcBorders>
            <w:shd w:val="clear" w:color="auto" w:fill="A2DCD1" w:themeFill="accent1" w:themeFillTint="99"/>
          </w:tcPr>
          <w:p w14:paraId="08D9605E" w14:textId="63125096" w:rsidR="00CF0DC8" w:rsidRPr="00712FD9" w:rsidRDefault="00CF0DC8" w:rsidP="00CF0DC8">
            <w:pPr>
              <w:suppressAutoHyphens w:val="0"/>
              <w:spacing w:before="0" w:after="0" w:line="240" w:lineRule="auto"/>
              <w:jc w:val="center"/>
              <w:rPr>
                <w:rFonts w:eastAsia="Times New Roman" w:cstheme="minorHAnsi"/>
                <w:b/>
                <w:bCs/>
                <w:color w:val="595959" w:themeColor="text1" w:themeTint="A6"/>
                <w:sz w:val="20"/>
                <w:szCs w:val="20"/>
                <w:lang w:eastAsia="en-AU"/>
              </w:rPr>
            </w:pPr>
            <w:r w:rsidRPr="00712FD9">
              <w:rPr>
                <w:rFonts w:eastAsia="Times New Roman" w:cstheme="minorHAnsi"/>
                <w:b/>
                <w:bCs/>
                <w:sz w:val="20"/>
                <w:szCs w:val="20"/>
                <w:lang w:val="en-AU" w:eastAsia="en-AU"/>
              </w:rPr>
              <w:t>Investment Details</w:t>
            </w:r>
          </w:p>
        </w:tc>
        <w:tc>
          <w:tcPr>
            <w:tcW w:w="1133" w:type="dxa"/>
            <w:tcBorders>
              <w:left w:val="single" w:sz="4" w:space="0" w:color="65C5B4" w:themeColor="accent1"/>
              <w:right w:val="single" w:sz="4" w:space="0" w:color="65C5B4" w:themeColor="accent1"/>
            </w:tcBorders>
            <w:shd w:val="clear" w:color="auto" w:fill="A2DCD1" w:themeFill="accent1" w:themeFillTint="99"/>
          </w:tcPr>
          <w:p w14:paraId="1652B3BE" w14:textId="50AA6FB8" w:rsidR="00CF0DC8" w:rsidRPr="00712FD9" w:rsidRDefault="00CF0DC8" w:rsidP="00CF0DC8">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b/>
                <w:bCs/>
                <w:sz w:val="20"/>
                <w:szCs w:val="20"/>
                <w:lang w:val="en-AU" w:eastAsia="en-AU"/>
              </w:rPr>
              <w:t>Year</w:t>
            </w:r>
          </w:p>
        </w:tc>
        <w:tc>
          <w:tcPr>
            <w:tcW w:w="1275" w:type="dxa"/>
            <w:tcBorders>
              <w:left w:val="single" w:sz="4" w:space="0" w:color="65C5B4" w:themeColor="accent1"/>
              <w:right w:val="single" w:sz="4" w:space="0" w:color="65C5B4" w:themeColor="accent1"/>
            </w:tcBorders>
            <w:shd w:val="clear" w:color="auto" w:fill="A2DCD1" w:themeFill="accent1" w:themeFillTint="99"/>
            <w:noWrap/>
          </w:tcPr>
          <w:p w14:paraId="7DC63F56" w14:textId="358CCEE5" w:rsidR="00CF0DC8" w:rsidRPr="00712FD9" w:rsidRDefault="00CF0DC8" w:rsidP="00CF0DC8">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b/>
                <w:bCs/>
                <w:sz w:val="20"/>
                <w:szCs w:val="20"/>
                <w:lang w:val="en-AU" w:eastAsia="en-AU"/>
              </w:rPr>
              <w:t>Effectiveness</w:t>
            </w:r>
          </w:p>
        </w:tc>
        <w:tc>
          <w:tcPr>
            <w:tcW w:w="1133" w:type="dxa"/>
            <w:tcBorders>
              <w:left w:val="single" w:sz="4" w:space="0" w:color="65C5B4" w:themeColor="accent1"/>
              <w:right w:val="single" w:sz="4" w:space="0" w:color="65C5B4" w:themeColor="accent1"/>
            </w:tcBorders>
            <w:shd w:val="clear" w:color="auto" w:fill="A2DCD1" w:themeFill="accent1" w:themeFillTint="99"/>
            <w:noWrap/>
          </w:tcPr>
          <w:p w14:paraId="3978B2BD" w14:textId="75E9F3FD" w:rsidR="00CF0DC8" w:rsidRPr="00712FD9" w:rsidRDefault="00CF0DC8" w:rsidP="00CF0DC8">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b/>
                <w:bCs/>
                <w:sz w:val="20"/>
                <w:szCs w:val="20"/>
                <w:lang w:val="en-AU" w:eastAsia="en-AU"/>
              </w:rPr>
              <w:t>Efficiency</w:t>
            </w:r>
          </w:p>
        </w:tc>
        <w:tc>
          <w:tcPr>
            <w:tcW w:w="1275" w:type="dxa"/>
            <w:tcBorders>
              <w:left w:val="single" w:sz="4" w:space="0" w:color="65C5B4" w:themeColor="accent1"/>
              <w:right w:val="single" w:sz="4" w:space="0" w:color="65C5B4" w:themeColor="accent1"/>
            </w:tcBorders>
            <w:shd w:val="clear" w:color="auto" w:fill="A2DCD1" w:themeFill="accent1" w:themeFillTint="99"/>
            <w:noWrap/>
          </w:tcPr>
          <w:p w14:paraId="666DD719" w14:textId="2B423815" w:rsidR="00CF0DC8" w:rsidRPr="00712FD9" w:rsidRDefault="00CF0DC8" w:rsidP="00CF0DC8">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b/>
                <w:bCs/>
                <w:sz w:val="20"/>
                <w:szCs w:val="20"/>
                <w:lang w:val="en-AU" w:eastAsia="en-AU"/>
              </w:rPr>
              <w:t>Gender Equality</w:t>
            </w:r>
          </w:p>
        </w:tc>
      </w:tr>
      <w:tr w:rsidR="00591826" w:rsidRPr="00712FD9" w14:paraId="33129681"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left w:val="single" w:sz="4" w:space="0" w:color="65C5B4" w:themeColor="accent1"/>
              <w:bottom w:val="nil"/>
              <w:right w:val="single" w:sz="4" w:space="0" w:color="65C5B4" w:themeColor="accent1"/>
            </w:tcBorders>
            <w:shd w:val="clear" w:color="auto" w:fill="E0F3EF" w:themeFill="accent1" w:themeFillTint="33"/>
            <w:vAlign w:val="center"/>
          </w:tcPr>
          <w:p w14:paraId="7719553B" w14:textId="360C8868" w:rsidR="00591826" w:rsidRPr="00712FD9" w:rsidRDefault="00591826" w:rsidP="00591826">
            <w:pPr>
              <w:suppressAutoHyphens w:val="0"/>
              <w:spacing w:before="0" w:after="0" w:line="240" w:lineRule="auto"/>
              <w:rPr>
                <w:rFonts w:eastAsia="Times New Roman" w:cstheme="minorHAnsi"/>
                <w:color w:val="595959" w:themeColor="text1" w:themeTint="A6"/>
                <w:sz w:val="20"/>
                <w:szCs w:val="20"/>
                <w:lang w:val="en-AU" w:eastAsia="en-AU"/>
              </w:rPr>
            </w:pPr>
            <w:r w:rsidRPr="00712FD9">
              <w:rPr>
                <w:rFonts w:eastAsia="Times New Roman" w:cstheme="minorHAnsi"/>
                <w:b/>
                <w:bCs/>
                <w:color w:val="595959" w:themeColor="text1" w:themeTint="A6"/>
                <w:sz w:val="20"/>
                <w:szCs w:val="20"/>
                <w:lang w:eastAsia="en-AU"/>
              </w:rPr>
              <w:t>Pulse Lab Jakarta Phase II</w:t>
            </w:r>
          </w:p>
        </w:tc>
        <w:tc>
          <w:tcPr>
            <w:tcW w:w="1133" w:type="dxa"/>
            <w:tcBorders>
              <w:left w:val="single" w:sz="4" w:space="0" w:color="65C5B4" w:themeColor="accent1"/>
              <w:right w:val="single" w:sz="4" w:space="0" w:color="65C5B4" w:themeColor="accent1"/>
            </w:tcBorders>
            <w:shd w:val="clear" w:color="auto" w:fill="E0F3EF" w:themeFill="accent1" w:themeFillTint="33"/>
            <w:vAlign w:val="center"/>
          </w:tcPr>
          <w:p w14:paraId="21E7B711" w14:textId="51B6BEB2" w:rsidR="00591826" w:rsidRPr="00712FD9" w:rsidRDefault="00591826"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2021</w:t>
            </w:r>
          </w:p>
        </w:tc>
        <w:tc>
          <w:tcPr>
            <w:tcW w:w="1275" w:type="dxa"/>
            <w:tcBorders>
              <w:left w:val="single" w:sz="4" w:space="0" w:color="65C5B4" w:themeColor="accent1"/>
              <w:right w:val="single" w:sz="4" w:space="0" w:color="65C5B4" w:themeColor="accent1"/>
            </w:tcBorders>
            <w:shd w:val="clear" w:color="auto" w:fill="E0F3EF" w:themeFill="accent1" w:themeFillTint="33"/>
            <w:noWrap/>
            <w:vAlign w:val="center"/>
          </w:tcPr>
          <w:p w14:paraId="5166B9C0" w14:textId="6ABE9D23" w:rsidR="00591826" w:rsidRPr="00712FD9" w:rsidRDefault="00591826"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c>
          <w:tcPr>
            <w:tcW w:w="1133" w:type="dxa"/>
            <w:tcBorders>
              <w:left w:val="single" w:sz="4" w:space="0" w:color="65C5B4" w:themeColor="accent1"/>
              <w:right w:val="single" w:sz="4" w:space="0" w:color="65C5B4" w:themeColor="accent1"/>
            </w:tcBorders>
            <w:shd w:val="clear" w:color="auto" w:fill="E0F3EF" w:themeFill="accent1" w:themeFillTint="33"/>
            <w:noWrap/>
            <w:vAlign w:val="center"/>
          </w:tcPr>
          <w:p w14:paraId="6CF0EBE4" w14:textId="2D9F25D4" w:rsidR="00591826" w:rsidRPr="00712FD9" w:rsidRDefault="00591826"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c>
          <w:tcPr>
            <w:tcW w:w="1275" w:type="dxa"/>
            <w:tcBorders>
              <w:left w:val="single" w:sz="4" w:space="0" w:color="65C5B4" w:themeColor="accent1"/>
              <w:right w:val="single" w:sz="4" w:space="0" w:color="65C5B4" w:themeColor="accent1"/>
            </w:tcBorders>
            <w:shd w:val="clear" w:color="auto" w:fill="E0F3EF" w:themeFill="accent1" w:themeFillTint="33"/>
            <w:noWrap/>
            <w:vAlign w:val="center"/>
          </w:tcPr>
          <w:p w14:paraId="71966E4E" w14:textId="4D7AEEE3" w:rsidR="00591826" w:rsidRPr="00712FD9" w:rsidRDefault="00591826"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3</w:t>
            </w:r>
          </w:p>
        </w:tc>
      </w:tr>
      <w:tr w:rsidR="00591826" w:rsidRPr="00712FD9" w14:paraId="2F9B7EDC"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top w:val="nil"/>
              <w:left w:val="single" w:sz="4" w:space="0" w:color="65C5B4" w:themeColor="accent1"/>
              <w:right w:val="single" w:sz="4" w:space="0" w:color="65C5B4" w:themeColor="accent1"/>
            </w:tcBorders>
            <w:shd w:val="clear" w:color="auto" w:fill="E0F3EF" w:themeFill="accent1" w:themeFillTint="33"/>
            <w:vAlign w:val="center"/>
          </w:tcPr>
          <w:p w14:paraId="512ADACF" w14:textId="70B70A0B" w:rsidR="00591826" w:rsidRPr="00712FD9" w:rsidRDefault="00325DD6" w:rsidP="00591826">
            <w:pPr>
              <w:suppressAutoHyphens w:val="0"/>
              <w:spacing w:before="0" w:after="0" w:line="240" w:lineRule="auto"/>
              <w:ind w:firstLineChars="100" w:firstLine="200"/>
              <w:rPr>
                <w:rFonts w:eastAsia="Times New Roman" w:cstheme="minorHAnsi"/>
                <w:color w:val="595959" w:themeColor="text1" w:themeTint="A6"/>
                <w:sz w:val="20"/>
                <w:szCs w:val="20"/>
                <w:lang w:val="en-AU" w:eastAsia="en-AU"/>
              </w:rPr>
            </w:pPr>
            <w:r w:rsidRPr="00712FD9">
              <w:rPr>
                <w:rFonts w:eastAsia="Times New Roman" w:cstheme="minorHAnsi"/>
                <w:color w:val="595959" w:themeColor="text1" w:themeTint="A6"/>
                <w:sz w:val="20"/>
                <w:szCs w:val="20"/>
                <w:lang w:val="en-AU" w:eastAsia="en-AU"/>
              </w:rPr>
              <w:t xml:space="preserve">Investment duration: </w:t>
            </w:r>
            <w:r w:rsidR="00591826" w:rsidRPr="00712FD9">
              <w:rPr>
                <w:rFonts w:eastAsia="Times New Roman" w:cstheme="minorHAnsi"/>
                <w:color w:val="595959" w:themeColor="text1" w:themeTint="A6"/>
                <w:sz w:val="20"/>
                <w:szCs w:val="20"/>
                <w:lang w:val="en-AU" w:eastAsia="en-AU"/>
              </w:rPr>
              <w:t>2018-</w:t>
            </w:r>
            <w:proofErr w:type="gramStart"/>
            <w:r w:rsidR="00591826" w:rsidRPr="00712FD9">
              <w:rPr>
                <w:rFonts w:eastAsia="Times New Roman" w:cstheme="minorHAnsi"/>
                <w:color w:val="595959" w:themeColor="text1" w:themeTint="A6"/>
                <w:sz w:val="20"/>
                <w:szCs w:val="20"/>
                <w:lang w:val="en-AU" w:eastAsia="en-AU"/>
              </w:rPr>
              <w:t>2024;  Budget</w:t>
            </w:r>
            <w:proofErr w:type="gramEnd"/>
            <w:r w:rsidR="00591826" w:rsidRPr="00712FD9">
              <w:rPr>
                <w:rFonts w:eastAsia="Times New Roman" w:cstheme="minorHAnsi"/>
                <w:color w:val="595959" w:themeColor="text1" w:themeTint="A6"/>
                <w:sz w:val="20"/>
                <w:szCs w:val="20"/>
                <w:lang w:val="en-AU" w:eastAsia="en-AU"/>
              </w:rPr>
              <w:t xml:space="preserve">: $6.5m </w:t>
            </w:r>
          </w:p>
        </w:tc>
        <w:tc>
          <w:tcPr>
            <w:tcW w:w="1133" w:type="dxa"/>
            <w:tcBorders>
              <w:left w:val="single" w:sz="4" w:space="0" w:color="65C5B4" w:themeColor="accent1"/>
              <w:right w:val="single" w:sz="4" w:space="0" w:color="65C5B4" w:themeColor="accent1"/>
            </w:tcBorders>
            <w:shd w:val="clear" w:color="auto" w:fill="E0F3EF" w:themeFill="accent1" w:themeFillTint="33"/>
            <w:vAlign w:val="center"/>
          </w:tcPr>
          <w:p w14:paraId="741914A2" w14:textId="1887AEEF" w:rsidR="00591826" w:rsidRPr="00712FD9" w:rsidRDefault="00591826"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2020</w:t>
            </w:r>
          </w:p>
        </w:tc>
        <w:tc>
          <w:tcPr>
            <w:tcW w:w="1275" w:type="dxa"/>
            <w:tcBorders>
              <w:left w:val="single" w:sz="4" w:space="0" w:color="65C5B4" w:themeColor="accent1"/>
              <w:right w:val="single" w:sz="4" w:space="0" w:color="65C5B4" w:themeColor="accent1"/>
            </w:tcBorders>
            <w:shd w:val="clear" w:color="auto" w:fill="E0F3EF" w:themeFill="accent1" w:themeFillTint="33"/>
            <w:noWrap/>
            <w:vAlign w:val="center"/>
          </w:tcPr>
          <w:p w14:paraId="0139781A" w14:textId="284EC9AA" w:rsidR="00591826" w:rsidRPr="00712FD9" w:rsidRDefault="00591826"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c>
          <w:tcPr>
            <w:tcW w:w="1133" w:type="dxa"/>
            <w:tcBorders>
              <w:left w:val="single" w:sz="4" w:space="0" w:color="65C5B4" w:themeColor="accent1"/>
              <w:right w:val="single" w:sz="4" w:space="0" w:color="65C5B4" w:themeColor="accent1"/>
            </w:tcBorders>
            <w:shd w:val="clear" w:color="auto" w:fill="E0F3EF" w:themeFill="accent1" w:themeFillTint="33"/>
            <w:noWrap/>
            <w:vAlign w:val="center"/>
          </w:tcPr>
          <w:p w14:paraId="14C12AA1" w14:textId="719B417F" w:rsidR="00591826" w:rsidRPr="00712FD9" w:rsidRDefault="00591826"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c>
          <w:tcPr>
            <w:tcW w:w="1275" w:type="dxa"/>
            <w:tcBorders>
              <w:left w:val="single" w:sz="4" w:space="0" w:color="65C5B4" w:themeColor="accent1"/>
              <w:right w:val="single" w:sz="4" w:space="0" w:color="65C5B4" w:themeColor="accent1"/>
            </w:tcBorders>
            <w:shd w:val="clear" w:color="auto" w:fill="E0F3EF" w:themeFill="accent1" w:themeFillTint="33"/>
            <w:noWrap/>
            <w:vAlign w:val="center"/>
          </w:tcPr>
          <w:p w14:paraId="518D2A45" w14:textId="6C2CA723" w:rsidR="00591826" w:rsidRPr="00712FD9" w:rsidRDefault="00591826"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r>
      <w:tr w:rsidR="00591826" w:rsidRPr="00712FD9" w14:paraId="08E357A4"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left w:val="single" w:sz="4" w:space="0" w:color="65C5B4" w:themeColor="accent1"/>
              <w:bottom w:val="nil"/>
              <w:right w:val="single" w:sz="4" w:space="0" w:color="65C5B4" w:themeColor="accent1"/>
            </w:tcBorders>
            <w:shd w:val="clear" w:color="auto" w:fill="F2F2F2" w:themeFill="background1" w:themeFillShade="F2"/>
            <w:vAlign w:val="center"/>
          </w:tcPr>
          <w:p w14:paraId="5EAA6425" w14:textId="034C3DB7" w:rsidR="00591826" w:rsidRPr="00712FD9" w:rsidRDefault="00591826" w:rsidP="00591826">
            <w:pPr>
              <w:suppressAutoHyphens w:val="0"/>
              <w:spacing w:before="0" w:after="0" w:line="240" w:lineRule="auto"/>
              <w:rPr>
                <w:rFonts w:eastAsia="Times New Roman" w:cstheme="minorHAnsi"/>
                <w:color w:val="595959" w:themeColor="text1" w:themeTint="A6"/>
                <w:sz w:val="20"/>
                <w:szCs w:val="20"/>
                <w:lang w:val="en-AU" w:eastAsia="en-AU"/>
              </w:rPr>
            </w:pPr>
            <w:r w:rsidRPr="00712FD9">
              <w:rPr>
                <w:rFonts w:eastAsia="Times New Roman" w:cstheme="minorHAnsi"/>
                <w:b/>
                <w:bCs/>
                <w:color w:val="595959" w:themeColor="text1" w:themeTint="A6"/>
                <w:sz w:val="20"/>
                <w:szCs w:val="20"/>
                <w:lang w:eastAsia="en-AU"/>
              </w:rPr>
              <w:t>Australia - Indonesia Partnership for Disaster Risk</w:t>
            </w:r>
            <w:r w:rsidRPr="00712FD9">
              <w:rPr>
                <w:rFonts w:ascii="Calibri Light" w:eastAsia="Times New Roman" w:hAnsi="Calibri Light" w:cs="Calibri Light"/>
                <w:b/>
                <w:bCs/>
                <w:color w:val="404040"/>
                <w:sz w:val="20"/>
                <w:szCs w:val="20"/>
                <w:lang w:eastAsia="en-GB"/>
              </w:rPr>
              <w:t xml:space="preserve"> Management</w:t>
            </w:r>
          </w:p>
        </w:tc>
        <w:tc>
          <w:tcPr>
            <w:tcW w:w="1133" w:type="dxa"/>
            <w:tcBorders>
              <w:left w:val="single" w:sz="4" w:space="0" w:color="65C5B4" w:themeColor="accent1"/>
              <w:right w:val="single" w:sz="4" w:space="0" w:color="65C5B4" w:themeColor="accent1"/>
            </w:tcBorders>
            <w:shd w:val="clear" w:color="auto" w:fill="F2F2F2" w:themeFill="background1" w:themeFillShade="F2"/>
            <w:vAlign w:val="center"/>
          </w:tcPr>
          <w:p w14:paraId="49D0D800" w14:textId="20796682" w:rsidR="00591826" w:rsidRPr="00712FD9" w:rsidRDefault="00591826"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2021</w:t>
            </w:r>
          </w:p>
        </w:tc>
        <w:tc>
          <w:tcPr>
            <w:tcW w:w="1275"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6BFB5BCD" w14:textId="6C5E3CED" w:rsidR="00591826" w:rsidRPr="00712FD9" w:rsidRDefault="00591826"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c>
          <w:tcPr>
            <w:tcW w:w="1133"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24FDC594" w14:textId="765436AC" w:rsidR="00591826" w:rsidRPr="00712FD9" w:rsidRDefault="00591826"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c>
          <w:tcPr>
            <w:tcW w:w="1275"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36918D37" w14:textId="17C257F4" w:rsidR="00591826" w:rsidRPr="00712FD9" w:rsidRDefault="00591826"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r>
      <w:tr w:rsidR="00805614" w:rsidRPr="00712FD9" w14:paraId="073C4F4F"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top w:val="nil"/>
              <w:left w:val="single" w:sz="4" w:space="0" w:color="65C5B4" w:themeColor="accent1"/>
              <w:right w:val="single" w:sz="4" w:space="0" w:color="65C5B4" w:themeColor="accent1"/>
            </w:tcBorders>
            <w:shd w:val="clear" w:color="auto" w:fill="F2F2F2" w:themeFill="background1" w:themeFillShade="F2"/>
            <w:vAlign w:val="center"/>
          </w:tcPr>
          <w:p w14:paraId="53EB33CB" w14:textId="5914391F" w:rsidR="00805614" w:rsidRPr="00712FD9" w:rsidRDefault="00325DD6" w:rsidP="00591826">
            <w:pPr>
              <w:suppressAutoHyphens w:val="0"/>
              <w:spacing w:before="0" w:after="0" w:line="240" w:lineRule="auto"/>
              <w:ind w:firstLineChars="100" w:firstLine="200"/>
              <w:rPr>
                <w:rFonts w:eastAsia="Times New Roman" w:cstheme="minorHAnsi"/>
                <w:color w:val="595959" w:themeColor="text1" w:themeTint="A6"/>
                <w:sz w:val="20"/>
                <w:szCs w:val="20"/>
                <w:lang w:val="en-AU" w:eastAsia="en-AU"/>
              </w:rPr>
            </w:pPr>
            <w:r w:rsidRPr="00712FD9">
              <w:rPr>
                <w:rFonts w:eastAsia="Times New Roman" w:cstheme="minorHAnsi"/>
                <w:color w:val="595959" w:themeColor="text1" w:themeTint="A6"/>
                <w:sz w:val="20"/>
                <w:szCs w:val="20"/>
                <w:lang w:val="en-AU" w:eastAsia="en-AU"/>
              </w:rPr>
              <w:t xml:space="preserve">Investment duration: </w:t>
            </w:r>
            <w:r w:rsidR="00805614" w:rsidRPr="00712FD9">
              <w:rPr>
                <w:rFonts w:eastAsia="Times New Roman" w:cstheme="minorHAnsi"/>
                <w:color w:val="595959" w:themeColor="text1" w:themeTint="A6"/>
                <w:sz w:val="20"/>
                <w:szCs w:val="20"/>
                <w:lang w:val="en-AU" w:eastAsia="en-AU"/>
              </w:rPr>
              <w:t>2018-</w:t>
            </w:r>
            <w:proofErr w:type="gramStart"/>
            <w:r w:rsidR="001A441E" w:rsidRPr="00712FD9">
              <w:rPr>
                <w:rFonts w:eastAsia="Times New Roman" w:cstheme="minorHAnsi"/>
                <w:color w:val="595959" w:themeColor="text1" w:themeTint="A6"/>
                <w:sz w:val="20"/>
                <w:szCs w:val="20"/>
                <w:lang w:val="en-AU" w:eastAsia="en-AU"/>
              </w:rPr>
              <w:t>20</w:t>
            </w:r>
            <w:r w:rsidR="00805614" w:rsidRPr="00712FD9">
              <w:rPr>
                <w:rFonts w:eastAsia="Times New Roman" w:cstheme="minorHAnsi"/>
                <w:color w:val="595959" w:themeColor="text1" w:themeTint="A6"/>
                <w:sz w:val="20"/>
                <w:szCs w:val="20"/>
                <w:lang w:val="en-AU" w:eastAsia="en-AU"/>
              </w:rPr>
              <w:t xml:space="preserve">24; </w:t>
            </w:r>
            <w:r w:rsidR="001A441E" w:rsidRPr="00712FD9">
              <w:rPr>
                <w:rFonts w:eastAsia="Times New Roman" w:cstheme="minorHAnsi"/>
                <w:color w:val="595959" w:themeColor="text1" w:themeTint="A6"/>
                <w:sz w:val="20"/>
                <w:szCs w:val="20"/>
                <w:lang w:val="en-AU" w:eastAsia="en-AU"/>
              </w:rPr>
              <w:t xml:space="preserve"> </w:t>
            </w:r>
            <w:r w:rsidR="00805614" w:rsidRPr="00712FD9">
              <w:rPr>
                <w:rFonts w:eastAsia="Times New Roman" w:cstheme="minorHAnsi"/>
                <w:color w:val="595959" w:themeColor="text1" w:themeTint="A6"/>
                <w:sz w:val="20"/>
                <w:szCs w:val="20"/>
                <w:lang w:val="en-AU" w:eastAsia="en-AU"/>
              </w:rPr>
              <w:t>Budget</w:t>
            </w:r>
            <w:proofErr w:type="gramEnd"/>
            <w:r w:rsidR="00805614" w:rsidRPr="00712FD9">
              <w:rPr>
                <w:rFonts w:eastAsia="Times New Roman" w:cstheme="minorHAnsi"/>
                <w:color w:val="595959" w:themeColor="text1" w:themeTint="A6"/>
                <w:sz w:val="20"/>
                <w:szCs w:val="20"/>
                <w:lang w:val="en-AU" w:eastAsia="en-AU"/>
              </w:rPr>
              <w:t>: $31.7m</w:t>
            </w:r>
            <w:r w:rsidR="00805614" w:rsidRPr="00712FD9">
              <w:rPr>
                <w:rFonts w:ascii="Calibri Light" w:eastAsia="Times New Roman" w:hAnsi="Calibri Light" w:cs="Calibri Light"/>
                <w:color w:val="404040"/>
                <w:sz w:val="20"/>
                <w:szCs w:val="20"/>
                <w:lang w:val="en-AU" w:eastAsia="en-GB"/>
              </w:rPr>
              <w:t xml:space="preserve"> </w:t>
            </w:r>
          </w:p>
        </w:tc>
        <w:tc>
          <w:tcPr>
            <w:tcW w:w="1133" w:type="dxa"/>
            <w:tcBorders>
              <w:left w:val="single" w:sz="4" w:space="0" w:color="65C5B4" w:themeColor="accent1"/>
              <w:right w:val="single" w:sz="4" w:space="0" w:color="65C5B4" w:themeColor="accent1"/>
            </w:tcBorders>
            <w:shd w:val="clear" w:color="auto" w:fill="F2F2F2" w:themeFill="background1" w:themeFillShade="F2"/>
            <w:vAlign w:val="center"/>
          </w:tcPr>
          <w:p w14:paraId="012ECA31" w14:textId="338DD607"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2020</w:t>
            </w:r>
          </w:p>
        </w:tc>
        <w:tc>
          <w:tcPr>
            <w:tcW w:w="1275"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7B0F6C4D" w14:textId="63588F8D"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c>
          <w:tcPr>
            <w:tcW w:w="1133"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19BAB026" w14:textId="5787F93A"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3</w:t>
            </w:r>
          </w:p>
        </w:tc>
        <w:tc>
          <w:tcPr>
            <w:tcW w:w="1275"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2A046FA8" w14:textId="1670FA38"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r>
      <w:tr w:rsidR="00805614" w:rsidRPr="00712FD9" w14:paraId="714663D8"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left w:val="single" w:sz="4" w:space="0" w:color="65C5B4" w:themeColor="accent1"/>
              <w:bottom w:val="nil"/>
              <w:right w:val="single" w:sz="4" w:space="0" w:color="65C5B4" w:themeColor="accent1"/>
            </w:tcBorders>
            <w:shd w:val="clear" w:color="auto" w:fill="E0F3EF" w:themeFill="accent1" w:themeFillTint="33"/>
            <w:vAlign w:val="center"/>
          </w:tcPr>
          <w:p w14:paraId="042A2940" w14:textId="6402EF50" w:rsidR="00805614" w:rsidRPr="00712FD9" w:rsidRDefault="00805614" w:rsidP="00591826">
            <w:pPr>
              <w:suppressAutoHyphens w:val="0"/>
              <w:spacing w:before="0" w:after="0" w:line="240" w:lineRule="auto"/>
              <w:rPr>
                <w:rFonts w:eastAsia="Times New Roman" w:cstheme="minorHAnsi"/>
                <w:b/>
                <w:bCs/>
                <w:color w:val="595959" w:themeColor="text1" w:themeTint="A6"/>
                <w:sz w:val="20"/>
                <w:szCs w:val="20"/>
                <w:lang w:eastAsia="en-AU"/>
              </w:rPr>
            </w:pPr>
            <w:r w:rsidRPr="00712FD9">
              <w:rPr>
                <w:rFonts w:eastAsia="Times New Roman" w:cstheme="minorHAnsi"/>
                <w:b/>
                <w:bCs/>
                <w:color w:val="595959" w:themeColor="text1" w:themeTint="A6"/>
                <w:sz w:val="20"/>
                <w:szCs w:val="20"/>
                <w:lang w:eastAsia="en-AU"/>
              </w:rPr>
              <w:t>The Knowledge Sector Initiative</w:t>
            </w:r>
          </w:p>
        </w:tc>
        <w:tc>
          <w:tcPr>
            <w:tcW w:w="1133" w:type="dxa"/>
            <w:tcBorders>
              <w:left w:val="single" w:sz="4" w:space="0" w:color="65C5B4" w:themeColor="accent1"/>
              <w:right w:val="single" w:sz="4" w:space="0" w:color="65C5B4" w:themeColor="accent1"/>
            </w:tcBorders>
            <w:shd w:val="clear" w:color="auto" w:fill="E0F3EF" w:themeFill="accent1" w:themeFillTint="33"/>
            <w:vAlign w:val="center"/>
          </w:tcPr>
          <w:p w14:paraId="607D1F8A" w14:textId="16116501"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2021</w:t>
            </w:r>
          </w:p>
        </w:tc>
        <w:tc>
          <w:tcPr>
            <w:tcW w:w="1275" w:type="dxa"/>
            <w:tcBorders>
              <w:left w:val="single" w:sz="4" w:space="0" w:color="65C5B4" w:themeColor="accent1"/>
              <w:right w:val="single" w:sz="4" w:space="0" w:color="65C5B4" w:themeColor="accent1"/>
            </w:tcBorders>
            <w:shd w:val="clear" w:color="auto" w:fill="E0F3EF" w:themeFill="accent1" w:themeFillTint="33"/>
            <w:noWrap/>
            <w:vAlign w:val="center"/>
          </w:tcPr>
          <w:p w14:paraId="3B2FE02D" w14:textId="345CA5D0"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c>
          <w:tcPr>
            <w:tcW w:w="1133" w:type="dxa"/>
            <w:tcBorders>
              <w:left w:val="single" w:sz="4" w:space="0" w:color="65C5B4" w:themeColor="accent1"/>
              <w:right w:val="single" w:sz="4" w:space="0" w:color="65C5B4" w:themeColor="accent1"/>
            </w:tcBorders>
            <w:shd w:val="clear" w:color="auto" w:fill="E0F3EF" w:themeFill="accent1" w:themeFillTint="33"/>
            <w:noWrap/>
            <w:vAlign w:val="center"/>
          </w:tcPr>
          <w:p w14:paraId="36B7FF88" w14:textId="6151FD38"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c>
          <w:tcPr>
            <w:tcW w:w="1275" w:type="dxa"/>
            <w:tcBorders>
              <w:left w:val="single" w:sz="4" w:space="0" w:color="65C5B4" w:themeColor="accent1"/>
              <w:right w:val="single" w:sz="4" w:space="0" w:color="65C5B4" w:themeColor="accent1"/>
            </w:tcBorders>
            <w:shd w:val="clear" w:color="auto" w:fill="E0F3EF" w:themeFill="accent1" w:themeFillTint="33"/>
            <w:noWrap/>
            <w:vAlign w:val="center"/>
          </w:tcPr>
          <w:p w14:paraId="4BD2CE6F" w14:textId="216C3353"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r>
      <w:tr w:rsidR="00805614" w:rsidRPr="00712FD9" w14:paraId="189A3387"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top w:val="nil"/>
              <w:left w:val="single" w:sz="4" w:space="0" w:color="65C5B4" w:themeColor="accent1"/>
              <w:right w:val="single" w:sz="4" w:space="0" w:color="65C5B4" w:themeColor="accent1"/>
            </w:tcBorders>
            <w:shd w:val="clear" w:color="auto" w:fill="E0F3EF" w:themeFill="accent1" w:themeFillTint="33"/>
            <w:vAlign w:val="center"/>
          </w:tcPr>
          <w:p w14:paraId="2BA5154A" w14:textId="29D148B8" w:rsidR="00805614" w:rsidRPr="00712FD9" w:rsidRDefault="00325DD6" w:rsidP="00591826">
            <w:pPr>
              <w:suppressAutoHyphens w:val="0"/>
              <w:spacing w:before="0" w:after="0" w:line="240" w:lineRule="auto"/>
              <w:ind w:firstLineChars="100" w:firstLine="200"/>
              <w:rPr>
                <w:rFonts w:eastAsia="Times New Roman" w:cstheme="minorHAnsi"/>
                <w:color w:val="595959" w:themeColor="text1" w:themeTint="A6"/>
                <w:sz w:val="20"/>
                <w:szCs w:val="20"/>
                <w:lang w:val="en-AU" w:eastAsia="en-AU"/>
              </w:rPr>
            </w:pPr>
            <w:r w:rsidRPr="00712FD9">
              <w:rPr>
                <w:rFonts w:eastAsia="Times New Roman" w:cstheme="minorHAnsi"/>
                <w:color w:val="595959" w:themeColor="text1" w:themeTint="A6"/>
                <w:sz w:val="20"/>
                <w:szCs w:val="20"/>
                <w:lang w:val="en-AU" w:eastAsia="en-AU"/>
              </w:rPr>
              <w:t xml:space="preserve">Investment duration: </w:t>
            </w:r>
            <w:r w:rsidR="00805614" w:rsidRPr="00712FD9">
              <w:rPr>
                <w:rFonts w:eastAsia="Times New Roman" w:cstheme="minorHAnsi"/>
                <w:color w:val="595959" w:themeColor="text1" w:themeTint="A6"/>
                <w:sz w:val="20"/>
                <w:szCs w:val="20"/>
                <w:lang w:val="en-AU" w:eastAsia="en-AU"/>
              </w:rPr>
              <w:t xml:space="preserve">2012-2022; Budget: $109m </w:t>
            </w:r>
          </w:p>
        </w:tc>
        <w:tc>
          <w:tcPr>
            <w:tcW w:w="1133" w:type="dxa"/>
            <w:tcBorders>
              <w:left w:val="single" w:sz="4" w:space="0" w:color="65C5B4" w:themeColor="accent1"/>
              <w:right w:val="single" w:sz="4" w:space="0" w:color="65C5B4" w:themeColor="accent1"/>
            </w:tcBorders>
            <w:shd w:val="clear" w:color="auto" w:fill="E0F3EF" w:themeFill="accent1" w:themeFillTint="33"/>
            <w:vAlign w:val="center"/>
          </w:tcPr>
          <w:p w14:paraId="772E8521" w14:textId="5C4D0610"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2020</w:t>
            </w:r>
          </w:p>
        </w:tc>
        <w:tc>
          <w:tcPr>
            <w:tcW w:w="1275" w:type="dxa"/>
            <w:tcBorders>
              <w:left w:val="single" w:sz="4" w:space="0" w:color="65C5B4" w:themeColor="accent1"/>
              <w:right w:val="single" w:sz="4" w:space="0" w:color="65C5B4" w:themeColor="accent1"/>
            </w:tcBorders>
            <w:shd w:val="clear" w:color="auto" w:fill="E0F3EF" w:themeFill="accent1" w:themeFillTint="33"/>
            <w:noWrap/>
            <w:vAlign w:val="center"/>
          </w:tcPr>
          <w:p w14:paraId="4EB64D9B" w14:textId="11EE785F"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c>
          <w:tcPr>
            <w:tcW w:w="1133" w:type="dxa"/>
            <w:tcBorders>
              <w:left w:val="single" w:sz="4" w:space="0" w:color="65C5B4" w:themeColor="accent1"/>
              <w:right w:val="single" w:sz="4" w:space="0" w:color="65C5B4" w:themeColor="accent1"/>
            </w:tcBorders>
            <w:shd w:val="clear" w:color="auto" w:fill="E0F3EF" w:themeFill="accent1" w:themeFillTint="33"/>
            <w:noWrap/>
            <w:vAlign w:val="center"/>
          </w:tcPr>
          <w:p w14:paraId="42CC0EA5" w14:textId="048C7EDA"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c>
          <w:tcPr>
            <w:tcW w:w="1275" w:type="dxa"/>
            <w:tcBorders>
              <w:left w:val="single" w:sz="4" w:space="0" w:color="65C5B4" w:themeColor="accent1"/>
              <w:right w:val="single" w:sz="4" w:space="0" w:color="65C5B4" w:themeColor="accent1"/>
            </w:tcBorders>
            <w:shd w:val="clear" w:color="auto" w:fill="E0F3EF" w:themeFill="accent1" w:themeFillTint="33"/>
            <w:noWrap/>
            <w:vAlign w:val="center"/>
          </w:tcPr>
          <w:p w14:paraId="295AB9E4" w14:textId="1CEB165D"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r>
      <w:tr w:rsidR="00805614" w:rsidRPr="00712FD9" w14:paraId="70BC83D8"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left w:val="single" w:sz="4" w:space="0" w:color="65C5B4" w:themeColor="accent1"/>
              <w:bottom w:val="nil"/>
              <w:right w:val="single" w:sz="4" w:space="0" w:color="65C5B4" w:themeColor="accent1"/>
            </w:tcBorders>
            <w:shd w:val="clear" w:color="auto" w:fill="F2F2F2" w:themeFill="background1" w:themeFillShade="F2"/>
            <w:vAlign w:val="center"/>
          </w:tcPr>
          <w:p w14:paraId="323B5D7C" w14:textId="656E4724" w:rsidR="00805614" w:rsidRPr="00712FD9" w:rsidRDefault="00805614" w:rsidP="00591826">
            <w:pPr>
              <w:suppressAutoHyphens w:val="0"/>
              <w:spacing w:before="0" w:after="0" w:line="240" w:lineRule="auto"/>
              <w:rPr>
                <w:rFonts w:eastAsia="Times New Roman" w:cstheme="minorHAnsi"/>
                <w:b/>
                <w:bCs/>
                <w:color w:val="595959" w:themeColor="text1" w:themeTint="A6"/>
                <w:sz w:val="20"/>
                <w:szCs w:val="20"/>
                <w:lang w:eastAsia="en-AU"/>
              </w:rPr>
            </w:pPr>
            <w:r w:rsidRPr="00712FD9">
              <w:rPr>
                <w:rFonts w:eastAsia="Times New Roman" w:cstheme="minorHAnsi"/>
                <w:b/>
                <w:bCs/>
                <w:color w:val="595959" w:themeColor="text1" w:themeTint="A6"/>
                <w:sz w:val="20"/>
                <w:szCs w:val="20"/>
                <w:lang w:eastAsia="en-AU"/>
              </w:rPr>
              <w:t>Poverty Action Lab South East Asia Phase II</w:t>
            </w:r>
            <w:r w:rsidR="00D43DEE">
              <w:rPr>
                <w:rFonts w:eastAsia="Times New Roman" w:cstheme="minorHAnsi"/>
                <w:b/>
                <w:bCs/>
                <w:color w:val="595959" w:themeColor="text1" w:themeTint="A6"/>
                <w:sz w:val="20"/>
                <w:szCs w:val="20"/>
                <w:lang w:eastAsia="en-AU"/>
              </w:rPr>
              <w:t xml:space="preserve"> </w:t>
            </w:r>
            <w:r w:rsidR="00D43DEE" w:rsidRPr="00712FD9">
              <w:rPr>
                <w:rFonts w:eastAsia="Times New Roman" w:cstheme="minorHAnsi"/>
                <w:b/>
                <w:bCs/>
                <w:color w:val="595959" w:themeColor="text1" w:themeTint="A6"/>
                <w:sz w:val="20"/>
                <w:szCs w:val="20"/>
                <w:lang w:eastAsia="en-AU"/>
              </w:rPr>
              <w:t>(JPAL)</w:t>
            </w:r>
          </w:p>
        </w:tc>
        <w:tc>
          <w:tcPr>
            <w:tcW w:w="1133" w:type="dxa"/>
            <w:tcBorders>
              <w:left w:val="single" w:sz="4" w:space="0" w:color="65C5B4" w:themeColor="accent1"/>
              <w:right w:val="single" w:sz="4" w:space="0" w:color="65C5B4" w:themeColor="accent1"/>
            </w:tcBorders>
            <w:shd w:val="clear" w:color="auto" w:fill="F2F2F2" w:themeFill="background1" w:themeFillShade="F2"/>
            <w:vAlign w:val="center"/>
          </w:tcPr>
          <w:p w14:paraId="2A7E211C" w14:textId="165252CF"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2021</w:t>
            </w:r>
          </w:p>
        </w:tc>
        <w:tc>
          <w:tcPr>
            <w:tcW w:w="1275"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43C8F874" w14:textId="6F3F7C3B"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c>
          <w:tcPr>
            <w:tcW w:w="1133"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0FF04659" w14:textId="718DDAA4"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c>
          <w:tcPr>
            <w:tcW w:w="1275"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0FC76D65" w14:textId="6A09C57A"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r>
      <w:tr w:rsidR="00805614" w:rsidRPr="00712FD9" w14:paraId="17FDAD25"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top w:val="nil"/>
              <w:left w:val="single" w:sz="4" w:space="0" w:color="65C5B4" w:themeColor="accent1"/>
              <w:right w:val="single" w:sz="4" w:space="0" w:color="65C5B4" w:themeColor="accent1"/>
            </w:tcBorders>
            <w:shd w:val="clear" w:color="auto" w:fill="F2F2F2" w:themeFill="background1" w:themeFillShade="F2"/>
            <w:vAlign w:val="center"/>
          </w:tcPr>
          <w:p w14:paraId="0D878CC3" w14:textId="1099AF1F" w:rsidR="00805614" w:rsidRPr="00712FD9" w:rsidRDefault="00325DD6" w:rsidP="00591826">
            <w:pPr>
              <w:suppressAutoHyphens w:val="0"/>
              <w:spacing w:before="0" w:after="0" w:line="240" w:lineRule="auto"/>
              <w:ind w:firstLineChars="100" w:firstLine="200"/>
              <w:rPr>
                <w:rFonts w:eastAsia="Times New Roman" w:cstheme="minorHAnsi"/>
                <w:color w:val="595959" w:themeColor="text1" w:themeTint="A6"/>
                <w:sz w:val="20"/>
                <w:szCs w:val="20"/>
                <w:lang w:val="en-AU" w:eastAsia="en-AU"/>
              </w:rPr>
            </w:pPr>
            <w:r w:rsidRPr="00712FD9">
              <w:rPr>
                <w:rFonts w:eastAsia="Times New Roman" w:cstheme="minorHAnsi"/>
                <w:color w:val="595959" w:themeColor="text1" w:themeTint="A6"/>
                <w:sz w:val="20"/>
                <w:szCs w:val="20"/>
                <w:lang w:val="en-AU" w:eastAsia="en-AU"/>
              </w:rPr>
              <w:t xml:space="preserve">Investment duration: </w:t>
            </w:r>
            <w:r w:rsidR="00805614" w:rsidRPr="00712FD9">
              <w:rPr>
                <w:rFonts w:eastAsia="Times New Roman" w:cstheme="minorHAnsi"/>
                <w:color w:val="595959" w:themeColor="text1" w:themeTint="A6"/>
                <w:sz w:val="20"/>
                <w:szCs w:val="20"/>
                <w:lang w:val="en-AU" w:eastAsia="en-AU"/>
              </w:rPr>
              <w:t>2017-</w:t>
            </w:r>
            <w:r w:rsidR="001A441E" w:rsidRPr="00712FD9">
              <w:rPr>
                <w:rFonts w:eastAsia="Times New Roman" w:cstheme="minorHAnsi"/>
                <w:color w:val="595959" w:themeColor="text1" w:themeTint="A6"/>
                <w:sz w:val="20"/>
                <w:szCs w:val="20"/>
                <w:lang w:val="en-AU" w:eastAsia="en-AU"/>
              </w:rPr>
              <w:t>20</w:t>
            </w:r>
            <w:r w:rsidR="00805614" w:rsidRPr="00712FD9">
              <w:rPr>
                <w:rFonts w:eastAsia="Times New Roman" w:cstheme="minorHAnsi"/>
                <w:color w:val="595959" w:themeColor="text1" w:themeTint="A6"/>
                <w:sz w:val="20"/>
                <w:szCs w:val="20"/>
                <w:lang w:val="en-AU" w:eastAsia="en-AU"/>
              </w:rPr>
              <w:t xml:space="preserve">22; Budget: $12m </w:t>
            </w:r>
          </w:p>
        </w:tc>
        <w:tc>
          <w:tcPr>
            <w:tcW w:w="1133" w:type="dxa"/>
            <w:tcBorders>
              <w:left w:val="single" w:sz="4" w:space="0" w:color="65C5B4" w:themeColor="accent1"/>
              <w:right w:val="single" w:sz="4" w:space="0" w:color="65C5B4" w:themeColor="accent1"/>
            </w:tcBorders>
            <w:shd w:val="clear" w:color="auto" w:fill="F2F2F2" w:themeFill="background1" w:themeFillShade="F2"/>
            <w:vAlign w:val="center"/>
          </w:tcPr>
          <w:p w14:paraId="242FCF49" w14:textId="0DA6B737"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2020</w:t>
            </w:r>
          </w:p>
        </w:tc>
        <w:tc>
          <w:tcPr>
            <w:tcW w:w="1275"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592FF112" w14:textId="4FCF8196"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c>
          <w:tcPr>
            <w:tcW w:w="1133"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1F40194E" w14:textId="66AB31B4"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c>
          <w:tcPr>
            <w:tcW w:w="1275"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79179009" w14:textId="509EBAE7"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r>
      <w:tr w:rsidR="00805614" w:rsidRPr="00712FD9" w14:paraId="401F2738"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left w:val="single" w:sz="4" w:space="0" w:color="65C5B4" w:themeColor="accent1"/>
              <w:bottom w:val="nil"/>
              <w:right w:val="single" w:sz="4" w:space="0" w:color="65C5B4" w:themeColor="accent1"/>
            </w:tcBorders>
            <w:shd w:val="clear" w:color="auto" w:fill="E0F3EF" w:themeFill="accent1" w:themeFillTint="33"/>
            <w:vAlign w:val="center"/>
          </w:tcPr>
          <w:p w14:paraId="42B02A22" w14:textId="0236ACC9" w:rsidR="00805614" w:rsidRPr="00712FD9" w:rsidRDefault="00805614" w:rsidP="00591826">
            <w:pPr>
              <w:suppressAutoHyphens w:val="0"/>
              <w:spacing w:before="0" w:after="0" w:line="240" w:lineRule="auto"/>
              <w:rPr>
                <w:rFonts w:eastAsia="Times New Roman" w:cstheme="minorHAnsi"/>
                <w:color w:val="595959" w:themeColor="text1" w:themeTint="A6"/>
                <w:sz w:val="20"/>
                <w:szCs w:val="20"/>
                <w:lang w:val="en-AU" w:eastAsia="en-AU"/>
              </w:rPr>
            </w:pPr>
            <w:r w:rsidRPr="00712FD9">
              <w:rPr>
                <w:rFonts w:eastAsia="Times New Roman" w:cstheme="minorHAnsi"/>
                <w:b/>
                <w:bCs/>
                <w:color w:val="595959" w:themeColor="text1" w:themeTint="A6"/>
                <w:sz w:val="20"/>
                <w:szCs w:val="20"/>
                <w:lang w:eastAsia="en-AU"/>
              </w:rPr>
              <w:t>Australia Indonesia Partnership for Justice II</w:t>
            </w:r>
          </w:p>
        </w:tc>
        <w:tc>
          <w:tcPr>
            <w:tcW w:w="1133" w:type="dxa"/>
            <w:tcBorders>
              <w:left w:val="single" w:sz="4" w:space="0" w:color="65C5B4" w:themeColor="accent1"/>
              <w:right w:val="single" w:sz="4" w:space="0" w:color="65C5B4" w:themeColor="accent1"/>
            </w:tcBorders>
            <w:shd w:val="clear" w:color="auto" w:fill="E0F3EF" w:themeFill="accent1" w:themeFillTint="33"/>
            <w:vAlign w:val="center"/>
          </w:tcPr>
          <w:p w14:paraId="7B4D2640" w14:textId="4B9C2B46"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2021</w:t>
            </w:r>
          </w:p>
        </w:tc>
        <w:tc>
          <w:tcPr>
            <w:tcW w:w="1275" w:type="dxa"/>
            <w:tcBorders>
              <w:left w:val="single" w:sz="4" w:space="0" w:color="65C5B4" w:themeColor="accent1"/>
              <w:right w:val="single" w:sz="4" w:space="0" w:color="65C5B4" w:themeColor="accent1"/>
            </w:tcBorders>
            <w:shd w:val="clear" w:color="auto" w:fill="E0F3EF" w:themeFill="accent1" w:themeFillTint="33"/>
            <w:noWrap/>
            <w:vAlign w:val="center"/>
          </w:tcPr>
          <w:p w14:paraId="59C16587" w14:textId="4134FD03"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c>
          <w:tcPr>
            <w:tcW w:w="1133" w:type="dxa"/>
            <w:tcBorders>
              <w:left w:val="single" w:sz="4" w:space="0" w:color="65C5B4" w:themeColor="accent1"/>
              <w:right w:val="single" w:sz="4" w:space="0" w:color="65C5B4" w:themeColor="accent1"/>
            </w:tcBorders>
            <w:shd w:val="clear" w:color="auto" w:fill="E0F3EF" w:themeFill="accent1" w:themeFillTint="33"/>
            <w:noWrap/>
            <w:vAlign w:val="center"/>
          </w:tcPr>
          <w:p w14:paraId="6B60C4AE" w14:textId="28DB3B1A"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c>
          <w:tcPr>
            <w:tcW w:w="1275" w:type="dxa"/>
            <w:tcBorders>
              <w:left w:val="single" w:sz="4" w:space="0" w:color="65C5B4" w:themeColor="accent1"/>
              <w:right w:val="single" w:sz="4" w:space="0" w:color="65C5B4" w:themeColor="accent1"/>
            </w:tcBorders>
            <w:shd w:val="clear" w:color="auto" w:fill="E0F3EF" w:themeFill="accent1" w:themeFillTint="33"/>
            <w:noWrap/>
            <w:vAlign w:val="center"/>
          </w:tcPr>
          <w:p w14:paraId="7A6642D7" w14:textId="7D771435"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r>
      <w:tr w:rsidR="00805614" w:rsidRPr="00712FD9" w14:paraId="10E9AC06"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top w:val="nil"/>
              <w:left w:val="single" w:sz="4" w:space="0" w:color="65C5B4" w:themeColor="accent1"/>
              <w:right w:val="single" w:sz="4" w:space="0" w:color="65C5B4" w:themeColor="accent1"/>
            </w:tcBorders>
            <w:shd w:val="clear" w:color="auto" w:fill="E0F3EF" w:themeFill="accent1" w:themeFillTint="33"/>
            <w:vAlign w:val="center"/>
          </w:tcPr>
          <w:p w14:paraId="7F314E01" w14:textId="57DE9226" w:rsidR="00805614" w:rsidRPr="00712FD9" w:rsidRDefault="00325DD6" w:rsidP="00591826">
            <w:pPr>
              <w:suppressAutoHyphens w:val="0"/>
              <w:spacing w:before="0" w:after="0" w:line="240" w:lineRule="auto"/>
              <w:ind w:firstLineChars="100" w:firstLine="200"/>
              <w:rPr>
                <w:rFonts w:eastAsia="Times New Roman" w:cstheme="minorHAnsi"/>
                <w:color w:val="595959" w:themeColor="text1" w:themeTint="A6"/>
                <w:sz w:val="20"/>
                <w:szCs w:val="20"/>
                <w:lang w:val="en-AU" w:eastAsia="en-AU"/>
              </w:rPr>
            </w:pPr>
            <w:r w:rsidRPr="00712FD9">
              <w:rPr>
                <w:rFonts w:eastAsia="Times New Roman" w:cstheme="minorHAnsi"/>
                <w:color w:val="595959" w:themeColor="text1" w:themeTint="A6"/>
                <w:sz w:val="20"/>
                <w:szCs w:val="20"/>
                <w:lang w:val="en-AU" w:eastAsia="en-AU"/>
              </w:rPr>
              <w:t xml:space="preserve">Investment duration: </w:t>
            </w:r>
            <w:r w:rsidR="00805614" w:rsidRPr="00712FD9">
              <w:rPr>
                <w:rFonts w:eastAsia="Times New Roman" w:cstheme="minorHAnsi"/>
                <w:color w:val="595959" w:themeColor="text1" w:themeTint="A6"/>
                <w:sz w:val="20"/>
                <w:szCs w:val="20"/>
                <w:lang w:val="en-AU" w:eastAsia="en-AU"/>
              </w:rPr>
              <w:t>2014-</w:t>
            </w:r>
            <w:r w:rsidR="001A441E" w:rsidRPr="00712FD9">
              <w:rPr>
                <w:rFonts w:eastAsia="Times New Roman" w:cstheme="minorHAnsi"/>
                <w:color w:val="595959" w:themeColor="text1" w:themeTint="A6"/>
                <w:sz w:val="20"/>
                <w:szCs w:val="20"/>
                <w:lang w:val="en-AU" w:eastAsia="en-AU"/>
              </w:rPr>
              <w:t>20</w:t>
            </w:r>
            <w:r w:rsidR="00805614" w:rsidRPr="00712FD9">
              <w:rPr>
                <w:rFonts w:eastAsia="Times New Roman" w:cstheme="minorHAnsi"/>
                <w:color w:val="595959" w:themeColor="text1" w:themeTint="A6"/>
                <w:sz w:val="20"/>
                <w:szCs w:val="20"/>
                <w:lang w:val="en-AU" w:eastAsia="en-AU"/>
              </w:rPr>
              <w:t xml:space="preserve">22; Budget: $40m </w:t>
            </w:r>
          </w:p>
        </w:tc>
        <w:tc>
          <w:tcPr>
            <w:tcW w:w="1133" w:type="dxa"/>
            <w:tcBorders>
              <w:left w:val="single" w:sz="4" w:space="0" w:color="65C5B4" w:themeColor="accent1"/>
              <w:right w:val="single" w:sz="4" w:space="0" w:color="65C5B4" w:themeColor="accent1"/>
            </w:tcBorders>
            <w:shd w:val="clear" w:color="auto" w:fill="E0F3EF" w:themeFill="accent1" w:themeFillTint="33"/>
            <w:vAlign w:val="center"/>
          </w:tcPr>
          <w:p w14:paraId="218A766C" w14:textId="6352D763"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2020</w:t>
            </w:r>
          </w:p>
        </w:tc>
        <w:tc>
          <w:tcPr>
            <w:tcW w:w="1275" w:type="dxa"/>
            <w:tcBorders>
              <w:left w:val="single" w:sz="4" w:space="0" w:color="65C5B4" w:themeColor="accent1"/>
              <w:right w:val="single" w:sz="4" w:space="0" w:color="65C5B4" w:themeColor="accent1"/>
            </w:tcBorders>
            <w:shd w:val="clear" w:color="auto" w:fill="E0F3EF" w:themeFill="accent1" w:themeFillTint="33"/>
            <w:noWrap/>
            <w:vAlign w:val="center"/>
          </w:tcPr>
          <w:p w14:paraId="57EDE307" w14:textId="7C1DE434"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c>
          <w:tcPr>
            <w:tcW w:w="1133" w:type="dxa"/>
            <w:tcBorders>
              <w:left w:val="single" w:sz="4" w:space="0" w:color="65C5B4" w:themeColor="accent1"/>
              <w:right w:val="single" w:sz="4" w:space="0" w:color="65C5B4" w:themeColor="accent1"/>
            </w:tcBorders>
            <w:shd w:val="clear" w:color="auto" w:fill="E0F3EF" w:themeFill="accent1" w:themeFillTint="33"/>
            <w:noWrap/>
            <w:vAlign w:val="center"/>
          </w:tcPr>
          <w:p w14:paraId="5C2B5C8E" w14:textId="21C886AB"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c>
          <w:tcPr>
            <w:tcW w:w="1275" w:type="dxa"/>
            <w:tcBorders>
              <w:left w:val="single" w:sz="4" w:space="0" w:color="65C5B4" w:themeColor="accent1"/>
              <w:right w:val="single" w:sz="4" w:space="0" w:color="65C5B4" w:themeColor="accent1"/>
            </w:tcBorders>
            <w:shd w:val="clear" w:color="auto" w:fill="E0F3EF" w:themeFill="accent1" w:themeFillTint="33"/>
            <w:noWrap/>
            <w:vAlign w:val="center"/>
          </w:tcPr>
          <w:p w14:paraId="068AABB3" w14:textId="24E317A1"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r>
      <w:tr w:rsidR="00805614" w:rsidRPr="00712FD9" w14:paraId="372EA499"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left w:val="single" w:sz="4" w:space="0" w:color="65C5B4" w:themeColor="accent1"/>
              <w:bottom w:val="nil"/>
              <w:right w:val="single" w:sz="4" w:space="0" w:color="65C5B4" w:themeColor="accent1"/>
            </w:tcBorders>
            <w:shd w:val="clear" w:color="auto" w:fill="F2F2F2" w:themeFill="background1" w:themeFillShade="F2"/>
            <w:vAlign w:val="center"/>
          </w:tcPr>
          <w:p w14:paraId="452F4F48" w14:textId="748F9F18" w:rsidR="00805614" w:rsidRPr="00712FD9" w:rsidRDefault="00805614" w:rsidP="00591826">
            <w:pPr>
              <w:suppressAutoHyphens w:val="0"/>
              <w:spacing w:before="0" w:after="0" w:line="240" w:lineRule="auto"/>
              <w:rPr>
                <w:rFonts w:eastAsia="Times New Roman" w:cstheme="minorHAnsi"/>
                <w:color w:val="595959" w:themeColor="text1" w:themeTint="A6"/>
                <w:sz w:val="20"/>
                <w:szCs w:val="20"/>
                <w:lang w:val="en-AU" w:eastAsia="en-AU"/>
              </w:rPr>
            </w:pPr>
            <w:r w:rsidRPr="00712FD9">
              <w:rPr>
                <w:rFonts w:eastAsia="Times New Roman" w:cstheme="minorHAnsi"/>
                <w:b/>
                <w:bCs/>
                <w:color w:val="595959" w:themeColor="text1" w:themeTint="A6"/>
                <w:sz w:val="20"/>
                <w:szCs w:val="20"/>
                <w:lang w:eastAsia="en-AU"/>
              </w:rPr>
              <w:t>BRIDGE School Partnerships Program in Indonesia</w:t>
            </w:r>
          </w:p>
        </w:tc>
        <w:tc>
          <w:tcPr>
            <w:tcW w:w="1133" w:type="dxa"/>
            <w:tcBorders>
              <w:left w:val="single" w:sz="4" w:space="0" w:color="65C5B4" w:themeColor="accent1"/>
              <w:right w:val="single" w:sz="4" w:space="0" w:color="65C5B4" w:themeColor="accent1"/>
            </w:tcBorders>
            <w:shd w:val="clear" w:color="auto" w:fill="F2F2F2" w:themeFill="background1" w:themeFillShade="F2"/>
            <w:vAlign w:val="center"/>
          </w:tcPr>
          <w:p w14:paraId="4301544C" w14:textId="37435EDC"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2021</w:t>
            </w:r>
          </w:p>
        </w:tc>
        <w:tc>
          <w:tcPr>
            <w:tcW w:w="1275"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250BCAF7" w14:textId="2E9AE734"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c>
          <w:tcPr>
            <w:tcW w:w="1133"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50763A06" w14:textId="07A48219"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c>
          <w:tcPr>
            <w:tcW w:w="1275"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629CDF47" w14:textId="4D1FA224"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r>
      <w:tr w:rsidR="00805614" w:rsidRPr="00712FD9" w14:paraId="20C9C90E"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top w:val="nil"/>
              <w:left w:val="single" w:sz="4" w:space="0" w:color="65C5B4" w:themeColor="accent1"/>
              <w:right w:val="single" w:sz="4" w:space="0" w:color="65C5B4" w:themeColor="accent1"/>
            </w:tcBorders>
            <w:shd w:val="clear" w:color="auto" w:fill="F2F2F2" w:themeFill="background1" w:themeFillShade="F2"/>
            <w:vAlign w:val="center"/>
          </w:tcPr>
          <w:p w14:paraId="0AF38235" w14:textId="60C96C41" w:rsidR="00805614" w:rsidRPr="00712FD9" w:rsidRDefault="00325DD6" w:rsidP="00591826">
            <w:pPr>
              <w:suppressAutoHyphens w:val="0"/>
              <w:spacing w:before="0" w:after="0" w:line="240" w:lineRule="auto"/>
              <w:ind w:firstLineChars="100" w:firstLine="200"/>
              <w:rPr>
                <w:rFonts w:eastAsia="Times New Roman" w:cstheme="minorHAnsi"/>
                <w:color w:val="595959" w:themeColor="text1" w:themeTint="A6"/>
                <w:sz w:val="20"/>
                <w:szCs w:val="20"/>
                <w:lang w:val="en-AU" w:eastAsia="en-AU"/>
              </w:rPr>
            </w:pPr>
            <w:r w:rsidRPr="00712FD9">
              <w:rPr>
                <w:rFonts w:eastAsia="Times New Roman" w:cstheme="minorHAnsi"/>
                <w:color w:val="595959" w:themeColor="text1" w:themeTint="A6"/>
                <w:sz w:val="20"/>
                <w:szCs w:val="20"/>
                <w:lang w:val="en-AU" w:eastAsia="en-AU"/>
              </w:rPr>
              <w:t xml:space="preserve">Investment duration: </w:t>
            </w:r>
            <w:r w:rsidR="00805614" w:rsidRPr="00712FD9">
              <w:rPr>
                <w:rFonts w:eastAsia="Times New Roman" w:cstheme="minorHAnsi"/>
                <w:color w:val="595959" w:themeColor="text1" w:themeTint="A6"/>
                <w:sz w:val="20"/>
                <w:szCs w:val="20"/>
                <w:lang w:val="en-AU" w:eastAsia="en-AU"/>
              </w:rPr>
              <w:t>2019-</w:t>
            </w:r>
            <w:proofErr w:type="gramStart"/>
            <w:r w:rsidR="001A441E" w:rsidRPr="00712FD9">
              <w:rPr>
                <w:rFonts w:eastAsia="Times New Roman" w:cstheme="minorHAnsi"/>
                <w:color w:val="595959" w:themeColor="text1" w:themeTint="A6"/>
                <w:sz w:val="20"/>
                <w:szCs w:val="20"/>
                <w:lang w:val="en-AU" w:eastAsia="en-AU"/>
              </w:rPr>
              <w:t>20</w:t>
            </w:r>
            <w:r w:rsidR="00805614" w:rsidRPr="00712FD9">
              <w:rPr>
                <w:rFonts w:eastAsia="Times New Roman" w:cstheme="minorHAnsi"/>
                <w:color w:val="595959" w:themeColor="text1" w:themeTint="A6"/>
                <w:sz w:val="20"/>
                <w:szCs w:val="20"/>
                <w:lang w:val="en-AU" w:eastAsia="en-AU"/>
              </w:rPr>
              <w:t xml:space="preserve">22; </w:t>
            </w:r>
            <w:r w:rsidR="001A441E" w:rsidRPr="00712FD9">
              <w:rPr>
                <w:rFonts w:eastAsia="Times New Roman" w:cstheme="minorHAnsi"/>
                <w:color w:val="595959" w:themeColor="text1" w:themeTint="A6"/>
                <w:sz w:val="20"/>
                <w:szCs w:val="20"/>
                <w:lang w:val="en-AU" w:eastAsia="en-AU"/>
              </w:rPr>
              <w:t xml:space="preserve"> </w:t>
            </w:r>
            <w:r w:rsidR="00805614" w:rsidRPr="00712FD9">
              <w:rPr>
                <w:rFonts w:eastAsia="Times New Roman" w:cstheme="minorHAnsi"/>
                <w:color w:val="595959" w:themeColor="text1" w:themeTint="A6"/>
                <w:sz w:val="20"/>
                <w:szCs w:val="20"/>
                <w:lang w:val="en-AU" w:eastAsia="en-AU"/>
              </w:rPr>
              <w:t>Budget</w:t>
            </w:r>
            <w:proofErr w:type="gramEnd"/>
            <w:r w:rsidR="00805614" w:rsidRPr="00712FD9">
              <w:rPr>
                <w:rFonts w:eastAsia="Times New Roman" w:cstheme="minorHAnsi"/>
                <w:color w:val="595959" w:themeColor="text1" w:themeTint="A6"/>
                <w:sz w:val="20"/>
                <w:szCs w:val="20"/>
                <w:lang w:val="en-AU" w:eastAsia="en-AU"/>
              </w:rPr>
              <w:t xml:space="preserve">: $4.6m </w:t>
            </w:r>
          </w:p>
        </w:tc>
        <w:tc>
          <w:tcPr>
            <w:tcW w:w="1133" w:type="dxa"/>
            <w:tcBorders>
              <w:left w:val="single" w:sz="4" w:space="0" w:color="65C5B4" w:themeColor="accent1"/>
              <w:right w:val="single" w:sz="4" w:space="0" w:color="65C5B4" w:themeColor="accent1"/>
            </w:tcBorders>
            <w:shd w:val="clear" w:color="auto" w:fill="F2F2F2" w:themeFill="background1" w:themeFillShade="F2"/>
            <w:vAlign w:val="center"/>
          </w:tcPr>
          <w:p w14:paraId="3AD6F3C9" w14:textId="6F8E1D59"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2020</w:t>
            </w:r>
          </w:p>
        </w:tc>
        <w:tc>
          <w:tcPr>
            <w:tcW w:w="1275"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63533943" w14:textId="3A08C636"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c>
          <w:tcPr>
            <w:tcW w:w="1133"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0AC8B7FA" w14:textId="7DA8C83A"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c>
          <w:tcPr>
            <w:tcW w:w="1275"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5146B63B" w14:textId="4F164544"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3</w:t>
            </w:r>
          </w:p>
        </w:tc>
      </w:tr>
      <w:tr w:rsidR="00805614" w:rsidRPr="00712FD9" w14:paraId="34EF98EF"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left w:val="single" w:sz="4" w:space="0" w:color="65C5B4" w:themeColor="accent1"/>
              <w:bottom w:val="nil"/>
              <w:right w:val="single" w:sz="4" w:space="0" w:color="65C5B4" w:themeColor="accent1"/>
            </w:tcBorders>
            <w:shd w:val="clear" w:color="auto" w:fill="E0F3EF" w:themeFill="accent1" w:themeFillTint="33"/>
            <w:vAlign w:val="center"/>
          </w:tcPr>
          <w:p w14:paraId="6E2D79AA" w14:textId="2A33EFA7" w:rsidR="00805614" w:rsidRPr="00712FD9" w:rsidRDefault="00805614" w:rsidP="00591826">
            <w:pPr>
              <w:suppressAutoHyphens w:val="0"/>
              <w:spacing w:before="0" w:after="0" w:line="240" w:lineRule="auto"/>
              <w:rPr>
                <w:rFonts w:eastAsia="Times New Roman" w:cstheme="minorHAnsi"/>
                <w:b/>
                <w:bCs/>
                <w:color w:val="595959" w:themeColor="text1" w:themeTint="A6"/>
                <w:sz w:val="20"/>
                <w:szCs w:val="20"/>
                <w:lang w:eastAsia="en-AU"/>
              </w:rPr>
            </w:pPr>
            <w:r w:rsidRPr="00712FD9">
              <w:rPr>
                <w:rFonts w:eastAsia="Times New Roman" w:cstheme="minorHAnsi"/>
                <w:b/>
                <w:bCs/>
                <w:color w:val="595959" w:themeColor="text1" w:themeTint="A6"/>
                <w:sz w:val="20"/>
                <w:szCs w:val="20"/>
                <w:lang w:eastAsia="en-AU"/>
              </w:rPr>
              <w:t xml:space="preserve">Australia Awards in Indonesia </w:t>
            </w:r>
          </w:p>
        </w:tc>
        <w:tc>
          <w:tcPr>
            <w:tcW w:w="1133" w:type="dxa"/>
            <w:tcBorders>
              <w:left w:val="single" w:sz="4" w:space="0" w:color="65C5B4" w:themeColor="accent1"/>
              <w:right w:val="single" w:sz="4" w:space="0" w:color="65C5B4" w:themeColor="accent1"/>
            </w:tcBorders>
            <w:shd w:val="clear" w:color="auto" w:fill="E0F3EF" w:themeFill="accent1" w:themeFillTint="33"/>
            <w:vAlign w:val="center"/>
          </w:tcPr>
          <w:p w14:paraId="61A16644" w14:textId="6024C76E"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2021</w:t>
            </w:r>
          </w:p>
        </w:tc>
        <w:tc>
          <w:tcPr>
            <w:tcW w:w="1275" w:type="dxa"/>
            <w:tcBorders>
              <w:left w:val="single" w:sz="4" w:space="0" w:color="65C5B4" w:themeColor="accent1"/>
              <w:right w:val="single" w:sz="4" w:space="0" w:color="65C5B4" w:themeColor="accent1"/>
            </w:tcBorders>
            <w:shd w:val="clear" w:color="auto" w:fill="E0F3EF" w:themeFill="accent1" w:themeFillTint="33"/>
            <w:noWrap/>
            <w:vAlign w:val="center"/>
          </w:tcPr>
          <w:p w14:paraId="07DD341F" w14:textId="7E039F27"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c>
          <w:tcPr>
            <w:tcW w:w="1133" w:type="dxa"/>
            <w:tcBorders>
              <w:left w:val="single" w:sz="4" w:space="0" w:color="65C5B4" w:themeColor="accent1"/>
              <w:right w:val="single" w:sz="4" w:space="0" w:color="65C5B4" w:themeColor="accent1"/>
            </w:tcBorders>
            <w:shd w:val="clear" w:color="auto" w:fill="E0F3EF" w:themeFill="accent1" w:themeFillTint="33"/>
            <w:noWrap/>
            <w:vAlign w:val="center"/>
          </w:tcPr>
          <w:p w14:paraId="4C252E93" w14:textId="6BFD83FE"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c>
          <w:tcPr>
            <w:tcW w:w="1275" w:type="dxa"/>
            <w:tcBorders>
              <w:left w:val="single" w:sz="4" w:space="0" w:color="65C5B4" w:themeColor="accent1"/>
              <w:right w:val="single" w:sz="4" w:space="0" w:color="65C5B4" w:themeColor="accent1"/>
            </w:tcBorders>
            <w:shd w:val="clear" w:color="auto" w:fill="E0F3EF" w:themeFill="accent1" w:themeFillTint="33"/>
            <w:noWrap/>
            <w:vAlign w:val="center"/>
          </w:tcPr>
          <w:p w14:paraId="4978A8C6" w14:textId="77BD859B"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r>
      <w:tr w:rsidR="00805614" w:rsidRPr="00712FD9" w14:paraId="12B33419"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top w:val="nil"/>
              <w:left w:val="single" w:sz="4" w:space="0" w:color="65C5B4" w:themeColor="accent1"/>
              <w:right w:val="single" w:sz="4" w:space="0" w:color="65C5B4" w:themeColor="accent1"/>
            </w:tcBorders>
            <w:shd w:val="clear" w:color="auto" w:fill="E0F3EF" w:themeFill="accent1" w:themeFillTint="33"/>
            <w:vAlign w:val="center"/>
          </w:tcPr>
          <w:p w14:paraId="40D4C780" w14:textId="70206183" w:rsidR="00805614" w:rsidRPr="00712FD9" w:rsidRDefault="00325DD6" w:rsidP="00591826">
            <w:pPr>
              <w:suppressAutoHyphens w:val="0"/>
              <w:spacing w:before="0" w:after="0" w:line="240" w:lineRule="auto"/>
              <w:ind w:firstLineChars="100" w:firstLine="200"/>
              <w:rPr>
                <w:rFonts w:eastAsia="Times New Roman" w:cstheme="minorHAnsi"/>
                <w:color w:val="595959" w:themeColor="text1" w:themeTint="A6"/>
                <w:sz w:val="20"/>
                <w:szCs w:val="20"/>
                <w:lang w:val="en-AU" w:eastAsia="en-AU"/>
              </w:rPr>
            </w:pPr>
            <w:r w:rsidRPr="00712FD9">
              <w:rPr>
                <w:rFonts w:eastAsia="Times New Roman" w:cstheme="minorHAnsi"/>
                <w:color w:val="595959" w:themeColor="text1" w:themeTint="A6"/>
                <w:sz w:val="20"/>
                <w:szCs w:val="20"/>
                <w:lang w:val="en-AU" w:eastAsia="en-AU"/>
              </w:rPr>
              <w:t xml:space="preserve">Investment duration: </w:t>
            </w:r>
            <w:r w:rsidR="00805614" w:rsidRPr="00712FD9">
              <w:rPr>
                <w:rFonts w:eastAsia="Times New Roman" w:cstheme="minorHAnsi"/>
                <w:color w:val="595959" w:themeColor="text1" w:themeTint="A6"/>
                <w:sz w:val="20"/>
                <w:szCs w:val="20"/>
                <w:lang w:val="en-AU" w:eastAsia="en-AU"/>
              </w:rPr>
              <w:t>2014-</w:t>
            </w:r>
            <w:proofErr w:type="gramStart"/>
            <w:r w:rsidR="001A441E" w:rsidRPr="00712FD9">
              <w:rPr>
                <w:rFonts w:eastAsia="Times New Roman" w:cstheme="minorHAnsi"/>
                <w:color w:val="595959" w:themeColor="text1" w:themeTint="A6"/>
                <w:sz w:val="20"/>
                <w:szCs w:val="20"/>
                <w:lang w:val="en-AU" w:eastAsia="en-AU"/>
              </w:rPr>
              <w:t>20</w:t>
            </w:r>
            <w:r w:rsidR="00805614" w:rsidRPr="00712FD9">
              <w:rPr>
                <w:rFonts w:eastAsia="Times New Roman" w:cstheme="minorHAnsi"/>
                <w:color w:val="595959" w:themeColor="text1" w:themeTint="A6"/>
                <w:sz w:val="20"/>
                <w:szCs w:val="20"/>
                <w:lang w:val="en-AU" w:eastAsia="en-AU"/>
              </w:rPr>
              <w:t xml:space="preserve">22; </w:t>
            </w:r>
            <w:r w:rsidR="001A441E" w:rsidRPr="00712FD9">
              <w:rPr>
                <w:rFonts w:eastAsia="Times New Roman" w:cstheme="minorHAnsi"/>
                <w:color w:val="595959" w:themeColor="text1" w:themeTint="A6"/>
                <w:sz w:val="20"/>
                <w:szCs w:val="20"/>
                <w:lang w:val="en-AU" w:eastAsia="en-AU"/>
              </w:rPr>
              <w:t xml:space="preserve"> </w:t>
            </w:r>
            <w:r w:rsidR="00805614" w:rsidRPr="00712FD9">
              <w:rPr>
                <w:rFonts w:eastAsia="Times New Roman" w:cstheme="minorHAnsi"/>
                <w:color w:val="595959" w:themeColor="text1" w:themeTint="A6"/>
                <w:sz w:val="20"/>
                <w:szCs w:val="20"/>
                <w:lang w:val="en-AU" w:eastAsia="en-AU"/>
              </w:rPr>
              <w:t>Budget</w:t>
            </w:r>
            <w:proofErr w:type="gramEnd"/>
            <w:r w:rsidR="00805614" w:rsidRPr="00712FD9">
              <w:rPr>
                <w:rFonts w:eastAsia="Times New Roman" w:cstheme="minorHAnsi"/>
                <w:color w:val="595959" w:themeColor="text1" w:themeTint="A6"/>
                <w:sz w:val="20"/>
                <w:szCs w:val="20"/>
                <w:lang w:val="en-AU" w:eastAsia="en-AU"/>
              </w:rPr>
              <w:t xml:space="preserve">: $163.2m </w:t>
            </w:r>
          </w:p>
        </w:tc>
        <w:tc>
          <w:tcPr>
            <w:tcW w:w="1133" w:type="dxa"/>
            <w:tcBorders>
              <w:left w:val="single" w:sz="4" w:space="0" w:color="65C5B4" w:themeColor="accent1"/>
              <w:right w:val="single" w:sz="4" w:space="0" w:color="65C5B4" w:themeColor="accent1"/>
            </w:tcBorders>
            <w:shd w:val="clear" w:color="auto" w:fill="E0F3EF" w:themeFill="accent1" w:themeFillTint="33"/>
            <w:vAlign w:val="center"/>
          </w:tcPr>
          <w:p w14:paraId="3DF63F1C" w14:textId="00180708"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2020</w:t>
            </w:r>
          </w:p>
        </w:tc>
        <w:tc>
          <w:tcPr>
            <w:tcW w:w="1275" w:type="dxa"/>
            <w:tcBorders>
              <w:left w:val="single" w:sz="4" w:space="0" w:color="65C5B4" w:themeColor="accent1"/>
              <w:right w:val="single" w:sz="4" w:space="0" w:color="65C5B4" w:themeColor="accent1"/>
            </w:tcBorders>
            <w:shd w:val="clear" w:color="auto" w:fill="E0F3EF" w:themeFill="accent1" w:themeFillTint="33"/>
            <w:noWrap/>
            <w:vAlign w:val="center"/>
          </w:tcPr>
          <w:p w14:paraId="2ADFE532" w14:textId="34D27F18"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c>
          <w:tcPr>
            <w:tcW w:w="1133" w:type="dxa"/>
            <w:tcBorders>
              <w:left w:val="single" w:sz="4" w:space="0" w:color="65C5B4" w:themeColor="accent1"/>
              <w:right w:val="single" w:sz="4" w:space="0" w:color="65C5B4" w:themeColor="accent1"/>
            </w:tcBorders>
            <w:shd w:val="clear" w:color="auto" w:fill="E0F3EF" w:themeFill="accent1" w:themeFillTint="33"/>
            <w:noWrap/>
            <w:vAlign w:val="center"/>
          </w:tcPr>
          <w:p w14:paraId="6A6888B3" w14:textId="0A62969D"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c>
          <w:tcPr>
            <w:tcW w:w="1275" w:type="dxa"/>
            <w:tcBorders>
              <w:left w:val="single" w:sz="4" w:space="0" w:color="65C5B4" w:themeColor="accent1"/>
              <w:right w:val="single" w:sz="4" w:space="0" w:color="65C5B4" w:themeColor="accent1"/>
            </w:tcBorders>
            <w:shd w:val="clear" w:color="auto" w:fill="E0F3EF" w:themeFill="accent1" w:themeFillTint="33"/>
            <w:noWrap/>
            <w:vAlign w:val="center"/>
          </w:tcPr>
          <w:p w14:paraId="47513D8D" w14:textId="0338AC74"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r>
      <w:tr w:rsidR="00805614" w:rsidRPr="00712FD9" w14:paraId="5264F756"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left w:val="single" w:sz="4" w:space="0" w:color="65C5B4" w:themeColor="accent1"/>
              <w:bottom w:val="nil"/>
              <w:right w:val="single" w:sz="4" w:space="0" w:color="65C5B4" w:themeColor="accent1"/>
            </w:tcBorders>
            <w:shd w:val="clear" w:color="auto" w:fill="F2F2F2" w:themeFill="background1" w:themeFillShade="F2"/>
            <w:vAlign w:val="center"/>
          </w:tcPr>
          <w:p w14:paraId="1258C6B8" w14:textId="063D8EA9" w:rsidR="00805614" w:rsidRPr="00712FD9" w:rsidRDefault="00805614" w:rsidP="00591826">
            <w:pPr>
              <w:suppressAutoHyphens w:val="0"/>
              <w:spacing w:before="0" w:after="0" w:line="240" w:lineRule="auto"/>
              <w:rPr>
                <w:rFonts w:eastAsia="Times New Roman" w:cstheme="minorHAnsi"/>
                <w:b/>
                <w:bCs/>
                <w:color w:val="595959" w:themeColor="text1" w:themeTint="A6"/>
                <w:sz w:val="20"/>
                <w:szCs w:val="20"/>
                <w:lang w:eastAsia="en-AU"/>
              </w:rPr>
            </w:pPr>
            <w:r w:rsidRPr="00712FD9">
              <w:rPr>
                <w:rFonts w:eastAsia="Times New Roman" w:cstheme="minorHAnsi"/>
                <w:b/>
                <w:bCs/>
                <w:color w:val="595959" w:themeColor="text1" w:themeTint="A6"/>
                <w:sz w:val="20"/>
                <w:szCs w:val="20"/>
                <w:lang w:eastAsia="en-AU"/>
              </w:rPr>
              <w:t>The Indonesia Project</w:t>
            </w:r>
          </w:p>
        </w:tc>
        <w:tc>
          <w:tcPr>
            <w:tcW w:w="1133" w:type="dxa"/>
            <w:tcBorders>
              <w:left w:val="single" w:sz="4" w:space="0" w:color="65C5B4" w:themeColor="accent1"/>
              <w:right w:val="single" w:sz="4" w:space="0" w:color="65C5B4" w:themeColor="accent1"/>
            </w:tcBorders>
            <w:shd w:val="clear" w:color="auto" w:fill="F2F2F2" w:themeFill="background1" w:themeFillShade="F2"/>
            <w:vAlign w:val="center"/>
          </w:tcPr>
          <w:p w14:paraId="72CC28ED" w14:textId="19C838FF"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2021</w:t>
            </w:r>
          </w:p>
        </w:tc>
        <w:tc>
          <w:tcPr>
            <w:tcW w:w="1275"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1D4B131F" w14:textId="313F4975"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6</w:t>
            </w:r>
          </w:p>
        </w:tc>
        <w:tc>
          <w:tcPr>
            <w:tcW w:w="1133"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64294C06" w14:textId="63F1D788"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6</w:t>
            </w:r>
          </w:p>
        </w:tc>
        <w:tc>
          <w:tcPr>
            <w:tcW w:w="1275"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1F567220" w14:textId="4FE667ED"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r>
      <w:tr w:rsidR="00805614" w:rsidRPr="00712FD9" w14:paraId="7351AC63"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top w:val="nil"/>
              <w:left w:val="single" w:sz="4" w:space="0" w:color="65C5B4" w:themeColor="accent1"/>
              <w:right w:val="single" w:sz="4" w:space="0" w:color="65C5B4" w:themeColor="accent1"/>
            </w:tcBorders>
            <w:shd w:val="clear" w:color="auto" w:fill="F2F2F2" w:themeFill="background1" w:themeFillShade="F2"/>
            <w:vAlign w:val="center"/>
          </w:tcPr>
          <w:p w14:paraId="60FB8921" w14:textId="07D029C1" w:rsidR="00805614" w:rsidRPr="00712FD9" w:rsidRDefault="00325DD6" w:rsidP="00591826">
            <w:pPr>
              <w:suppressAutoHyphens w:val="0"/>
              <w:spacing w:before="0" w:after="0" w:line="240" w:lineRule="auto"/>
              <w:ind w:firstLineChars="100" w:firstLine="200"/>
              <w:rPr>
                <w:rFonts w:eastAsia="Times New Roman" w:cstheme="minorHAnsi"/>
                <w:color w:val="595959" w:themeColor="text1" w:themeTint="A6"/>
                <w:sz w:val="20"/>
                <w:szCs w:val="20"/>
                <w:lang w:val="en-AU" w:eastAsia="en-AU"/>
              </w:rPr>
            </w:pPr>
            <w:r w:rsidRPr="00712FD9">
              <w:rPr>
                <w:rFonts w:eastAsia="Times New Roman" w:cstheme="minorHAnsi"/>
                <w:color w:val="595959" w:themeColor="text1" w:themeTint="A6"/>
                <w:sz w:val="20"/>
                <w:szCs w:val="20"/>
                <w:lang w:val="en-AU" w:eastAsia="en-AU"/>
              </w:rPr>
              <w:t xml:space="preserve">Investment duration: </w:t>
            </w:r>
            <w:r w:rsidR="00805614" w:rsidRPr="00712FD9">
              <w:rPr>
                <w:rFonts w:eastAsia="Times New Roman" w:cstheme="minorHAnsi"/>
                <w:color w:val="595959" w:themeColor="text1" w:themeTint="A6"/>
                <w:sz w:val="20"/>
                <w:szCs w:val="20"/>
                <w:lang w:val="en-AU" w:eastAsia="en-AU"/>
              </w:rPr>
              <w:t xml:space="preserve">2008-2022; Budget: $14.6m </w:t>
            </w:r>
          </w:p>
        </w:tc>
        <w:tc>
          <w:tcPr>
            <w:tcW w:w="1133" w:type="dxa"/>
            <w:tcBorders>
              <w:left w:val="single" w:sz="4" w:space="0" w:color="65C5B4" w:themeColor="accent1"/>
              <w:right w:val="single" w:sz="4" w:space="0" w:color="65C5B4" w:themeColor="accent1"/>
            </w:tcBorders>
            <w:shd w:val="clear" w:color="auto" w:fill="F2F2F2" w:themeFill="background1" w:themeFillShade="F2"/>
            <w:vAlign w:val="center"/>
          </w:tcPr>
          <w:p w14:paraId="2CC8A9EE" w14:textId="5C456589"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2020</w:t>
            </w:r>
          </w:p>
        </w:tc>
        <w:tc>
          <w:tcPr>
            <w:tcW w:w="1275"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292BDB5D" w14:textId="6D5512AE"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6</w:t>
            </w:r>
          </w:p>
        </w:tc>
        <w:tc>
          <w:tcPr>
            <w:tcW w:w="1133"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128B58B4" w14:textId="73BA9C36"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6</w:t>
            </w:r>
          </w:p>
        </w:tc>
        <w:tc>
          <w:tcPr>
            <w:tcW w:w="1275"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06D6A3AC" w14:textId="5907BF53"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r>
      <w:tr w:rsidR="00805614" w:rsidRPr="00712FD9" w14:paraId="07670183"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left w:val="single" w:sz="4" w:space="0" w:color="65C5B4" w:themeColor="accent1"/>
              <w:bottom w:val="nil"/>
              <w:right w:val="single" w:sz="4" w:space="0" w:color="65C5B4" w:themeColor="accent1"/>
            </w:tcBorders>
            <w:shd w:val="clear" w:color="auto" w:fill="E0F3EF" w:themeFill="accent1" w:themeFillTint="33"/>
            <w:vAlign w:val="center"/>
          </w:tcPr>
          <w:p w14:paraId="79125537" w14:textId="118FFB6E" w:rsidR="00805614" w:rsidRPr="00712FD9" w:rsidRDefault="00805614" w:rsidP="00591826">
            <w:pPr>
              <w:suppressAutoHyphens w:val="0"/>
              <w:spacing w:before="0" w:after="0" w:line="240" w:lineRule="auto"/>
              <w:rPr>
                <w:rFonts w:eastAsia="Times New Roman" w:cstheme="minorHAnsi"/>
                <w:b/>
                <w:bCs/>
                <w:color w:val="595959" w:themeColor="text1" w:themeTint="A6"/>
                <w:sz w:val="20"/>
                <w:szCs w:val="20"/>
                <w:lang w:eastAsia="en-AU"/>
              </w:rPr>
            </w:pPr>
            <w:r w:rsidRPr="00712FD9">
              <w:rPr>
                <w:rFonts w:eastAsia="Times New Roman" w:cstheme="minorHAnsi"/>
                <w:b/>
                <w:bCs/>
                <w:color w:val="595959" w:themeColor="text1" w:themeTint="A6"/>
                <w:sz w:val="20"/>
                <w:szCs w:val="20"/>
                <w:lang w:eastAsia="en-AU"/>
              </w:rPr>
              <w:t>Partnership for Australia-Indonesia Research (PAIR)</w:t>
            </w:r>
          </w:p>
        </w:tc>
        <w:tc>
          <w:tcPr>
            <w:tcW w:w="1133" w:type="dxa"/>
            <w:tcBorders>
              <w:left w:val="single" w:sz="4" w:space="0" w:color="65C5B4" w:themeColor="accent1"/>
              <w:right w:val="single" w:sz="4" w:space="0" w:color="65C5B4" w:themeColor="accent1"/>
            </w:tcBorders>
            <w:shd w:val="clear" w:color="auto" w:fill="E0F3EF" w:themeFill="accent1" w:themeFillTint="33"/>
            <w:vAlign w:val="center"/>
          </w:tcPr>
          <w:p w14:paraId="4F5C227B" w14:textId="27761795"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2021</w:t>
            </w:r>
          </w:p>
        </w:tc>
        <w:tc>
          <w:tcPr>
            <w:tcW w:w="1275" w:type="dxa"/>
            <w:tcBorders>
              <w:left w:val="single" w:sz="4" w:space="0" w:color="65C5B4" w:themeColor="accent1"/>
              <w:right w:val="single" w:sz="4" w:space="0" w:color="65C5B4" w:themeColor="accent1"/>
            </w:tcBorders>
            <w:shd w:val="clear" w:color="auto" w:fill="E0F3EF" w:themeFill="accent1" w:themeFillTint="33"/>
            <w:noWrap/>
            <w:vAlign w:val="center"/>
          </w:tcPr>
          <w:p w14:paraId="1CA39A22" w14:textId="7873781B"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c>
          <w:tcPr>
            <w:tcW w:w="1133" w:type="dxa"/>
            <w:tcBorders>
              <w:left w:val="single" w:sz="4" w:space="0" w:color="65C5B4" w:themeColor="accent1"/>
              <w:right w:val="single" w:sz="4" w:space="0" w:color="65C5B4" w:themeColor="accent1"/>
            </w:tcBorders>
            <w:shd w:val="clear" w:color="auto" w:fill="E0F3EF" w:themeFill="accent1" w:themeFillTint="33"/>
            <w:noWrap/>
            <w:vAlign w:val="center"/>
          </w:tcPr>
          <w:p w14:paraId="4B5CCED6" w14:textId="00D3A0DE"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c>
          <w:tcPr>
            <w:tcW w:w="1275" w:type="dxa"/>
            <w:tcBorders>
              <w:left w:val="single" w:sz="4" w:space="0" w:color="65C5B4" w:themeColor="accent1"/>
              <w:right w:val="single" w:sz="4" w:space="0" w:color="65C5B4" w:themeColor="accent1"/>
            </w:tcBorders>
            <w:shd w:val="clear" w:color="auto" w:fill="E0F3EF" w:themeFill="accent1" w:themeFillTint="33"/>
            <w:noWrap/>
            <w:vAlign w:val="center"/>
          </w:tcPr>
          <w:p w14:paraId="4277C255" w14:textId="51CF1E44"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r>
      <w:tr w:rsidR="00805614" w:rsidRPr="00712FD9" w14:paraId="12D02A8B"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top w:val="nil"/>
              <w:left w:val="single" w:sz="4" w:space="0" w:color="65C5B4" w:themeColor="accent1"/>
              <w:right w:val="single" w:sz="4" w:space="0" w:color="65C5B4" w:themeColor="accent1"/>
            </w:tcBorders>
            <w:shd w:val="clear" w:color="auto" w:fill="E0F3EF" w:themeFill="accent1" w:themeFillTint="33"/>
            <w:vAlign w:val="center"/>
          </w:tcPr>
          <w:p w14:paraId="589CCADC" w14:textId="4F338DB5" w:rsidR="00805614" w:rsidRPr="00712FD9" w:rsidRDefault="00325DD6" w:rsidP="00591826">
            <w:pPr>
              <w:suppressAutoHyphens w:val="0"/>
              <w:spacing w:before="0" w:after="0" w:line="240" w:lineRule="auto"/>
              <w:ind w:firstLineChars="100" w:firstLine="200"/>
              <w:rPr>
                <w:rFonts w:eastAsia="Times New Roman" w:cstheme="minorHAnsi"/>
                <w:color w:val="595959" w:themeColor="text1" w:themeTint="A6"/>
                <w:sz w:val="20"/>
                <w:szCs w:val="20"/>
                <w:lang w:val="en-AU" w:eastAsia="en-AU"/>
              </w:rPr>
            </w:pPr>
            <w:r w:rsidRPr="00712FD9">
              <w:rPr>
                <w:rFonts w:eastAsia="Times New Roman" w:cstheme="minorHAnsi"/>
                <w:color w:val="595959" w:themeColor="text1" w:themeTint="A6"/>
                <w:sz w:val="20"/>
                <w:szCs w:val="20"/>
                <w:lang w:val="en-AU" w:eastAsia="en-AU"/>
              </w:rPr>
              <w:t>Investment duration:</w:t>
            </w:r>
            <w:r w:rsidR="00805614" w:rsidRPr="00712FD9">
              <w:rPr>
                <w:rFonts w:eastAsia="Times New Roman" w:cstheme="minorHAnsi"/>
                <w:color w:val="595959" w:themeColor="text1" w:themeTint="A6"/>
                <w:sz w:val="20"/>
                <w:szCs w:val="20"/>
                <w:lang w:val="en-AU" w:eastAsia="en-AU"/>
              </w:rPr>
              <w:t xml:space="preserve"> 2018-</w:t>
            </w:r>
            <w:r w:rsidR="001A441E" w:rsidRPr="00712FD9">
              <w:rPr>
                <w:rFonts w:eastAsia="Times New Roman" w:cstheme="minorHAnsi"/>
                <w:color w:val="595959" w:themeColor="text1" w:themeTint="A6"/>
                <w:sz w:val="20"/>
                <w:szCs w:val="20"/>
                <w:lang w:val="en-AU" w:eastAsia="en-AU"/>
              </w:rPr>
              <w:t>20</w:t>
            </w:r>
            <w:r w:rsidR="00805614" w:rsidRPr="00712FD9">
              <w:rPr>
                <w:rFonts w:eastAsia="Times New Roman" w:cstheme="minorHAnsi"/>
                <w:color w:val="595959" w:themeColor="text1" w:themeTint="A6"/>
                <w:sz w:val="20"/>
                <w:szCs w:val="20"/>
                <w:lang w:val="en-AU" w:eastAsia="en-AU"/>
              </w:rPr>
              <w:t>23;</w:t>
            </w:r>
            <w:r w:rsidR="001A441E" w:rsidRPr="00712FD9">
              <w:rPr>
                <w:rFonts w:eastAsia="Times New Roman" w:cstheme="minorHAnsi"/>
                <w:color w:val="595959" w:themeColor="text1" w:themeTint="A6"/>
                <w:sz w:val="20"/>
                <w:szCs w:val="20"/>
                <w:lang w:val="en-AU" w:eastAsia="en-AU"/>
              </w:rPr>
              <w:t xml:space="preserve"> </w:t>
            </w:r>
            <w:r w:rsidR="00805614" w:rsidRPr="00712FD9">
              <w:rPr>
                <w:rFonts w:eastAsia="Times New Roman" w:cstheme="minorHAnsi"/>
                <w:color w:val="595959" w:themeColor="text1" w:themeTint="A6"/>
                <w:sz w:val="20"/>
                <w:szCs w:val="20"/>
                <w:lang w:val="en-AU" w:eastAsia="en-AU"/>
              </w:rPr>
              <w:t xml:space="preserve">Budget: $8m </w:t>
            </w:r>
          </w:p>
        </w:tc>
        <w:tc>
          <w:tcPr>
            <w:tcW w:w="1133" w:type="dxa"/>
            <w:tcBorders>
              <w:left w:val="single" w:sz="4" w:space="0" w:color="65C5B4" w:themeColor="accent1"/>
              <w:right w:val="single" w:sz="4" w:space="0" w:color="65C5B4" w:themeColor="accent1"/>
            </w:tcBorders>
            <w:shd w:val="clear" w:color="auto" w:fill="E0F3EF" w:themeFill="accent1" w:themeFillTint="33"/>
            <w:vAlign w:val="center"/>
          </w:tcPr>
          <w:p w14:paraId="121F351D" w14:textId="68AC147F"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2020</w:t>
            </w:r>
          </w:p>
        </w:tc>
        <w:tc>
          <w:tcPr>
            <w:tcW w:w="1275" w:type="dxa"/>
            <w:tcBorders>
              <w:left w:val="single" w:sz="4" w:space="0" w:color="65C5B4" w:themeColor="accent1"/>
              <w:right w:val="single" w:sz="4" w:space="0" w:color="65C5B4" w:themeColor="accent1"/>
            </w:tcBorders>
            <w:shd w:val="clear" w:color="auto" w:fill="E0F3EF" w:themeFill="accent1" w:themeFillTint="33"/>
            <w:noWrap/>
            <w:vAlign w:val="center"/>
          </w:tcPr>
          <w:p w14:paraId="52454F2F" w14:textId="2C9B3111"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c>
          <w:tcPr>
            <w:tcW w:w="1133" w:type="dxa"/>
            <w:tcBorders>
              <w:left w:val="single" w:sz="4" w:space="0" w:color="65C5B4" w:themeColor="accent1"/>
              <w:right w:val="single" w:sz="4" w:space="0" w:color="65C5B4" w:themeColor="accent1"/>
            </w:tcBorders>
            <w:shd w:val="clear" w:color="auto" w:fill="E0F3EF" w:themeFill="accent1" w:themeFillTint="33"/>
            <w:noWrap/>
            <w:vAlign w:val="center"/>
          </w:tcPr>
          <w:p w14:paraId="47FB9A03" w14:textId="58B6265A"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c>
          <w:tcPr>
            <w:tcW w:w="1275" w:type="dxa"/>
            <w:tcBorders>
              <w:left w:val="single" w:sz="4" w:space="0" w:color="65C5B4" w:themeColor="accent1"/>
              <w:right w:val="single" w:sz="4" w:space="0" w:color="65C5B4" w:themeColor="accent1"/>
            </w:tcBorders>
            <w:shd w:val="clear" w:color="auto" w:fill="E0F3EF" w:themeFill="accent1" w:themeFillTint="33"/>
            <w:noWrap/>
            <w:vAlign w:val="center"/>
          </w:tcPr>
          <w:p w14:paraId="1A503A10" w14:textId="5EEA27FB"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r>
      <w:tr w:rsidR="00805614" w:rsidRPr="00712FD9" w14:paraId="1CDF45E0"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left w:val="single" w:sz="4" w:space="0" w:color="65C5B4" w:themeColor="accent1"/>
              <w:bottom w:val="nil"/>
              <w:right w:val="single" w:sz="4" w:space="0" w:color="65C5B4" w:themeColor="accent1"/>
            </w:tcBorders>
            <w:shd w:val="clear" w:color="auto" w:fill="F2F2F2" w:themeFill="background1" w:themeFillShade="F2"/>
            <w:vAlign w:val="center"/>
          </w:tcPr>
          <w:p w14:paraId="4BF5E0ED" w14:textId="0E8881E4" w:rsidR="00805614" w:rsidRPr="00712FD9" w:rsidRDefault="00805614" w:rsidP="00591826">
            <w:pPr>
              <w:suppressAutoHyphens w:val="0"/>
              <w:spacing w:before="0" w:after="0" w:line="240" w:lineRule="auto"/>
              <w:rPr>
                <w:rFonts w:eastAsia="Times New Roman" w:cstheme="minorHAnsi"/>
                <w:color w:val="595959" w:themeColor="text1" w:themeTint="A6"/>
                <w:sz w:val="20"/>
                <w:szCs w:val="20"/>
                <w:lang w:val="en-AU" w:eastAsia="en-AU"/>
              </w:rPr>
            </w:pPr>
            <w:r w:rsidRPr="00712FD9">
              <w:rPr>
                <w:rFonts w:eastAsia="Times New Roman" w:cstheme="minorHAnsi"/>
                <w:b/>
                <w:bCs/>
                <w:color w:val="595959" w:themeColor="text1" w:themeTint="A6"/>
                <w:sz w:val="20"/>
                <w:szCs w:val="20"/>
                <w:lang w:eastAsia="en-AU"/>
              </w:rPr>
              <w:t xml:space="preserve">Red Meat and Cattle </w:t>
            </w:r>
            <w:proofErr w:type="gramStart"/>
            <w:r w:rsidRPr="00712FD9">
              <w:rPr>
                <w:rFonts w:eastAsia="Times New Roman" w:cstheme="minorHAnsi"/>
                <w:b/>
                <w:bCs/>
                <w:color w:val="595959" w:themeColor="text1" w:themeTint="A6"/>
                <w:sz w:val="20"/>
                <w:szCs w:val="20"/>
                <w:lang w:eastAsia="en-AU"/>
              </w:rPr>
              <w:t>Partnership</w:t>
            </w:r>
            <w:r w:rsidR="00D43DEE">
              <w:rPr>
                <w:rFonts w:eastAsia="Times New Roman" w:cstheme="minorHAnsi"/>
                <w:b/>
                <w:bCs/>
                <w:color w:val="595959" w:themeColor="text1" w:themeTint="A6"/>
                <w:sz w:val="20"/>
                <w:szCs w:val="20"/>
                <w:lang w:eastAsia="en-AU"/>
              </w:rPr>
              <w:t xml:space="preserve"> </w:t>
            </w:r>
            <w:r w:rsidR="00D43DEE" w:rsidRPr="00712FD9">
              <w:rPr>
                <w:rFonts w:eastAsia="Times New Roman" w:cstheme="minorHAnsi"/>
                <w:b/>
                <w:bCs/>
                <w:color w:val="595959" w:themeColor="text1" w:themeTint="A6"/>
                <w:sz w:val="20"/>
                <w:szCs w:val="20"/>
                <w:lang w:eastAsia="en-AU"/>
              </w:rPr>
              <w:t xml:space="preserve"> </w:t>
            </w:r>
            <w:r w:rsidR="00D43DEE">
              <w:rPr>
                <w:rFonts w:eastAsia="Times New Roman" w:cstheme="minorHAnsi"/>
                <w:b/>
                <w:bCs/>
                <w:color w:val="595959" w:themeColor="text1" w:themeTint="A6"/>
                <w:sz w:val="20"/>
                <w:szCs w:val="20"/>
                <w:lang w:eastAsia="en-AU"/>
              </w:rPr>
              <w:t>(</w:t>
            </w:r>
            <w:proofErr w:type="gramEnd"/>
            <w:r w:rsidR="00D43DEE" w:rsidRPr="00712FD9">
              <w:rPr>
                <w:rFonts w:eastAsia="Times New Roman" w:cstheme="minorHAnsi"/>
                <w:b/>
                <w:bCs/>
                <w:color w:val="595959" w:themeColor="text1" w:themeTint="A6"/>
                <w:sz w:val="20"/>
                <w:szCs w:val="20"/>
                <w:lang w:eastAsia="en-AU"/>
              </w:rPr>
              <w:t>RMC</w:t>
            </w:r>
            <w:r w:rsidR="00D43DEE">
              <w:rPr>
                <w:rFonts w:eastAsia="Times New Roman" w:cstheme="minorHAnsi"/>
                <w:b/>
                <w:bCs/>
                <w:color w:val="595959" w:themeColor="text1" w:themeTint="A6"/>
                <w:sz w:val="20"/>
                <w:szCs w:val="20"/>
                <w:lang w:eastAsia="en-AU"/>
              </w:rPr>
              <w:t>P)</w:t>
            </w:r>
          </w:p>
        </w:tc>
        <w:tc>
          <w:tcPr>
            <w:tcW w:w="1133" w:type="dxa"/>
            <w:tcBorders>
              <w:left w:val="single" w:sz="4" w:space="0" w:color="65C5B4" w:themeColor="accent1"/>
              <w:right w:val="single" w:sz="4" w:space="0" w:color="65C5B4" w:themeColor="accent1"/>
            </w:tcBorders>
            <w:shd w:val="clear" w:color="auto" w:fill="F2F2F2" w:themeFill="background1" w:themeFillShade="F2"/>
            <w:vAlign w:val="center"/>
          </w:tcPr>
          <w:p w14:paraId="32C2CF3F" w14:textId="2CAE2B00"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2021</w:t>
            </w:r>
          </w:p>
        </w:tc>
        <w:tc>
          <w:tcPr>
            <w:tcW w:w="1275"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769573FB" w14:textId="30B46EF3"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c>
          <w:tcPr>
            <w:tcW w:w="1133"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5E8F6B0E" w14:textId="151132DA"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c>
          <w:tcPr>
            <w:tcW w:w="1275"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3F0AD021" w14:textId="4FD88F1D"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3</w:t>
            </w:r>
          </w:p>
        </w:tc>
      </w:tr>
      <w:tr w:rsidR="00805614" w:rsidRPr="00712FD9" w14:paraId="4A43320E"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top w:val="nil"/>
              <w:left w:val="single" w:sz="4" w:space="0" w:color="65C5B4" w:themeColor="accent1"/>
              <w:right w:val="single" w:sz="4" w:space="0" w:color="65C5B4" w:themeColor="accent1"/>
            </w:tcBorders>
            <w:shd w:val="clear" w:color="auto" w:fill="F2F2F2" w:themeFill="background1" w:themeFillShade="F2"/>
            <w:vAlign w:val="center"/>
          </w:tcPr>
          <w:p w14:paraId="3EA352B1" w14:textId="25F55110" w:rsidR="00805614" w:rsidRPr="00712FD9" w:rsidRDefault="00325DD6" w:rsidP="00591826">
            <w:pPr>
              <w:suppressAutoHyphens w:val="0"/>
              <w:spacing w:before="0" w:after="0" w:line="240" w:lineRule="auto"/>
              <w:ind w:firstLineChars="100" w:firstLine="200"/>
              <w:rPr>
                <w:rFonts w:eastAsia="Times New Roman" w:cstheme="minorHAnsi"/>
                <w:color w:val="595959" w:themeColor="text1" w:themeTint="A6"/>
                <w:sz w:val="20"/>
                <w:szCs w:val="20"/>
                <w:lang w:val="en-AU" w:eastAsia="en-AU"/>
              </w:rPr>
            </w:pPr>
            <w:r w:rsidRPr="00712FD9">
              <w:rPr>
                <w:rFonts w:eastAsia="Times New Roman" w:cstheme="minorHAnsi"/>
                <w:color w:val="595959" w:themeColor="text1" w:themeTint="A6"/>
                <w:sz w:val="20"/>
                <w:szCs w:val="20"/>
                <w:lang w:val="en-AU" w:eastAsia="en-AU"/>
              </w:rPr>
              <w:t>Investment duration:</w:t>
            </w:r>
            <w:r w:rsidR="00805614" w:rsidRPr="00712FD9">
              <w:rPr>
                <w:rFonts w:eastAsia="Times New Roman" w:cstheme="minorHAnsi"/>
                <w:color w:val="595959" w:themeColor="text1" w:themeTint="A6"/>
                <w:sz w:val="20"/>
                <w:szCs w:val="20"/>
                <w:lang w:val="en-AU" w:eastAsia="en-AU"/>
              </w:rPr>
              <w:t xml:space="preserve"> 2013-</w:t>
            </w:r>
            <w:r w:rsidR="001A441E" w:rsidRPr="00712FD9">
              <w:rPr>
                <w:rFonts w:eastAsia="Times New Roman" w:cstheme="minorHAnsi"/>
                <w:color w:val="595959" w:themeColor="text1" w:themeTint="A6"/>
                <w:sz w:val="20"/>
                <w:szCs w:val="20"/>
                <w:lang w:val="en-AU" w:eastAsia="en-AU"/>
              </w:rPr>
              <w:t>20</w:t>
            </w:r>
            <w:r w:rsidR="00805614" w:rsidRPr="00712FD9">
              <w:rPr>
                <w:rFonts w:eastAsia="Times New Roman" w:cstheme="minorHAnsi"/>
                <w:color w:val="595959" w:themeColor="text1" w:themeTint="A6"/>
                <w:sz w:val="20"/>
                <w:szCs w:val="20"/>
                <w:lang w:val="en-AU" w:eastAsia="en-AU"/>
              </w:rPr>
              <w:t>24; Budget: $37.1m</w:t>
            </w:r>
            <w:r w:rsidR="00805614" w:rsidRPr="00712FD9">
              <w:rPr>
                <w:rFonts w:ascii="Calibri Light" w:eastAsia="Times New Roman" w:hAnsi="Calibri Light" w:cs="Calibri Light"/>
                <w:color w:val="404040"/>
                <w:sz w:val="20"/>
                <w:szCs w:val="20"/>
                <w:lang w:val="en-AU" w:eastAsia="en-GB"/>
              </w:rPr>
              <w:t xml:space="preserve"> </w:t>
            </w:r>
          </w:p>
        </w:tc>
        <w:tc>
          <w:tcPr>
            <w:tcW w:w="1133" w:type="dxa"/>
            <w:tcBorders>
              <w:left w:val="single" w:sz="4" w:space="0" w:color="65C5B4" w:themeColor="accent1"/>
              <w:right w:val="single" w:sz="4" w:space="0" w:color="65C5B4" w:themeColor="accent1"/>
            </w:tcBorders>
            <w:shd w:val="clear" w:color="auto" w:fill="F2F2F2" w:themeFill="background1" w:themeFillShade="F2"/>
            <w:vAlign w:val="center"/>
          </w:tcPr>
          <w:p w14:paraId="1AA83755" w14:textId="43BA6A85"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2020</w:t>
            </w:r>
          </w:p>
        </w:tc>
        <w:tc>
          <w:tcPr>
            <w:tcW w:w="1275"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425F6D74" w14:textId="61953865"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c>
          <w:tcPr>
            <w:tcW w:w="1133"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61F6D01C" w14:textId="34A170DB"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c>
          <w:tcPr>
            <w:tcW w:w="1275"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549A9B43" w14:textId="30734632" w:rsidR="00805614" w:rsidRPr="00712FD9" w:rsidRDefault="00805614" w:rsidP="0059182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3</w:t>
            </w:r>
          </w:p>
        </w:tc>
      </w:tr>
    </w:tbl>
    <w:p w14:paraId="5F2C3082" w14:textId="3D4DD793" w:rsidR="00A4046A" w:rsidRPr="00712FD9" w:rsidRDefault="00A4046A" w:rsidP="006675BC">
      <w:pPr>
        <w:suppressAutoHyphens w:val="0"/>
        <w:spacing w:before="0" w:after="0" w:line="240" w:lineRule="auto"/>
        <w:rPr>
          <w:rFonts w:ascii="Times New Roman" w:eastAsia="Times New Roman" w:hAnsi="Times New Roman" w:cs="Times New Roman"/>
          <w:color w:val="auto"/>
          <w:sz w:val="24"/>
          <w:szCs w:val="24"/>
          <w:lang w:val="en-AU" w:eastAsia="en-GB"/>
        </w:rPr>
      </w:pPr>
    </w:p>
    <w:p w14:paraId="69416B51" w14:textId="77777777" w:rsidR="00667A5C" w:rsidRDefault="00667A5C">
      <w:pPr>
        <w:suppressAutoHyphens w:val="0"/>
        <w:spacing w:before="0" w:after="120" w:line="440" w:lineRule="atLeast"/>
        <w:rPr>
          <w:rFonts w:asciiTheme="majorHAnsi" w:eastAsiaTheme="majorEastAsia" w:hAnsiTheme="majorHAnsi" w:cstheme="majorBidi"/>
          <w:b/>
          <w:caps/>
          <w:szCs w:val="26"/>
        </w:rPr>
      </w:pPr>
      <w:r>
        <w:br w:type="page"/>
      </w:r>
    </w:p>
    <w:p w14:paraId="6FFBEEEB" w14:textId="485E6B26" w:rsidR="006675BC" w:rsidRPr="00712FD9" w:rsidRDefault="006675BC" w:rsidP="0042568A">
      <w:pPr>
        <w:pStyle w:val="Heading2"/>
      </w:pPr>
      <w:r w:rsidRPr="00712FD9">
        <w:lastRenderedPageBreak/>
        <w:t>Final Investment Performance ratings</w:t>
      </w:r>
    </w:p>
    <w:tbl>
      <w:tblPr>
        <w:tblStyle w:val="DFATTable1"/>
        <w:tblW w:w="10620"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ayout w:type="fixed"/>
        <w:tblLook w:val="04A0" w:firstRow="1" w:lastRow="0" w:firstColumn="1" w:lastColumn="0" w:noHBand="0" w:noVBand="1"/>
        <w:tblCaption w:val="Supporting Investment Performance"/>
        <w:tblDescription w:val="Development Program Investment details, name, duration, budget and performance ratings for 2020 and 2021 for Effectiveness, Efficiency, Gender Equality; Risk and Safeguards "/>
      </w:tblPr>
      <w:tblGrid>
        <w:gridCol w:w="5804"/>
        <w:gridCol w:w="1133"/>
        <w:gridCol w:w="1275"/>
        <w:gridCol w:w="1133"/>
        <w:gridCol w:w="1275"/>
      </w:tblGrid>
      <w:tr w:rsidR="00A4046A" w:rsidRPr="00712FD9" w14:paraId="35C63655"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left w:val="single" w:sz="4" w:space="0" w:color="65C5B4" w:themeColor="accent1"/>
              <w:right w:val="single" w:sz="4" w:space="0" w:color="65C5B4" w:themeColor="accent1"/>
            </w:tcBorders>
            <w:shd w:val="clear" w:color="auto" w:fill="A2DCD1" w:themeFill="accent1" w:themeFillTint="99"/>
            <w:noWrap/>
            <w:hideMark/>
          </w:tcPr>
          <w:p w14:paraId="579C5A77" w14:textId="77777777" w:rsidR="00A4046A" w:rsidRPr="00712FD9" w:rsidRDefault="00A4046A">
            <w:pPr>
              <w:suppressAutoHyphens w:val="0"/>
              <w:spacing w:before="0" w:after="0" w:line="240" w:lineRule="auto"/>
              <w:jc w:val="center"/>
              <w:rPr>
                <w:rFonts w:eastAsia="Times New Roman" w:cstheme="minorHAnsi"/>
                <w:b/>
                <w:bCs/>
                <w:sz w:val="20"/>
                <w:szCs w:val="20"/>
                <w:lang w:val="en-AU" w:eastAsia="en-AU"/>
              </w:rPr>
            </w:pPr>
            <w:r w:rsidRPr="00712FD9">
              <w:rPr>
                <w:rFonts w:eastAsia="Times New Roman" w:cstheme="minorHAnsi"/>
                <w:b/>
                <w:bCs/>
                <w:sz w:val="20"/>
                <w:szCs w:val="20"/>
                <w:lang w:val="en-AU" w:eastAsia="en-AU"/>
              </w:rPr>
              <w:t>Investment Details</w:t>
            </w:r>
          </w:p>
        </w:tc>
        <w:tc>
          <w:tcPr>
            <w:tcW w:w="1133" w:type="dxa"/>
            <w:tcBorders>
              <w:left w:val="single" w:sz="4" w:space="0" w:color="65C5B4" w:themeColor="accent1"/>
              <w:right w:val="single" w:sz="4" w:space="0" w:color="65C5B4" w:themeColor="accent1"/>
            </w:tcBorders>
            <w:shd w:val="clear" w:color="auto" w:fill="A2DCD1" w:themeFill="accent1" w:themeFillTint="99"/>
            <w:noWrap/>
            <w:hideMark/>
          </w:tcPr>
          <w:p w14:paraId="2447668B" w14:textId="5200CC14" w:rsidR="00A4046A" w:rsidRPr="00712FD9" w:rsidRDefault="00A404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bCs/>
                <w:sz w:val="20"/>
                <w:szCs w:val="20"/>
                <w:lang w:val="en-AU" w:eastAsia="en-AU"/>
              </w:rPr>
            </w:pPr>
            <w:r w:rsidRPr="00712FD9">
              <w:rPr>
                <w:rFonts w:eastAsia="Times New Roman" w:cstheme="minorHAnsi"/>
                <w:b/>
                <w:bCs/>
                <w:sz w:val="20"/>
                <w:szCs w:val="20"/>
                <w:lang w:val="en-AU" w:eastAsia="en-AU"/>
              </w:rPr>
              <w:t>Year</w:t>
            </w:r>
          </w:p>
        </w:tc>
        <w:tc>
          <w:tcPr>
            <w:tcW w:w="1275" w:type="dxa"/>
            <w:tcBorders>
              <w:left w:val="single" w:sz="4" w:space="0" w:color="65C5B4" w:themeColor="accent1"/>
              <w:right w:val="single" w:sz="4" w:space="0" w:color="65C5B4" w:themeColor="accent1"/>
            </w:tcBorders>
            <w:shd w:val="clear" w:color="auto" w:fill="A2DCD1" w:themeFill="accent1" w:themeFillTint="99"/>
            <w:noWrap/>
            <w:hideMark/>
          </w:tcPr>
          <w:p w14:paraId="623597C5" w14:textId="77777777" w:rsidR="00A4046A" w:rsidRPr="00712FD9" w:rsidRDefault="00A404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bCs/>
                <w:sz w:val="20"/>
                <w:szCs w:val="20"/>
                <w:lang w:val="en-AU" w:eastAsia="en-AU"/>
              </w:rPr>
            </w:pPr>
            <w:r w:rsidRPr="00712FD9">
              <w:rPr>
                <w:rFonts w:eastAsia="Times New Roman" w:cstheme="minorHAnsi"/>
                <w:b/>
                <w:bCs/>
                <w:sz w:val="20"/>
                <w:szCs w:val="20"/>
                <w:lang w:val="en-AU" w:eastAsia="en-AU"/>
              </w:rPr>
              <w:t>Effectiveness</w:t>
            </w:r>
          </w:p>
        </w:tc>
        <w:tc>
          <w:tcPr>
            <w:tcW w:w="1133" w:type="dxa"/>
            <w:tcBorders>
              <w:left w:val="single" w:sz="4" w:space="0" w:color="65C5B4" w:themeColor="accent1"/>
              <w:right w:val="single" w:sz="4" w:space="0" w:color="65C5B4" w:themeColor="accent1"/>
            </w:tcBorders>
            <w:shd w:val="clear" w:color="auto" w:fill="A2DCD1" w:themeFill="accent1" w:themeFillTint="99"/>
            <w:noWrap/>
            <w:hideMark/>
          </w:tcPr>
          <w:p w14:paraId="3D0C4007" w14:textId="77777777" w:rsidR="00A4046A" w:rsidRPr="00712FD9" w:rsidRDefault="00A404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bCs/>
                <w:sz w:val="20"/>
                <w:szCs w:val="20"/>
                <w:lang w:val="en-AU" w:eastAsia="en-AU"/>
              </w:rPr>
            </w:pPr>
            <w:r w:rsidRPr="00712FD9">
              <w:rPr>
                <w:rFonts w:eastAsia="Times New Roman" w:cstheme="minorHAnsi"/>
                <w:b/>
                <w:bCs/>
                <w:sz w:val="20"/>
                <w:szCs w:val="20"/>
                <w:lang w:val="en-AU" w:eastAsia="en-AU"/>
              </w:rPr>
              <w:t>Efficiency</w:t>
            </w:r>
          </w:p>
        </w:tc>
        <w:tc>
          <w:tcPr>
            <w:tcW w:w="1275" w:type="dxa"/>
            <w:tcBorders>
              <w:left w:val="single" w:sz="4" w:space="0" w:color="65C5B4" w:themeColor="accent1"/>
              <w:right w:val="single" w:sz="4" w:space="0" w:color="65C5B4" w:themeColor="accent1"/>
            </w:tcBorders>
            <w:shd w:val="clear" w:color="auto" w:fill="A2DCD1" w:themeFill="accent1" w:themeFillTint="99"/>
            <w:noWrap/>
            <w:hideMark/>
          </w:tcPr>
          <w:p w14:paraId="1A010FC2" w14:textId="77777777" w:rsidR="00A4046A" w:rsidRPr="00712FD9" w:rsidRDefault="00A404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bCs/>
                <w:sz w:val="20"/>
                <w:szCs w:val="20"/>
                <w:lang w:val="en-AU" w:eastAsia="en-AU"/>
              </w:rPr>
            </w:pPr>
            <w:r w:rsidRPr="00712FD9">
              <w:rPr>
                <w:rFonts w:eastAsia="Times New Roman" w:cstheme="minorHAnsi"/>
                <w:b/>
                <w:bCs/>
                <w:sz w:val="20"/>
                <w:szCs w:val="20"/>
                <w:lang w:val="en-AU" w:eastAsia="en-AU"/>
              </w:rPr>
              <w:t>Gender Equality</w:t>
            </w:r>
          </w:p>
        </w:tc>
      </w:tr>
      <w:tr w:rsidR="00A4046A" w:rsidRPr="00712FD9" w14:paraId="2D6292AB"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left w:val="single" w:sz="4" w:space="0" w:color="65C5B4" w:themeColor="accent1"/>
              <w:bottom w:val="nil"/>
              <w:right w:val="single" w:sz="4" w:space="0" w:color="65C5B4" w:themeColor="accent1"/>
            </w:tcBorders>
            <w:shd w:val="clear" w:color="auto" w:fill="E0F3EF" w:themeFill="accent1" w:themeFillTint="33"/>
            <w:vAlign w:val="bottom"/>
            <w:hideMark/>
          </w:tcPr>
          <w:p w14:paraId="101F1ED8" w14:textId="77777777" w:rsidR="00A4046A" w:rsidRPr="00712FD9" w:rsidRDefault="00A4046A">
            <w:pPr>
              <w:suppressAutoHyphens w:val="0"/>
              <w:spacing w:before="0" w:after="0" w:line="240" w:lineRule="auto"/>
              <w:rPr>
                <w:rFonts w:eastAsia="Times New Roman" w:cstheme="minorHAnsi"/>
                <w:b/>
                <w:bCs/>
                <w:color w:val="595959" w:themeColor="text1" w:themeTint="A6"/>
                <w:sz w:val="20"/>
                <w:szCs w:val="20"/>
                <w:lang w:val="en-AU" w:eastAsia="en-AU"/>
              </w:rPr>
            </w:pPr>
            <w:r w:rsidRPr="00712FD9">
              <w:rPr>
                <w:rFonts w:eastAsia="Times New Roman" w:cstheme="minorHAnsi"/>
                <w:b/>
                <w:bCs/>
                <w:color w:val="595959" w:themeColor="text1" w:themeTint="A6"/>
                <w:sz w:val="20"/>
                <w:szCs w:val="20"/>
                <w:lang w:eastAsia="en-AU"/>
              </w:rPr>
              <w:t>Shaping Inclusive Finance Transformations in ASEAN Program</w:t>
            </w:r>
          </w:p>
        </w:tc>
        <w:tc>
          <w:tcPr>
            <w:tcW w:w="1133" w:type="dxa"/>
            <w:tcBorders>
              <w:left w:val="single" w:sz="4" w:space="0" w:color="65C5B4" w:themeColor="accent1"/>
              <w:right w:val="single" w:sz="4" w:space="0" w:color="65C5B4" w:themeColor="accent1"/>
            </w:tcBorders>
            <w:shd w:val="clear" w:color="auto" w:fill="E0F3EF" w:themeFill="accent1" w:themeFillTint="33"/>
            <w:hideMark/>
          </w:tcPr>
          <w:p w14:paraId="14EEEE48" w14:textId="77777777" w:rsidR="00A4046A" w:rsidRPr="00712FD9" w:rsidRDefault="00A404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2021 FIMR</w:t>
            </w:r>
          </w:p>
        </w:tc>
        <w:tc>
          <w:tcPr>
            <w:tcW w:w="1275" w:type="dxa"/>
            <w:tcBorders>
              <w:left w:val="single" w:sz="4" w:space="0" w:color="65C5B4" w:themeColor="accent1"/>
              <w:right w:val="single" w:sz="4" w:space="0" w:color="65C5B4" w:themeColor="accent1"/>
            </w:tcBorders>
            <w:shd w:val="clear" w:color="auto" w:fill="E0F3EF" w:themeFill="accent1" w:themeFillTint="33"/>
            <w:noWrap/>
            <w:hideMark/>
          </w:tcPr>
          <w:p w14:paraId="2D380145" w14:textId="77777777" w:rsidR="00A4046A" w:rsidRPr="00712FD9" w:rsidRDefault="00A404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c>
          <w:tcPr>
            <w:tcW w:w="1133" w:type="dxa"/>
            <w:tcBorders>
              <w:left w:val="single" w:sz="4" w:space="0" w:color="65C5B4" w:themeColor="accent1"/>
              <w:right w:val="single" w:sz="4" w:space="0" w:color="65C5B4" w:themeColor="accent1"/>
            </w:tcBorders>
            <w:shd w:val="clear" w:color="auto" w:fill="E0F3EF" w:themeFill="accent1" w:themeFillTint="33"/>
            <w:noWrap/>
            <w:hideMark/>
          </w:tcPr>
          <w:p w14:paraId="589587FC" w14:textId="77777777" w:rsidR="00A4046A" w:rsidRPr="00712FD9" w:rsidRDefault="00A404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c>
          <w:tcPr>
            <w:tcW w:w="1275" w:type="dxa"/>
            <w:tcBorders>
              <w:left w:val="single" w:sz="4" w:space="0" w:color="65C5B4" w:themeColor="accent1"/>
              <w:right w:val="single" w:sz="4" w:space="0" w:color="65C5B4" w:themeColor="accent1"/>
            </w:tcBorders>
            <w:shd w:val="clear" w:color="auto" w:fill="E0F3EF" w:themeFill="accent1" w:themeFillTint="33"/>
            <w:noWrap/>
            <w:hideMark/>
          </w:tcPr>
          <w:p w14:paraId="7B8EB92B" w14:textId="77777777" w:rsidR="00A4046A" w:rsidRPr="00712FD9" w:rsidRDefault="00A404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r>
      <w:tr w:rsidR="00A4046A" w:rsidRPr="00712FD9" w14:paraId="4D9E5F30"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top w:val="nil"/>
              <w:left w:val="single" w:sz="4" w:space="0" w:color="65C5B4" w:themeColor="accent1"/>
              <w:right w:val="single" w:sz="4" w:space="0" w:color="65C5B4" w:themeColor="accent1"/>
            </w:tcBorders>
            <w:shd w:val="clear" w:color="auto" w:fill="E0F3EF" w:themeFill="accent1" w:themeFillTint="33"/>
            <w:hideMark/>
          </w:tcPr>
          <w:p w14:paraId="39A18143" w14:textId="77777777" w:rsidR="00A4046A" w:rsidRPr="00712FD9" w:rsidRDefault="00A4046A">
            <w:pPr>
              <w:suppressAutoHyphens w:val="0"/>
              <w:spacing w:before="0" w:after="0" w:line="240" w:lineRule="auto"/>
              <w:ind w:firstLineChars="100" w:firstLine="200"/>
              <w:rPr>
                <w:rFonts w:eastAsia="Times New Roman" w:cstheme="minorHAnsi"/>
                <w:color w:val="595959" w:themeColor="text1" w:themeTint="A6"/>
                <w:sz w:val="20"/>
                <w:szCs w:val="20"/>
                <w:lang w:val="en-AU" w:eastAsia="en-AU"/>
              </w:rPr>
            </w:pPr>
            <w:r w:rsidRPr="00712FD9">
              <w:rPr>
                <w:rFonts w:eastAsia="Times New Roman" w:cstheme="minorHAnsi"/>
                <w:color w:val="595959" w:themeColor="text1" w:themeTint="A6"/>
                <w:sz w:val="20"/>
                <w:szCs w:val="20"/>
                <w:lang w:val="en-AU" w:eastAsia="en-AU"/>
              </w:rPr>
              <w:t xml:space="preserve">Investment duration: 2014-21; Budget: $9.9m </w:t>
            </w:r>
          </w:p>
        </w:tc>
        <w:tc>
          <w:tcPr>
            <w:tcW w:w="1133" w:type="dxa"/>
            <w:tcBorders>
              <w:left w:val="single" w:sz="4" w:space="0" w:color="65C5B4" w:themeColor="accent1"/>
              <w:right w:val="single" w:sz="4" w:space="0" w:color="65C5B4" w:themeColor="accent1"/>
            </w:tcBorders>
            <w:shd w:val="clear" w:color="auto" w:fill="E0F3EF" w:themeFill="accent1" w:themeFillTint="33"/>
            <w:hideMark/>
          </w:tcPr>
          <w:p w14:paraId="03E8CAB3" w14:textId="77777777" w:rsidR="00A4046A" w:rsidRPr="00712FD9" w:rsidRDefault="00A404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2020 IMR</w:t>
            </w:r>
          </w:p>
        </w:tc>
        <w:tc>
          <w:tcPr>
            <w:tcW w:w="1275" w:type="dxa"/>
            <w:tcBorders>
              <w:left w:val="single" w:sz="4" w:space="0" w:color="65C5B4" w:themeColor="accent1"/>
              <w:right w:val="single" w:sz="4" w:space="0" w:color="65C5B4" w:themeColor="accent1"/>
            </w:tcBorders>
            <w:shd w:val="clear" w:color="auto" w:fill="E0F3EF" w:themeFill="accent1" w:themeFillTint="33"/>
            <w:noWrap/>
            <w:hideMark/>
          </w:tcPr>
          <w:p w14:paraId="14B4E2F6" w14:textId="77777777" w:rsidR="00A4046A" w:rsidRPr="00712FD9" w:rsidRDefault="00A404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c>
          <w:tcPr>
            <w:tcW w:w="1133" w:type="dxa"/>
            <w:tcBorders>
              <w:left w:val="single" w:sz="4" w:space="0" w:color="65C5B4" w:themeColor="accent1"/>
              <w:right w:val="single" w:sz="4" w:space="0" w:color="65C5B4" w:themeColor="accent1"/>
            </w:tcBorders>
            <w:shd w:val="clear" w:color="auto" w:fill="E0F3EF" w:themeFill="accent1" w:themeFillTint="33"/>
            <w:noWrap/>
            <w:hideMark/>
          </w:tcPr>
          <w:p w14:paraId="7A73B81A" w14:textId="77777777" w:rsidR="00A4046A" w:rsidRPr="00712FD9" w:rsidRDefault="00A404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c>
          <w:tcPr>
            <w:tcW w:w="1275" w:type="dxa"/>
            <w:tcBorders>
              <w:left w:val="single" w:sz="4" w:space="0" w:color="65C5B4" w:themeColor="accent1"/>
              <w:right w:val="single" w:sz="4" w:space="0" w:color="65C5B4" w:themeColor="accent1"/>
            </w:tcBorders>
            <w:shd w:val="clear" w:color="auto" w:fill="E0F3EF" w:themeFill="accent1" w:themeFillTint="33"/>
            <w:noWrap/>
            <w:hideMark/>
          </w:tcPr>
          <w:p w14:paraId="446ABB40" w14:textId="77777777" w:rsidR="00A4046A" w:rsidRPr="00712FD9" w:rsidRDefault="00A404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r>
      <w:tr w:rsidR="00A4046A" w:rsidRPr="00712FD9" w14:paraId="157729D6"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left w:val="single" w:sz="4" w:space="0" w:color="65C5B4" w:themeColor="accent1"/>
              <w:bottom w:val="nil"/>
              <w:right w:val="single" w:sz="4" w:space="0" w:color="65C5B4" w:themeColor="accent1"/>
            </w:tcBorders>
            <w:shd w:val="clear" w:color="auto" w:fill="F2F2F2" w:themeFill="background1" w:themeFillShade="F2"/>
          </w:tcPr>
          <w:p w14:paraId="300E5D59" w14:textId="785CFA1E" w:rsidR="00A4046A" w:rsidRPr="00712FD9" w:rsidRDefault="00A4046A" w:rsidP="00A4046A">
            <w:pPr>
              <w:suppressAutoHyphens w:val="0"/>
              <w:spacing w:before="0" w:after="0" w:line="240" w:lineRule="auto"/>
              <w:rPr>
                <w:rFonts w:eastAsia="Times New Roman" w:cstheme="minorHAnsi"/>
                <w:color w:val="595959" w:themeColor="text1" w:themeTint="A6"/>
                <w:sz w:val="20"/>
                <w:szCs w:val="20"/>
                <w:lang w:val="en-AU" w:eastAsia="en-AU"/>
              </w:rPr>
            </w:pPr>
            <w:r w:rsidRPr="00712FD9">
              <w:rPr>
                <w:rFonts w:eastAsia="Times New Roman" w:cstheme="minorHAnsi"/>
                <w:b/>
                <w:bCs/>
                <w:color w:val="595959" w:themeColor="text1" w:themeTint="A6"/>
                <w:sz w:val="20"/>
                <w:szCs w:val="20"/>
                <w:lang w:eastAsia="en-AU"/>
              </w:rPr>
              <w:t>Support Enhance Macro Economic &amp;Fiscal Policy Analysis</w:t>
            </w:r>
            <w:r w:rsidRPr="00712FD9">
              <w:rPr>
                <w:rFonts w:ascii="Calibri Light" w:eastAsia="Times New Roman" w:hAnsi="Calibri Light" w:cs="Calibri Light"/>
                <w:b/>
                <w:bCs/>
                <w:color w:val="404040"/>
                <w:sz w:val="20"/>
                <w:szCs w:val="20"/>
                <w:lang w:eastAsia="en-GB"/>
              </w:rPr>
              <w:t xml:space="preserve"> (SEMEFPA)</w:t>
            </w:r>
          </w:p>
        </w:tc>
        <w:tc>
          <w:tcPr>
            <w:tcW w:w="1133" w:type="dxa"/>
            <w:tcBorders>
              <w:left w:val="single" w:sz="4" w:space="0" w:color="65C5B4" w:themeColor="accent1"/>
              <w:right w:val="single" w:sz="4" w:space="0" w:color="65C5B4" w:themeColor="accent1"/>
            </w:tcBorders>
            <w:shd w:val="clear" w:color="auto" w:fill="F2F2F2" w:themeFill="background1" w:themeFillShade="F2"/>
            <w:vAlign w:val="center"/>
          </w:tcPr>
          <w:p w14:paraId="321FEB9C" w14:textId="5D92D283" w:rsidR="00A4046A" w:rsidRPr="00712FD9" w:rsidRDefault="00A4046A" w:rsidP="00A404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2021 FIMR</w:t>
            </w:r>
          </w:p>
        </w:tc>
        <w:tc>
          <w:tcPr>
            <w:tcW w:w="1275"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0D9E9611" w14:textId="64A2D5C3" w:rsidR="00A4046A" w:rsidRPr="00712FD9" w:rsidRDefault="00A4046A" w:rsidP="00A404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c>
          <w:tcPr>
            <w:tcW w:w="1133"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17EFCE37" w14:textId="55EF8270" w:rsidR="00A4046A" w:rsidRPr="00712FD9" w:rsidRDefault="00A4046A" w:rsidP="00A404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c>
          <w:tcPr>
            <w:tcW w:w="1275"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65C6C4C2" w14:textId="606BF267" w:rsidR="00A4046A" w:rsidRPr="00712FD9" w:rsidRDefault="00A4046A" w:rsidP="00A404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w:t>
            </w:r>
          </w:p>
        </w:tc>
      </w:tr>
      <w:tr w:rsidR="00A4046A" w:rsidRPr="00712FD9" w14:paraId="529CD98E"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top w:val="nil"/>
              <w:left w:val="single" w:sz="4" w:space="0" w:color="65C5B4" w:themeColor="accent1"/>
              <w:right w:val="single" w:sz="4" w:space="0" w:color="65C5B4" w:themeColor="accent1"/>
            </w:tcBorders>
            <w:shd w:val="clear" w:color="auto" w:fill="F2F2F2" w:themeFill="background1" w:themeFillShade="F2"/>
            <w:vAlign w:val="center"/>
          </w:tcPr>
          <w:p w14:paraId="741753C5" w14:textId="6EAC3A9F" w:rsidR="00A4046A" w:rsidRPr="00712FD9" w:rsidRDefault="00325DD6" w:rsidP="00A4046A">
            <w:pPr>
              <w:suppressAutoHyphens w:val="0"/>
              <w:spacing w:before="0" w:after="0" w:line="240" w:lineRule="auto"/>
              <w:ind w:firstLineChars="100" w:firstLine="200"/>
              <w:rPr>
                <w:rFonts w:eastAsia="Times New Roman" w:cstheme="minorHAnsi"/>
                <w:color w:val="595959" w:themeColor="text1" w:themeTint="A6"/>
                <w:sz w:val="20"/>
                <w:szCs w:val="20"/>
                <w:lang w:val="en-AU" w:eastAsia="en-AU"/>
              </w:rPr>
            </w:pPr>
            <w:r w:rsidRPr="00712FD9">
              <w:rPr>
                <w:rFonts w:eastAsia="Times New Roman" w:cstheme="minorHAnsi"/>
                <w:color w:val="595959" w:themeColor="text1" w:themeTint="A6"/>
                <w:sz w:val="20"/>
                <w:szCs w:val="20"/>
                <w:lang w:val="en-AU" w:eastAsia="en-AU"/>
              </w:rPr>
              <w:t>Investment duration:</w:t>
            </w:r>
            <w:r w:rsidR="00A4046A" w:rsidRPr="00712FD9">
              <w:rPr>
                <w:rFonts w:eastAsia="Times New Roman" w:cstheme="minorHAnsi"/>
                <w:color w:val="595959" w:themeColor="text1" w:themeTint="A6"/>
                <w:sz w:val="20"/>
                <w:szCs w:val="20"/>
                <w:lang w:val="en-AU" w:eastAsia="en-AU"/>
              </w:rPr>
              <w:t xml:space="preserve"> 2011-20; Budget: $7.3m</w:t>
            </w:r>
            <w:r w:rsidR="00A4046A" w:rsidRPr="00712FD9">
              <w:rPr>
                <w:rFonts w:ascii="Calibri Light" w:eastAsia="Times New Roman" w:hAnsi="Calibri Light" w:cs="Calibri Light"/>
                <w:color w:val="404040"/>
                <w:sz w:val="20"/>
                <w:szCs w:val="20"/>
                <w:lang w:val="en-AU" w:eastAsia="en-GB"/>
              </w:rPr>
              <w:t xml:space="preserve"> </w:t>
            </w:r>
          </w:p>
        </w:tc>
        <w:tc>
          <w:tcPr>
            <w:tcW w:w="1133" w:type="dxa"/>
            <w:tcBorders>
              <w:left w:val="single" w:sz="4" w:space="0" w:color="65C5B4" w:themeColor="accent1"/>
              <w:right w:val="single" w:sz="4" w:space="0" w:color="65C5B4" w:themeColor="accent1"/>
            </w:tcBorders>
            <w:shd w:val="clear" w:color="auto" w:fill="F2F2F2" w:themeFill="background1" w:themeFillShade="F2"/>
            <w:vAlign w:val="center"/>
          </w:tcPr>
          <w:p w14:paraId="3DF59C49" w14:textId="6BFE8875" w:rsidR="00A4046A" w:rsidRPr="00712FD9" w:rsidRDefault="00A4046A" w:rsidP="00A404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2020 IMR</w:t>
            </w:r>
          </w:p>
        </w:tc>
        <w:tc>
          <w:tcPr>
            <w:tcW w:w="1275"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12796FC5" w14:textId="1EC5F115" w:rsidR="00A4046A" w:rsidRPr="00712FD9" w:rsidRDefault="00A4046A" w:rsidP="00A404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c>
          <w:tcPr>
            <w:tcW w:w="1133"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57C18479" w14:textId="2ABE80C8" w:rsidR="00A4046A" w:rsidRPr="00712FD9" w:rsidRDefault="00A4046A" w:rsidP="00A404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c>
          <w:tcPr>
            <w:tcW w:w="1275"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360400BB" w14:textId="695F3D70" w:rsidR="00A4046A" w:rsidRPr="00712FD9" w:rsidRDefault="00A4046A" w:rsidP="00A404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3</w:t>
            </w:r>
          </w:p>
        </w:tc>
      </w:tr>
      <w:tr w:rsidR="00A4046A" w:rsidRPr="00712FD9" w14:paraId="75A379E9"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left w:val="single" w:sz="4" w:space="0" w:color="65C5B4" w:themeColor="accent1"/>
              <w:bottom w:val="nil"/>
              <w:right w:val="single" w:sz="4" w:space="0" w:color="65C5B4" w:themeColor="accent1"/>
            </w:tcBorders>
            <w:shd w:val="clear" w:color="auto" w:fill="E0F3EF" w:themeFill="accent1" w:themeFillTint="33"/>
            <w:vAlign w:val="center"/>
          </w:tcPr>
          <w:p w14:paraId="551975D6" w14:textId="792E817C" w:rsidR="00A4046A" w:rsidRPr="00712FD9" w:rsidRDefault="00A4046A" w:rsidP="00A4046A">
            <w:pPr>
              <w:suppressAutoHyphens w:val="0"/>
              <w:spacing w:before="0" w:after="0" w:line="240" w:lineRule="auto"/>
              <w:rPr>
                <w:rFonts w:eastAsia="Times New Roman" w:cstheme="minorHAnsi"/>
                <w:b/>
                <w:bCs/>
                <w:color w:val="595959" w:themeColor="text1" w:themeTint="A6"/>
                <w:sz w:val="20"/>
                <w:szCs w:val="20"/>
                <w:lang w:eastAsia="en-AU"/>
              </w:rPr>
            </w:pPr>
            <w:r w:rsidRPr="00712FD9">
              <w:rPr>
                <w:rFonts w:eastAsia="Times New Roman" w:cstheme="minorHAnsi"/>
                <w:b/>
                <w:bCs/>
                <w:color w:val="595959" w:themeColor="text1" w:themeTint="A6"/>
                <w:sz w:val="20"/>
                <w:szCs w:val="20"/>
                <w:lang w:eastAsia="en-AU"/>
              </w:rPr>
              <w:t>World Bank T</w:t>
            </w:r>
            <w:r w:rsidR="00D43DEE">
              <w:rPr>
                <w:rFonts w:eastAsia="Times New Roman" w:cstheme="minorHAnsi"/>
                <w:b/>
                <w:bCs/>
                <w:color w:val="595959" w:themeColor="text1" w:themeTint="A6"/>
                <w:sz w:val="20"/>
                <w:szCs w:val="20"/>
                <w:lang w:eastAsia="en-AU"/>
              </w:rPr>
              <w:t xml:space="preserve">rust </w:t>
            </w:r>
            <w:r w:rsidRPr="00712FD9">
              <w:rPr>
                <w:rFonts w:eastAsia="Times New Roman" w:cstheme="minorHAnsi"/>
                <w:b/>
                <w:bCs/>
                <w:color w:val="595959" w:themeColor="text1" w:themeTint="A6"/>
                <w:sz w:val="20"/>
                <w:szCs w:val="20"/>
                <w:lang w:eastAsia="en-AU"/>
              </w:rPr>
              <w:t>F</w:t>
            </w:r>
            <w:r w:rsidR="00D43DEE">
              <w:rPr>
                <w:rFonts w:eastAsia="Times New Roman" w:cstheme="minorHAnsi"/>
                <w:b/>
                <w:bCs/>
                <w:color w:val="595959" w:themeColor="text1" w:themeTint="A6"/>
                <w:sz w:val="20"/>
                <w:szCs w:val="20"/>
                <w:lang w:eastAsia="en-AU"/>
              </w:rPr>
              <w:t>und</w:t>
            </w:r>
            <w:r w:rsidRPr="00712FD9">
              <w:rPr>
                <w:rFonts w:eastAsia="Times New Roman" w:cstheme="minorHAnsi"/>
                <w:b/>
                <w:bCs/>
                <w:color w:val="595959" w:themeColor="text1" w:themeTint="A6"/>
                <w:sz w:val="20"/>
                <w:szCs w:val="20"/>
                <w:lang w:eastAsia="en-AU"/>
              </w:rPr>
              <w:t xml:space="preserve"> - Teaching and Education (ID TEMAN)</w:t>
            </w:r>
          </w:p>
        </w:tc>
        <w:tc>
          <w:tcPr>
            <w:tcW w:w="1133" w:type="dxa"/>
            <w:tcBorders>
              <w:left w:val="single" w:sz="4" w:space="0" w:color="65C5B4" w:themeColor="accent1"/>
              <w:right w:val="single" w:sz="4" w:space="0" w:color="65C5B4" w:themeColor="accent1"/>
            </w:tcBorders>
            <w:shd w:val="clear" w:color="auto" w:fill="E0F3EF" w:themeFill="accent1" w:themeFillTint="33"/>
            <w:vAlign w:val="center"/>
          </w:tcPr>
          <w:p w14:paraId="4CCA71FA" w14:textId="506B9A53" w:rsidR="00A4046A" w:rsidRPr="00712FD9" w:rsidRDefault="00A4046A" w:rsidP="00A404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2021 FIMR</w:t>
            </w:r>
          </w:p>
        </w:tc>
        <w:tc>
          <w:tcPr>
            <w:tcW w:w="1275" w:type="dxa"/>
            <w:tcBorders>
              <w:left w:val="single" w:sz="4" w:space="0" w:color="65C5B4" w:themeColor="accent1"/>
              <w:right w:val="single" w:sz="4" w:space="0" w:color="65C5B4" w:themeColor="accent1"/>
            </w:tcBorders>
            <w:shd w:val="clear" w:color="auto" w:fill="E0F3EF" w:themeFill="accent1" w:themeFillTint="33"/>
            <w:noWrap/>
            <w:vAlign w:val="center"/>
          </w:tcPr>
          <w:p w14:paraId="0D83587E" w14:textId="4B0C40C9" w:rsidR="00A4046A" w:rsidRPr="00712FD9" w:rsidRDefault="00A4046A" w:rsidP="00A404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c>
          <w:tcPr>
            <w:tcW w:w="1133" w:type="dxa"/>
            <w:tcBorders>
              <w:left w:val="single" w:sz="4" w:space="0" w:color="65C5B4" w:themeColor="accent1"/>
              <w:right w:val="single" w:sz="4" w:space="0" w:color="65C5B4" w:themeColor="accent1"/>
            </w:tcBorders>
            <w:shd w:val="clear" w:color="auto" w:fill="E0F3EF" w:themeFill="accent1" w:themeFillTint="33"/>
            <w:noWrap/>
            <w:vAlign w:val="center"/>
          </w:tcPr>
          <w:p w14:paraId="02E696FE" w14:textId="301E48AB" w:rsidR="00A4046A" w:rsidRPr="00712FD9" w:rsidRDefault="00A4046A" w:rsidP="00A404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c>
          <w:tcPr>
            <w:tcW w:w="1275" w:type="dxa"/>
            <w:tcBorders>
              <w:left w:val="single" w:sz="4" w:space="0" w:color="65C5B4" w:themeColor="accent1"/>
              <w:right w:val="single" w:sz="4" w:space="0" w:color="65C5B4" w:themeColor="accent1"/>
            </w:tcBorders>
            <w:shd w:val="clear" w:color="auto" w:fill="E0F3EF" w:themeFill="accent1" w:themeFillTint="33"/>
            <w:noWrap/>
            <w:vAlign w:val="center"/>
          </w:tcPr>
          <w:p w14:paraId="633B511C" w14:textId="14D6A64F" w:rsidR="00A4046A" w:rsidRPr="00712FD9" w:rsidRDefault="00A4046A" w:rsidP="00A404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3</w:t>
            </w:r>
          </w:p>
        </w:tc>
      </w:tr>
      <w:tr w:rsidR="00A4046A" w:rsidRPr="00712FD9" w14:paraId="416EB307"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top w:val="nil"/>
              <w:left w:val="single" w:sz="4" w:space="0" w:color="65C5B4" w:themeColor="accent1"/>
              <w:right w:val="single" w:sz="4" w:space="0" w:color="65C5B4" w:themeColor="accent1"/>
            </w:tcBorders>
            <w:shd w:val="clear" w:color="auto" w:fill="E0F3EF" w:themeFill="accent1" w:themeFillTint="33"/>
            <w:vAlign w:val="center"/>
          </w:tcPr>
          <w:p w14:paraId="5BE75F09" w14:textId="403DCE7F" w:rsidR="00A4046A" w:rsidRPr="00712FD9" w:rsidRDefault="00325DD6" w:rsidP="00A4046A">
            <w:pPr>
              <w:suppressAutoHyphens w:val="0"/>
              <w:spacing w:before="0" w:after="0" w:line="240" w:lineRule="auto"/>
              <w:ind w:firstLineChars="100" w:firstLine="200"/>
              <w:rPr>
                <w:rFonts w:eastAsia="Times New Roman" w:cstheme="minorHAnsi"/>
                <w:color w:val="595959" w:themeColor="text1" w:themeTint="A6"/>
                <w:sz w:val="20"/>
                <w:szCs w:val="20"/>
                <w:lang w:val="en-AU" w:eastAsia="en-AU"/>
              </w:rPr>
            </w:pPr>
            <w:r w:rsidRPr="00712FD9">
              <w:rPr>
                <w:rFonts w:eastAsia="Times New Roman" w:cstheme="minorHAnsi"/>
                <w:color w:val="595959" w:themeColor="text1" w:themeTint="A6"/>
                <w:sz w:val="20"/>
                <w:szCs w:val="20"/>
                <w:lang w:val="en-AU" w:eastAsia="en-AU"/>
              </w:rPr>
              <w:t xml:space="preserve">Investment duration: </w:t>
            </w:r>
            <w:r w:rsidR="00A4046A" w:rsidRPr="00712FD9">
              <w:rPr>
                <w:rFonts w:eastAsia="Times New Roman" w:cstheme="minorHAnsi"/>
                <w:color w:val="595959" w:themeColor="text1" w:themeTint="A6"/>
                <w:sz w:val="20"/>
                <w:szCs w:val="20"/>
                <w:lang w:val="en-AU" w:eastAsia="en-AU"/>
              </w:rPr>
              <w:t>2016-20; Budget: $9m</w:t>
            </w:r>
            <w:r w:rsidR="00A4046A" w:rsidRPr="00712FD9">
              <w:rPr>
                <w:rFonts w:ascii="Calibri Light" w:eastAsia="Times New Roman" w:hAnsi="Calibri Light" w:cs="Calibri Light"/>
                <w:color w:val="404040"/>
                <w:sz w:val="20"/>
                <w:szCs w:val="20"/>
                <w:lang w:val="en-AU" w:eastAsia="en-GB"/>
              </w:rPr>
              <w:t xml:space="preserve"> </w:t>
            </w:r>
          </w:p>
        </w:tc>
        <w:tc>
          <w:tcPr>
            <w:tcW w:w="1133" w:type="dxa"/>
            <w:tcBorders>
              <w:left w:val="single" w:sz="4" w:space="0" w:color="65C5B4" w:themeColor="accent1"/>
              <w:right w:val="single" w:sz="4" w:space="0" w:color="65C5B4" w:themeColor="accent1"/>
            </w:tcBorders>
            <w:shd w:val="clear" w:color="auto" w:fill="E0F3EF" w:themeFill="accent1" w:themeFillTint="33"/>
            <w:vAlign w:val="center"/>
          </w:tcPr>
          <w:p w14:paraId="5635D50E" w14:textId="486A52AE" w:rsidR="00A4046A" w:rsidRPr="00712FD9" w:rsidRDefault="00A4046A" w:rsidP="00A404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2020 IMR</w:t>
            </w:r>
          </w:p>
        </w:tc>
        <w:tc>
          <w:tcPr>
            <w:tcW w:w="1275" w:type="dxa"/>
            <w:tcBorders>
              <w:left w:val="single" w:sz="4" w:space="0" w:color="65C5B4" w:themeColor="accent1"/>
              <w:right w:val="single" w:sz="4" w:space="0" w:color="65C5B4" w:themeColor="accent1"/>
            </w:tcBorders>
            <w:shd w:val="clear" w:color="auto" w:fill="E0F3EF" w:themeFill="accent1" w:themeFillTint="33"/>
            <w:noWrap/>
            <w:vAlign w:val="center"/>
          </w:tcPr>
          <w:p w14:paraId="6A3B4C6E" w14:textId="31F2C12B" w:rsidR="00A4046A" w:rsidRPr="00712FD9" w:rsidRDefault="00A4046A" w:rsidP="00A404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c>
          <w:tcPr>
            <w:tcW w:w="1133" w:type="dxa"/>
            <w:tcBorders>
              <w:left w:val="single" w:sz="4" w:space="0" w:color="65C5B4" w:themeColor="accent1"/>
              <w:right w:val="single" w:sz="4" w:space="0" w:color="65C5B4" w:themeColor="accent1"/>
            </w:tcBorders>
            <w:shd w:val="clear" w:color="auto" w:fill="E0F3EF" w:themeFill="accent1" w:themeFillTint="33"/>
            <w:noWrap/>
            <w:vAlign w:val="center"/>
          </w:tcPr>
          <w:p w14:paraId="7FF009B3" w14:textId="48E94DEF" w:rsidR="00A4046A" w:rsidRPr="00712FD9" w:rsidRDefault="00A4046A" w:rsidP="00A404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c>
          <w:tcPr>
            <w:tcW w:w="1275" w:type="dxa"/>
            <w:tcBorders>
              <w:left w:val="single" w:sz="4" w:space="0" w:color="65C5B4" w:themeColor="accent1"/>
              <w:right w:val="single" w:sz="4" w:space="0" w:color="65C5B4" w:themeColor="accent1"/>
            </w:tcBorders>
            <w:shd w:val="clear" w:color="auto" w:fill="E0F3EF" w:themeFill="accent1" w:themeFillTint="33"/>
            <w:noWrap/>
            <w:vAlign w:val="center"/>
          </w:tcPr>
          <w:p w14:paraId="36B10DE4" w14:textId="395FB652" w:rsidR="00A4046A" w:rsidRPr="00712FD9" w:rsidRDefault="00A4046A" w:rsidP="00A404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r>
      <w:tr w:rsidR="00A4046A" w:rsidRPr="00712FD9" w14:paraId="23E24E2A"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left w:val="single" w:sz="4" w:space="0" w:color="65C5B4" w:themeColor="accent1"/>
              <w:bottom w:val="nil"/>
              <w:right w:val="single" w:sz="4" w:space="0" w:color="65C5B4" w:themeColor="accent1"/>
            </w:tcBorders>
            <w:shd w:val="clear" w:color="auto" w:fill="F2F2F2" w:themeFill="background1" w:themeFillShade="F2"/>
            <w:vAlign w:val="center"/>
          </w:tcPr>
          <w:p w14:paraId="1212E804" w14:textId="7C58C985" w:rsidR="00A4046A" w:rsidRPr="00712FD9" w:rsidRDefault="00A4046A" w:rsidP="00A4046A">
            <w:pPr>
              <w:suppressAutoHyphens w:val="0"/>
              <w:spacing w:before="0" w:after="0" w:line="240" w:lineRule="auto"/>
              <w:rPr>
                <w:rFonts w:eastAsia="Times New Roman" w:cstheme="minorHAnsi"/>
                <w:b/>
                <w:bCs/>
                <w:color w:val="595959" w:themeColor="text1" w:themeTint="A6"/>
                <w:sz w:val="20"/>
                <w:szCs w:val="20"/>
                <w:lang w:eastAsia="en-AU"/>
              </w:rPr>
            </w:pPr>
            <w:r w:rsidRPr="00712FD9">
              <w:rPr>
                <w:rFonts w:eastAsia="Times New Roman" w:cstheme="minorHAnsi"/>
                <w:b/>
                <w:bCs/>
                <w:color w:val="595959" w:themeColor="text1" w:themeTint="A6"/>
                <w:sz w:val="20"/>
                <w:szCs w:val="20"/>
                <w:lang w:eastAsia="en-AU"/>
              </w:rPr>
              <w:t>Education Technical Assistance Program - Indonesia (TASS)</w:t>
            </w:r>
          </w:p>
        </w:tc>
        <w:tc>
          <w:tcPr>
            <w:tcW w:w="1133" w:type="dxa"/>
            <w:tcBorders>
              <w:left w:val="single" w:sz="4" w:space="0" w:color="65C5B4" w:themeColor="accent1"/>
              <w:right w:val="single" w:sz="4" w:space="0" w:color="65C5B4" w:themeColor="accent1"/>
            </w:tcBorders>
            <w:shd w:val="clear" w:color="auto" w:fill="F2F2F2" w:themeFill="background1" w:themeFillShade="F2"/>
            <w:vAlign w:val="center"/>
          </w:tcPr>
          <w:p w14:paraId="7A5B966D" w14:textId="0F7AAC65" w:rsidR="00A4046A" w:rsidRPr="00712FD9" w:rsidRDefault="00A4046A" w:rsidP="00A404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2021 FIMR</w:t>
            </w:r>
          </w:p>
        </w:tc>
        <w:tc>
          <w:tcPr>
            <w:tcW w:w="1275"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26A6BD8C" w14:textId="70345C0E" w:rsidR="00A4046A" w:rsidRPr="00712FD9" w:rsidRDefault="00A4046A" w:rsidP="00A404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c>
          <w:tcPr>
            <w:tcW w:w="1133"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65C277B4" w14:textId="23BC7C39" w:rsidR="00A4046A" w:rsidRPr="00712FD9" w:rsidRDefault="00A4046A" w:rsidP="00A404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c>
          <w:tcPr>
            <w:tcW w:w="1275"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7077180B" w14:textId="10F6695B" w:rsidR="00A4046A" w:rsidRPr="00712FD9" w:rsidRDefault="00A4046A" w:rsidP="00A404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r>
      <w:tr w:rsidR="00A4046A" w:rsidRPr="00712FD9" w14:paraId="4341654C"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top w:val="nil"/>
              <w:left w:val="single" w:sz="4" w:space="0" w:color="65C5B4" w:themeColor="accent1"/>
              <w:right w:val="single" w:sz="4" w:space="0" w:color="65C5B4" w:themeColor="accent1"/>
            </w:tcBorders>
            <w:shd w:val="clear" w:color="auto" w:fill="F2F2F2" w:themeFill="background1" w:themeFillShade="F2"/>
            <w:vAlign w:val="center"/>
          </w:tcPr>
          <w:p w14:paraId="01195C19" w14:textId="016F95AE" w:rsidR="00A4046A" w:rsidRPr="00712FD9" w:rsidRDefault="00325DD6" w:rsidP="00A4046A">
            <w:pPr>
              <w:suppressAutoHyphens w:val="0"/>
              <w:spacing w:before="0" w:after="0" w:line="240" w:lineRule="auto"/>
              <w:ind w:firstLineChars="100" w:firstLine="200"/>
              <w:rPr>
                <w:rFonts w:eastAsia="Times New Roman" w:cstheme="minorHAnsi"/>
                <w:color w:val="595959" w:themeColor="text1" w:themeTint="A6"/>
                <w:sz w:val="20"/>
                <w:szCs w:val="20"/>
                <w:lang w:val="en-AU" w:eastAsia="en-AU"/>
              </w:rPr>
            </w:pPr>
            <w:r w:rsidRPr="00712FD9">
              <w:rPr>
                <w:rFonts w:eastAsia="Times New Roman" w:cstheme="minorHAnsi"/>
                <w:color w:val="595959" w:themeColor="text1" w:themeTint="A6"/>
                <w:sz w:val="20"/>
                <w:szCs w:val="20"/>
                <w:lang w:val="en-AU" w:eastAsia="en-AU"/>
              </w:rPr>
              <w:t>Investment duration:</w:t>
            </w:r>
            <w:r w:rsidR="00A4046A" w:rsidRPr="00712FD9">
              <w:rPr>
                <w:rFonts w:eastAsia="Times New Roman" w:cstheme="minorHAnsi"/>
                <w:color w:val="595959" w:themeColor="text1" w:themeTint="A6"/>
                <w:sz w:val="20"/>
                <w:szCs w:val="20"/>
                <w:lang w:val="en-AU" w:eastAsia="en-AU"/>
              </w:rPr>
              <w:t xml:space="preserve"> 2015-21; Budget: $15.7m </w:t>
            </w:r>
          </w:p>
        </w:tc>
        <w:tc>
          <w:tcPr>
            <w:tcW w:w="1133" w:type="dxa"/>
            <w:tcBorders>
              <w:left w:val="single" w:sz="4" w:space="0" w:color="65C5B4" w:themeColor="accent1"/>
              <w:right w:val="single" w:sz="4" w:space="0" w:color="65C5B4" w:themeColor="accent1"/>
            </w:tcBorders>
            <w:shd w:val="clear" w:color="auto" w:fill="F2F2F2" w:themeFill="background1" w:themeFillShade="F2"/>
            <w:vAlign w:val="center"/>
          </w:tcPr>
          <w:p w14:paraId="44EED112" w14:textId="7276914A" w:rsidR="00A4046A" w:rsidRPr="00712FD9" w:rsidRDefault="00A4046A" w:rsidP="00A404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2020 IMR</w:t>
            </w:r>
          </w:p>
        </w:tc>
        <w:tc>
          <w:tcPr>
            <w:tcW w:w="1275"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18D77CE7" w14:textId="49B0BADE" w:rsidR="00A4046A" w:rsidRPr="00712FD9" w:rsidRDefault="00A4046A" w:rsidP="00A404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c>
          <w:tcPr>
            <w:tcW w:w="1133"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1DDF754C" w14:textId="1BFDC193" w:rsidR="00A4046A" w:rsidRPr="00712FD9" w:rsidRDefault="00A4046A" w:rsidP="00A404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c>
          <w:tcPr>
            <w:tcW w:w="1275"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20A3B41C" w14:textId="70F7DF98" w:rsidR="00A4046A" w:rsidRPr="00712FD9" w:rsidRDefault="00A4046A" w:rsidP="00A404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r>
      <w:tr w:rsidR="00A4046A" w:rsidRPr="00712FD9" w14:paraId="7BA18D56"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left w:val="single" w:sz="4" w:space="0" w:color="65C5B4" w:themeColor="accent1"/>
              <w:bottom w:val="nil"/>
              <w:right w:val="single" w:sz="4" w:space="0" w:color="65C5B4" w:themeColor="accent1"/>
            </w:tcBorders>
            <w:shd w:val="clear" w:color="auto" w:fill="E0F3EF" w:themeFill="accent1" w:themeFillTint="33"/>
            <w:vAlign w:val="center"/>
          </w:tcPr>
          <w:p w14:paraId="2B777C58" w14:textId="6E4B7341" w:rsidR="00A4046A" w:rsidRPr="00712FD9" w:rsidRDefault="00A4046A" w:rsidP="00A4046A">
            <w:pPr>
              <w:suppressAutoHyphens w:val="0"/>
              <w:spacing w:before="0" w:after="0" w:line="240" w:lineRule="auto"/>
              <w:rPr>
                <w:rFonts w:eastAsia="Times New Roman" w:cstheme="minorHAnsi"/>
                <w:b/>
                <w:bCs/>
                <w:color w:val="595959" w:themeColor="text1" w:themeTint="A6"/>
                <w:sz w:val="20"/>
                <w:szCs w:val="20"/>
                <w:lang w:eastAsia="en-AU"/>
              </w:rPr>
            </w:pPr>
            <w:r w:rsidRPr="00712FD9">
              <w:rPr>
                <w:rFonts w:eastAsia="Times New Roman" w:cstheme="minorHAnsi"/>
                <w:b/>
                <w:bCs/>
                <w:color w:val="595959" w:themeColor="text1" w:themeTint="A6"/>
                <w:sz w:val="20"/>
                <w:szCs w:val="20"/>
                <w:lang w:eastAsia="en-AU"/>
              </w:rPr>
              <w:t>AIP Gender Equality &amp; Women's Empowerment (MAMPU II)</w:t>
            </w:r>
          </w:p>
        </w:tc>
        <w:tc>
          <w:tcPr>
            <w:tcW w:w="1133" w:type="dxa"/>
            <w:tcBorders>
              <w:left w:val="single" w:sz="4" w:space="0" w:color="65C5B4" w:themeColor="accent1"/>
              <w:right w:val="single" w:sz="4" w:space="0" w:color="65C5B4" w:themeColor="accent1"/>
            </w:tcBorders>
            <w:shd w:val="clear" w:color="auto" w:fill="E0F3EF" w:themeFill="accent1" w:themeFillTint="33"/>
            <w:vAlign w:val="center"/>
          </w:tcPr>
          <w:p w14:paraId="21EA02DA" w14:textId="5701C459" w:rsidR="00A4046A" w:rsidRPr="00712FD9" w:rsidRDefault="00A4046A" w:rsidP="00A404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2021 FIMR</w:t>
            </w:r>
          </w:p>
        </w:tc>
        <w:tc>
          <w:tcPr>
            <w:tcW w:w="1275" w:type="dxa"/>
            <w:tcBorders>
              <w:left w:val="single" w:sz="4" w:space="0" w:color="65C5B4" w:themeColor="accent1"/>
              <w:right w:val="single" w:sz="4" w:space="0" w:color="65C5B4" w:themeColor="accent1"/>
            </w:tcBorders>
            <w:shd w:val="clear" w:color="auto" w:fill="E0F3EF" w:themeFill="accent1" w:themeFillTint="33"/>
            <w:noWrap/>
            <w:vAlign w:val="center"/>
          </w:tcPr>
          <w:p w14:paraId="297C3898" w14:textId="79D65FD2" w:rsidR="00A4046A" w:rsidRPr="00712FD9" w:rsidRDefault="00A4046A" w:rsidP="00A404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c>
          <w:tcPr>
            <w:tcW w:w="1133" w:type="dxa"/>
            <w:tcBorders>
              <w:left w:val="single" w:sz="4" w:space="0" w:color="65C5B4" w:themeColor="accent1"/>
              <w:right w:val="single" w:sz="4" w:space="0" w:color="65C5B4" w:themeColor="accent1"/>
            </w:tcBorders>
            <w:shd w:val="clear" w:color="auto" w:fill="E0F3EF" w:themeFill="accent1" w:themeFillTint="33"/>
            <w:noWrap/>
            <w:vAlign w:val="center"/>
          </w:tcPr>
          <w:p w14:paraId="1D93D911" w14:textId="30270529" w:rsidR="00A4046A" w:rsidRPr="00712FD9" w:rsidRDefault="00A4046A" w:rsidP="00A404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6</w:t>
            </w:r>
          </w:p>
        </w:tc>
        <w:tc>
          <w:tcPr>
            <w:tcW w:w="1275" w:type="dxa"/>
            <w:tcBorders>
              <w:left w:val="single" w:sz="4" w:space="0" w:color="65C5B4" w:themeColor="accent1"/>
              <w:right w:val="single" w:sz="4" w:space="0" w:color="65C5B4" w:themeColor="accent1"/>
            </w:tcBorders>
            <w:shd w:val="clear" w:color="auto" w:fill="E0F3EF" w:themeFill="accent1" w:themeFillTint="33"/>
            <w:noWrap/>
            <w:vAlign w:val="center"/>
          </w:tcPr>
          <w:p w14:paraId="4BFB1D58" w14:textId="63FDB1C3" w:rsidR="00A4046A" w:rsidRPr="00712FD9" w:rsidRDefault="00A4046A" w:rsidP="00A404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6</w:t>
            </w:r>
          </w:p>
        </w:tc>
      </w:tr>
      <w:tr w:rsidR="00A4046A" w:rsidRPr="00712FD9" w14:paraId="11889A41"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top w:val="nil"/>
              <w:left w:val="single" w:sz="4" w:space="0" w:color="65C5B4" w:themeColor="accent1"/>
              <w:right w:val="single" w:sz="4" w:space="0" w:color="65C5B4" w:themeColor="accent1"/>
            </w:tcBorders>
            <w:shd w:val="clear" w:color="auto" w:fill="E0F3EF" w:themeFill="accent1" w:themeFillTint="33"/>
            <w:vAlign w:val="center"/>
          </w:tcPr>
          <w:p w14:paraId="306FEAC2" w14:textId="3AF501E0" w:rsidR="00A4046A" w:rsidRPr="00712FD9" w:rsidRDefault="00325DD6" w:rsidP="00A4046A">
            <w:pPr>
              <w:suppressAutoHyphens w:val="0"/>
              <w:spacing w:before="0" w:after="0" w:line="240" w:lineRule="auto"/>
              <w:ind w:firstLineChars="100" w:firstLine="200"/>
              <w:rPr>
                <w:rFonts w:eastAsia="Times New Roman" w:cstheme="minorHAnsi"/>
                <w:color w:val="595959" w:themeColor="text1" w:themeTint="A6"/>
                <w:sz w:val="20"/>
                <w:szCs w:val="20"/>
                <w:lang w:val="en-AU" w:eastAsia="en-AU"/>
              </w:rPr>
            </w:pPr>
            <w:r w:rsidRPr="00712FD9">
              <w:rPr>
                <w:rFonts w:eastAsia="Times New Roman" w:cstheme="minorHAnsi"/>
                <w:color w:val="595959" w:themeColor="text1" w:themeTint="A6"/>
                <w:sz w:val="20"/>
                <w:szCs w:val="20"/>
                <w:lang w:val="en-AU" w:eastAsia="en-AU"/>
              </w:rPr>
              <w:t>Investment duration:</w:t>
            </w:r>
            <w:r w:rsidR="00A4046A" w:rsidRPr="00712FD9">
              <w:rPr>
                <w:rFonts w:eastAsia="Times New Roman" w:cstheme="minorHAnsi"/>
                <w:color w:val="595959" w:themeColor="text1" w:themeTint="A6"/>
                <w:sz w:val="20"/>
                <w:szCs w:val="20"/>
                <w:lang w:val="en-AU" w:eastAsia="en-AU"/>
              </w:rPr>
              <w:t xml:space="preserve"> 2016-20; Budget: $55.7m </w:t>
            </w:r>
          </w:p>
        </w:tc>
        <w:tc>
          <w:tcPr>
            <w:tcW w:w="1133" w:type="dxa"/>
            <w:tcBorders>
              <w:left w:val="single" w:sz="4" w:space="0" w:color="65C5B4" w:themeColor="accent1"/>
              <w:right w:val="single" w:sz="4" w:space="0" w:color="65C5B4" w:themeColor="accent1"/>
            </w:tcBorders>
            <w:shd w:val="clear" w:color="auto" w:fill="E0F3EF" w:themeFill="accent1" w:themeFillTint="33"/>
            <w:vAlign w:val="center"/>
          </w:tcPr>
          <w:p w14:paraId="508DE446" w14:textId="15B8FF39" w:rsidR="00A4046A" w:rsidRPr="00712FD9" w:rsidRDefault="00A4046A" w:rsidP="00A404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2020 IMR</w:t>
            </w:r>
          </w:p>
        </w:tc>
        <w:tc>
          <w:tcPr>
            <w:tcW w:w="1275" w:type="dxa"/>
            <w:tcBorders>
              <w:left w:val="single" w:sz="4" w:space="0" w:color="65C5B4" w:themeColor="accent1"/>
              <w:right w:val="single" w:sz="4" w:space="0" w:color="65C5B4" w:themeColor="accent1"/>
            </w:tcBorders>
            <w:shd w:val="clear" w:color="auto" w:fill="E0F3EF" w:themeFill="accent1" w:themeFillTint="33"/>
            <w:noWrap/>
            <w:vAlign w:val="center"/>
          </w:tcPr>
          <w:p w14:paraId="6E7B3C6D" w14:textId="7523D92A" w:rsidR="00A4046A" w:rsidRPr="00712FD9" w:rsidRDefault="00A4046A" w:rsidP="00A404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c>
          <w:tcPr>
            <w:tcW w:w="1133" w:type="dxa"/>
            <w:tcBorders>
              <w:left w:val="single" w:sz="4" w:space="0" w:color="65C5B4" w:themeColor="accent1"/>
              <w:right w:val="single" w:sz="4" w:space="0" w:color="65C5B4" w:themeColor="accent1"/>
            </w:tcBorders>
            <w:shd w:val="clear" w:color="auto" w:fill="E0F3EF" w:themeFill="accent1" w:themeFillTint="33"/>
            <w:noWrap/>
            <w:vAlign w:val="center"/>
          </w:tcPr>
          <w:p w14:paraId="08CA0A20" w14:textId="7B4F0795" w:rsidR="00A4046A" w:rsidRPr="00712FD9" w:rsidRDefault="00A4046A" w:rsidP="00A404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c>
          <w:tcPr>
            <w:tcW w:w="1275" w:type="dxa"/>
            <w:tcBorders>
              <w:left w:val="single" w:sz="4" w:space="0" w:color="65C5B4" w:themeColor="accent1"/>
              <w:right w:val="single" w:sz="4" w:space="0" w:color="65C5B4" w:themeColor="accent1"/>
            </w:tcBorders>
            <w:shd w:val="clear" w:color="auto" w:fill="E0F3EF" w:themeFill="accent1" w:themeFillTint="33"/>
            <w:noWrap/>
            <w:vAlign w:val="center"/>
          </w:tcPr>
          <w:p w14:paraId="49F33016" w14:textId="21E2CB8D" w:rsidR="00A4046A" w:rsidRPr="00712FD9" w:rsidRDefault="00A4046A" w:rsidP="00A404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r>
      <w:tr w:rsidR="00A4046A" w:rsidRPr="00712FD9" w14:paraId="09A8A61C"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left w:val="single" w:sz="4" w:space="0" w:color="65C5B4" w:themeColor="accent1"/>
              <w:bottom w:val="nil"/>
              <w:right w:val="single" w:sz="4" w:space="0" w:color="65C5B4" w:themeColor="accent1"/>
            </w:tcBorders>
            <w:shd w:val="clear" w:color="auto" w:fill="F2F2F2" w:themeFill="background1" w:themeFillShade="F2"/>
            <w:vAlign w:val="center"/>
          </w:tcPr>
          <w:p w14:paraId="4D580329" w14:textId="2B8E9B42" w:rsidR="00A4046A" w:rsidRPr="00712FD9" w:rsidRDefault="00A4046A" w:rsidP="00A4046A">
            <w:pPr>
              <w:suppressAutoHyphens w:val="0"/>
              <w:spacing w:before="0" w:after="0" w:line="240" w:lineRule="auto"/>
              <w:rPr>
                <w:rFonts w:eastAsia="Times New Roman" w:cstheme="minorHAnsi"/>
                <w:b/>
                <w:bCs/>
                <w:color w:val="595959" w:themeColor="text1" w:themeTint="A6"/>
                <w:sz w:val="20"/>
                <w:szCs w:val="20"/>
                <w:lang w:eastAsia="en-AU"/>
              </w:rPr>
            </w:pPr>
            <w:r w:rsidRPr="00712FD9">
              <w:rPr>
                <w:rFonts w:eastAsia="Times New Roman" w:cstheme="minorHAnsi"/>
                <w:b/>
                <w:bCs/>
                <w:color w:val="595959" w:themeColor="text1" w:themeTint="A6"/>
                <w:sz w:val="20"/>
                <w:szCs w:val="20"/>
                <w:lang w:eastAsia="en-AU"/>
              </w:rPr>
              <w:t xml:space="preserve">Support to Marginalised Groups (PEDULI Phase II) </w:t>
            </w:r>
          </w:p>
        </w:tc>
        <w:tc>
          <w:tcPr>
            <w:tcW w:w="1133" w:type="dxa"/>
            <w:tcBorders>
              <w:left w:val="single" w:sz="4" w:space="0" w:color="65C5B4" w:themeColor="accent1"/>
              <w:right w:val="single" w:sz="4" w:space="0" w:color="65C5B4" w:themeColor="accent1"/>
            </w:tcBorders>
            <w:shd w:val="clear" w:color="auto" w:fill="F2F2F2" w:themeFill="background1" w:themeFillShade="F2"/>
            <w:vAlign w:val="center"/>
          </w:tcPr>
          <w:p w14:paraId="447E0D58" w14:textId="00A8545A" w:rsidR="00A4046A" w:rsidRPr="00712FD9" w:rsidRDefault="00A4046A" w:rsidP="00A404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2021 FIMR</w:t>
            </w:r>
          </w:p>
        </w:tc>
        <w:tc>
          <w:tcPr>
            <w:tcW w:w="1275"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32D2C475" w14:textId="54B8B49F" w:rsidR="00A4046A" w:rsidRPr="00712FD9" w:rsidRDefault="00A4046A" w:rsidP="00A404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c>
          <w:tcPr>
            <w:tcW w:w="1133"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5AC78E06" w14:textId="4CF60CE2" w:rsidR="00A4046A" w:rsidRPr="00712FD9" w:rsidRDefault="00A4046A" w:rsidP="00A404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c>
          <w:tcPr>
            <w:tcW w:w="1275"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34A06DFF" w14:textId="1659063B" w:rsidR="00A4046A" w:rsidRPr="00712FD9" w:rsidRDefault="00A4046A" w:rsidP="00A404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r>
      <w:tr w:rsidR="00A4046A" w:rsidRPr="00712FD9" w14:paraId="7EB934B4"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top w:val="nil"/>
              <w:left w:val="single" w:sz="4" w:space="0" w:color="65C5B4" w:themeColor="accent1"/>
              <w:right w:val="single" w:sz="4" w:space="0" w:color="65C5B4" w:themeColor="accent1"/>
            </w:tcBorders>
            <w:shd w:val="clear" w:color="auto" w:fill="F2F2F2" w:themeFill="background1" w:themeFillShade="F2"/>
            <w:vAlign w:val="center"/>
          </w:tcPr>
          <w:p w14:paraId="48BAEE35" w14:textId="5ECA221F" w:rsidR="00A4046A" w:rsidRPr="00712FD9" w:rsidRDefault="00325DD6" w:rsidP="00A4046A">
            <w:pPr>
              <w:suppressAutoHyphens w:val="0"/>
              <w:spacing w:before="0" w:after="0" w:line="240" w:lineRule="auto"/>
              <w:ind w:firstLineChars="100" w:firstLine="200"/>
              <w:rPr>
                <w:rFonts w:eastAsia="Times New Roman" w:cstheme="minorHAnsi"/>
                <w:color w:val="595959" w:themeColor="text1" w:themeTint="A6"/>
                <w:sz w:val="20"/>
                <w:szCs w:val="20"/>
                <w:lang w:val="en-AU" w:eastAsia="en-AU"/>
              </w:rPr>
            </w:pPr>
            <w:r w:rsidRPr="00712FD9">
              <w:rPr>
                <w:rFonts w:eastAsia="Times New Roman" w:cstheme="minorHAnsi"/>
                <w:color w:val="595959" w:themeColor="text1" w:themeTint="A6"/>
                <w:sz w:val="20"/>
                <w:szCs w:val="20"/>
                <w:lang w:val="en-AU" w:eastAsia="en-AU"/>
              </w:rPr>
              <w:t>Investment duration:</w:t>
            </w:r>
            <w:r w:rsidR="00A4046A" w:rsidRPr="00712FD9">
              <w:rPr>
                <w:rFonts w:eastAsia="Times New Roman" w:cstheme="minorHAnsi"/>
                <w:color w:val="595959" w:themeColor="text1" w:themeTint="A6"/>
                <w:sz w:val="20"/>
                <w:szCs w:val="20"/>
                <w:lang w:val="en-AU" w:eastAsia="en-AU"/>
              </w:rPr>
              <w:t xml:space="preserve"> 2016-20; Budget: $21.6m </w:t>
            </w:r>
          </w:p>
        </w:tc>
        <w:tc>
          <w:tcPr>
            <w:tcW w:w="1133" w:type="dxa"/>
            <w:tcBorders>
              <w:left w:val="single" w:sz="4" w:space="0" w:color="65C5B4" w:themeColor="accent1"/>
              <w:right w:val="single" w:sz="4" w:space="0" w:color="65C5B4" w:themeColor="accent1"/>
            </w:tcBorders>
            <w:shd w:val="clear" w:color="auto" w:fill="F2F2F2" w:themeFill="background1" w:themeFillShade="F2"/>
            <w:vAlign w:val="center"/>
          </w:tcPr>
          <w:p w14:paraId="465154E0" w14:textId="66F7701A" w:rsidR="00A4046A" w:rsidRPr="00712FD9" w:rsidRDefault="00A4046A" w:rsidP="00A404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2020 IMR</w:t>
            </w:r>
          </w:p>
        </w:tc>
        <w:tc>
          <w:tcPr>
            <w:tcW w:w="1275"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3931E540" w14:textId="3D94925A" w:rsidR="00A4046A" w:rsidRPr="00712FD9" w:rsidRDefault="00A4046A" w:rsidP="00A404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c>
          <w:tcPr>
            <w:tcW w:w="1133"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4A3493DA" w14:textId="07BF58AC" w:rsidR="00A4046A" w:rsidRPr="00712FD9" w:rsidRDefault="00A4046A" w:rsidP="00A404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c>
          <w:tcPr>
            <w:tcW w:w="1275" w:type="dxa"/>
            <w:tcBorders>
              <w:left w:val="single" w:sz="4" w:space="0" w:color="65C5B4" w:themeColor="accent1"/>
              <w:right w:val="single" w:sz="4" w:space="0" w:color="65C5B4" w:themeColor="accent1"/>
            </w:tcBorders>
            <w:shd w:val="clear" w:color="auto" w:fill="F2F2F2" w:themeFill="background1" w:themeFillShade="F2"/>
            <w:noWrap/>
            <w:vAlign w:val="center"/>
          </w:tcPr>
          <w:p w14:paraId="5E18F699" w14:textId="52B96705" w:rsidR="00A4046A" w:rsidRPr="00712FD9" w:rsidRDefault="00A4046A" w:rsidP="00A404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5</w:t>
            </w:r>
          </w:p>
        </w:tc>
      </w:tr>
      <w:tr w:rsidR="00A4046A" w:rsidRPr="00712FD9" w14:paraId="658D4FE9"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left w:val="single" w:sz="4" w:space="0" w:color="65C5B4" w:themeColor="accent1"/>
              <w:bottom w:val="nil"/>
              <w:right w:val="single" w:sz="4" w:space="0" w:color="65C5B4" w:themeColor="accent1"/>
            </w:tcBorders>
            <w:shd w:val="clear" w:color="auto" w:fill="E0F3EF" w:themeFill="accent1" w:themeFillTint="33"/>
            <w:vAlign w:val="center"/>
          </w:tcPr>
          <w:p w14:paraId="79C5F1B0" w14:textId="45FD26D3" w:rsidR="00A4046A" w:rsidRPr="00712FD9" w:rsidRDefault="00A4046A" w:rsidP="00A4046A">
            <w:pPr>
              <w:suppressAutoHyphens w:val="0"/>
              <w:spacing w:before="0" w:after="0" w:line="240" w:lineRule="auto"/>
              <w:rPr>
                <w:rFonts w:eastAsia="Times New Roman" w:cstheme="minorHAnsi"/>
                <w:color w:val="595959" w:themeColor="text1" w:themeTint="A6"/>
                <w:sz w:val="20"/>
                <w:szCs w:val="20"/>
                <w:lang w:val="en-AU" w:eastAsia="en-AU"/>
              </w:rPr>
            </w:pPr>
            <w:proofErr w:type="spellStart"/>
            <w:r w:rsidRPr="00712FD9">
              <w:rPr>
                <w:rFonts w:eastAsia="Times New Roman" w:cstheme="minorHAnsi"/>
                <w:b/>
                <w:bCs/>
                <w:color w:val="595959" w:themeColor="text1" w:themeTint="A6"/>
                <w:sz w:val="20"/>
                <w:szCs w:val="20"/>
                <w:lang w:eastAsia="en-AU"/>
              </w:rPr>
              <w:t>Indobeef</w:t>
            </w:r>
            <w:proofErr w:type="spellEnd"/>
            <w:r w:rsidRPr="00712FD9">
              <w:rPr>
                <w:rFonts w:eastAsia="Times New Roman" w:cstheme="minorHAnsi"/>
                <w:b/>
                <w:bCs/>
                <w:color w:val="595959" w:themeColor="text1" w:themeTint="A6"/>
                <w:sz w:val="20"/>
                <w:szCs w:val="20"/>
                <w:lang w:eastAsia="en-AU"/>
              </w:rPr>
              <w:t xml:space="preserve"> Project</w:t>
            </w:r>
          </w:p>
        </w:tc>
        <w:tc>
          <w:tcPr>
            <w:tcW w:w="1133" w:type="dxa"/>
            <w:tcBorders>
              <w:left w:val="single" w:sz="4" w:space="0" w:color="65C5B4" w:themeColor="accent1"/>
              <w:right w:val="single" w:sz="4" w:space="0" w:color="65C5B4" w:themeColor="accent1"/>
            </w:tcBorders>
            <w:shd w:val="clear" w:color="auto" w:fill="E0F3EF" w:themeFill="accent1" w:themeFillTint="33"/>
            <w:vAlign w:val="center"/>
          </w:tcPr>
          <w:p w14:paraId="39D5EFB0" w14:textId="22F340FD" w:rsidR="00A4046A" w:rsidRPr="00712FD9" w:rsidRDefault="00A4046A" w:rsidP="00A404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2021 FIMR</w:t>
            </w:r>
          </w:p>
        </w:tc>
        <w:tc>
          <w:tcPr>
            <w:tcW w:w="1275" w:type="dxa"/>
            <w:tcBorders>
              <w:left w:val="single" w:sz="4" w:space="0" w:color="65C5B4" w:themeColor="accent1"/>
              <w:right w:val="single" w:sz="4" w:space="0" w:color="65C5B4" w:themeColor="accent1"/>
            </w:tcBorders>
            <w:shd w:val="clear" w:color="auto" w:fill="E0F3EF" w:themeFill="accent1" w:themeFillTint="33"/>
            <w:noWrap/>
            <w:vAlign w:val="center"/>
          </w:tcPr>
          <w:p w14:paraId="5F590B6D" w14:textId="6910E7CC" w:rsidR="00A4046A" w:rsidRPr="00712FD9" w:rsidRDefault="00A4046A" w:rsidP="00A404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1</w:t>
            </w:r>
          </w:p>
        </w:tc>
        <w:tc>
          <w:tcPr>
            <w:tcW w:w="1133" w:type="dxa"/>
            <w:tcBorders>
              <w:left w:val="single" w:sz="4" w:space="0" w:color="65C5B4" w:themeColor="accent1"/>
              <w:right w:val="single" w:sz="4" w:space="0" w:color="65C5B4" w:themeColor="accent1"/>
            </w:tcBorders>
            <w:shd w:val="clear" w:color="auto" w:fill="E0F3EF" w:themeFill="accent1" w:themeFillTint="33"/>
            <w:noWrap/>
            <w:vAlign w:val="center"/>
          </w:tcPr>
          <w:p w14:paraId="7618424A" w14:textId="48997EA9" w:rsidR="00A4046A" w:rsidRPr="00712FD9" w:rsidRDefault="00A4046A" w:rsidP="00A404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w:t>
            </w:r>
          </w:p>
        </w:tc>
        <w:tc>
          <w:tcPr>
            <w:tcW w:w="1275" w:type="dxa"/>
            <w:tcBorders>
              <w:left w:val="single" w:sz="4" w:space="0" w:color="65C5B4" w:themeColor="accent1"/>
              <w:right w:val="single" w:sz="4" w:space="0" w:color="65C5B4" w:themeColor="accent1"/>
            </w:tcBorders>
            <w:shd w:val="clear" w:color="auto" w:fill="E0F3EF" w:themeFill="accent1" w:themeFillTint="33"/>
            <w:noWrap/>
            <w:vAlign w:val="center"/>
          </w:tcPr>
          <w:p w14:paraId="1BB40E17" w14:textId="439CF568" w:rsidR="00A4046A" w:rsidRPr="00712FD9" w:rsidRDefault="00A4046A" w:rsidP="00A404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w:t>
            </w:r>
          </w:p>
        </w:tc>
      </w:tr>
      <w:tr w:rsidR="00A4046A" w:rsidRPr="00712FD9" w14:paraId="1FB35E0C" w14:textId="77777777" w:rsidTr="00755DB2">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top w:val="nil"/>
              <w:left w:val="single" w:sz="4" w:space="0" w:color="65C5B4" w:themeColor="accent1"/>
              <w:right w:val="single" w:sz="4" w:space="0" w:color="65C5B4" w:themeColor="accent1"/>
            </w:tcBorders>
            <w:shd w:val="clear" w:color="auto" w:fill="E0F3EF" w:themeFill="accent1" w:themeFillTint="33"/>
            <w:vAlign w:val="center"/>
          </w:tcPr>
          <w:p w14:paraId="602F37C0" w14:textId="114DB284" w:rsidR="00A4046A" w:rsidRPr="00712FD9" w:rsidRDefault="00325DD6" w:rsidP="00A4046A">
            <w:pPr>
              <w:suppressAutoHyphens w:val="0"/>
              <w:spacing w:before="0" w:after="0" w:line="240" w:lineRule="auto"/>
              <w:ind w:firstLineChars="100" w:firstLine="200"/>
              <w:rPr>
                <w:rFonts w:eastAsia="Times New Roman" w:cstheme="minorHAnsi"/>
                <w:color w:val="595959" w:themeColor="text1" w:themeTint="A6"/>
                <w:sz w:val="20"/>
                <w:szCs w:val="20"/>
                <w:lang w:val="en-AU" w:eastAsia="en-AU"/>
              </w:rPr>
            </w:pPr>
            <w:r w:rsidRPr="00712FD9">
              <w:rPr>
                <w:rFonts w:eastAsia="Times New Roman" w:cstheme="minorHAnsi"/>
                <w:color w:val="595959" w:themeColor="text1" w:themeTint="A6"/>
                <w:sz w:val="20"/>
                <w:szCs w:val="20"/>
                <w:lang w:val="en-AU" w:eastAsia="en-AU"/>
              </w:rPr>
              <w:t xml:space="preserve">Investment duration: </w:t>
            </w:r>
            <w:r w:rsidR="00A4046A" w:rsidRPr="00712FD9">
              <w:rPr>
                <w:rFonts w:eastAsia="Times New Roman" w:cstheme="minorHAnsi"/>
                <w:color w:val="595959" w:themeColor="text1" w:themeTint="A6"/>
                <w:sz w:val="20"/>
                <w:szCs w:val="20"/>
                <w:lang w:val="en-AU" w:eastAsia="en-AU"/>
              </w:rPr>
              <w:t xml:space="preserve">2012-21; Budget: $13m </w:t>
            </w:r>
          </w:p>
        </w:tc>
        <w:tc>
          <w:tcPr>
            <w:tcW w:w="1133" w:type="dxa"/>
            <w:tcBorders>
              <w:left w:val="single" w:sz="4" w:space="0" w:color="65C5B4" w:themeColor="accent1"/>
              <w:right w:val="single" w:sz="4" w:space="0" w:color="65C5B4" w:themeColor="accent1"/>
            </w:tcBorders>
            <w:shd w:val="clear" w:color="auto" w:fill="E0F3EF" w:themeFill="accent1" w:themeFillTint="33"/>
            <w:vAlign w:val="center"/>
          </w:tcPr>
          <w:p w14:paraId="0E7AA4EF" w14:textId="0D963A17" w:rsidR="00A4046A" w:rsidRPr="00712FD9" w:rsidRDefault="00A4046A" w:rsidP="00A404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2020 IMR</w:t>
            </w:r>
          </w:p>
        </w:tc>
        <w:tc>
          <w:tcPr>
            <w:tcW w:w="1275" w:type="dxa"/>
            <w:tcBorders>
              <w:left w:val="single" w:sz="4" w:space="0" w:color="65C5B4" w:themeColor="accent1"/>
              <w:right w:val="single" w:sz="4" w:space="0" w:color="65C5B4" w:themeColor="accent1"/>
            </w:tcBorders>
            <w:shd w:val="clear" w:color="auto" w:fill="E0F3EF" w:themeFill="accent1" w:themeFillTint="33"/>
            <w:noWrap/>
            <w:vAlign w:val="center"/>
          </w:tcPr>
          <w:p w14:paraId="121612AF" w14:textId="573F4C96" w:rsidR="00A4046A" w:rsidRPr="00712FD9" w:rsidRDefault="00A4046A" w:rsidP="00A404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3</w:t>
            </w:r>
          </w:p>
        </w:tc>
        <w:tc>
          <w:tcPr>
            <w:tcW w:w="1133" w:type="dxa"/>
            <w:tcBorders>
              <w:left w:val="single" w:sz="4" w:space="0" w:color="65C5B4" w:themeColor="accent1"/>
              <w:right w:val="single" w:sz="4" w:space="0" w:color="65C5B4" w:themeColor="accent1"/>
            </w:tcBorders>
            <w:shd w:val="clear" w:color="auto" w:fill="E0F3EF" w:themeFill="accent1" w:themeFillTint="33"/>
            <w:noWrap/>
            <w:vAlign w:val="center"/>
          </w:tcPr>
          <w:p w14:paraId="73D77D57" w14:textId="3269F43B" w:rsidR="00A4046A" w:rsidRPr="00712FD9" w:rsidRDefault="00A4046A" w:rsidP="00A404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4</w:t>
            </w:r>
          </w:p>
        </w:tc>
        <w:tc>
          <w:tcPr>
            <w:tcW w:w="1275" w:type="dxa"/>
            <w:tcBorders>
              <w:left w:val="single" w:sz="4" w:space="0" w:color="65C5B4" w:themeColor="accent1"/>
              <w:right w:val="single" w:sz="4" w:space="0" w:color="65C5B4" w:themeColor="accent1"/>
            </w:tcBorders>
            <w:shd w:val="clear" w:color="auto" w:fill="E0F3EF" w:themeFill="accent1" w:themeFillTint="33"/>
            <w:noWrap/>
            <w:vAlign w:val="center"/>
          </w:tcPr>
          <w:p w14:paraId="2CF07488" w14:textId="25CB37D4" w:rsidR="00A4046A" w:rsidRPr="00712FD9" w:rsidRDefault="00A4046A" w:rsidP="00A4046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712FD9">
              <w:rPr>
                <w:rFonts w:eastAsia="Times New Roman" w:cstheme="minorHAnsi"/>
                <w:color w:val="595959" w:themeColor="text1" w:themeTint="A6"/>
                <w:sz w:val="20"/>
                <w:szCs w:val="20"/>
                <w:lang w:eastAsia="en-AU"/>
              </w:rPr>
              <w:t>3</w:t>
            </w:r>
          </w:p>
        </w:tc>
      </w:tr>
    </w:tbl>
    <w:p w14:paraId="0687EB03" w14:textId="476DE07F" w:rsidR="00A4046A" w:rsidRDefault="00A4046A" w:rsidP="006675BC">
      <w:pPr>
        <w:keepNext/>
        <w:keepLines/>
        <w:spacing w:before="0" w:after="120" w:line="380" w:lineRule="exact"/>
        <w:contextualSpacing/>
        <w:outlineLvl w:val="1"/>
        <w:rPr>
          <w:rFonts w:ascii="Calibri" w:eastAsia="Times New Roman" w:hAnsi="Calibri" w:cs="Times New Roman"/>
          <w:b/>
          <w:caps/>
          <w:szCs w:val="26"/>
        </w:rPr>
      </w:pPr>
    </w:p>
    <w:p w14:paraId="0C5DF81D" w14:textId="65F672F0" w:rsidR="006675BC" w:rsidRPr="00712FD9" w:rsidRDefault="006675BC" w:rsidP="006675BC">
      <w:pPr>
        <w:suppressAutoHyphens w:val="0"/>
        <w:spacing w:before="20" w:after="20" w:line="180" w:lineRule="atLeast"/>
        <w:jc w:val="both"/>
        <w:rPr>
          <w:rFonts w:eastAsia="Times New Roman" w:cstheme="minorHAnsi"/>
          <w:sz w:val="16"/>
          <w:szCs w:val="16"/>
          <w:lang w:val="en-AU" w:eastAsia="en-GB"/>
        </w:rPr>
      </w:pPr>
      <w:r w:rsidRPr="00712FD9">
        <w:rPr>
          <w:rFonts w:eastAsia="Times New Roman" w:cstheme="minorHAnsi"/>
          <w:b/>
          <w:sz w:val="16"/>
          <w:szCs w:val="16"/>
          <w:lang w:val="en-AU" w:eastAsia="en-GB"/>
        </w:rPr>
        <w:t>Definitions of rating scale</w:t>
      </w:r>
      <w:r w:rsidRPr="00712FD9">
        <w:rPr>
          <w:rFonts w:eastAsia="Times New Roman" w:cstheme="minorHAnsi"/>
          <w:sz w:val="16"/>
          <w:szCs w:val="16"/>
          <w:lang w:val="en-AU" w:eastAsia="en-GB"/>
        </w:rPr>
        <w:t>:</w:t>
      </w:r>
      <w:r w:rsidRPr="00712FD9">
        <w:rPr>
          <w:rFonts w:eastAsia="Times New Roman" w:cstheme="minorHAnsi"/>
          <w:sz w:val="16"/>
          <w:szCs w:val="16"/>
          <w:lang w:val="en-AU" w:eastAsia="en-GB"/>
        </w:rPr>
        <w:tab/>
      </w:r>
    </w:p>
    <w:p w14:paraId="0C042331" w14:textId="77777777" w:rsidR="006675BC" w:rsidRPr="00712FD9" w:rsidRDefault="006675BC" w:rsidP="006675BC">
      <w:pPr>
        <w:suppressAutoHyphens w:val="0"/>
        <w:spacing w:before="20" w:after="20" w:line="180" w:lineRule="atLeast"/>
        <w:jc w:val="both"/>
        <w:rPr>
          <w:rFonts w:eastAsia="Times New Roman" w:cstheme="minorHAnsi"/>
          <w:sz w:val="16"/>
          <w:szCs w:val="16"/>
          <w:lang w:val="en-AU" w:eastAsia="en-GB"/>
        </w:rPr>
      </w:pPr>
      <w:r w:rsidRPr="00712FD9">
        <w:rPr>
          <w:rFonts w:eastAsia="Times New Roman" w:cstheme="minorHAnsi"/>
          <w:sz w:val="16"/>
          <w:szCs w:val="16"/>
          <w:u w:val="single"/>
          <w:lang w:val="en-AU" w:eastAsia="en-GB"/>
        </w:rPr>
        <w:t>Satisfactory (4, 5 and 6)</w:t>
      </w:r>
    </w:p>
    <w:p w14:paraId="15C6BA30" w14:textId="77777777" w:rsidR="006675BC" w:rsidRPr="00712FD9" w:rsidRDefault="006675BC" w:rsidP="006675BC">
      <w:pPr>
        <w:suppressAutoHyphens w:val="0"/>
        <w:spacing w:before="0" w:after="0" w:line="240" w:lineRule="auto"/>
        <w:rPr>
          <w:rFonts w:eastAsia="Times New Roman" w:cstheme="minorHAnsi"/>
          <w:sz w:val="16"/>
          <w:szCs w:val="16"/>
          <w:lang w:val="en-AU" w:eastAsia="en-GB"/>
        </w:rPr>
      </w:pPr>
      <w:r w:rsidRPr="00712FD9">
        <w:rPr>
          <w:rFonts w:eastAsia="Times New Roman" w:cstheme="minorHAnsi"/>
          <w:sz w:val="16"/>
          <w:szCs w:val="16"/>
          <w:lang w:val="en-AU" w:eastAsia="en-GB"/>
        </w:rPr>
        <w:t xml:space="preserve">6 = Very good; satisfies criteria in all areas. </w:t>
      </w:r>
      <w:r w:rsidRPr="00712FD9">
        <w:rPr>
          <w:rFonts w:eastAsia="Times New Roman" w:cstheme="minorHAnsi"/>
          <w:sz w:val="16"/>
          <w:szCs w:val="16"/>
          <w:lang w:val="en-AU" w:eastAsia="en-GB"/>
        </w:rPr>
        <w:br/>
        <w:t>5 = Good; satisfies criteria in almost all areas.</w:t>
      </w:r>
      <w:r w:rsidRPr="00712FD9">
        <w:rPr>
          <w:rFonts w:eastAsia="Times New Roman" w:cstheme="minorHAnsi"/>
          <w:sz w:val="16"/>
          <w:szCs w:val="16"/>
          <w:lang w:val="en-AU" w:eastAsia="en-GB"/>
        </w:rPr>
        <w:br/>
        <w:t>4 = Adequate; on balance, satisfies criteria; does not fail in any major area.</w:t>
      </w:r>
    </w:p>
    <w:p w14:paraId="03E17D70" w14:textId="77777777" w:rsidR="006675BC" w:rsidRPr="00712FD9" w:rsidRDefault="006675BC" w:rsidP="006675BC">
      <w:pPr>
        <w:suppressAutoHyphens w:val="0"/>
        <w:spacing w:before="0" w:after="0" w:line="240" w:lineRule="auto"/>
        <w:rPr>
          <w:rFonts w:eastAsia="Times New Roman" w:cstheme="minorHAnsi"/>
          <w:sz w:val="16"/>
          <w:szCs w:val="16"/>
          <w:u w:val="single"/>
          <w:lang w:val="en-AU" w:eastAsia="en-GB"/>
        </w:rPr>
      </w:pPr>
      <w:r w:rsidRPr="00712FD9">
        <w:rPr>
          <w:rFonts w:eastAsia="Times New Roman" w:cstheme="minorHAnsi"/>
          <w:sz w:val="16"/>
          <w:szCs w:val="16"/>
          <w:u w:val="single"/>
          <w:lang w:val="en-AU" w:eastAsia="en-GB"/>
        </w:rPr>
        <w:t>Less than satisfactory (1, 2 and 3)</w:t>
      </w:r>
    </w:p>
    <w:p w14:paraId="7C95D56D" w14:textId="77777777" w:rsidR="006675BC" w:rsidRPr="009B3CCB" w:rsidRDefault="006675BC" w:rsidP="00CF0DC8">
      <w:pPr>
        <w:pStyle w:val="Heading2"/>
        <w:spacing w:after="0" w:line="200" w:lineRule="exact"/>
      </w:pPr>
      <w:r w:rsidRPr="00712FD9">
        <w:rPr>
          <w:rFonts w:asciiTheme="minorHAnsi" w:eastAsia="Times New Roman" w:hAnsiTheme="minorHAnsi" w:cstheme="minorHAnsi"/>
          <w:b w:val="0"/>
          <w:caps w:val="0"/>
          <w:sz w:val="16"/>
          <w:szCs w:val="16"/>
          <w:lang w:val="en-AU" w:eastAsia="en-GB"/>
        </w:rPr>
        <w:t>3 = Less than adequate; on balance does not satisfy criteria and/or fails in at least one major area.</w:t>
      </w:r>
      <w:r w:rsidRPr="00712FD9">
        <w:rPr>
          <w:rFonts w:asciiTheme="minorHAnsi" w:eastAsia="Times New Roman" w:hAnsiTheme="minorHAnsi" w:cstheme="minorHAnsi"/>
          <w:b w:val="0"/>
          <w:caps w:val="0"/>
          <w:sz w:val="16"/>
          <w:szCs w:val="16"/>
          <w:lang w:val="en-AU" w:eastAsia="en-GB"/>
        </w:rPr>
        <w:br/>
        <w:t>2 = Poor; does not satisfy criteria in major areas.</w:t>
      </w:r>
      <w:r w:rsidRPr="00712FD9">
        <w:rPr>
          <w:rFonts w:asciiTheme="minorHAnsi" w:eastAsia="Times New Roman" w:hAnsiTheme="minorHAnsi" w:cstheme="minorHAnsi"/>
          <w:b w:val="0"/>
          <w:caps w:val="0"/>
          <w:sz w:val="16"/>
          <w:szCs w:val="16"/>
          <w:lang w:val="en-AU" w:eastAsia="en-GB"/>
        </w:rPr>
        <w:br/>
        <w:t xml:space="preserve">1 = Very poor; does not satisfy criteria in many major </w:t>
      </w:r>
      <w:proofErr w:type="gramStart"/>
      <w:r w:rsidRPr="00712FD9">
        <w:rPr>
          <w:rFonts w:asciiTheme="minorHAnsi" w:eastAsia="Times New Roman" w:hAnsiTheme="minorHAnsi" w:cstheme="minorHAnsi"/>
          <w:b w:val="0"/>
          <w:caps w:val="0"/>
          <w:sz w:val="16"/>
          <w:szCs w:val="16"/>
          <w:lang w:val="en-AU" w:eastAsia="en-GB"/>
        </w:rPr>
        <w:t>area</w:t>
      </w:r>
      <w:proofErr w:type="gramEnd"/>
      <w:r w:rsidRPr="00712FD9">
        <w:rPr>
          <w:rFonts w:asciiTheme="minorHAnsi" w:eastAsia="Times New Roman" w:hAnsiTheme="minorHAnsi" w:cstheme="minorHAnsi"/>
          <w:b w:val="0"/>
          <w:caps w:val="0"/>
          <w:sz w:val="16"/>
          <w:szCs w:val="16"/>
          <w:lang w:val="en-AU" w:eastAsia="en-GB"/>
        </w:rPr>
        <w:t>.</w:t>
      </w:r>
      <w:r w:rsidRPr="009B3CCB">
        <w:rPr>
          <w:rFonts w:ascii="Times New Roman" w:eastAsia="Times New Roman" w:hAnsi="Times New Roman" w:cs="Times New Roman"/>
          <w:b w:val="0"/>
          <w:caps w:val="0"/>
          <w:sz w:val="24"/>
          <w:szCs w:val="24"/>
          <w:lang w:val="en-AU" w:eastAsia="en-GB"/>
        </w:rPr>
        <w:br/>
      </w:r>
    </w:p>
    <w:p w14:paraId="1B29A917" w14:textId="77777777" w:rsidR="00681633" w:rsidRDefault="00681633" w:rsidP="00C303CB">
      <w:pPr>
        <w:pStyle w:val="Heading2"/>
      </w:pPr>
    </w:p>
    <w:sectPr w:rsidR="00681633" w:rsidSect="0042568A">
      <w:headerReference w:type="default" r:id="rId13"/>
      <w:pgSz w:w="11906" w:h="16838" w:code="9"/>
      <w:pgMar w:top="1559" w:right="680" w:bottom="1418" w:left="680" w:header="425" w:footer="5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DEF846" w14:textId="77777777" w:rsidR="00F269F3" w:rsidRDefault="00F269F3" w:rsidP="00D37B04">
      <w:r>
        <w:separator/>
      </w:r>
    </w:p>
  </w:endnote>
  <w:endnote w:type="continuationSeparator" w:id="0">
    <w:p w14:paraId="343A2086" w14:textId="77777777" w:rsidR="00F269F3" w:rsidRDefault="00F269F3"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dobe Devanagari">
    <w:panose1 w:val="02040503050201020203"/>
    <w:charset w:val="00"/>
    <w:family w:val="roman"/>
    <w:notTrueType/>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auto"/>
      </w:rPr>
      <w:id w:val="305509916"/>
      <w:docPartObj>
        <w:docPartGallery w:val="Page Numbers (Bottom of Page)"/>
        <w:docPartUnique/>
      </w:docPartObj>
    </w:sdtPr>
    <w:sdtEndPr/>
    <w:sdtContent>
      <w:p w14:paraId="6A9C5504" w14:textId="2B186452" w:rsidR="00F269F3" w:rsidRPr="00854F69" w:rsidRDefault="00F269F3" w:rsidP="00880EFD">
        <w:pPr>
          <w:pStyle w:val="Footer"/>
          <w:ind w:right="198"/>
          <w:rPr>
            <w:b/>
            <w:noProof/>
            <w:color w:val="495965" w:themeColor="text2"/>
            <w:lang w:val="en-AU" w:eastAsia="en-AU"/>
          </w:rPr>
        </w:pPr>
        <w:r w:rsidRPr="00C92805">
          <w:rPr>
            <w:b/>
            <w:noProof/>
            <w:color w:val="495965" w:themeColor="text2"/>
            <w:lang w:val="en-AU" w:eastAsia="en-AU"/>
          </w:rPr>
          <w:drawing>
            <wp:anchor distT="0" distB="0" distL="114300" distR="114300" simplePos="0" relativeHeight="251659264" behindDoc="1" locked="0" layoutInCell="1" allowOverlap="1" wp14:anchorId="7EA84C90" wp14:editId="1D044EFD">
              <wp:simplePos x="0" y="0"/>
              <wp:positionH relativeFrom="margin">
                <wp:posOffset>-120650</wp:posOffset>
              </wp:positionH>
              <wp:positionV relativeFrom="page">
                <wp:posOffset>9798050</wp:posOffset>
              </wp:positionV>
              <wp:extent cx="6931025" cy="539739"/>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952238" cy="541391"/>
                      </a:xfrm>
                      <a:prstGeom prst="rect">
                        <a:avLst/>
                      </a:prstGeom>
                    </pic:spPr>
                  </pic:pic>
                </a:graphicData>
              </a:graphic>
              <wp14:sizeRelH relativeFrom="margin">
                <wp14:pctWidth>0</wp14:pctWidth>
              </wp14:sizeRelH>
              <wp14:sizeRelV relativeFrom="margin">
                <wp14:pctHeight>0</wp14:pctHeight>
              </wp14:sizeRelV>
            </wp:anchor>
          </w:drawing>
        </w:r>
        <w:r>
          <w:rPr>
            <w:b/>
            <w:noProof/>
            <w:color w:val="495965" w:themeColor="text2"/>
            <w:lang w:val="en-AU" w:eastAsia="en-AU"/>
          </w:rPr>
          <w:tab/>
        </w:r>
        <w:r w:rsidRPr="007002E3">
          <w:rPr>
            <w:bCs/>
            <w:noProof/>
            <w:color w:val="auto"/>
            <w:lang w:val="en-AU" w:eastAsia="en-AU"/>
          </w:rPr>
          <w:fldChar w:fldCharType="begin"/>
        </w:r>
        <w:r w:rsidRPr="007002E3">
          <w:rPr>
            <w:bCs/>
            <w:noProof/>
            <w:color w:val="auto"/>
            <w:lang w:val="en-AU" w:eastAsia="en-AU"/>
          </w:rPr>
          <w:instrText xml:space="preserve"> PAGE   \* MERGEFORMAT </w:instrText>
        </w:r>
        <w:r w:rsidRPr="007002E3">
          <w:rPr>
            <w:bCs/>
            <w:noProof/>
            <w:color w:val="auto"/>
            <w:lang w:val="en-AU" w:eastAsia="en-AU"/>
          </w:rPr>
          <w:fldChar w:fldCharType="separate"/>
        </w:r>
        <w:r>
          <w:rPr>
            <w:bCs/>
            <w:noProof/>
            <w:color w:val="auto"/>
            <w:lang w:val="en-AU" w:eastAsia="en-AU"/>
          </w:rPr>
          <w:t>1</w:t>
        </w:r>
        <w:r w:rsidRPr="007002E3">
          <w:rPr>
            <w:bCs/>
            <w:noProof/>
            <w:color w:val="auto"/>
            <w:lang w:val="en-AU" w:eastAsia="en-AU"/>
          </w:rPr>
          <w:fldChar w:fldCharType="end"/>
        </w:r>
      </w:p>
      <w:p w14:paraId="607ACF7B" w14:textId="0A767D0F" w:rsidR="00F269F3" w:rsidRDefault="00F269F3" w:rsidP="00A4046A">
        <w:pPr>
          <w:pStyle w:val="Footer"/>
          <w:jc w:val="left"/>
          <w:rPr>
            <w:color w:val="auto"/>
          </w:rPr>
        </w:pPr>
      </w:p>
      <w:p w14:paraId="660D9153" w14:textId="3C250C05" w:rsidR="00F269F3" w:rsidRPr="00A4046A" w:rsidRDefault="00C73104" w:rsidP="00A4046A">
        <w:pPr>
          <w:pStyle w:val="Footer"/>
          <w:jc w:val="center"/>
          <w:rPr>
            <w:noProof/>
            <w:color w:val="auto"/>
            <w:sz w:val="20"/>
            <w:szCs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auto"/>
      </w:rPr>
      <w:id w:val="161368827"/>
      <w:docPartObj>
        <w:docPartGallery w:val="Page Numbers (Bottom of Page)"/>
        <w:docPartUnique/>
      </w:docPartObj>
    </w:sdtPr>
    <w:sdtEndPr/>
    <w:sdtContent>
      <w:p w14:paraId="4956F46F" w14:textId="31D6B78C" w:rsidR="00F269F3" w:rsidRPr="00854F69" w:rsidRDefault="00F269F3" w:rsidP="00880EFD">
        <w:pPr>
          <w:pStyle w:val="Footer"/>
          <w:ind w:right="198"/>
          <w:rPr>
            <w:b/>
            <w:noProof/>
            <w:color w:val="495965" w:themeColor="text2"/>
            <w:lang w:val="en-AU" w:eastAsia="en-AU"/>
          </w:rPr>
        </w:pPr>
        <w:r w:rsidRPr="00C92805">
          <w:rPr>
            <w:b/>
            <w:noProof/>
            <w:color w:val="495965" w:themeColor="text2"/>
            <w:lang w:val="en-AU" w:eastAsia="en-AU"/>
          </w:rPr>
          <w:drawing>
            <wp:anchor distT="0" distB="0" distL="114300" distR="114300" simplePos="0" relativeHeight="251661312" behindDoc="1" locked="0" layoutInCell="1" allowOverlap="1" wp14:anchorId="2A808713" wp14:editId="5691AE5C">
              <wp:simplePos x="0" y="0"/>
              <wp:positionH relativeFrom="margin">
                <wp:posOffset>-120650</wp:posOffset>
              </wp:positionH>
              <wp:positionV relativeFrom="page">
                <wp:posOffset>9785350</wp:posOffset>
              </wp:positionV>
              <wp:extent cx="6931025" cy="565150"/>
              <wp:effectExtent l="0" t="0" r="3175" b="635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935967" cy="565553"/>
                      </a:xfrm>
                      <a:prstGeom prst="rect">
                        <a:avLst/>
                      </a:prstGeom>
                    </pic:spPr>
                  </pic:pic>
                </a:graphicData>
              </a:graphic>
              <wp14:sizeRelH relativeFrom="margin">
                <wp14:pctWidth>0</wp14:pctWidth>
              </wp14:sizeRelH>
              <wp14:sizeRelV relativeFrom="margin">
                <wp14:pctHeight>0</wp14:pctHeight>
              </wp14:sizeRelV>
            </wp:anchor>
          </w:drawing>
        </w:r>
        <w:r>
          <w:rPr>
            <w:b/>
            <w:noProof/>
            <w:color w:val="495965" w:themeColor="text2"/>
            <w:lang w:val="en-AU" w:eastAsia="en-AU"/>
          </w:rPr>
          <w:t>November</w:t>
        </w:r>
        <w:r w:rsidRPr="00C92805">
          <w:rPr>
            <w:b/>
            <w:noProof/>
            <w:color w:val="495965" w:themeColor="text2"/>
            <w:lang w:val="en-AU" w:eastAsia="en-AU"/>
          </w:rPr>
          <w:t xml:space="preserve"> </w:t>
        </w:r>
        <w:r>
          <w:rPr>
            <w:b/>
            <w:noProof/>
            <w:color w:val="495965" w:themeColor="text2"/>
            <w:lang w:val="en-AU" w:eastAsia="en-AU"/>
          </w:rPr>
          <w:t>20</w:t>
        </w:r>
        <w:r w:rsidRPr="00C92805">
          <w:rPr>
            <w:b/>
            <w:noProof/>
            <w:color w:val="495965" w:themeColor="text2"/>
            <w:lang w:val="en-AU" w:eastAsia="en-AU"/>
          </w:rPr>
          <w:t>2</w:t>
        </w:r>
        <w:r>
          <w:rPr>
            <w:b/>
            <w:noProof/>
            <w:color w:val="495965" w:themeColor="text2"/>
            <w:lang w:val="en-AU" w:eastAsia="en-AU"/>
          </w:rPr>
          <w:t>1</w:t>
        </w:r>
        <w:r>
          <w:rPr>
            <w:b/>
            <w:noProof/>
            <w:color w:val="495965" w:themeColor="text2"/>
            <w:lang w:val="en-AU" w:eastAsia="en-AU"/>
          </w:rPr>
          <w:tab/>
          <w:t xml:space="preserve">  </w:t>
        </w:r>
        <w:r w:rsidRPr="007002E3">
          <w:rPr>
            <w:bCs/>
            <w:noProof/>
            <w:color w:val="auto"/>
            <w:lang w:val="en-AU" w:eastAsia="en-AU"/>
          </w:rPr>
          <w:fldChar w:fldCharType="begin"/>
        </w:r>
        <w:r w:rsidRPr="007002E3">
          <w:rPr>
            <w:bCs/>
            <w:noProof/>
            <w:color w:val="auto"/>
            <w:lang w:val="en-AU" w:eastAsia="en-AU"/>
          </w:rPr>
          <w:instrText xml:space="preserve"> PAGE   \* MERGEFORMAT </w:instrText>
        </w:r>
        <w:r w:rsidRPr="007002E3">
          <w:rPr>
            <w:bCs/>
            <w:noProof/>
            <w:color w:val="auto"/>
            <w:lang w:val="en-AU" w:eastAsia="en-AU"/>
          </w:rPr>
          <w:fldChar w:fldCharType="separate"/>
        </w:r>
        <w:r>
          <w:rPr>
            <w:bCs/>
            <w:noProof/>
            <w:color w:val="auto"/>
            <w:lang w:val="en-AU" w:eastAsia="en-AU"/>
          </w:rPr>
          <w:t>1</w:t>
        </w:r>
        <w:r w:rsidRPr="007002E3">
          <w:rPr>
            <w:bCs/>
            <w:noProof/>
            <w:color w:val="auto"/>
            <w:lang w:val="en-AU" w:eastAsia="en-AU"/>
          </w:rPr>
          <w:fldChar w:fldCharType="end"/>
        </w:r>
      </w:p>
      <w:p w14:paraId="39FFD5D5" w14:textId="27EC2CD4" w:rsidR="00F269F3" w:rsidRDefault="00F269F3" w:rsidP="00A4046A">
        <w:pPr>
          <w:pStyle w:val="Footer"/>
          <w:jc w:val="center"/>
          <w:rPr>
            <w:color w:val="auto"/>
          </w:rPr>
        </w:pPr>
      </w:p>
      <w:p w14:paraId="754B7D4A" w14:textId="047E11CF" w:rsidR="00F269F3" w:rsidRPr="00A4046A" w:rsidRDefault="00C73104" w:rsidP="00A4046A">
        <w:pPr>
          <w:pStyle w:val="Footer"/>
          <w:jc w:val="center"/>
          <w:rPr>
            <w:noProof/>
            <w:color w:val="auto"/>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35ED9B" w14:textId="77777777" w:rsidR="00F269F3" w:rsidRPr="008C5A0E" w:rsidRDefault="00F269F3" w:rsidP="00D37B04">
      <w:pPr>
        <w:pStyle w:val="Footer"/>
      </w:pPr>
    </w:p>
  </w:footnote>
  <w:footnote w:type="continuationSeparator" w:id="0">
    <w:p w14:paraId="2A2DFFB6" w14:textId="77777777" w:rsidR="00F269F3" w:rsidRDefault="00F269F3" w:rsidP="00D37B04">
      <w:r>
        <w:continuationSeparator/>
      </w:r>
    </w:p>
  </w:footnote>
  <w:footnote w:id="1">
    <w:p w14:paraId="14F07885" w14:textId="31E84275" w:rsidR="00F269F3" w:rsidRPr="009413DB" w:rsidRDefault="00F269F3" w:rsidP="00346789">
      <w:pPr>
        <w:pStyle w:val="FootnoteText"/>
        <w:rPr>
          <w:lang w:val="en-US"/>
        </w:rPr>
      </w:pPr>
      <w:r>
        <w:rPr>
          <w:rStyle w:val="FootnoteReference"/>
        </w:rPr>
        <w:footnoteRef/>
      </w:r>
      <w:r>
        <w:t xml:space="preserve"> </w:t>
      </w:r>
      <w:r w:rsidRPr="00B63C7D">
        <w:rPr>
          <w:sz w:val="16"/>
          <w:szCs w:val="16"/>
          <w:lang w:val="en-US"/>
        </w:rPr>
        <w:t>Currency conversion used throughout</w:t>
      </w:r>
      <w:r>
        <w:rPr>
          <w:sz w:val="16"/>
          <w:szCs w:val="16"/>
          <w:lang w:val="en-US"/>
        </w:rPr>
        <w:t xml:space="preserve"> is</w:t>
      </w:r>
      <w:r w:rsidRPr="00B63C7D">
        <w:rPr>
          <w:sz w:val="16"/>
          <w:szCs w:val="16"/>
          <w:lang w:val="en-US"/>
        </w:rPr>
        <w:t xml:space="preserve"> AUD1 = IDR 10,000; USD 1 = 0.7 AUD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5EDF4" w14:textId="77777777" w:rsidR="00F269F3" w:rsidRDefault="00F269F3" w:rsidP="00D0653F">
    <w:pPr>
      <w:pStyle w:val="Header"/>
      <w:ind w:left="0"/>
    </w:pPr>
    <w:bookmarkStart w:id="4" w:name="_Hlk83758746"/>
    <w:bookmarkStart w:id="5" w:name="_Hlk83758290"/>
    <w:r w:rsidRPr="00A12B40">
      <w:rPr>
        <w:i/>
        <w:caps w:val="0"/>
      </w:rPr>
      <w:t>Partnerships for Recove</w:t>
    </w:r>
    <w:bookmarkEnd w:id="4"/>
    <w:r w:rsidRPr="00A12B40">
      <w:rPr>
        <w:i/>
        <w:caps w:val="0"/>
      </w:rPr>
      <w:t>ry</w:t>
    </w:r>
    <w:r w:rsidRPr="00A12B40">
      <w:rPr>
        <w:i/>
        <w:noProof/>
        <w:lang w:val="en-AU" w:eastAsia="en-AU"/>
      </w:rPr>
      <w:drawing>
        <wp:inline distT="0" distB="0" distL="0" distR="0" wp14:anchorId="63269B61" wp14:editId="5B23CE40">
          <wp:extent cx="6718853" cy="707390"/>
          <wp:effectExtent l="0" t="0" r="6350" b="0"/>
          <wp:docPr id="309" name="Picture 3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803267" cy="716277"/>
                  </a:xfrm>
                  <a:prstGeom prst="rect">
                    <a:avLst/>
                  </a:prstGeom>
                </pic:spPr>
              </pic:pic>
            </a:graphicData>
          </a:graphic>
        </wp:inline>
      </w:drawing>
    </w:r>
    <w:bookmarkEnd w:id="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3A321" w14:textId="41907FCE" w:rsidR="00F269F3" w:rsidRPr="0042568A" w:rsidRDefault="00F269F3" w:rsidP="00146C22">
    <w:pPr>
      <w:pStyle w:val="Header"/>
      <w:ind w:left="0"/>
    </w:pPr>
    <w:r>
      <w:rPr>
        <w:noProof/>
      </w:rPr>
      <w:drawing>
        <wp:inline distT="0" distB="0" distL="0" distR="0" wp14:anchorId="6611D142" wp14:editId="0EE7C9C8">
          <wp:extent cx="6694170" cy="1249680"/>
          <wp:effectExtent l="0" t="0" r="0" b="7620"/>
          <wp:docPr id="16" name="Picture 16" descr="Australian Government DFAT logo and Australian Ai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FAT logo and Australian Aid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452" cy="1250666"/>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87B32" w14:textId="77777777" w:rsidR="00F269F3" w:rsidRDefault="00F269F3" w:rsidP="00D0653F">
    <w:pPr>
      <w:pStyle w:val="Header"/>
      <w:ind w:left="0"/>
    </w:pPr>
    <w:r w:rsidRPr="00A12B40">
      <w:rPr>
        <w:i/>
        <w:caps w:val="0"/>
      </w:rPr>
      <w:t>Partnerships for Recovery</w:t>
    </w:r>
    <w:r w:rsidRPr="00A12B40">
      <w:rPr>
        <w:i/>
        <w:noProof/>
        <w:lang w:val="en-AU" w:eastAsia="en-AU"/>
      </w:rPr>
      <w:drawing>
        <wp:inline distT="0" distB="0" distL="0" distR="0" wp14:anchorId="3B9B0B80" wp14:editId="4614FB47">
          <wp:extent cx="6718853" cy="707390"/>
          <wp:effectExtent l="0" t="0" r="635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803267" cy="7162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AFE457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634DB6"/>
    <w:multiLevelType w:val="hybridMultilevel"/>
    <w:tmpl w:val="4434CD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DF06AC3"/>
    <w:multiLevelType w:val="hybridMultilevel"/>
    <w:tmpl w:val="CFC098A4"/>
    <w:lvl w:ilvl="0" w:tplc="B7968C8E">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5" w15:restartNumberingAfterBreak="0">
    <w:nsid w:val="1EE31FFD"/>
    <w:multiLevelType w:val="hybridMultilevel"/>
    <w:tmpl w:val="CAF48F8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6" w15:restartNumberingAfterBreak="0">
    <w:nsid w:val="1F0548BC"/>
    <w:multiLevelType w:val="hybridMultilevel"/>
    <w:tmpl w:val="26D04D08"/>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742708"/>
    <w:multiLevelType w:val="hybridMultilevel"/>
    <w:tmpl w:val="038A41AA"/>
    <w:lvl w:ilvl="0" w:tplc="5DD638C4">
      <w:start w:val="1"/>
      <w:numFmt w:val="bullet"/>
      <w:lvlText w:val=""/>
      <w:lvlJc w:val="left"/>
      <w:pPr>
        <w:ind w:left="360" w:hanging="360"/>
      </w:pPr>
      <w:rPr>
        <w:rFonts w:ascii="Symbol" w:hAnsi="Symbol" w:hint="default"/>
      </w:rPr>
    </w:lvl>
    <w:lvl w:ilvl="1" w:tplc="86C4868A">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27AD46E6"/>
    <w:multiLevelType w:val="hybridMultilevel"/>
    <w:tmpl w:val="7570CE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15:restartNumberingAfterBreak="0">
    <w:nsid w:val="32F474CF"/>
    <w:multiLevelType w:val="hybridMultilevel"/>
    <w:tmpl w:val="DC204F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F132CE"/>
    <w:multiLevelType w:val="multilevel"/>
    <w:tmpl w:val="3B7A10DE"/>
    <w:numStyleLink w:val="BulletsList"/>
  </w:abstractNum>
  <w:abstractNum w:abstractNumId="12" w15:restartNumberingAfterBreak="0">
    <w:nsid w:val="3A854A3D"/>
    <w:multiLevelType w:val="hybridMultilevel"/>
    <w:tmpl w:val="B8BED28E"/>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44257C"/>
    <w:multiLevelType w:val="hybridMultilevel"/>
    <w:tmpl w:val="728CD33A"/>
    <w:lvl w:ilvl="0" w:tplc="0C090001">
      <w:start w:val="1"/>
      <w:numFmt w:val="bullet"/>
      <w:lvlText w:val=""/>
      <w:lvlJc w:val="left"/>
      <w:pPr>
        <w:ind w:left="1353" w:hanging="360"/>
      </w:pPr>
      <w:rPr>
        <w:rFonts w:ascii="Symbol" w:hAnsi="Symbol"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14" w15:restartNumberingAfterBreak="0">
    <w:nsid w:val="402512C0"/>
    <w:multiLevelType w:val="hybridMultilevel"/>
    <w:tmpl w:val="0372A9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36C450B"/>
    <w:multiLevelType w:val="hybridMultilevel"/>
    <w:tmpl w:val="F33E5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DF0A07"/>
    <w:multiLevelType w:val="hybridMultilevel"/>
    <w:tmpl w:val="B7E0A20E"/>
    <w:lvl w:ilvl="0" w:tplc="C2B656C8">
      <w:start w:val="202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4A148B"/>
    <w:multiLevelType w:val="hybridMultilevel"/>
    <w:tmpl w:val="FC90C7DA"/>
    <w:lvl w:ilvl="0" w:tplc="59463C12">
      <w:start w:val="6"/>
      <w:numFmt w:val="bullet"/>
      <w:lvlText w:val="-"/>
      <w:lvlJc w:val="left"/>
      <w:pPr>
        <w:ind w:left="269" w:hanging="360"/>
      </w:pPr>
      <w:rPr>
        <w:rFonts w:ascii="Calibri" w:eastAsiaTheme="minorHAnsi" w:hAnsi="Calibri" w:cs="Calibri" w:hint="default"/>
      </w:rPr>
    </w:lvl>
    <w:lvl w:ilvl="1" w:tplc="0C090003" w:tentative="1">
      <w:start w:val="1"/>
      <w:numFmt w:val="bullet"/>
      <w:lvlText w:val="o"/>
      <w:lvlJc w:val="left"/>
      <w:pPr>
        <w:ind w:left="989" w:hanging="360"/>
      </w:pPr>
      <w:rPr>
        <w:rFonts w:ascii="Courier New" w:hAnsi="Courier New" w:cs="Courier New" w:hint="default"/>
      </w:rPr>
    </w:lvl>
    <w:lvl w:ilvl="2" w:tplc="0C090005" w:tentative="1">
      <w:start w:val="1"/>
      <w:numFmt w:val="bullet"/>
      <w:lvlText w:val=""/>
      <w:lvlJc w:val="left"/>
      <w:pPr>
        <w:ind w:left="1709" w:hanging="360"/>
      </w:pPr>
      <w:rPr>
        <w:rFonts w:ascii="Wingdings" w:hAnsi="Wingdings" w:hint="default"/>
      </w:rPr>
    </w:lvl>
    <w:lvl w:ilvl="3" w:tplc="0C090001" w:tentative="1">
      <w:start w:val="1"/>
      <w:numFmt w:val="bullet"/>
      <w:lvlText w:val=""/>
      <w:lvlJc w:val="left"/>
      <w:pPr>
        <w:ind w:left="2429" w:hanging="360"/>
      </w:pPr>
      <w:rPr>
        <w:rFonts w:ascii="Symbol" w:hAnsi="Symbol" w:hint="default"/>
      </w:rPr>
    </w:lvl>
    <w:lvl w:ilvl="4" w:tplc="0C090003" w:tentative="1">
      <w:start w:val="1"/>
      <w:numFmt w:val="bullet"/>
      <w:lvlText w:val="o"/>
      <w:lvlJc w:val="left"/>
      <w:pPr>
        <w:ind w:left="3149" w:hanging="360"/>
      </w:pPr>
      <w:rPr>
        <w:rFonts w:ascii="Courier New" w:hAnsi="Courier New" w:cs="Courier New" w:hint="default"/>
      </w:rPr>
    </w:lvl>
    <w:lvl w:ilvl="5" w:tplc="0C090005" w:tentative="1">
      <w:start w:val="1"/>
      <w:numFmt w:val="bullet"/>
      <w:lvlText w:val=""/>
      <w:lvlJc w:val="left"/>
      <w:pPr>
        <w:ind w:left="3869" w:hanging="360"/>
      </w:pPr>
      <w:rPr>
        <w:rFonts w:ascii="Wingdings" w:hAnsi="Wingdings" w:hint="default"/>
      </w:rPr>
    </w:lvl>
    <w:lvl w:ilvl="6" w:tplc="0C090001" w:tentative="1">
      <w:start w:val="1"/>
      <w:numFmt w:val="bullet"/>
      <w:lvlText w:val=""/>
      <w:lvlJc w:val="left"/>
      <w:pPr>
        <w:ind w:left="4589" w:hanging="360"/>
      </w:pPr>
      <w:rPr>
        <w:rFonts w:ascii="Symbol" w:hAnsi="Symbol" w:hint="default"/>
      </w:rPr>
    </w:lvl>
    <w:lvl w:ilvl="7" w:tplc="0C090003" w:tentative="1">
      <w:start w:val="1"/>
      <w:numFmt w:val="bullet"/>
      <w:lvlText w:val="o"/>
      <w:lvlJc w:val="left"/>
      <w:pPr>
        <w:ind w:left="5309" w:hanging="360"/>
      </w:pPr>
      <w:rPr>
        <w:rFonts w:ascii="Courier New" w:hAnsi="Courier New" w:cs="Courier New" w:hint="default"/>
      </w:rPr>
    </w:lvl>
    <w:lvl w:ilvl="8" w:tplc="0C090005" w:tentative="1">
      <w:start w:val="1"/>
      <w:numFmt w:val="bullet"/>
      <w:lvlText w:val=""/>
      <w:lvlJc w:val="left"/>
      <w:pPr>
        <w:ind w:left="6029" w:hanging="360"/>
      </w:pPr>
      <w:rPr>
        <w:rFonts w:ascii="Wingdings" w:hAnsi="Wingdings" w:hint="default"/>
      </w:rPr>
    </w:lvl>
  </w:abstractNum>
  <w:abstractNum w:abstractNumId="18" w15:restartNumberingAfterBreak="0">
    <w:nsid w:val="4EB83CEB"/>
    <w:multiLevelType w:val="hybridMultilevel"/>
    <w:tmpl w:val="81E83F4C"/>
    <w:lvl w:ilvl="0" w:tplc="0C090001">
      <w:start w:val="1"/>
      <w:numFmt w:val="bullet"/>
      <w:lvlText w:val=""/>
      <w:lvlJc w:val="left"/>
      <w:pPr>
        <w:ind w:left="360" w:hanging="360"/>
      </w:pPr>
      <w:rPr>
        <w:rFonts w:ascii="Symbol" w:hAnsi="Symbol" w:hint="default"/>
      </w:rPr>
    </w:lvl>
    <w:lvl w:ilvl="1" w:tplc="59463C12">
      <w:start w:val="6"/>
      <w:numFmt w:val="bullet"/>
      <w:lvlText w:val="-"/>
      <w:lvlJc w:val="left"/>
      <w:pPr>
        <w:ind w:left="1080" w:hanging="36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FE07C55"/>
    <w:multiLevelType w:val="hybridMultilevel"/>
    <w:tmpl w:val="4434CD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08669A6"/>
    <w:multiLevelType w:val="hybridMultilevel"/>
    <w:tmpl w:val="96EC6980"/>
    <w:lvl w:ilvl="0" w:tplc="C28AABD2">
      <w:start w:val="1"/>
      <w:numFmt w:val="bullet"/>
      <w:lvlText w:val="•"/>
      <w:lvlJc w:val="left"/>
      <w:pPr>
        <w:ind w:left="816" w:hanging="360"/>
      </w:pPr>
      <w:rPr>
        <w:rFonts w:ascii="Arial" w:hAnsi="Aria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21" w15:restartNumberingAfterBreak="0">
    <w:nsid w:val="51100950"/>
    <w:multiLevelType w:val="hybridMultilevel"/>
    <w:tmpl w:val="ED765C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2FA163C"/>
    <w:multiLevelType w:val="hybridMultilevel"/>
    <w:tmpl w:val="6310F7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957300B"/>
    <w:multiLevelType w:val="multilevel"/>
    <w:tmpl w:val="DE7CBDBE"/>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Arial" w:hAnsi="Arial" w:hint="default"/>
      </w:rPr>
    </w:lvl>
    <w:lvl w:ilvl="2">
      <w:start w:val="1"/>
      <w:numFmt w:val="bullet"/>
      <w:lvlText w:val="»"/>
      <w:lvlJc w:val="left"/>
      <w:pPr>
        <w:tabs>
          <w:tab w:val="num" w:pos="852"/>
        </w:tabs>
        <w:ind w:left="852" w:hanging="284"/>
      </w:pPr>
      <w:rPr>
        <w:rFonts w:ascii="Arial" w:hAnsi="Arial" w:hint="default"/>
      </w:rPr>
    </w:lvl>
    <w:lvl w:ilvl="3">
      <w:start w:val="1"/>
      <w:numFmt w:val="decimal"/>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2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5" w15:restartNumberingAfterBreak="0">
    <w:nsid w:val="5BD54DA3"/>
    <w:multiLevelType w:val="hybridMultilevel"/>
    <w:tmpl w:val="4A145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7D667C"/>
    <w:multiLevelType w:val="hybridMultilevel"/>
    <w:tmpl w:val="ED2C4C28"/>
    <w:lvl w:ilvl="0" w:tplc="C28AABD2">
      <w:start w:val="1"/>
      <w:numFmt w:val="bullet"/>
      <w:lvlText w:val="•"/>
      <w:lvlJc w:val="left"/>
      <w:pPr>
        <w:ind w:left="816" w:hanging="360"/>
      </w:pPr>
      <w:rPr>
        <w:rFonts w:ascii="Arial" w:hAnsi="Aria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2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8" w15:restartNumberingAfterBreak="0">
    <w:nsid w:val="60DC3033"/>
    <w:multiLevelType w:val="hybridMultilevel"/>
    <w:tmpl w:val="9D040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F81736"/>
    <w:multiLevelType w:val="hybridMultilevel"/>
    <w:tmpl w:val="5FA847FC"/>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4B530B"/>
    <w:multiLevelType w:val="hybridMultilevel"/>
    <w:tmpl w:val="4434CD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A1212DD"/>
    <w:multiLevelType w:val="hybridMultilevel"/>
    <w:tmpl w:val="1AE2A2CA"/>
    <w:lvl w:ilvl="0" w:tplc="A782CD8A">
      <w:start w:val="1"/>
      <w:numFmt w:val="bullet"/>
      <w:pStyle w:val="ListBullet"/>
      <w:lvlText w:val=""/>
      <w:lvlJc w:val="left"/>
      <w:pPr>
        <w:ind w:left="360" w:hanging="360"/>
      </w:pPr>
      <w:rPr>
        <w:rFonts w:ascii="Wingdings" w:hAnsi="Wingdings" w:hint="default"/>
        <w:color w:val="65C5B4" w:themeColor="accen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CAC5D79"/>
    <w:multiLevelType w:val="hybridMultilevel"/>
    <w:tmpl w:val="D714D16E"/>
    <w:lvl w:ilvl="0" w:tplc="DF22A0BC">
      <w:start w:val="202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107305"/>
    <w:multiLevelType w:val="multilevel"/>
    <w:tmpl w:val="3B7A10D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4" w15:restartNumberingAfterBreak="0">
    <w:nsid w:val="73166602"/>
    <w:multiLevelType w:val="hybridMultilevel"/>
    <w:tmpl w:val="71381298"/>
    <w:lvl w:ilvl="0" w:tplc="59463C12">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4BE7A65"/>
    <w:multiLevelType w:val="hybridMultilevel"/>
    <w:tmpl w:val="A4D4C220"/>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7" w15:restartNumberingAfterBreak="0">
    <w:nsid w:val="7D0D33EF"/>
    <w:multiLevelType w:val="hybridMultilevel"/>
    <w:tmpl w:val="0AC2FD7E"/>
    <w:lvl w:ilvl="0" w:tplc="84F409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3"/>
  </w:num>
  <w:num w:numId="2">
    <w:abstractNumId w:val="2"/>
  </w:num>
  <w:num w:numId="3">
    <w:abstractNumId w:val="9"/>
  </w:num>
  <w:num w:numId="4">
    <w:abstractNumId w:val="24"/>
  </w:num>
  <w:num w:numId="5">
    <w:abstractNumId w:val="27"/>
  </w:num>
  <w:num w:numId="6">
    <w:abstractNumId w:val="9"/>
  </w:num>
  <w:num w:numId="7">
    <w:abstractNumId w:val="2"/>
  </w:num>
  <w:num w:numId="8">
    <w:abstractNumId w:val="4"/>
  </w:num>
  <w:num w:numId="9">
    <w:abstractNumId w:val="36"/>
  </w:num>
  <w:num w:numId="10">
    <w:abstractNumId w:val="11"/>
  </w:num>
  <w:num w:numId="11">
    <w:abstractNumId w:val="20"/>
  </w:num>
  <w:num w:numId="12">
    <w:abstractNumId w:val="21"/>
  </w:num>
  <w:num w:numId="13">
    <w:abstractNumId w:val="0"/>
  </w:num>
  <w:num w:numId="14">
    <w:abstractNumId w:val="17"/>
  </w:num>
  <w:num w:numId="15">
    <w:abstractNumId w:val="25"/>
  </w:num>
  <w:num w:numId="16">
    <w:abstractNumId w:val="29"/>
  </w:num>
  <w:num w:numId="17">
    <w:abstractNumId w:val="6"/>
  </w:num>
  <w:num w:numId="18">
    <w:abstractNumId w:val="26"/>
  </w:num>
  <w:num w:numId="19">
    <w:abstractNumId w:val="35"/>
  </w:num>
  <w:num w:numId="20">
    <w:abstractNumId w:val="14"/>
  </w:num>
  <w:num w:numId="21">
    <w:abstractNumId w:val="34"/>
  </w:num>
  <w:num w:numId="22">
    <w:abstractNumId w:val="12"/>
  </w:num>
  <w:num w:numId="23">
    <w:abstractNumId w:val="3"/>
  </w:num>
  <w:num w:numId="24">
    <w:abstractNumId w:val="32"/>
  </w:num>
  <w:num w:numId="25">
    <w:abstractNumId w:val="37"/>
  </w:num>
  <w:num w:numId="26">
    <w:abstractNumId w:val="16"/>
  </w:num>
  <w:num w:numId="27">
    <w:abstractNumId w:val="28"/>
  </w:num>
  <w:num w:numId="28">
    <w:abstractNumId w:val="31"/>
  </w:num>
  <w:num w:numId="29">
    <w:abstractNumId w:val="15"/>
  </w:num>
  <w:num w:numId="30">
    <w:abstractNumId w:val="8"/>
  </w:num>
  <w:num w:numId="31">
    <w:abstractNumId w:val="8"/>
  </w:num>
  <w:num w:numId="32">
    <w:abstractNumId w:val="22"/>
  </w:num>
  <w:num w:numId="33">
    <w:abstractNumId w:val="5"/>
  </w:num>
  <w:num w:numId="34">
    <w:abstractNumId w:val="18"/>
  </w:num>
  <w:num w:numId="35">
    <w:abstractNumId w:val="7"/>
  </w:num>
  <w:num w:numId="36">
    <w:abstractNumId w:val="10"/>
  </w:num>
  <w:num w:numId="37">
    <w:abstractNumId w:val="19"/>
  </w:num>
  <w:num w:numId="38">
    <w:abstractNumId w:val="1"/>
  </w:num>
  <w:num w:numId="39">
    <w:abstractNumId w:val="30"/>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58"/>
    <w:rsid w:val="000005F0"/>
    <w:rsid w:val="00001DA8"/>
    <w:rsid w:val="000020C1"/>
    <w:rsid w:val="00010006"/>
    <w:rsid w:val="00011235"/>
    <w:rsid w:val="000159F9"/>
    <w:rsid w:val="00015AB7"/>
    <w:rsid w:val="00016B6F"/>
    <w:rsid w:val="0002080A"/>
    <w:rsid w:val="00021DA4"/>
    <w:rsid w:val="0002211C"/>
    <w:rsid w:val="0002782F"/>
    <w:rsid w:val="00031486"/>
    <w:rsid w:val="000314BA"/>
    <w:rsid w:val="00035BBF"/>
    <w:rsid w:val="00035CBC"/>
    <w:rsid w:val="000417C3"/>
    <w:rsid w:val="000438A0"/>
    <w:rsid w:val="000444F3"/>
    <w:rsid w:val="00050806"/>
    <w:rsid w:val="000546D9"/>
    <w:rsid w:val="00054E4D"/>
    <w:rsid w:val="00055880"/>
    <w:rsid w:val="00056F24"/>
    <w:rsid w:val="00057D8F"/>
    <w:rsid w:val="00060073"/>
    <w:rsid w:val="00061050"/>
    <w:rsid w:val="000616C6"/>
    <w:rsid w:val="000623B5"/>
    <w:rsid w:val="00062B2A"/>
    <w:rsid w:val="00064E29"/>
    <w:rsid w:val="0007173D"/>
    <w:rsid w:val="0007448B"/>
    <w:rsid w:val="000769B9"/>
    <w:rsid w:val="000822AD"/>
    <w:rsid w:val="000854FD"/>
    <w:rsid w:val="00086B97"/>
    <w:rsid w:val="000940DE"/>
    <w:rsid w:val="000A407E"/>
    <w:rsid w:val="000B37F5"/>
    <w:rsid w:val="000B5DA7"/>
    <w:rsid w:val="000B78E6"/>
    <w:rsid w:val="000C3A4C"/>
    <w:rsid w:val="000C426F"/>
    <w:rsid w:val="000C4411"/>
    <w:rsid w:val="000C55D4"/>
    <w:rsid w:val="000D07EB"/>
    <w:rsid w:val="000D2896"/>
    <w:rsid w:val="000D4125"/>
    <w:rsid w:val="000D66D6"/>
    <w:rsid w:val="000D7810"/>
    <w:rsid w:val="000D7A0A"/>
    <w:rsid w:val="000E15B2"/>
    <w:rsid w:val="000E2F36"/>
    <w:rsid w:val="000E58BF"/>
    <w:rsid w:val="000E6C44"/>
    <w:rsid w:val="000F0D1F"/>
    <w:rsid w:val="000F2600"/>
    <w:rsid w:val="000F3A9C"/>
    <w:rsid w:val="000F78C9"/>
    <w:rsid w:val="001043BD"/>
    <w:rsid w:val="00104823"/>
    <w:rsid w:val="00111111"/>
    <w:rsid w:val="00112D1F"/>
    <w:rsid w:val="00113288"/>
    <w:rsid w:val="0011736E"/>
    <w:rsid w:val="00117B80"/>
    <w:rsid w:val="001214BE"/>
    <w:rsid w:val="0012165D"/>
    <w:rsid w:val="00121DDD"/>
    <w:rsid w:val="001227F1"/>
    <w:rsid w:val="00126B1D"/>
    <w:rsid w:val="0013101C"/>
    <w:rsid w:val="00137F4E"/>
    <w:rsid w:val="001441DA"/>
    <w:rsid w:val="00144B0E"/>
    <w:rsid w:val="001461D6"/>
    <w:rsid w:val="00146C22"/>
    <w:rsid w:val="00146E07"/>
    <w:rsid w:val="0014DD82"/>
    <w:rsid w:val="001541EA"/>
    <w:rsid w:val="00155B36"/>
    <w:rsid w:val="0016223D"/>
    <w:rsid w:val="00166032"/>
    <w:rsid w:val="001662F8"/>
    <w:rsid w:val="00172401"/>
    <w:rsid w:val="00180780"/>
    <w:rsid w:val="001841C8"/>
    <w:rsid w:val="00186100"/>
    <w:rsid w:val="00186B4B"/>
    <w:rsid w:val="00193C49"/>
    <w:rsid w:val="001A01CD"/>
    <w:rsid w:val="001A441E"/>
    <w:rsid w:val="001A4680"/>
    <w:rsid w:val="001A51EE"/>
    <w:rsid w:val="001A7815"/>
    <w:rsid w:val="001A7B6F"/>
    <w:rsid w:val="001B2967"/>
    <w:rsid w:val="001B6D24"/>
    <w:rsid w:val="001B78DA"/>
    <w:rsid w:val="001C14F4"/>
    <w:rsid w:val="001C1518"/>
    <w:rsid w:val="001C1F11"/>
    <w:rsid w:val="001C3C75"/>
    <w:rsid w:val="001C7200"/>
    <w:rsid w:val="001C7E3F"/>
    <w:rsid w:val="001D1A8F"/>
    <w:rsid w:val="001D3C98"/>
    <w:rsid w:val="001D4091"/>
    <w:rsid w:val="001D663E"/>
    <w:rsid w:val="001E0043"/>
    <w:rsid w:val="001E03BE"/>
    <w:rsid w:val="001E1DC0"/>
    <w:rsid w:val="001E2547"/>
    <w:rsid w:val="001E29C3"/>
    <w:rsid w:val="001E563B"/>
    <w:rsid w:val="001E6D20"/>
    <w:rsid w:val="001F16E7"/>
    <w:rsid w:val="001F2624"/>
    <w:rsid w:val="001F7A8B"/>
    <w:rsid w:val="001F7F4D"/>
    <w:rsid w:val="0022169D"/>
    <w:rsid w:val="002231BD"/>
    <w:rsid w:val="002270F7"/>
    <w:rsid w:val="00233195"/>
    <w:rsid w:val="002404E8"/>
    <w:rsid w:val="002412BF"/>
    <w:rsid w:val="00244229"/>
    <w:rsid w:val="00244BD0"/>
    <w:rsid w:val="002455C1"/>
    <w:rsid w:val="00247365"/>
    <w:rsid w:val="00255877"/>
    <w:rsid w:val="00255F45"/>
    <w:rsid w:val="00261565"/>
    <w:rsid w:val="0026506A"/>
    <w:rsid w:val="002653B0"/>
    <w:rsid w:val="00266E22"/>
    <w:rsid w:val="00266F28"/>
    <w:rsid w:val="002674CE"/>
    <w:rsid w:val="00270C70"/>
    <w:rsid w:val="002721B5"/>
    <w:rsid w:val="00281047"/>
    <w:rsid w:val="00283609"/>
    <w:rsid w:val="0028602A"/>
    <w:rsid w:val="00292337"/>
    <w:rsid w:val="002945C4"/>
    <w:rsid w:val="0029663F"/>
    <w:rsid w:val="00297258"/>
    <w:rsid w:val="00297FD1"/>
    <w:rsid w:val="002A107D"/>
    <w:rsid w:val="002A3422"/>
    <w:rsid w:val="002A5889"/>
    <w:rsid w:val="002B08C6"/>
    <w:rsid w:val="002B3381"/>
    <w:rsid w:val="002B3888"/>
    <w:rsid w:val="002B453A"/>
    <w:rsid w:val="002B4D4F"/>
    <w:rsid w:val="002B5051"/>
    <w:rsid w:val="002B5E10"/>
    <w:rsid w:val="002C185F"/>
    <w:rsid w:val="002C793D"/>
    <w:rsid w:val="002D35C9"/>
    <w:rsid w:val="002D4108"/>
    <w:rsid w:val="002D430F"/>
    <w:rsid w:val="002D5B25"/>
    <w:rsid w:val="002D6659"/>
    <w:rsid w:val="002E2AF4"/>
    <w:rsid w:val="002E36CC"/>
    <w:rsid w:val="002E387B"/>
    <w:rsid w:val="002E38B2"/>
    <w:rsid w:val="002E500A"/>
    <w:rsid w:val="002E6BDA"/>
    <w:rsid w:val="002F03FB"/>
    <w:rsid w:val="002F1208"/>
    <w:rsid w:val="002F4F2B"/>
    <w:rsid w:val="002F51C0"/>
    <w:rsid w:val="002F5739"/>
    <w:rsid w:val="003002C0"/>
    <w:rsid w:val="00301144"/>
    <w:rsid w:val="003031C6"/>
    <w:rsid w:val="00304984"/>
    <w:rsid w:val="00306832"/>
    <w:rsid w:val="00311946"/>
    <w:rsid w:val="00312BF8"/>
    <w:rsid w:val="003148B7"/>
    <w:rsid w:val="003158C3"/>
    <w:rsid w:val="003207E2"/>
    <w:rsid w:val="00323A0C"/>
    <w:rsid w:val="00325DD6"/>
    <w:rsid w:val="003274CD"/>
    <w:rsid w:val="0033347A"/>
    <w:rsid w:val="00333501"/>
    <w:rsid w:val="003406AF"/>
    <w:rsid w:val="00340D87"/>
    <w:rsid w:val="00342128"/>
    <w:rsid w:val="003457C4"/>
    <w:rsid w:val="00346789"/>
    <w:rsid w:val="00346C81"/>
    <w:rsid w:val="0035119D"/>
    <w:rsid w:val="00352A91"/>
    <w:rsid w:val="00354641"/>
    <w:rsid w:val="00356173"/>
    <w:rsid w:val="003565B7"/>
    <w:rsid w:val="0036214F"/>
    <w:rsid w:val="003664FE"/>
    <w:rsid w:val="003675F6"/>
    <w:rsid w:val="00375D23"/>
    <w:rsid w:val="003761A8"/>
    <w:rsid w:val="00377A59"/>
    <w:rsid w:val="003806FE"/>
    <w:rsid w:val="00382CE7"/>
    <w:rsid w:val="00383A24"/>
    <w:rsid w:val="00387EC8"/>
    <w:rsid w:val="00390140"/>
    <w:rsid w:val="0039209B"/>
    <w:rsid w:val="0039215F"/>
    <w:rsid w:val="0039344A"/>
    <w:rsid w:val="003A6561"/>
    <w:rsid w:val="003B10A4"/>
    <w:rsid w:val="003B2932"/>
    <w:rsid w:val="003B3091"/>
    <w:rsid w:val="003B3E79"/>
    <w:rsid w:val="003B4F12"/>
    <w:rsid w:val="003B6D7E"/>
    <w:rsid w:val="003B7717"/>
    <w:rsid w:val="003C1E30"/>
    <w:rsid w:val="003C5210"/>
    <w:rsid w:val="003C618D"/>
    <w:rsid w:val="003C6C4F"/>
    <w:rsid w:val="003C7D0E"/>
    <w:rsid w:val="003D1253"/>
    <w:rsid w:val="003D3964"/>
    <w:rsid w:val="003D64DB"/>
    <w:rsid w:val="003D7332"/>
    <w:rsid w:val="003E24BA"/>
    <w:rsid w:val="003E4019"/>
    <w:rsid w:val="003F2041"/>
    <w:rsid w:val="003F6061"/>
    <w:rsid w:val="003F7D26"/>
    <w:rsid w:val="00400591"/>
    <w:rsid w:val="004007ED"/>
    <w:rsid w:val="00400D50"/>
    <w:rsid w:val="00402ACC"/>
    <w:rsid w:val="00403FD8"/>
    <w:rsid w:val="00404443"/>
    <w:rsid w:val="00404602"/>
    <w:rsid w:val="00411CEB"/>
    <w:rsid w:val="004120EC"/>
    <w:rsid w:val="0041267F"/>
    <w:rsid w:val="0042278A"/>
    <w:rsid w:val="00423DE0"/>
    <w:rsid w:val="00423F31"/>
    <w:rsid w:val="004253FD"/>
    <w:rsid w:val="0042568A"/>
    <w:rsid w:val="00426340"/>
    <w:rsid w:val="00427748"/>
    <w:rsid w:val="004303AA"/>
    <w:rsid w:val="00431899"/>
    <w:rsid w:val="004355BE"/>
    <w:rsid w:val="004427E8"/>
    <w:rsid w:val="00450381"/>
    <w:rsid w:val="004529F1"/>
    <w:rsid w:val="00453B1A"/>
    <w:rsid w:val="0045491B"/>
    <w:rsid w:val="004550E5"/>
    <w:rsid w:val="00461F51"/>
    <w:rsid w:val="00462A57"/>
    <w:rsid w:val="00467058"/>
    <w:rsid w:val="00467BB7"/>
    <w:rsid w:val="004728DD"/>
    <w:rsid w:val="00473F2D"/>
    <w:rsid w:val="00473F39"/>
    <w:rsid w:val="00474037"/>
    <w:rsid w:val="00475074"/>
    <w:rsid w:val="00475782"/>
    <w:rsid w:val="00482AE8"/>
    <w:rsid w:val="00482F38"/>
    <w:rsid w:val="00485F3C"/>
    <w:rsid w:val="00486804"/>
    <w:rsid w:val="00487549"/>
    <w:rsid w:val="00494242"/>
    <w:rsid w:val="004957C6"/>
    <w:rsid w:val="004A21BE"/>
    <w:rsid w:val="004A3F8B"/>
    <w:rsid w:val="004A4551"/>
    <w:rsid w:val="004B3775"/>
    <w:rsid w:val="004D0BA0"/>
    <w:rsid w:val="004D2D42"/>
    <w:rsid w:val="004D2EAE"/>
    <w:rsid w:val="004D7F36"/>
    <w:rsid w:val="004E058F"/>
    <w:rsid w:val="004E3B87"/>
    <w:rsid w:val="004E549D"/>
    <w:rsid w:val="004F5615"/>
    <w:rsid w:val="004F6A35"/>
    <w:rsid w:val="004F7008"/>
    <w:rsid w:val="004F7FFA"/>
    <w:rsid w:val="00502041"/>
    <w:rsid w:val="00503EB4"/>
    <w:rsid w:val="00504A34"/>
    <w:rsid w:val="005075D3"/>
    <w:rsid w:val="00510921"/>
    <w:rsid w:val="00510AD3"/>
    <w:rsid w:val="00513348"/>
    <w:rsid w:val="00513AD8"/>
    <w:rsid w:val="005147D9"/>
    <w:rsid w:val="00514E15"/>
    <w:rsid w:val="0051743F"/>
    <w:rsid w:val="005179DD"/>
    <w:rsid w:val="00517DD0"/>
    <w:rsid w:val="005204D2"/>
    <w:rsid w:val="00522396"/>
    <w:rsid w:val="00527AD8"/>
    <w:rsid w:val="00527BED"/>
    <w:rsid w:val="0053159D"/>
    <w:rsid w:val="00531B69"/>
    <w:rsid w:val="00533B5D"/>
    <w:rsid w:val="00534D96"/>
    <w:rsid w:val="00536343"/>
    <w:rsid w:val="00536BAB"/>
    <w:rsid w:val="00540A22"/>
    <w:rsid w:val="00546353"/>
    <w:rsid w:val="005474FC"/>
    <w:rsid w:val="00553079"/>
    <w:rsid w:val="00553CD0"/>
    <w:rsid w:val="00556FF4"/>
    <w:rsid w:val="0056083D"/>
    <w:rsid w:val="00561019"/>
    <w:rsid w:val="00561402"/>
    <w:rsid w:val="005625EF"/>
    <w:rsid w:val="00563414"/>
    <w:rsid w:val="00564EA1"/>
    <w:rsid w:val="005754EB"/>
    <w:rsid w:val="00577815"/>
    <w:rsid w:val="00581BF9"/>
    <w:rsid w:val="005822D6"/>
    <w:rsid w:val="00586FE1"/>
    <w:rsid w:val="00591826"/>
    <w:rsid w:val="005977AE"/>
    <w:rsid w:val="005A20F6"/>
    <w:rsid w:val="005B219D"/>
    <w:rsid w:val="005B3B10"/>
    <w:rsid w:val="005C2EC9"/>
    <w:rsid w:val="005C532B"/>
    <w:rsid w:val="005C5768"/>
    <w:rsid w:val="005C79F7"/>
    <w:rsid w:val="005D0A28"/>
    <w:rsid w:val="005D3655"/>
    <w:rsid w:val="005D39AF"/>
    <w:rsid w:val="005D4B61"/>
    <w:rsid w:val="005D5489"/>
    <w:rsid w:val="005D6434"/>
    <w:rsid w:val="005E0058"/>
    <w:rsid w:val="005E4830"/>
    <w:rsid w:val="005E5399"/>
    <w:rsid w:val="005E5524"/>
    <w:rsid w:val="005E73CC"/>
    <w:rsid w:val="005E7987"/>
    <w:rsid w:val="005F2F66"/>
    <w:rsid w:val="005F61C4"/>
    <w:rsid w:val="006031AC"/>
    <w:rsid w:val="00603321"/>
    <w:rsid w:val="00604749"/>
    <w:rsid w:val="006049A4"/>
    <w:rsid w:val="006074CE"/>
    <w:rsid w:val="00615C33"/>
    <w:rsid w:val="00616A58"/>
    <w:rsid w:val="00620A3D"/>
    <w:rsid w:val="00622B86"/>
    <w:rsid w:val="00623BA1"/>
    <w:rsid w:val="006243CD"/>
    <w:rsid w:val="00630092"/>
    <w:rsid w:val="0063036C"/>
    <w:rsid w:val="00630BF9"/>
    <w:rsid w:val="00630C8E"/>
    <w:rsid w:val="006346BC"/>
    <w:rsid w:val="006362FF"/>
    <w:rsid w:val="006366DD"/>
    <w:rsid w:val="006378FE"/>
    <w:rsid w:val="006408FF"/>
    <w:rsid w:val="00646167"/>
    <w:rsid w:val="00652EC3"/>
    <w:rsid w:val="0065649B"/>
    <w:rsid w:val="006572AE"/>
    <w:rsid w:val="0066203A"/>
    <w:rsid w:val="0066652A"/>
    <w:rsid w:val="00667582"/>
    <w:rsid w:val="006675BC"/>
    <w:rsid w:val="00667A5C"/>
    <w:rsid w:val="006719C3"/>
    <w:rsid w:val="00673EF0"/>
    <w:rsid w:val="006745FC"/>
    <w:rsid w:val="006750D9"/>
    <w:rsid w:val="00680115"/>
    <w:rsid w:val="00680522"/>
    <w:rsid w:val="00681633"/>
    <w:rsid w:val="00682167"/>
    <w:rsid w:val="00682DA8"/>
    <w:rsid w:val="00686261"/>
    <w:rsid w:val="0069151D"/>
    <w:rsid w:val="00696CD1"/>
    <w:rsid w:val="00697655"/>
    <w:rsid w:val="006A5EDE"/>
    <w:rsid w:val="006A6F52"/>
    <w:rsid w:val="006A791A"/>
    <w:rsid w:val="006B0064"/>
    <w:rsid w:val="006B3E95"/>
    <w:rsid w:val="006B6F6D"/>
    <w:rsid w:val="006B6F92"/>
    <w:rsid w:val="006C0B06"/>
    <w:rsid w:val="006C188A"/>
    <w:rsid w:val="006C3BBD"/>
    <w:rsid w:val="006C42AF"/>
    <w:rsid w:val="006C4A81"/>
    <w:rsid w:val="006C565B"/>
    <w:rsid w:val="006C6498"/>
    <w:rsid w:val="006C7C2C"/>
    <w:rsid w:val="006D1402"/>
    <w:rsid w:val="006D15F1"/>
    <w:rsid w:val="006D4CD7"/>
    <w:rsid w:val="006D5A56"/>
    <w:rsid w:val="006E4323"/>
    <w:rsid w:val="006E6727"/>
    <w:rsid w:val="006F3D4D"/>
    <w:rsid w:val="006F533D"/>
    <w:rsid w:val="006F6BA7"/>
    <w:rsid w:val="007035FE"/>
    <w:rsid w:val="00705F0B"/>
    <w:rsid w:val="007075DF"/>
    <w:rsid w:val="00710C22"/>
    <w:rsid w:val="00711D8E"/>
    <w:rsid w:val="00712672"/>
    <w:rsid w:val="00712FD9"/>
    <w:rsid w:val="007179D9"/>
    <w:rsid w:val="00727E4E"/>
    <w:rsid w:val="00730A9C"/>
    <w:rsid w:val="00731600"/>
    <w:rsid w:val="00734E3F"/>
    <w:rsid w:val="00736985"/>
    <w:rsid w:val="00743EFC"/>
    <w:rsid w:val="00745DF5"/>
    <w:rsid w:val="007468FD"/>
    <w:rsid w:val="00752511"/>
    <w:rsid w:val="0075417D"/>
    <w:rsid w:val="007547EA"/>
    <w:rsid w:val="00755DB2"/>
    <w:rsid w:val="0076250F"/>
    <w:rsid w:val="00766CE2"/>
    <w:rsid w:val="00766DE5"/>
    <w:rsid w:val="0077062A"/>
    <w:rsid w:val="00771A98"/>
    <w:rsid w:val="00771F50"/>
    <w:rsid w:val="0077324F"/>
    <w:rsid w:val="007733DC"/>
    <w:rsid w:val="007747C1"/>
    <w:rsid w:val="00780FA5"/>
    <w:rsid w:val="00790BDA"/>
    <w:rsid w:val="00792C85"/>
    <w:rsid w:val="00793563"/>
    <w:rsid w:val="00796F1C"/>
    <w:rsid w:val="007A4132"/>
    <w:rsid w:val="007A443F"/>
    <w:rsid w:val="007A7289"/>
    <w:rsid w:val="007B283F"/>
    <w:rsid w:val="007B53F9"/>
    <w:rsid w:val="007B6200"/>
    <w:rsid w:val="007C13C8"/>
    <w:rsid w:val="007C19B3"/>
    <w:rsid w:val="007C37D6"/>
    <w:rsid w:val="007C735B"/>
    <w:rsid w:val="007D5EAF"/>
    <w:rsid w:val="007E33B3"/>
    <w:rsid w:val="007E5361"/>
    <w:rsid w:val="007E556D"/>
    <w:rsid w:val="007E5C9E"/>
    <w:rsid w:val="007E7BC7"/>
    <w:rsid w:val="007F0A05"/>
    <w:rsid w:val="007F32B4"/>
    <w:rsid w:val="007F3395"/>
    <w:rsid w:val="007F5C0B"/>
    <w:rsid w:val="007F646C"/>
    <w:rsid w:val="00801B9F"/>
    <w:rsid w:val="0080204D"/>
    <w:rsid w:val="00805614"/>
    <w:rsid w:val="00810605"/>
    <w:rsid w:val="008136E6"/>
    <w:rsid w:val="00813F9A"/>
    <w:rsid w:val="0082053C"/>
    <w:rsid w:val="00822F43"/>
    <w:rsid w:val="008365AB"/>
    <w:rsid w:val="0084191E"/>
    <w:rsid w:val="00843B76"/>
    <w:rsid w:val="008449A8"/>
    <w:rsid w:val="008475F0"/>
    <w:rsid w:val="008515AF"/>
    <w:rsid w:val="00852C32"/>
    <w:rsid w:val="00854F69"/>
    <w:rsid w:val="008557A7"/>
    <w:rsid w:val="00856BFE"/>
    <w:rsid w:val="00857312"/>
    <w:rsid w:val="00864DF4"/>
    <w:rsid w:val="00870928"/>
    <w:rsid w:val="00874A41"/>
    <w:rsid w:val="00877620"/>
    <w:rsid w:val="00880EFD"/>
    <w:rsid w:val="00886C35"/>
    <w:rsid w:val="00887404"/>
    <w:rsid w:val="00887434"/>
    <w:rsid w:val="00887B21"/>
    <w:rsid w:val="00893338"/>
    <w:rsid w:val="0089405C"/>
    <w:rsid w:val="00897FA2"/>
    <w:rsid w:val="008A1503"/>
    <w:rsid w:val="008A5AFE"/>
    <w:rsid w:val="008A61C7"/>
    <w:rsid w:val="008A7B6F"/>
    <w:rsid w:val="008B6B56"/>
    <w:rsid w:val="008B7E26"/>
    <w:rsid w:val="008C1F60"/>
    <w:rsid w:val="008C478C"/>
    <w:rsid w:val="008C5A0E"/>
    <w:rsid w:val="008C6149"/>
    <w:rsid w:val="008C708C"/>
    <w:rsid w:val="008E1472"/>
    <w:rsid w:val="008E4B49"/>
    <w:rsid w:val="008E7EFE"/>
    <w:rsid w:val="008F6625"/>
    <w:rsid w:val="00906B65"/>
    <w:rsid w:val="00911560"/>
    <w:rsid w:val="009142F2"/>
    <w:rsid w:val="0091566F"/>
    <w:rsid w:val="00916582"/>
    <w:rsid w:val="00917A7A"/>
    <w:rsid w:val="00926369"/>
    <w:rsid w:val="00931142"/>
    <w:rsid w:val="0093173D"/>
    <w:rsid w:val="009417D5"/>
    <w:rsid w:val="00943730"/>
    <w:rsid w:val="00950683"/>
    <w:rsid w:val="00950D65"/>
    <w:rsid w:val="00963233"/>
    <w:rsid w:val="00974B6D"/>
    <w:rsid w:val="00975CA5"/>
    <w:rsid w:val="009774B4"/>
    <w:rsid w:val="00986590"/>
    <w:rsid w:val="00991579"/>
    <w:rsid w:val="00992977"/>
    <w:rsid w:val="00992C76"/>
    <w:rsid w:val="009969D6"/>
    <w:rsid w:val="009A0FB3"/>
    <w:rsid w:val="009A112B"/>
    <w:rsid w:val="009A2619"/>
    <w:rsid w:val="009A58FC"/>
    <w:rsid w:val="009B394F"/>
    <w:rsid w:val="009B3CCB"/>
    <w:rsid w:val="009B4D3B"/>
    <w:rsid w:val="009C18DB"/>
    <w:rsid w:val="009C5031"/>
    <w:rsid w:val="009D3438"/>
    <w:rsid w:val="009D5A96"/>
    <w:rsid w:val="009D7407"/>
    <w:rsid w:val="009E0866"/>
    <w:rsid w:val="009E273C"/>
    <w:rsid w:val="009F1350"/>
    <w:rsid w:val="009F3A5D"/>
    <w:rsid w:val="009F6423"/>
    <w:rsid w:val="00A0428C"/>
    <w:rsid w:val="00A07A86"/>
    <w:rsid w:val="00A102A2"/>
    <w:rsid w:val="00A107B9"/>
    <w:rsid w:val="00A1137A"/>
    <w:rsid w:val="00A12B40"/>
    <w:rsid w:val="00A24A62"/>
    <w:rsid w:val="00A30296"/>
    <w:rsid w:val="00A31C9F"/>
    <w:rsid w:val="00A334D3"/>
    <w:rsid w:val="00A4046A"/>
    <w:rsid w:val="00A4144F"/>
    <w:rsid w:val="00A41E88"/>
    <w:rsid w:val="00A46B28"/>
    <w:rsid w:val="00A47135"/>
    <w:rsid w:val="00A51B18"/>
    <w:rsid w:val="00A55AB5"/>
    <w:rsid w:val="00A565EB"/>
    <w:rsid w:val="00A61B4D"/>
    <w:rsid w:val="00A71167"/>
    <w:rsid w:val="00A72201"/>
    <w:rsid w:val="00A74192"/>
    <w:rsid w:val="00A75B84"/>
    <w:rsid w:val="00A80123"/>
    <w:rsid w:val="00A80305"/>
    <w:rsid w:val="00A80F95"/>
    <w:rsid w:val="00A82D81"/>
    <w:rsid w:val="00A8313B"/>
    <w:rsid w:val="00A83AA1"/>
    <w:rsid w:val="00A84A27"/>
    <w:rsid w:val="00A856AA"/>
    <w:rsid w:val="00A868CB"/>
    <w:rsid w:val="00A96364"/>
    <w:rsid w:val="00A969C7"/>
    <w:rsid w:val="00A97244"/>
    <w:rsid w:val="00A97BF1"/>
    <w:rsid w:val="00AA2099"/>
    <w:rsid w:val="00AA298A"/>
    <w:rsid w:val="00AA2E0A"/>
    <w:rsid w:val="00AA3AA8"/>
    <w:rsid w:val="00AA76D2"/>
    <w:rsid w:val="00AB0BD6"/>
    <w:rsid w:val="00AB1736"/>
    <w:rsid w:val="00AB4795"/>
    <w:rsid w:val="00AB6748"/>
    <w:rsid w:val="00AB6BD2"/>
    <w:rsid w:val="00AC107C"/>
    <w:rsid w:val="00AC164A"/>
    <w:rsid w:val="00AC277B"/>
    <w:rsid w:val="00AC2DAC"/>
    <w:rsid w:val="00AC3944"/>
    <w:rsid w:val="00AC551D"/>
    <w:rsid w:val="00AD19F7"/>
    <w:rsid w:val="00AD2C2E"/>
    <w:rsid w:val="00AD3479"/>
    <w:rsid w:val="00AD4F70"/>
    <w:rsid w:val="00AD7059"/>
    <w:rsid w:val="00AE448A"/>
    <w:rsid w:val="00AE74DA"/>
    <w:rsid w:val="00AE75C4"/>
    <w:rsid w:val="00AF18F4"/>
    <w:rsid w:val="00AF2050"/>
    <w:rsid w:val="00AF5E80"/>
    <w:rsid w:val="00AF7ECC"/>
    <w:rsid w:val="00B00BF4"/>
    <w:rsid w:val="00B02B2A"/>
    <w:rsid w:val="00B03341"/>
    <w:rsid w:val="00B03CA8"/>
    <w:rsid w:val="00B05B87"/>
    <w:rsid w:val="00B05BA0"/>
    <w:rsid w:val="00B117B3"/>
    <w:rsid w:val="00B12908"/>
    <w:rsid w:val="00B12A95"/>
    <w:rsid w:val="00B13799"/>
    <w:rsid w:val="00B16EF6"/>
    <w:rsid w:val="00B22F0E"/>
    <w:rsid w:val="00B22FE7"/>
    <w:rsid w:val="00B2461F"/>
    <w:rsid w:val="00B249EC"/>
    <w:rsid w:val="00B271CF"/>
    <w:rsid w:val="00B318A5"/>
    <w:rsid w:val="00B33C0A"/>
    <w:rsid w:val="00B34763"/>
    <w:rsid w:val="00B401AF"/>
    <w:rsid w:val="00B41D77"/>
    <w:rsid w:val="00B45AC8"/>
    <w:rsid w:val="00B468E1"/>
    <w:rsid w:val="00B508EF"/>
    <w:rsid w:val="00B50ED0"/>
    <w:rsid w:val="00B51C2F"/>
    <w:rsid w:val="00B53892"/>
    <w:rsid w:val="00B55E19"/>
    <w:rsid w:val="00B56E71"/>
    <w:rsid w:val="00B579A6"/>
    <w:rsid w:val="00B57C4F"/>
    <w:rsid w:val="00B64049"/>
    <w:rsid w:val="00B6790A"/>
    <w:rsid w:val="00B71AD8"/>
    <w:rsid w:val="00B75DC1"/>
    <w:rsid w:val="00B77A12"/>
    <w:rsid w:val="00B83EEE"/>
    <w:rsid w:val="00B84B3C"/>
    <w:rsid w:val="00B857E1"/>
    <w:rsid w:val="00B8599B"/>
    <w:rsid w:val="00B86990"/>
    <w:rsid w:val="00B91D8E"/>
    <w:rsid w:val="00B91FE7"/>
    <w:rsid w:val="00B93317"/>
    <w:rsid w:val="00B94758"/>
    <w:rsid w:val="00BA1B89"/>
    <w:rsid w:val="00BA4B6D"/>
    <w:rsid w:val="00BB05E3"/>
    <w:rsid w:val="00BB16C7"/>
    <w:rsid w:val="00BB26C5"/>
    <w:rsid w:val="00BB2F84"/>
    <w:rsid w:val="00BB3FD0"/>
    <w:rsid w:val="00BB5AFA"/>
    <w:rsid w:val="00BC1FED"/>
    <w:rsid w:val="00BC5DD8"/>
    <w:rsid w:val="00BD0907"/>
    <w:rsid w:val="00BD0A67"/>
    <w:rsid w:val="00BD2AEF"/>
    <w:rsid w:val="00BD30AE"/>
    <w:rsid w:val="00BD6304"/>
    <w:rsid w:val="00BD710C"/>
    <w:rsid w:val="00BE12B6"/>
    <w:rsid w:val="00BE47FB"/>
    <w:rsid w:val="00BE7B54"/>
    <w:rsid w:val="00BF1E8F"/>
    <w:rsid w:val="00BF4DE6"/>
    <w:rsid w:val="00BF6703"/>
    <w:rsid w:val="00BF7878"/>
    <w:rsid w:val="00C00338"/>
    <w:rsid w:val="00C005DF"/>
    <w:rsid w:val="00C04B76"/>
    <w:rsid w:val="00C05088"/>
    <w:rsid w:val="00C06B13"/>
    <w:rsid w:val="00C11FC0"/>
    <w:rsid w:val="00C1319C"/>
    <w:rsid w:val="00C140A6"/>
    <w:rsid w:val="00C16A47"/>
    <w:rsid w:val="00C20B2C"/>
    <w:rsid w:val="00C22F76"/>
    <w:rsid w:val="00C234B7"/>
    <w:rsid w:val="00C24B5F"/>
    <w:rsid w:val="00C251D5"/>
    <w:rsid w:val="00C27D25"/>
    <w:rsid w:val="00C303CB"/>
    <w:rsid w:val="00C3147A"/>
    <w:rsid w:val="00C32D09"/>
    <w:rsid w:val="00C34BB6"/>
    <w:rsid w:val="00C35791"/>
    <w:rsid w:val="00C41846"/>
    <w:rsid w:val="00C42541"/>
    <w:rsid w:val="00C42CDE"/>
    <w:rsid w:val="00C44588"/>
    <w:rsid w:val="00C45941"/>
    <w:rsid w:val="00C50B58"/>
    <w:rsid w:val="00C5182A"/>
    <w:rsid w:val="00C52463"/>
    <w:rsid w:val="00C52B3D"/>
    <w:rsid w:val="00C55983"/>
    <w:rsid w:val="00C60C70"/>
    <w:rsid w:val="00C61649"/>
    <w:rsid w:val="00C63EE9"/>
    <w:rsid w:val="00C73104"/>
    <w:rsid w:val="00C73276"/>
    <w:rsid w:val="00C757D7"/>
    <w:rsid w:val="00C76D4F"/>
    <w:rsid w:val="00C77736"/>
    <w:rsid w:val="00C80F99"/>
    <w:rsid w:val="00C83F4E"/>
    <w:rsid w:val="00C84C30"/>
    <w:rsid w:val="00C87B9B"/>
    <w:rsid w:val="00C908C7"/>
    <w:rsid w:val="00C92805"/>
    <w:rsid w:val="00CA16F3"/>
    <w:rsid w:val="00CA3403"/>
    <w:rsid w:val="00CA37B1"/>
    <w:rsid w:val="00CA3FD8"/>
    <w:rsid w:val="00CA420B"/>
    <w:rsid w:val="00CA5021"/>
    <w:rsid w:val="00CA50AD"/>
    <w:rsid w:val="00CB0814"/>
    <w:rsid w:val="00CB1488"/>
    <w:rsid w:val="00CB1959"/>
    <w:rsid w:val="00CB40BD"/>
    <w:rsid w:val="00CC1D45"/>
    <w:rsid w:val="00CC741B"/>
    <w:rsid w:val="00CD0E4B"/>
    <w:rsid w:val="00CD3F5D"/>
    <w:rsid w:val="00CD4AD4"/>
    <w:rsid w:val="00CD7FB7"/>
    <w:rsid w:val="00CE28F7"/>
    <w:rsid w:val="00CE4C89"/>
    <w:rsid w:val="00CE6FE3"/>
    <w:rsid w:val="00CE7DEE"/>
    <w:rsid w:val="00CF07AD"/>
    <w:rsid w:val="00CF07BA"/>
    <w:rsid w:val="00CF0DC8"/>
    <w:rsid w:val="00CF21A3"/>
    <w:rsid w:val="00CF24AD"/>
    <w:rsid w:val="00D0296C"/>
    <w:rsid w:val="00D03ED0"/>
    <w:rsid w:val="00D04B64"/>
    <w:rsid w:val="00D05E55"/>
    <w:rsid w:val="00D0653F"/>
    <w:rsid w:val="00D1231A"/>
    <w:rsid w:val="00D2011D"/>
    <w:rsid w:val="00D20A30"/>
    <w:rsid w:val="00D20BC7"/>
    <w:rsid w:val="00D22B5F"/>
    <w:rsid w:val="00D2641E"/>
    <w:rsid w:val="00D2716B"/>
    <w:rsid w:val="00D3170B"/>
    <w:rsid w:val="00D32D6F"/>
    <w:rsid w:val="00D3333E"/>
    <w:rsid w:val="00D34D5D"/>
    <w:rsid w:val="00D37B04"/>
    <w:rsid w:val="00D41312"/>
    <w:rsid w:val="00D43DEE"/>
    <w:rsid w:val="00D44F53"/>
    <w:rsid w:val="00D45555"/>
    <w:rsid w:val="00D4628C"/>
    <w:rsid w:val="00D479B5"/>
    <w:rsid w:val="00D52286"/>
    <w:rsid w:val="00D52514"/>
    <w:rsid w:val="00D540C6"/>
    <w:rsid w:val="00D61FC4"/>
    <w:rsid w:val="00D64BD1"/>
    <w:rsid w:val="00D71F34"/>
    <w:rsid w:val="00D720BB"/>
    <w:rsid w:val="00D7310B"/>
    <w:rsid w:val="00D76099"/>
    <w:rsid w:val="00D76355"/>
    <w:rsid w:val="00D81BEC"/>
    <w:rsid w:val="00D85F0B"/>
    <w:rsid w:val="00D90B37"/>
    <w:rsid w:val="00D91322"/>
    <w:rsid w:val="00D92254"/>
    <w:rsid w:val="00D924D3"/>
    <w:rsid w:val="00DA1B52"/>
    <w:rsid w:val="00DA51EE"/>
    <w:rsid w:val="00DB15C6"/>
    <w:rsid w:val="00DB45E0"/>
    <w:rsid w:val="00DB4BBC"/>
    <w:rsid w:val="00DC0996"/>
    <w:rsid w:val="00DC238C"/>
    <w:rsid w:val="00DC3176"/>
    <w:rsid w:val="00DC6D78"/>
    <w:rsid w:val="00DD3E88"/>
    <w:rsid w:val="00DE06F1"/>
    <w:rsid w:val="00DE084C"/>
    <w:rsid w:val="00DE1244"/>
    <w:rsid w:val="00DE28DF"/>
    <w:rsid w:val="00DF1DE5"/>
    <w:rsid w:val="00DF2254"/>
    <w:rsid w:val="00DF68CF"/>
    <w:rsid w:val="00DF696D"/>
    <w:rsid w:val="00DF7F65"/>
    <w:rsid w:val="00E055AB"/>
    <w:rsid w:val="00E067B4"/>
    <w:rsid w:val="00E14F51"/>
    <w:rsid w:val="00E15A6C"/>
    <w:rsid w:val="00E1666D"/>
    <w:rsid w:val="00E17AE0"/>
    <w:rsid w:val="00E221FA"/>
    <w:rsid w:val="00E2444A"/>
    <w:rsid w:val="00E266E9"/>
    <w:rsid w:val="00E26B77"/>
    <w:rsid w:val="00E3052E"/>
    <w:rsid w:val="00E3076E"/>
    <w:rsid w:val="00E31C65"/>
    <w:rsid w:val="00E31D1B"/>
    <w:rsid w:val="00E357B7"/>
    <w:rsid w:val="00E410F8"/>
    <w:rsid w:val="00E42545"/>
    <w:rsid w:val="00E42990"/>
    <w:rsid w:val="00E42E50"/>
    <w:rsid w:val="00E4584F"/>
    <w:rsid w:val="00E52142"/>
    <w:rsid w:val="00E532A8"/>
    <w:rsid w:val="00E53800"/>
    <w:rsid w:val="00E6014A"/>
    <w:rsid w:val="00E6081F"/>
    <w:rsid w:val="00E614AA"/>
    <w:rsid w:val="00E617DA"/>
    <w:rsid w:val="00E624EC"/>
    <w:rsid w:val="00E63FF4"/>
    <w:rsid w:val="00E658BF"/>
    <w:rsid w:val="00E675BB"/>
    <w:rsid w:val="00E70C37"/>
    <w:rsid w:val="00E73510"/>
    <w:rsid w:val="00E754BB"/>
    <w:rsid w:val="00E8296D"/>
    <w:rsid w:val="00E8457B"/>
    <w:rsid w:val="00E934BD"/>
    <w:rsid w:val="00E9370C"/>
    <w:rsid w:val="00E944AA"/>
    <w:rsid w:val="00EA042F"/>
    <w:rsid w:val="00EA04B2"/>
    <w:rsid w:val="00EA20F3"/>
    <w:rsid w:val="00EA36D9"/>
    <w:rsid w:val="00EC072A"/>
    <w:rsid w:val="00EC0F49"/>
    <w:rsid w:val="00EC3F05"/>
    <w:rsid w:val="00EC608A"/>
    <w:rsid w:val="00EC6D38"/>
    <w:rsid w:val="00ED2831"/>
    <w:rsid w:val="00ED394D"/>
    <w:rsid w:val="00ED3B2D"/>
    <w:rsid w:val="00ED43D1"/>
    <w:rsid w:val="00EE0466"/>
    <w:rsid w:val="00EE1CFF"/>
    <w:rsid w:val="00EE3A72"/>
    <w:rsid w:val="00EE3F64"/>
    <w:rsid w:val="00EE4EE1"/>
    <w:rsid w:val="00EF31FC"/>
    <w:rsid w:val="00EF4574"/>
    <w:rsid w:val="00EF7798"/>
    <w:rsid w:val="00F01921"/>
    <w:rsid w:val="00F0353C"/>
    <w:rsid w:val="00F05DEA"/>
    <w:rsid w:val="00F10D02"/>
    <w:rsid w:val="00F12C60"/>
    <w:rsid w:val="00F13373"/>
    <w:rsid w:val="00F14BBF"/>
    <w:rsid w:val="00F24103"/>
    <w:rsid w:val="00F258BF"/>
    <w:rsid w:val="00F25A93"/>
    <w:rsid w:val="00F25D8D"/>
    <w:rsid w:val="00F2684E"/>
    <w:rsid w:val="00F269F3"/>
    <w:rsid w:val="00F27235"/>
    <w:rsid w:val="00F3014F"/>
    <w:rsid w:val="00F303C2"/>
    <w:rsid w:val="00F33B34"/>
    <w:rsid w:val="00F3605A"/>
    <w:rsid w:val="00F37E85"/>
    <w:rsid w:val="00F43F4E"/>
    <w:rsid w:val="00F4508D"/>
    <w:rsid w:val="00F45486"/>
    <w:rsid w:val="00F47942"/>
    <w:rsid w:val="00F53309"/>
    <w:rsid w:val="00F53E91"/>
    <w:rsid w:val="00F5404C"/>
    <w:rsid w:val="00F55791"/>
    <w:rsid w:val="00F6088F"/>
    <w:rsid w:val="00F61343"/>
    <w:rsid w:val="00F640E6"/>
    <w:rsid w:val="00F644C8"/>
    <w:rsid w:val="00F650C7"/>
    <w:rsid w:val="00F67C6A"/>
    <w:rsid w:val="00F67D18"/>
    <w:rsid w:val="00F70504"/>
    <w:rsid w:val="00F7161E"/>
    <w:rsid w:val="00F71A29"/>
    <w:rsid w:val="00F729EF"/>
    <w:rsid w:val="00F746B7"/>
    <w:rsid w:val="00F760AE"/>
    <w:rsid w:val="00F77CAE"/>
    <w:rsid w:val="00F82271"/>
    <w:rsid w:val="00F83428"/>
    <w:rsid w:val="00F875A8"/>
    <w:rsid w:val="00F9070C"/>
    <w:rsid w:val="00F90B17"/>
    <w:rsid w:val="00F9154E"/>
    <w:rsid w:val="00F9432B"/>
    <w:rsid w:val="00F96BB9"/>
    <w:rsid w:val="00F96D4E"/>
    <w:rsid w:val="00F979AE"/>
    <w:rsid w:val="00FA29E8"/>
    <w:rsid w:val="00FA5EFD"/>
    <w:rsid w:val="00FA70B3"/>
    <w:rsid w:val="00FB102E"/>
    <w:rsid w:val="00FB58F1"/>
    <w:rsid w:val="00FC1216"/>
    <w:rsid w:val="00FC25F2"/>
    <w:rsid w:val="00FD080E"/>
    <w:rsid w:val="00FD1850"/>
    <w:rsid w:val="00FE4D78"/>
    <w:rsid w:val="00FE6D51"/>
    <w:rsid w:val="00FE6F2A"/>
    <w:rsid w:val="00FF4FF2"/>
    <w:rsid w:val="00FF6092"/>
    <w:rsid w:val="01505742"/>
    <w:rsid w:val="03EC09D4"/>
    <w:rsid w:val="0732BB84"/>
    <w:rsid w:val="080424C5"/>
    <w:rsid w:val="0AA516B6"/>
    <w:rsid w:val="0AB9273E"/>
    <w:rsid w:val="0B6B112C"/>
    <w:rsid w:val="103ADB5D"/>
    <w:rsid w:val="10CAE767"/>
    <w:rsid w:val="11C5FB1D"/>
    <w:rsid w:val="11CEBF33"/>
    <w:rsid w:val="11D6ABBE"/>
    <w:rsid w:val="12306BFA"/>
    <w:rsid w:val="12D2EABD"/>
    <w:rsid w:val="14BEAC5C"/>
    <w:rsid w:val="1502E11C"/>
    <w:rsid w:val="162FD53F"/>
    <w:rsid w:val="17651BB9"/>
    <w:rsid w:val="17E0CF3D"/>
    <w:rsid w:val="22C76A1E"/>
    <w:rsid w:val="24633A7F"/>
    <w:rsid w:val="24F8C86F"/>
    <w:rsid w:val="25F71078"/>
    <w:rsid w:val="25FF0AE0"/>
    <w:rsid w:val="26290F0F"/>
    <w:rsid w:val="268238F7"/>
    <w:rsid w:val="274B1059"/>
    <w:rsid w:val="27E23010"/>
    <w:rsid w:val="2845802E"/>
    <w:rsid w:val="28A0D074"/>
    <w:rsid w:val="29907AA1"/>
    <w:rsid w:val="2E0AD84A"/>
    <w:rsid w:val="2E12A893"/>
    <w:rsid w:val="2FBED33F"/>
    <w:rsid w:val="2FEFC61B"/>
    <w:rsid w:val="32449994"/>
    <w:rsid w:val="33F5F900"/>
    <w:rsid w:val="3559DD6B"/>
    <w:rsid w:val="36D2AA84"/>
    <w:rsid w:val="37A56D9C"/>
    <w:rsid w:val="3A53B1BE"/>
    <w:rsid w:val="3B3ED7C5"/>
    <w:rsid w:val="3C1AF6DC"/>
    <w:rsid w:val="3D14E4A8"/>
    <w:rsid w:val="3E8159A7"/>
    <w:rsid w:val="3EBE7259"/>
    <w:rsid w:val="3F9C9BD6"/>
    <w:rsid w:val="41FD5B1E"/>
    <w:rsid w:val="427FA8F5"/>
    <w:rsid w:val="44C59C0B"/>
    <w:rsid w:val="47379C26"/>
    <w:rsid w:val="47B5E7FE"/>
    <w:rsid w:val="483DB520"/>
    <w:rsid w:val="48B226FD"/>
    <w:rsid w:val="4A3E0808"/>
    <w:rsid w:val="4AC937A4"/>
    <w:rsid w:val="4C266C81"/>
    <w:rsid w:val="4D3D68DC"/>
    <w:rsid w:val="566C16DB"/>
    <w:rsid w:val="5852FB03"/>
    <w:rsid w:val="58A9C6A2"/>
    <w:rsid w:val="5943CA3C"/>
    <w:rsid w:val="5A39A790"/>
    <w:rsid w:val="5BDD8874"/>
    <w:rsid w:val="5C246508"/>
    <w:rsid w:val="5CD70C8C"/>
    <w:rsid w:val="5E355F45"/>
    <w:rsid w:val="5EAD41BD"/>
    <w:rsid w:val="608C6AD6"/>
    <w:rsid w:val="6294DD73"/>
    <w:rsid w:val="6430ADD4"/>
    <w:rsid w:val="657D3CDB"/>
    <w:rsid w:val="67178591"/>
    <w:rsid w:val="6AEB956F"/>
    <w:rsid w:val="6DFD6273"/>
    <w:rsid w:val="6F7D61FF"/>
    <w:rsid w:val="700C8ACE"/>
    <w:rsid w:val="7208119A"/>
    <w:rsid w:val="77C7920B"/>
    <w:rsid w:val="780BBBE3"/>
    <w:rsid w:val="782120ED"/>
    <w:rsid w:val="78590CF6"/>
    <w:rsid w:val="79F11543"/>
    <w:rsid w:val="7A1E7119"/>
    <w:rsid w:val="7BAF8F9A"/>
    <w:rsid w:val="7D4BE02E"/>
    <w:rsid w:val="7D7C12C0"/>
    <w:rsid w:val="7F22ED78"/>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79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66032"/>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B71AD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autoRedefine/>
    <w:uiPriority w:val="9"/>
    <w:unhideWhenUsed/>
    <w:qFormat/>
    <w:rsid w:val="00BD710C"/>
    <w:pPr>
      <w:spacing w:after="120"/>
      <w:outlineLvl w:val="1"/>
    </w:pPr>
    <w:rPr>
      <w:bCs w:val="0"/>
      <w:sz w:val="22"/>
      <w:szCs w:val="26"/>
    </w:rPr>
  </w:style>
  <w:style w:type="paragraph" w:styleId="Heading3">
    <w:name w:val="heading 3"/>
    <w:basedOn w:val="Heading2"/>
    <w:next w:val="Normal"/>
    <w:link w:val="Heading3Char"/>
    <w:autoRedefine/>
    <w:uiPriority w:val="9"/>
    <w:unhideWhenUsed/>
    <w:qFormat/>
    <w:rsid w:val="0042568A"/>
    <w:pPr>
      <w:spacing w:before="60" w:line="260" w:lineRule="atLeast"/>
      <w:contextualSpacing w:val="0"/>
      <w:outlineLvl w:val="2"/>
    </w:pPr>
    <w:rPr>
      <w:rFonts w:asciiTheme="minorHAnsi" w:hAnsiTheme="minorHAnsi" w:cstheme="minorHAnsi"/>
      <w:bCs/>
      <w:i/>
      <w:iCs/>
      <w:caps w:val="0"/>
      <w:szCs w:val="22"/>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val="0"/>
    </w:rPr>
  </w:style>
  <w:style w:type="paragraph" w:styleId="Heading5">
    <w:name w:val="heading 5"/>
    <w:basedOn w:val="Heading4"/>
    <w:next w:val="Normal"/>
    <w:link w:val="Heading5Char"/>
    <w:uiPriority w:val="9"/>
    <w:unhideWhenUsed/>
    <w:qFormat/>
    <w:rsid w:val="00B71AD8"/>
    <w:pPr>
      <w:spacing w:line="200" w:lineRule="atLeast"/>
      <w:outlineLvl w:val="4"/>
    </w:pPr>
    <w:rPr>
      <w:b w:val="0"/>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val="0"/>
      <w:iCs/>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AD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BD710C"/>
    <w:rPr>
      <w:rFonts w:asciiTheme="majorHAnsi" w:eastAsiaTheme="majorEastAsia" w:hAnsiTheme="majorHAnsi" w:cstheme="majorBidi"/>
      <w:b/>
      <w:caps/>
      <w:color w:val="495965" w:themeColor="text2"/>
      <w:szCs w:val="26"/>
      <w:lang w:val="en-GB"/>
    </w:rPr>
  </w:style>
  <w:style w:type="character" w:customStyle="1" w:styleId="Heading3Char">
    <w:name w:val="Heading 3 Char"/>
    <w:basedOn w:val="DefaultParagraphFont"/>
    <w:link w:val="Heading3"/>
    <w:uiPriority w:val="9"/>
    <w:rsid w:val="0042568A"/>
    <w:rPr>
      <w:rFonts w:eastAsiaTheme="majorEastAsia" w:cstheme="minorHAnsi"/>
      <w:b/>
      <w:bCs/>
      <w:i/>
      <w:iCs/>
      <w:color w:val="495965" w:themeColor="text2"/>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B71AD8"/>
    <w:pPr>
      <w:numPr>
        <w:numId w:val="1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style>
  <w:style w:type="numbering" w:customStyle="1" w:styleId="BulletsList">
    <w:name w:val="Bullets List"/>
    <w:uiPriority w:val="99"/>
    <w:rsid w:val="00B71AD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B71AD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71AD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aliases w:val="poznppMV,Testo nota a pi_ di pagina Carattere Carattere Carattere Carattere,Texto nota pie Car,FOOTNOTES,fn,single space,ALTS FOOTNOTE,footnote text,Footnote Text Char2 Char,Footnote Text Char1 Char Char,Footnote Text Char2 Char Char Char"/>
    <w:basedOn w:val="Normal"/>
    <w:link w:val="FootnoteTextChar"/>
    <w:uiPriority w:val="99"/>
    <w:unhideWhenUsed/>
    <w:qFormat/>
    <w:rsid w:val="008C5A0E"/>
    <w:pPr>
      <w:spacing w:before="60" w:after="0" w:line="140" w:lineRule="atLeast"/>
      <w:ind w:left="170" w:hanging="170"/>
    </w:pPr>
    <w:rPr>
      <w:sz w:val="12"/>
      <w:szCs w:val="20"/>
    </w:rPr>
  </w:style>
  <w:style w:type="character" w:customStyle="1" w:styleId="FootnoteTextChar">
    <w:name w:val="Footnote Text Char"/>
    <w:aliases w:val="poznppMV Char,Testo nota a pi_ di pagina Carattere Carattere Carattere Carattere Char,Texto nota pie Car Char,FOOTNOTES Char,fn Char,single space Char,ALTS FOOTNOTE Char,footnote text Char,Footnote Text Char2 Char Char"/>
    <w:basedOn w:val="DefaultParagraphFont"/>
    <w:link w:val="FootnoteText"/>
    <w:uiPriority w:val="99"/>
    <w:rsid w:val="008C5A0E"/>
    <w:rPr>
      <w:color w:val="495965" w:themeColor="text2"/>
      <w:sz w:val="12"/>
      <w:szCs w:val="20"/>
    </w:rPr>
  </w:style>
  <w:style w:type="character" w:styleId="FootnoteReference">
    <w:name w:val="footnote reference"/>
    <w:aliases w:val="16 Point,Superscript 6 Point,Ref,de nota al pie,ftref, Car Car Char Car Char Car Car Char Car Char Char, Car Car Car Car Car Car Car Car Char Car Car Char Car Car Car Char Car Char Char Char,SUPERS,Footnote Reference Number, BVI fnr"/>
    <w:basedOn w:val="DefaultParagraphFont"/>
    <w:link w:val="BVIfnrCharChar"/>
    <w:uiPriority w:val="99"/>
    <w:unhideWhenUsed/>
    <w:qFormat/>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A97244"/>
    <w:pPr>
      <w:ind w:left="720"/>
      <w:contextualSpacing/>
    </w:p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A97244"/>
    <w:rPr>
      <w:color w:val="495965" w:themeColor="text2"/>
      <w:lang w:val="en-GB"/>
    </w:rPr>
  </w:style>
  <w:style w:type="table" w:customStyle="1" w:styleId="DFATTable11">
    <w:name w:val="DFAT Table 11"/>
    <w:basedOn w:val="TableNormal"/>
    <w:uiPriority w:val="99"/>
    <w:rsid w:val="00E4584F"/>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table" w:styleId="GridTable4-Accent1">
    <w:name w:val="Grid Table 4 Accent 1"/>
    <w:basedOn w:val="TableNormal"/>
    <w:uiPriority w:val="49"/>
    <w:locked/>
    <w:rsid w:val="00DC238C"/>
    <w:pPr>
      <w:spacing w:after="0" w:line="240" w:lineRule="auto"/>
    </w:pPr>
    <w:tblPr>
      <w:tblStyleRowBandSize w:val="1"/>
      <w:tblStyleColBandSize w:val="1"/>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insideV w:val="single" w:sz="4" w:space="0" w:color="A2DCD1" w:themeColor="accent1" w:themeTint="99"/>
      </w:tblBorders>
    </w:tblPr>
    <w:tblStylePr w:type="firstRow">
      <w:rPr>
        <w:b/>
        <w:bCs/>
        <w:color w:val="FFFFFF" w:themeColor="background1"/>
      </w:rPr>
      <w:tblPr/>
      <w:tcPr>
        <w:tcBorders>
          <w:top w:val="single" w:sz="4" w:space="0" w:color="65C5B4" w:themeColor="accent1"/>
          <w:left w:val="single" w:sz="4" w:space="0" w:color="65C5B4" w:themeColor="accent1"/>
          <w:bottom w:val="single" w:sz="4" w:space="0" w:color="65C5B4" w:themeColor="accent1"/>
          <w:right w:val="single" w:sz="4" w:space="0" w:color="65C5B4" w:themeColor="accent1"/>
          <w:insideH w:val="nil"/>
          <w:insideV w:val="nil"/>
        </w:tcBorders>
        <w:shd w:val="clear" w:color="auto" w:fill="65C5B4" w:themeFill="accent1"/>
      </w:tcPr>
    </w:tblStylePr>
    <w:tblStylePr w:type="lastRow">
      <w:rPr>
        <w:b/>
        <w:bCs/>
      </w:rPr>
      <w:tblPr/>
      <w:tcPr>
        <w:tcBorders>
          <w:top w:val="double" w:sz="4" w:space="0" w:color="65C5B4" w:themeColor="accent1"/>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table" w:customStyle="1" w:styleId="APPR">
    <w:name w:val="APPR"/>
    <w:basedOn w:val="TableNormal"/>
    <w:uiPriority w:val="99"/>
    <w:rsid w:val="00681633"/>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Adobe Devanagari" w:hAnsi="Adobe Devanagari"/>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HTMLPreformatted">
    <w:name w:val="HTML Preformatted"/>
    <w:basedOn w:val="Normal"/>
    <w:link w:val="HTMLPreformattedChar"/>
    <w:uiPriority w:val="99"/>
    <w:semiHidden/>
    <w:unhideWhenUsed/>
    <w:locked/>
    <w:rsid w:val="008C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40" w:lineRule="auto"/>
    </w:pPr>
    <w:rPr>
      <w:rFonts w:ascii="Courier New" w:eastAsia="Times New Roman" w:hAnsi="Courier New" w:cs="Courier New"/>
      <w:color w:val="auto"/>
      <w:sz w:val="20"/>
      <w:szCs w:val="20"/>
      <w:lang w:val="en-AU" w:eastAsia="en-AU"/>
    </w:rPr>
  </w:style>
  <w:style w:type="character" w:customStyle="1" w:styleId="HTMLPreformattedChar">
    <w:name w:val="HTML Preformatted Char"/>
    <w:basedOn w:val="DefaultParagraphFont"/>
    <w:link w:val="HTMLPreformatted"/>
    <w:uiPriority w:val="99"/>
    <w:semiHidden/>
    <w:rsid w:val="008C1F60"/>
    <w:rPr>
      <w:rFonts w:ascii="Courier New" w:eastAsia="Times New Roman" w:hAnsi="Courier New" w:cs="Courier New"/>
      <w:sz w:val="20"/>
      <w:szCs w:val="20"/>
      <w:lang w:eastAsia="en-AU"/>
    </w:rPr>
  </w:style>
  <w:style w:type="character" w:customStyle="1" w:styleId="y2iqfc">
    <w:name w:val="y2iqfc"/>
    <w:basedOn w:val="DefaultParagraphFont"/>
    <w:rsid w:val="008C1F60"/>
  </w:style>
  <w:style w:type="paragraph" w:styleId="ListBullet">
    <w:name w:val="List Bullet"/>
    <w:qFormat/>
    <w:locked/>
    <w:rsid w:val="00630C8E"/>
    <w:pPr>
      <w:numPr>
        <w:numId w:val="28"/>
      </w:numPr>
      <w:pBdr>
        <w:top w:val="nil"/>
        <w:left w:val="nil"/>
        <w:bottom w:val="nil"/>
        <w:right w:val="nil"/>
        <w:between w:val="nil"/>
        <w:bar w:val="nil"/>
      </w:pBdr>
      <w:spacing w:after="240" w:line="276" w:lineRule="auto"/>
      <w:contextualSpacing/>
    </w:pPr>
    <w:rPr>
      <w:rFonts w:eastAsia="Arial Unicode MS" w:cs="Arial Unicode MS"/>
      <w:sz w:val="20"/>
      <w:szCs w:val="20"/>
      <w:u w:color="000000"/>
      <w:bdr w:val="nil"/>
    </w:rPr>
  </w:style>
  <w:style w:type="paragraph" w:customStyle="1" w:styleId="BVIfnrCharChar">
    <w:name w:val="BVI fnr Char Char"/>
    <w:aliases w:val=" BVI fnr Car Car Char Char Char, BVI fnr Char Char Char,BVI fnr Car Car Car Car Char Char,BVI fnr Car Car Car Car Char Char Char1,BVI fnr Car Car Char Char,BVI fnr Car Char Char,BVI fnr Car Char Char Char,BVI fnr Char,FNRefe Char Char"/>
    <w:basedOn w:val="Normal"/>
    <w:link w:val="FootnoteReference"/>
    <w:uiPriority w:val="99"/>
    <w:rsid w:val="004A3F8B"/>
    <w:pPr>
      <w:suppressAutoHyphens w:val="0"/>
      <w:spacing w:before="0" w:after="240" w:line="240" w:lineRule="exact"/>
      <w:jc w:val="both"/>
    </w:pPr>
    <w:rPr>
      <w:color w:val="auto"/>
      <w:vertAlign w:val="superscript"/>
      <w:lang w:val="en-AU"/>
    </w:rPr>
  </w:style>
  <w:style w:type="character" w:customStyle="1" w:styleId="normaltextrun">
    <w:name w:val="normaltextrun"/>
    <w:basedOn w:val="DefaultParagraphFont"/>
    <w:rsid w:val="0002211C"/>
  </w:style>
  <w:style w:type="paragraph" w:styleId="EndnoteText">
    <w:name w:val="endnote text"/>
    <w:basedOn w:val="Normal"/>
    <w:link w:val="EndnoteTextChar"/>
    <w:uiPriority w:val="99"/>
    <w:semiHidden/>
    <w:unhideWhenUsed/>
    <w:rsid w:val="00C22F7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C22F76"/>
    <w:rPr>
      <w:color w:val="495965" w:themeColor="text2"/>
      <w:sz w:val="20"/>
      <w:szCs w:val="20"/>
      <w:lang w:val="en-GB"/>
    </w:rPr>
  </w:style>
  <w:style w:type="character" w:styleId="EndnoteReference">
    <w:name w:val="endnote reference"/>
    <w:basedOn w:val="DefaultParagraphFont"/>
    <w:uiPriority w:val="99"/>
    <w:semiHidden/>
    <w:unhideWhenUsed/>
    <w:rsid w:val="00C22F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653">
      <w:bodyDiv w:val="1"/>
      <w:marLeft w:val="0"/>
      <w:marRight w:val="0"/>
      <w:marTop w:val="0"/>
      <w:marBottom w:val="0"/>
      <w:divBdr>
        <w:top w:val="none" w:sz="0" w:space="0" w:color="auto"/>
        <w:left w:val="none" w:sz="0" w:space="0" w:color="auto"/>
        <w:bottom w:val="none" w:sz="0" w:space="0" w:color="auto"/>
        <w:right w:val="none" w:sz="0" w:space="0" w:color="auto"/>
      </w:divBdr>
    </w:div>
    <w:div w:id="29962402">
      <w:bodyDiv w:val="1"/>
      <w:marLeft w:val="0"/>
      <w:marRight w:val="0"/>
      <w:marTop w:val="0"/>
      <w:marBottom w:val="0"/>
      <w:divBdr>
        <w:top w:val="none" w:sz="0" w:space="0" w:color="auto"/>
        <w:left w:val="none" w:sz="0" w:space="0" w:color="auto"/>
        <w:bottom w:val="none" w:sz="0" w:space="0" w:color="auto"/>
        <w:right w:val="none" w:sz="0" w:space="0" w:color="auto"/>
      </w:divBdr>
    </w:div>
    <w:div w:id="44106215">
      <w:bodyDiv w:val="1"/>
      <w:marLeft w:val="0"/>
      <w:marRight w:val="0"/>
      <w:marTop w:val="0"/>
      <w:marBottom w:val="0"/>
      <w:divBdr>
        <w:top w:val="none" w:sz="0" w:space="0" w:color="auto"/>
        <w:left w:val="none" w:sz="0" w:space="0" w:color="auto"/>
        <w:bottom w:val="none" w:sz="0" w:space="0" w:color="auto"/>
        <w:right w:val="none" w:sz="0" w:space="0" w:color="auto"/>
      </w:divBdr>
    </w:div>
    <w:div w:id="82724873">
      <w:bodyDiv w:val="1"/>
      <w:marLeft w:val="0"/>
      <w:marRight w:val="0"/>
      <w:marTop w:val="0"/>
      <w:marBottom w:val="0"/>
      <w:divBdr>
        <w:top w:val="none" w:sz="0" w:space="0" w:color="auto"/>
        <w:left w:val="none" w:sz="0" w:space="0" w:color="auto"/>
        <w:bottom w:val="none" w:sz="0" w:space="0" w:color="auto"/>
        <w:right w:val="none" w:sz="0" w:space="0" w:color="auto"/>
      </w:divBdr>
    </w:div>
    <w:div w:id="86273484">
      <w:bodyDiv w:val="1"/>
      <w:marLeft w:val="0"/>
      <w:marRight w:val="0"/>
      <w:marTop w:val="0"/>
      <w:marBottom w:val="0"/>
      <w:divBdr>
        <w:top w:val="none" w:sz="0" w:space="0" w:color="auto"/>
        <w:left w:val="none" w:sz="0" w:space="0" w:color="auto"/>
        <w:bottom w:val="none" w:sz="0" w:space="0" w:color="auto"/>
        <w:right w:val="none" w:sz="0" w:space="0" w:color="auto"/>
      </w:divBdr>
    </w:div>
    <w:div w:id="88695298">
      <w:bodyDiv w:val="1"/>
      <w:marLeft w:val="0"/>
      <w:marRight w:val="0"/>
      <w:marTop w:val="0"/>
      <w:marBottom w:val="0"/>
      <w:divBdr>
        <w:top w:val="none" w:sz="0" w:space="0" w:color="auto"/>
        <w:left w:val="none" w:sz="0" w:space="0" w:color="auto"/>
        <w:bottom w:val="none" w:sz="0" w:space="0" w:color="auto"/>
        <w:right w:val="none" w:sz="0" w:space="0" w:color="auto"/>
      </w:divBdr>
    </w:div>
    <w:div w:id="94786427">
      <w:bodyDiv w:val="1"/>
      <w:marLeft w:val="0"/>
      <w:marRight w:val="0"/>
      <w:marTop w:val="0"/>
      <w:marBottom w:val="0"/>
      <w:divBdr>
        <w:top w:val="none" w:sz="0" w:space="0" w:color="auto"/>
        <w:left w:val="none" w:sz="0" w:space="0" w:color="auto"/>
        <w:bottom w:val="none" w:sz="0" w:space="0" w:color="auto"/>
        <w:right w:val="none" w:sz="0" w:space="0" w:color="auto"/>
      </w:divBdr>
    </w:div>
    <w:div w:id="146286830">
      <w:bodyDiv w:val="1"/>
      <w:marLeft w:val="0"/>
      <w:marRight w:val="0"/>
      <w:marTop w:val="0"/>
      <w:marBottom w:val="0"/>
      <w:divBdr>
        <w:top w:val="none" w:sz="0" w:space="0" w:color="auto"/>
        <w:left w:val="none" w:sz="0" w:space="0" w:color="auto"/>
        <w:bottom w:val="none" w:sz="0" w:space="0" w:color="auto"/>
        <w:right w:val="none" w:sz="0" w:space="0" w:color="auto"/>
      </w:divBdr>
    </w:div>
    <w:div w:id="259797126">
      <w:bodyDiv w:val="1"/>
      <w:marLeft w:val="0"/>
      <w:marRight w:val="0"/>
      <w:marTop w:val="0"/>
      <w:marBottom w:val="0"/>
      <w:divBdr>
        <w:top w:val="none" w:sz="0" w:space="0" w:color="auto"/>
        <w:left w:val="none" w:sz="0" w:space="0" w:color="auto"/>
        <w:bottom w:val="none" w:sz="0" w:space="0" w:color="auto"/>
        <w:right w:val="none" w:sz="0" w:space="0" w:color="auto"/>
      </w:divBdr>
    </w:div>
    <w:div w:id="349330914">
      <w:bodyDiv w:val="1"/>
      <w:marLeft w:val="0"/>
      <w:marRight w:val="0"/>
      <w:marTop w:val="0"/>
      <w:marBottom w:val="0"/>
      <w:divBdr>
        <w:top w:val="none" w:sz="0" w:space="0" w:color="auto"/>
        <w:left w:val="none" w:sz="0" w:space="0" w:color="auto"/>
        <w:bottom w:val="none" w:sz="0" w:space="0" w:color="auto"/>
        <w:right w:val="none" w:sz="0" w:space="0" w:color="auto"/>
      </w:divBdr>
    </w:div>
    <w:div w:id="450711876">
      <w:bodyDiv w:val="1"/>
      <w:marLeft w:val="0"/>
      <w:marRight w:val="0"/>
      <w:marTop w:val="0"/>
      <w:marBottom w:val="0"/>
      <w:divBdr>
        <w:top w:val="none" w:sz="0" w:space="0" w:color="auto"/>
        <w:left w:val="none" w:sz="0" w:space="0" w:color="auto"/>
        <w:bottom w:val="none" w:sz="0" w:space="0" w:color="auto"/>
        <w:right w:val="none" w:sz="0" w:space="0" w:color="auto"/>
      </w:divBdr>
    </w:div>
    <w:div w:id="469246375">
      <w:bodyDiv w:val="1"/>
      <w:marLeft w:val="0"/>
      <w:marRight w:val="0"/>
      <w:marTop w:val="0"/>
      <w:marBottom w:val="0"/>
      <w:divBdr>
        <w:top w:val="none" w:sz="0" w:space="0" w:color="auto"/>
        <w:left w:val="none" w:sz="0" w:space="0" w:color="auto"/>
        <w:bottom w:val="none" w:sz="0" w:space="0" w:color="auto"/>
        <w:right w:val="none" w:sz="0" w:space="0" w:color="auto"/>
      </w:divBdr>
    </w:div>
    <w:div w:id="536940756">
      <w:bodyDiv w:val="1"/>
      <w:marLeft w:val="0"/>
      <w:marRight w:val="0"/>
      <w:marTop w:val="0"/>
      <w:marBottom w:val="0"/>
      <w:divBdr>
        <w:top w:val="none" w:sz="0" w:space="0" w:color="auto"/>
        <w:left w:val="none" w:sz="0" w:space="0" w:color="auto"/>
        <w:bottom w:val="none" w:sz="0" w:space="0" w:color="auto"/>
        <w:right w:val="none" w:sz="0" w:space="0" w:color="auto"/>
      </w:divBdr>
    </w:div>
    <w:div w:id="592519177">
      <w:bodyDiv w:val="1"/>
      <w:marLeft w:val="0"/>
      <w:marRight w:val="0"/>
      <w:marTop w:val="0"/>
      <w:marBottom w:val="0"/>
      <w:divBdr>
        <w:top w:val="none" w:sz="0" w:space="0" w:color="auto"/>
        <w:left w:val="none" w:sz="0" w:space="0" w:color="auto"/>
        <w:bottom w:val="none" w:sz="0" w:space="0" w:color="auto"/>
        <w:right w:val="none" w:sz="0" w:space="0" w:color="auto"/>
      </w:divBdr>
    </w:div>
    <w:div w:id="673261131">
      <w:bodyDiv w:val="1"/>
      <w:marLeft w:val="0"/>
      <w:marRight w:val="0"/>
      <w:marTop w:val="0"/>
      <w:marBottom w:val="0"/>
      <w:divBdr>
        <w:top w:val="none" w:sz="0" w:space="0" w:color="auto"/>
        <w:left w:val="none" w:sz="0" w:space="0" w:color="auto"/>
        <w:bottom w:val="none" w:sz="0" w:space="0" w:color="auto"/>
        <w:right w:val="none" w:sz="0" w:space="0" w:color="auto"/>
      </w:divBdr>
    </w:div>
    <w:div w:id="783117154">
      <w:bodyDiv w:val="1"/>
      <w:marLeft w:val="0"/>
      <w:marRight w:val="0"/>
      <w:marTop w:val="0"/>
      <w:marBottom w:val="0"/>
      <w:divBdr>
        <w:top w:val="none" w:sz="0" w:space="0" w:color="auto"/>
        <w:left w:val="none" w:sz="0" w:space="0" w:color="auto"/>
        <w:bottom w:val="none" w:sz="0" w:space="0" w:color="auto"/>
        <w:right w:val="none" w:sz="0" w:space="0" w:color="auto"/>
      </w:divBdr>
    </w:div>
    <w:div w:id="889923158">
      <w:bodyDiv w:val="1"/>
      <w:marLeft w:val="0"/>
      <w:marRight w:val="0"/>
      <w:marTop w:val="0"/>
      <w:marBottom w:val="0"/>
      <w:divBdr>
        <w:top w:val="none" w:sz="0" w:space="0" w:color="auto"/>
        <w:left w:val="none" w:sz="0" w:space="0" w:color="auto"/>
        <w:bottom w:val="none" w:sz="0" w:space="0" w:color="auto"/>
        <w:right w:val="none" w:sz="0" w:space="0" w:color="auto"/>
      </w:divBdr>
    </w:div>
    <w:div w:id="911430263">
      <w:bodyDiv w:val="1"/>
      <w:marLeft w:val="0"/>
      <w:marRight w:val="0"/>
      <w:marTop w:val="0"/>
      <w:marBottom w:val="0"/>
      <w:divBdr>
        <w:top w:val="none" w:sz="0" w:space="0" w:color="auto"/>
        <w:left w:val="none" w:sz="0" w:space="0" w:color="auto"/>
        <w:bottom w:val="none" w:sz="0" w:space="0" w:color="auto"/>
        <w:right w:val="none" w:sz="0" w:space="0" w:color="auto"/>
      </w:divBdr>
    </w:div>
    <w:div w:id="988287065">
      <w:bodyDiv w:val="1"/>
      <w:marLeft w:val="0"/>
      <w:marRight w:val="0"/>
      <w:marTop w:val="0"/>
      <w:marBottom w:val="0"/>
      <w:divBdr>
        <w:top w:val="none" w:sz="0" w:space="0" w:color="auto"/>
        <w:left w:val="none" w:sz="0" w:space="0" w:color="auto"/>
        <w:bottom w:val="none" w:sz="0" w:space="0" w:color="auto"/>
        <w:right w:val="none" w:sz="0" w:space="0" w:color="auto"/>
      </w:divBdr>
    </w:div>
    <w:div w:id="1046444038">
      <w:bodyDiv w:val="1"/>
      <w:marLeft w:val="0"/>
      <w:marRight w:val="0"/>
      <w:marTop w:val="0"/>
      <w:marBottom w:val="0"/>
      <w:divBdr>
        <w:top w:val="none" w:sz="0" w:space="0" w:color="auto"/>
        <w:left w:val="none" w:sz="0" w:space="0" w:color="auto"/>
        <w:bottom w:val="none" w:sz="0" w:space="0" w:color="auto"/>
        <w:right w:val="none" w:sz="0" w:space="0" w:color="auto"/>
      </w:divBdr>
    </w:div>
    <w:div w:id="1091003332">
      <w:bodyDiv w:val="1"/>
      <w:marLeft w:val="0"/>
      <w:marRight w:val="0"/>
      <w:marTop w:val="0"/>
      <w:marBottom w:val="0"/>
      <w:divBdr>
        <w:top w:val="none" w:sz="0" w:space="0" w:color="auto"/>
        <w:left w:val="none" w:sz="0" w:space="0" w:color="auto"/>
        <w:bottom w:val="none" w:sz="0" w:space="0" w:color="auto"/>
        <w:right w:val="none" w:sz="0" w:space="0" w:color="auto"/>
      </w:divBdr>
    </w:div>
    <w:div w:id="1097286448">
      <w:bodyDiv w:val="1"/>
      <w:marLeft w:val="0"/>
      <w:marRight w:val="0"/>
      <w:marTop w:val="0"/>
      <w:marBottom w:val="0"/>
      <w:divBdr>
        <w:top w:val="none" w:sz="0" w:space="0" w:color="auto"/>
        <w:left w:val="none" w:sz="0" w:space="0" w:color="auto"/>
        <w:bottom w:val="none" w:sz="0" w:space="0" w:color="auto"/>
        <w:right w:val="none" w:sz="0" w:space="0" w:color="auto"/>
      </w:divBdr>
    </w:div>
    <w:div w:id="1119640571">
      <w:bodyDiv w:val="1"/>
      <w:marLeft w:val="0"/>
      <w:marRight w:val="0"/>
      <w:marTop w:val="0"/>
      <w:marBottom w:val="0"/>
      <w:divBdr>
        <w:top w:val="none" w:sz="0" w:space="0" w:color="auto"/>
        <w:left w:val="none" w:sz="0" w:space="0" w:color="auto"/>
        <w:bottom w:val="none" w:sz="0" w:space="0" w:color="auto"/>
        <w:right w:val="none" w:sz="0" w:space="0" w:color="auto"/>
      </w:divBdr>
    </w:div>
    <w:div w:id="1150367726">
      <w:bodyDiv w:val="1"/>
      <w:marLeft w:val="0"/>
      <w:marRight w:val="0"/>
      <w:marTop w:val="0"/>
      <w:marBottom w:val="0"/>
      <w:divBdr>
        <w:top w:val="none" w:sz="0" w:space="0" w:color="auto"/>
        <w:left w:val="none" w:sz="0" w:space="0" w:color="auto"/>
        <w:bottom w:val="none" w:sz="0" w:space="0" w:color="auto"/>
        <w:right w:val="none" w:sz="0" w:space="0" w:color="auto"/>
      </w:divBdr>
    </w:div>
    <w:div w:id="1278101486">
      <w:bodyDiv w:val="1"/>
      <w:marLeft w:val="0"/>
      <w:marRight w:val="0"/>
      <w:marTop w:val="0"/>
      <w:marBottom w:val="0"/>
      <w:divBdr>
        <w:top w:val="none" w:sz="0" w:space="0" w:color="auto"/>
        <w:left w:val="none" w:sz="0" w:space="0" w:color="auto"/>
        <w:bottom w:val="none" w:sz="0" w:space="0" w:color="auto"/>
        <w:right w:val="none" w:sz="0" w:space="0" w:color="auto"/>
      </w:divBdr>
    </w:div>
    <w:div w:id="1359039868">
      <w:bodyDiv w:val="1"/>
      <w:marLeft w:val="0"/>
      <w:marRight w:val="0"/>
      <w:marTop w:val="0"/>
      <w:marBottom w:val="0"/>
      <w:divBdr>
        <w:top w:val="none" w:sz="0" w:space="0" w:color="auto"/>
        <w:left w:val="none" w:sz="0" w:space="0" w:color="auto"/>
        <w:bottom w:val="none" w:sz="0" w:space="0" w:color="auto"/>
        <w:right w:val="none" w:sz="0" w:space="0" w:color="auto"/>
      </w:divBdr>
    </w:div>
    <w:div w:id="1360278548">
      <w:bodyDiv w:val="1"/>
      <w:marLeft w:val="0"/>
      <w:marRight w:val="0"/>
      <w:marTop w:val="0"/>
      <w:marBottom w:val="0"/>
      <w:divBdr>
        <w:top w:val="none" w:sz="0" w:space="0" w:color="auto"/>
        <w:left w:val="none" w:sz="0" w:space="0" w:color="auto"/>
        <w:bottom w:val="none" w:sz="0" w:space="0" w:color="auto"/>
        <w:right w:val="none" w:sz="0" w:space="0" w:color="auto"/>
      </w:divBdr>
    </w:div>
    <w:div w:id="1394888277">
      <w:bodyDiv w:val="1"/>
      <w:marLeft w:val="0"/>
      <w:marRight w:val="0"/>
      <w:marTop w:val="0"/>
      <w:marBottom w:val="0"/>
      <w:divBdr>
        <w:top w:val="none" w:sz="0" w:space="0" w:color="auto"/>
        <w:left w:val="none" w:sz="0" w:space="0" w:color="auto"/>
        <w:bottom w:val="none" w:sz="0" w:space="0" w:color="auto"/>
        <w:right w:val="none" w:sz="0" w:space="0" w:color="auto"/>
      </w:divBdr>
    </w:div>
    <w:div w:id="1494761445">
      <w:bodyDiv w:val="1"/>
      <w:marLeft w:val="0"/>
      <w:marRight w:val="0"/>
      <w:marTop w:val="0"/>
      <w:marBottom w:val="0"/>
      <w:divBdr>
        <w:top w:val="none" w:sz="0" w:space="0" w:color="auto"/>
        <w:left w:val="none" w:sz="0" w:space="0" w:color="auto"/>
        <w:bottom w:val="none" w:sz="0" w:space="0" w:color="auto"/>
        <w:right w:val="none" w:sz="0" w:space="0" w:color="auto"/>
      </w:divBdr>
    </w:div>
    <w:div w:id="1561597740">
      <w:bodyDiv w:val="1"/>
      <w:marLeft w:val="0"/>
      <w:marRight w:val="0"/>
      <w:marTop w:val="0"/>
      <w:marBottom w:val="0"/>
      <w:divBdr>
        <w:top w:val="none" w:sz="0" w:space="0" w:color="auto"/>
        <w:left w:val="none" w:sz="0" w:space="0" w:color="auto"/>
        <w:bottom w:val="none" w:sz="0" w:space="0" w:color="auto"/>
        <w:right w:val="none" w:sz="0" w:space="0" w:color="auto"/>
      </w:divBdr>
    </w:div>
    <w:div w:id="1599679335">
      <w:bodyDiv w:val="1"/>
      <w:marLeft w:val="0"/>
      <w:marRight w:val="0"/>
      <w:marTop w:val="0"/>
      <w:marBottom w:val="0"/>
      <w:divBdr>
        <w:top w:val="none" w:sz="0" w:space="0" w:color="auto"/>
        <w:left w:val="none" w:sz="0" w:space="0" w:color="auto"/>
        <w:bottom w:val="none" w:sz="0" w:space="0" w:color="auto"/>
        <w:right w:val="none" w:sz="0" w:space="0" w:color="auto"/>
      </w:divBdr>
    </w:div>
    <w:div w:id="1606428043">
      <w:bodyDiv w:val="1"/>
      <w:marLeft w:val="0"/>
      <w:marRight w:val="0"/>
      <w:marTop w:val="0"/>
      <w:marBottom w:val="0"/>
      <w:divBdr>
        <w:top w:val="none" w:sz="0" w:space="0" w:color="auto"/>
        <w:left w:val="none" w:sz="0" w:space="0" w:color="auto"/>
        <w:bottom w:val="none" w:sz="0" w:space="0" w:color="auto"/>
        <w:right w:val="none" w:sz="0" w:space="0" w:color="auto"/>
      </w:divBdr>
    </w:div>
    <w:div w:id="1729306243">
      <w:bodyDiv w:val="1"/>
      <w:marLeft w:val="0"/>
      <w:marRight w:val="0"/>
      <w:marTop w:val="0"/>
      <w:marBottom w:val="0"/>
      <w:divBdr>
        <w:top w:val="none" w:sz="0" w:space="0" w:color="auto"/>
        <w:left w:val="none" w:sz="0" w:space="0" w:color="auto"/>
        <w:bottom w:val="none" w:sz="0" w:space="0" w:color="auto"/>
        <w:right w:val="none" w:sz="0" w:space="0" w:color="auto"/>
      </w:divBdr>
    </w:div>
    <w:div w:id="1751076434">
      <w:bodyDiv w:val="1"/>
      <w:marLeft w:val="0"/>
      <w:marRight w:val="0"/>
      <w:marTop w:val="0"/>
      <w:marBottom w:val="0"/>
      <w:divBdr>
        <w:top w:val="none" w:sz="0" w:space="0" w:color="auto"/>
        <w:left w:val="none" w:sz="0" w:space="0" w:color="auto"/>
        <w:bottom w:val="none" w:sz="0" w:space="0" w:color="auto"/>
        <w:right w:val="none" w:sz="0" w:space="0" w:color="auto"/>
      </w:divBdr>
    </w:div>
    <w:div w:id="1756629360">
      <w:bodyDiv w:val="1"/>
      <w:marLeft w:val="0"/>
      <w:marRight w:val="0"/>
      <w:marTop w:val="0"/>
      <w:marBottom w:val="0"/>
      <w:divBdr>
        <w:top w:val="none" w:sz="0" w:space="0" w:color="auto"/>
        <w:left w:val="none" w:sz="0" w:space="0" w:color="auto"/>
        <w:bottom w:val="none" w:sz="0" w:space="0" w:color="auto"/>
        <w:right w:val="none" w:sz="0" w:space="0" w:color="auto"/>
      </w:divBdr>
    </w:div>
    <w:div w:id="1864854890">
      <w:bodyDiv w:val="1"/>
      <w:marLeft w:val="0"/>
      <w:marRight w:val="0"/>
      <w:marTop w:val="0"/>
      <w:marBottom w:val="0"/>
      <w:divBdr>
        <w:top w:val="none" w:sz="0" w:space="0" w:color="auto"/>
        <w:left w:val="none" w:sz="0" w:space="0" w:color="auto"/>
        <w:bottom w:val="none" w:sz="0" w:space="0" w:color="auto"/>
        <w:right w:val="none" w:sz="0" w:space="0" w:color="auto"/>
      </w:divBdr>
    </w:div>
    <w:div w:id="1887525973">
      <w:bodyDiv w:val="1"/>
      <w:marLeft w:val="0"/>
      <w:marRight w:val="0"/>
      <w:marTop w:val="0"/>
      <w:marBottom w:val="0"/>
      <w:divBdr>
        <w:top w:val="none" w:sz="0" w:space="0" w:color="auto"/>
        <w:left w:val="none" w:sz="0" w:space="0" w:color="auto"/>
        <w:bottom w:val="none" w:sz="0" w:space="0" w:color="auto"/>
        <w:right w:val="none" w:sz="0" w:space="0" w:color="auto"/>
      </w:divBdr>
    </w:div>
    <w:div w:id="1893227415">
      <w:bodyDiv w:val="1"/>
      <w:marLeft w:val="0"/>
      <w:marRight w:val="0"/>
      <w:marTop w:val="0"/>
      <w:marBottom w:val="0"/>
      <w:divBdr>
        <w:top w:val="none" w:sz="0" w:space="0" w:color="auto"/>
        <w:left w:val="none" w:sz="0" w:space="0" w:color="auto"/>
        <w:bottom w:val="none" w:sz="0" w:space="0" w:color="auto"/>
        <w:right w:val="none" w:sz="0" w:space="0" w:color="auto"/>
      </w:divBdr>
    </w:div>
    <w:div w:id="1903439067">
      <w:bodyDiv w:val="1"/>
      <w:marLeft w:val="0"/>
      <w:marRight w:val="0"/>
      <w:marTop w:val="0"/>
      <w:marBottom w:val="0"/>
      <w:divBdr>
        <w:top w:val="none" w:sz="0" w:space="0" w:color="auto"/>
        <w:left w:val="none" w:sz="0" w:space="0" w:color="auto"/>
        <w:bottom w:val="none" w:sz="0" w:space="0" w:color="auto"/>
        <w:right w:val="none" w:sz="0" w:space="0" w:color="auto"/>
      </w:divBdr>
    </w:div>
    <w:div w:id="1967274740">
      <w:bodyDiv w:val="1"/>
      <w:marLeft w:val="0"/>
      <w:marRight w:val="0"/>
      <w:marTop w:val="0"/>
      <w:marBottom w:val="0"/>
      <w:divBdr>
        <w:top w:val="none" w:sz="0" w:space="0" w:color="auto"/>
        <w:left w:val="none" w:sz="0" w:space="0" w:color="auto"/>
        <w:bottom w:val="none" w:sz="0" w:space="0" w:color="auto"/>
        <w:right w:val="none" w:sz="0" w:space="0" w:color="auto"/>
      </w:divBdr>
    </w:div>
    <w:div w:id="1971744810">
      <w:bodyDiv w:val="1"/>
      <w:marLeft w:val="0"/>
      <w:marRight w:val="0"/>
      <w:marTop w:val="0"/>
      <w:marBottom w:val="0"/>
      <w:divBdr>
        <w:top w:val="none" w:sz="0" w:space="0" w:color="auto"/>
        <w:left w:val="none" w:sz="0" w:space="0" w:color="auto"/>
        <w:bottom w:val="none" w:sz="0" w:space="0" w:color="auto"/>
        <w:right w:val="none" w:sz="0" w:space="0" w:color="auto"/>
      </w:divBdr>
    </w:div>
    <w:div w:id="1978409536">
      <w:bodyDiv w:val="1"/>
      <w:marLeft w:val="0"/>
      <w:marRight w:val="0"/>
      <w:marTop w:val="0"/>
      <w:marBottom w:val="0"/>
      <w:divBdr>
        <w:top w:val="none" w:sz="0" w:space="0" w:color="auto"/>
        <w:left w:val="none" w:sz="0" w:space="0" w:color="auto"/>
        <w:bottom w:val="none" w:sz="0" w:space="0" w:color="auto"/>
        <w:right w:val="none" w:sz="0" w:space="0" w:color="auto"/>
      </w:divBdr>
    </w:div>
    <w:div w:id="2097239045">
      <w:bodyDiv w:val="1"/>
      <w:marLeft w:val="0"/>
      <w:marRight w:val="0"/>
      <w:marTop w:val="0"/>
      <w:marBottom w:val="0"/>
      <w:divBdr>
        <w:top w:val="none" w:sz="0" w:space="0" w:color="auto"/>
        <w:left w:val="none" w:sz="0" w:space="0" w:color="auto"/>
        <w:bottom w:val="none" w:sz="0" w:space="0" w:color="auto"/>
        <w:right w:val="none" w:sz="0" w:space="0" w:color="auto"/>
      </w:divBdr>
    </w:div>
    <w:div w:id="2103839194">
      <w:bodyDiv w:val="1"/>
      <w:marLeft w:val="0"/>
      <w:marRight w:val="0"/>
      <w:marTop w:val="0"/>
      <w:marBottom w:val="0"/>
      <w:divBdr>
        <w:top w:val="none" w:sz="0" w:space="0" w:color="auto"/>
        <w:left w:val="none" w:sz="0" w:space="0" w:color="auto"/>
        <w:bottom w:val="none" w:sz="0" w:space="0" w:color="auto"/>
        <w:right w:val="none" w:sz="0" w:space="0" w:color="auto"/>
      </w:divBdr>
    </w:div>
    <w:div w:id="2105178892">
      <w:bodyDiv w:val="1"/>
      <w:marLeft w:val="0"/>
      <w:marRight w:val="0"/>
      <w:marTop w:val="0"/>
      <w:marBottom w:val="0"/>
      <w:divBdr>
        <w:top w:val="none" w:sz="0" w:space="0" w:color="auto"/>
        <w:left w:val="none" w:sz="0" w:space="0" w:color="auto"/>
        <w:bottom w:val="none" w:sz="0" w:space="0" w:color="auto"/>
        <w:right w:val="none" w:sz="0" w:space="0" w:color="auto"/>
      </w:divBdr>
    </w:div>
    <w:div w:id="21352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D961C-2A77-4F55-913B-6653F3961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4089</Words>
  <Characters>24204</Characters>
  <Application>Microsoft Office Word</Application>
  <DocSecurity>0</DocSecurity>
  <Lines>711</Lines>
  <Paragraphs>455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Indonesia Development Program Progress Report</dc:title>
  <dc:subject/>
  <dc:creator/>
  <cp:keywords/>
  <dc:description/>
  <cp:lastModifiedBy/>
  <cp:revision>1</cp:revision>
  <dcterms:created xsi:type="dcterms:W3CDTF">2021-11-24T05:06:00Z</dcterms:created>
  <dcterms:modified xsi:type="dcterms:W3CDTF">2021-11-24T05:08:00Z</dcterms:modified>
  <cp:category/>
</cp:coreProperties>
</file>