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61E045E3" w:rsidR="00FA5EFD" w:rsidRDefault="002E500A" w:rsidP="002C1CD6">
      <w:pPr>
        <w:pStyle w:val="Heading1"/>
      </w:pPr>
      <w:r w:rsidRPr="002E500A">
        <w:t xml:space="preserve">2020-21 </w:t>
      </w:r>
      <w:r w:rsidR="00385115">
        <w:t>FIJI</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661AC3EF" w14:textId="1F5FCA1C" w:rsidR="00212D33" w:rsidRPr="001A1061" w:rsidRDefault="00EE275D" w:rsidP="001A1061">
      <w:r w:rsidRPr="00EE275D">
        <w:rPr>
          <w:noProof/>
        </w:rPr>
        <w:drawing>
          <wp:inline distT="0" distB="0" distL="0" distR="0" wp14:anchorId="02789D46" wp14:editId="209BCE2D">
            <wp:extent cx="6696710" cy="2597150"/>
            <wp:effectExtent l="0" t="0" r="0" b="0"/>
            <wp:docPr id="1" name="Picture 1" descr="2020-21 Budget estimate. Total ODA $146.7 million. Bilateral program budget $40 million. Regional program budget $19.9 million. Global program budget $3.6 million. Other government departments budget $2.1 million. Temporary, targeted and supplementary measures $81.1 million.&#10;Our development program to Fiji contributes to achieving the following Sustainable Development Goals: 1,3,4,5,8,9,13,16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146.7 million. Bilateral program budget $40 million. Regional program budget $19.9 million. Global program budget $3.6 million. Other government departments budget $2.1 million. Temporary, targeted and supplementary measures $81.1 million.&#10;Our development program to Fiji contributes to achieving the following Sustainable Development Goals: 1,3,4,5,8,9,13,16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625"/>
                    <a:stretch/>
                  </pic:blipFill>
                  <pic:spPr bwMode="auto">
                    <a:xfrm>
                      <a:off x="0" y="0"/>
                      <a:ext cx="6696710" cy="259715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5D3AD605" w:rsidR="00C84C30" w:rsidRPr="00297FD1" w:rsidRDefault="00C84C30" w:rsidP="008C33E0">
      <w:pPr>
        <w:pStyle w:val="Heading2"/>
      </w:pPr>
      <w:r w:rsidRPr="00297FD1">
        <w:t xml:space="preserve">CONTEXT </w:t>
      </w:r>
      <w:r w:rsidR="00B55284">
        <w:t xml:space="preserve"> </w:t>
      </w:r>
    </w:p>
    <w:p w14:paraId="3A24DA82" w14:textId="5AA185BA" w:rsidR="006F4913" w:rsidRPr="003931DF" w:rsidRDefault="009D0E05" w:rsidP="004C0250">
      <w:pPr>
        <w:spacing w:before="0"/>
      </w:pPr>
      <w:r w:rsidRPr="003931DF">
        <w:t>Australia and Fiji share a strong and enduring bilateral relationship</w:t>
      </w:r>
      <w:r w:rsidR="006621E9">
        <w:t xml:space="preserve"> underpinned by </w:t>
      </w:r>
      <w:r w:rsidR="00461F78">
        <w:t>the</w:t>
      </w:r>
      <w:r w:rsidR="006621E9">
        <w:t xml:space="preserve"> </w:t>
      </w:r>
      <w:r w:rsidR="006621E9" w:rsidRPr="00461F78">
        <w:rPr>
          <w:i/>
          <w:iCs/>
        </w:rPr>
        <w:t xml:space="preserve">Fiji-Australia </w:t>
      </w:r>
      <w:proofErr w:type="spellStart"/>
      <w:r w:rsidR="006621E9" w:rsidRPr="00461F78">
        <w:rPr>
          <w:i/>
          <w:iCs/>
        </w:rPr>
        <w:t>Vuvale</w:t>
      </w:r>
      <w:proofErr w:type="spellEnd"/>
      <w:r w:rsidR="006621E9" w:rsidRPr="00461F78">
        <w:rPr>
          <w:i/>
          <w:iCs/>
        </w:rPr>
        <w:t xml:space="preserve"> Partnership</w:t>
      </w:r>
      <w:r w:rsidR="002D3F9E">
        <w:rPr>
          <w:i/>
          <w:iCs/>
        </w:rPr>
        <w:t>.</w:t>
      </w:r>
      <w:bookmarkStart w:id="0" w:name="_Hlk79502786"/>
      <w:r w:rsidR="00461F78">
        <w:t xml:space="preserve"> </w:t>
      </w:r>
      <w:r w:rsidR="006F4913" w:rsidRPr="003931DF">
        <w:t xml:space="preserve">Australia’s development program supports our shared ambition </w:t>
      </w:r>
      <w:r w:rsidR="00131597" w:rsidRPr="003931DF">
        <w:t>to build a Pacific region that is secure strategically, stable socially an</w:t>
      </w:r>
      <w:r w:rsidR="00131597" w:rsidRPr="00B17BC4">
        <w:t>d economically, and sovereign politically</w:t>
      </w:r>
      <w:r w:rsidR="00F4570E" w:rsidRPr="00B17BC4">
        <w:t>.</w:t>
      </w:r>
      <w:r w:rsidR="00F4570E" w:rsidRPr="003C16C1">
        <w:rPr>
          <w:b/>
          <w:bCs/>
        </w:rPr>
        <w:t xml:space="preserve"> </w:t>
      </w:r>
      <w:bookmarkEnd w:id="0"/>
      <w:r w:rsidR="00236E78" w:rsidRPr="003C16C1">
        <w:t xml:space="preserve">In </w:t>
      </w:r>
      <w:r w:rsidR="00461F78" w:rsidRPr="003C16C1">
        <w:t xml:space="preserve">2020-21, </w:t>
      </w:r>
      <w:r w:rsidR="009720FB" w:rsidRPr="003C16C1">
        <w:t xml:space="preserve">Fiji </w:t>
      </w:r>
      <w:r w:rsidR="00461F78" w:rsidRPr="003C16C1">
        <w:t>faced</w:t>
      </w:r>
      <w:r w:rsidR="009720FB" w:rsidRPr="003C16C1">
        <w:t xml:space="preserve"> its worst fiscal crisis since independence due to ongoing border closures and a lack of tourism revenues</w:t>
      </w:r>
      <w:r w:rsidR="00693BF1">
        <w:t>. Since</w:t>
      </w:r>
      <w:r w:rsidR="00236E78" w:rsidRPr="003C16C1">
        <w:t xml:space="preserve"> April 2021, </w:t>
      </w:r>
      <w:r w:rsidR="00693BF1">
        <w:t xml:space="preserve">Fiji has been </w:t>
      </w:r>
      <w:r w:rsidR="009720FB" w:rsidRPr="003C16C1">
        <w:t xml:space="preserve">battling a </w:t>
      </w:r>
      <w:r w:rsidR="00461F78" w:rsidRPr="003C16C1">
        <w:t xml:space="preserve">second wave of </w:t>
      </w:r>
      <w:r w:rsidR="009720FB" w:rsidRPr="00EA640B">
        <w:t>COVID-19</w:t>
      </w:r>
      <w:r w:rsidR="00461F78" w:rsidRPr="00EA640B">
        <w:t xml:space="preserve"> infections</w:t>
      </w:r>
      <w:r w:rsidR="009720FB" w:rsidRPr="00EA640B">
        <w:t xml:space="preserve">, </w:t>
      </w:r>
      <w:r w:rsidR="007040FB" w:rsidRPr="00EA640B">
        <w:t>following almost</w:t>
      </w:r>
      <w:r w:rsidR="009720FB" w:rsidRPr="00EA640B">
        <w:t xml:space="preserve"> one year without community transmission</w:t>
      </w:r>
      <w:r w:rsidR="009720FB" w:rsidRPr="00A85B43">
        <w:t xml:space="preserve">. </w:t>
      </w:r>
      <w:r w:rsidR="009720FB" w:rsidRPr="003C16C1">
        <w:rPr>
          <w:b/>
          <w:bCs/>
        </w:rPr>
        <w:t>Fiji also contended with t</w:t>
      </w:r>
      <w:r w:rsidR="006F4913" w:rsidRPr="003C16C1">
        <w:rPr>
          <w:b/>
          <w:bCs/>
        </w:rPr>
        <w:t xml:space="preserve">wo Tropical Cyclones </w:t>
      </w:r>
      <w:r w:rsidR="009720FB" w:rsidRPr="003931DF">
        <w:t>which caused</w:t>
      </w:r>
      <w:r w:rsidR="006F4913" w:rsidRPr="003931DF">
        <w:t xml:space="preserve"> </w:t>
      </w:r>
      <w:r w:rsidR="009720FB" w:rsidRPr="003931DF">
        <w:t>hundreds of millions of dollars in damage</w:t>
      </w:r>
      <w:r w:rsidR="0083099E" w:rsidRPr="003931DF">
        <w:t xml:space="preserve"> to infrastructure and livelihoods.</w:t>
      </w:r>
      <w:r w:rsidR="004D25B0" w:rsidRPr="003931DF">
        <w:t xml:space="preserve"> </w:t>
      </w:r>
    </w:p>
    <w:p w14:paraId="25BDFB80" w14:textId="557B4A14" w:rsidR="0051559A" w:rsidRPr="00EA640B" w:rsidRDefault="000D0D71" w:rsidP="004C0250">
      <w:pPr>
        <w:spacing w:before="0"/>
      </w:pPr>
      <w:r w:rsidRPr="000D0D71">
        <w:t xml:space="preserve">The Government of Fiji </w:t>
      </w:r>
      <w:r w:rsidR="009720FB">
        <w:t xml:space="preserve">has been responding to a surging outbreak of </w:t>
      </w:r>
      <w:r w:rsidR="0083099E">
        <w:t xml:space="preserve">the </w:t>
      </w:r>
      <w:r w:rsidR="009720FB">
        <w:t>COVID-19 Delta variant since April 2021. I</w:t>
      </w:r>
      <w:r w:rsidR="003D41D3">
        <w:t>t </w:t>
      </w:r>
      <w:r w:rsidRPr="000D0D71">
        <w:t xml:space="preserve">was quick to </w:t>
      </w:r>
      <w:r w:rsidR="007040FB">
        <w:t>implement response measures including</w:t>
      </w:r>
      <w:r w:rsidRPr="000D0D71">
        <w:t xml:space="preserve"> increasing testing and tracing</w:t>
      </w:r>
      <w:r w:rsidR="007040FB">
        <w:t xml:space="preserve"> capabilities</w:t>
      </w:r>
      <w:r w:rsidRPr="000D0D71">
        <w:t xml:space="preserve">, isolating positive cases and close contacts, restricting international and inter-island passenger travel and imposing containment zones, </w:t>
      </w:r>
      <w:proofErr w:type="gramStart"/>
      <w:r w:rsidRPr="000D0D71">
        <w:t>curfews</w:t>
      </w:r>
      <w:proofErr w:type="gramEnd"/>
      <w:r w:rsidRPr="000D0D71">
        <w:t xml:space="preserve"> and localised lockdowns</w:t>
      </w:r>
      <w:r>
        <w:t xml:space="preserve">. Transmission </w:t>
      </w:r>
      <w:r w:rsidR="009720FB">
        <w:t>was initially</w:t>
      </w:r>
      <w:r>
        <w:t xml:space="preserve"> contained to the main </w:t>
      </w:r>
      <w:r w:rsidR="00F24680">
        <w:t>population centres on</w:t>
      </w:r>
      <w:r>
        <w:t xml:space="preserve"> Viti </w:t>
      </w:r>
      <w:proofErr w:type="spellStart"/>
      <w:proofErr w:type="gramStart"/>
      <w:r>
        <w:t>Levu</w:t>
      </w:r>
      <w:proofErr w:type="spellEnd"/>
      <w:r>
        <w:t>,</w:t>
      </w:r>
      <w:proofErr w:type="gramEnd"/>
      <w:r>
        <w:t xml:space="preserve"> however </w:t>
      </w:r>
      <w:r w:rsidR="005E35E7">
        <w:t xml:space="preserve">community </w:t>
      </w:r>
      <w:r w:rsidR="00F24680">
        <w:t>transmission</w:t>
      </w:r>
      <w:r w:rsidR="00461F78">
        <w:t xml:space="preserve"> became increasingly </w:t>
      </w:r>
      <w:r w:rsidR="009A18E3">
        <w:t>widespread</w:t>
      </w:r>
      <w:r>
        <w:t xml:space="preserve">, with </w:t>
      </w:r>
      <w:r w:rsidRPr="003C16C1">
        <w:rPr>
          <w:b/>
          <w:bCs/>
        </w:rPr>
        <w:t xml:space="preserve">per capita </w:t>
      </w:r>
      <w:r w:rsidR="00F24680" w:rsidRPr="003C16C1">
        <w:rPr>
          <w:b/>
          <w:bCs/>
        </w:rPr>
        <w:t xml:space="preserve">transmission </w:t>
      </w:r>
      <w:r w:rsidRPr="003C16C1">
        <w:rPr>
          <w:b/>
          <w:bCs/>
        </w:rPr>
        <w:t xml:space="preserve">rates </w:t>
      </w:r>
      <w:r w:rsidR="005E35E7" w:rsidRPr="003C16C1">
        <w:rPr>
          <w:b/>
          <w:bCs/>
        </w:rPr>
        <w:t xml:space="preserve">in July </w:t>
      </w:r>
      <w:r w:rsidR="002625A4" w:rsidRPr="003C16C1">
        <w:rPr>
          <w:b/>
          <w:bCs/>
        </w:rPr>
        <w:t>and August 2021</w:t>
      </w:r>
      <w:r w:rsidR="005E35E7" w:rsidRPr="003C16C1">
        <w:rPr>
          <w:b/>
          <w:bCs/>
        </w:rPr>
        <w:t xml:space="preserve"> </w:t>
      </w:r>
      <w:r w:rsidRPr="003C16C1">
        <w:rPr>
          <w:b/>
          <w:bCs/>
        </w:rPr>
        <w:t>amongst the highest in the world</w:t>
      </w:r>
      <w:r>
        <w:t xml:space="preserve">. </w:t>
      </w:r>
      <w:r w:rsidR="00012B30">
        <w:t>A</w:t>
      </w:r>
      <w:r w:rsidR="00D71A33">
        <w:t>ccording to Government of Fiji reporting, as</w:t>
      </w:r>
      <w:r w:rsidR="00012B30">
        <w:t xml:space="preserve"> </w:t>
      </w:r>
      <w:r w:rsidR="00012B30" w:rsidRPr="00520FF6">
        <w:t xml:space="preserve">of </w:t>
      </w:r>
      <w:r w:rsidR="00F24680" w:rsidRPr="003C16C1">
        <w:t xml:space="preserve">1 </w:t>
      </w:r>
      <w:r w:rsidR="00012B30" w:rsidRPr="003C16C1">
        <w:t xml:space="preserve">August 2021, Fiji had recorded </w:t>
      </w:r>
      <w:r w:rsidR="00D71A33" w:rsidRPr="003C16C1">
        <w:t>31,443</w:t>
      </w:r>
      <w:r w:rsidR="00012B30" w:rsidRPr="003C16C1">
        <w:t xml:space="preserve"> cases</w:t>
      </w:r>
      <w:r w:rsidR="00461F78" w:rsidRPr="003C16C1">
        <w:t xml:space="preserve"> during the outbreak</w:t>
      </w:r>
      <w:r w:rsidR="00012B30" w:rsidRPr="003C16C1">
        <w:t xml:space="preserve"> </w:t>
      </w:r>
      <w:r w:rsidR="006B1047" w:rsidRPr="003C16C1">
        <w:t>since April 2021</w:t>
      </w:r>
      <w:r w:rsidR="00012B30" w:rsidRPr="003C16C1">
        <w:t xml:space="preserve"> </w:t>
      </w:r>
      <w:r w:rsidR="00D71A33" w:rsidRPr="003C16C1">
        <w:t xml:space="preserve">and according to </w:t>
      </w:r>
      <w:r w:rsidR="00CD7F38">
        <w:t>the World Health Organisation</w:t>
      </w:r>
      <w:r w:rsidR="00D71A33" w:rsidRPr="003C16C1">
        <w:t xml:space="preserve"> a cumulative total of 41,830</w:t>
      </w:r>
      <w:r w:rsidR="003D41D3" w:rsidRPr="00EA640B">
        <w:t> </w:t>
      </w:r>
      <w:r w:rsidR="00D71A33" w:rsidRPr="00EA640B">
        <w:t>COVID</w:t>
      </w:r>
      <w:r w:rsidR="003D41D3" w:rsidRPr="00EA640B">
        <w:noBreakHyphen/>
        <w:t>1</w:t>
      </w:r>
      <w:r w:rsidR="00D71A33" w:rsidRPr="00EA640B">
        <w:t>9 cases</w:t>
      </w:r>
      <w:r w:rsidR="00012B30" w:rsidRPr="00EA640B">
        <w:t xml:space="preserve"> </w:t>
      </w:r>
      <w:r w:rsidR="00D71A33" w:rsidRPr="00EA640B">
        <w:t>since March 2020.</w:t>
      </w:r>
    </w:p>
    <w:p w14:paraId="7AF49941" w14:textId="43829CF3" w:rsidR="0051559A" w:rsidRDefault="00B17BC4" w:rsidP="004C0250">
      <w:pPr>
        <w:spacing w:before="0"/>
      </w:pPr>
      <w:r>
        <w:t>R</w:t>
      </w:r>
      <w:r w:rsidR="005E35E7">
        <w:t xml:space="preserve">olling out the COVID-19 </w:t>
      </w:r>
      <w:r w:rsidR="00461F78">
        <w:t xml:space="preserve">vaccine </w:t>
      </w:r>
      <w:r>
        <w:t xml:space="preserve">has been a Government of </w:t>
      </w:r>
      <w:r w:rsidRPr="007A6164">
        <w:t>Fiji priority</w:t>
      </w:r>
      <w:r w:rsidR="0051559A" w:rsidRPr="007A6164">
        <w:t xml:space="preserve">, while managing risks and </w:t>
      </w:r>
      <w:r w:rsidR="00193D8D">
        <w:t xml:space="preserve">reducing </w:t>
      </w:r>
      <w:r w:rsidR="0051559A" w:rsidRPr="007A6164">
        <w:t>(rather than eliminating) transmission</w:t>
      </w:r>
      <w:r w:rsidR="00461F78">
        <w:t xml:space="preserve"> rates</w:t>
      </w:r>
      <w:r w:rsidR="0051559A" w:rsidRPr="007A6164">
        <w:t xml:space="preserve">. </w:t>
      </w:r>
      <w:r w:rsidR="005E35E7" w:rsidRPr="007A6164">
        <w:t>Fiji’s</w:t>
      </w:r>
      <w:r w:rsidR="003D41D3">
        <w:t> </w:t>
      </w:r>
      <w:r w:rsidR="0083099E" w:rsidRPr="007A6164">
        <w:t xml:space="preserve">national </w:t>
      </w:r>
      <w:r w:rsidR="005E35E7" w:rsidRPr="007A6164">
        <w:t xml:space="preserve">vaccination program </w:t>
      </w:r>
      <w:r w:rsidR="0083099E" w:rsidRPr="007A6164">
        <w:t xml:space="preserve">commenced on 10 March 2021 and </w:t>
      </w:r>
      <w:r w:rsidR="005E35E7" w:rsidRPr="007A6164">
        <w:t>has been e</w:t>
      </w:r>
      <w:r w:rsidR="000A5FA0" w:rsidRPr="007A6164">
        <w:t>nabled in large part by Australia’s delivery of vaccines</w:t>
      </w:r>
      <w:r w:rsidR="005E35E7" w:rsidRPr="007A6164">
        <w:t>.</w:t>
      </w:r>
      <w:r w:rsidR="000A5FA0" w:rsidRPr="007A6164">
        <w:t xml:space="preserve"> </w:t>
      </w:r>
      <w:r w:rsidR="00C046F2" w:rsidRPr="007A6164">
        <w:t xml:space="preserve">We committed to supply </w:t>
      </w:r>
      <w:r w:rsidR="00193D8D">
        <w:t>one</w:t>
      </w:r>
      <w:r w:rsidR="00C046F2" w:rsidRPr="007A6164">
        <w:t xml:space="preserve"> million doses and</w:t>
      </w:r>
      <w:r w:rsidR="00193D8D">
        <w:t>,</w:t>
      </w:r>
      <w:r w:rsidR="00C046F2" w:rsidRPr="007A6164">
        <w:t xml:space="preserve"> </w:t>
      </w:r>
      <w:r w:rsidR="00C046F2" w:rsidRPr="003C16C1">
        <w:rPr>
          <w:b/>
          <w:bCs/>
        </w:rPr>
        <w:t xml:space="preserve">as of </w:t>
      </w:r>
      <w:r w:rsidR="00011B0A" w:rsidRPr="003C16C1">
        <w:rPr>
          <w:b/>
          <w:bCs/>
        </w:rPr>
        <w:t>31</w:t>
      </w:r>
      <w:r w:rsidR="00C046F2" w:rsidRPr="003C16C1">
        <w:rPr>
          <w:b/>
          <w:bCs/>
        </w:rPr>
        <w:t xml:space="preserve"> August</w:t>
      </w:r>
      <w:r w:rsidR="00193D8D" w:rsidRPr="003C16C1">
        <w:rPr>
          <w:b/>
          <w:bCs/>
        </w:rPr>
        <w:t>,</w:t>
      </w:r>
      <w:r w:rsidR="00C046F2" w:rsidRPr="003C16C1">
        <w:rPr>
          <w:b/>
          <w:bCs/>
        </w:rPr>
        <w:t xml:space="preserve"> had supplied 861,000 doses to Fiji. </w:t>
      </w:r>
      <w:r w:rsidR="005E35E7" w:rsidRPr="003C16C1">
        <w:t>A</w:t>
      </w:r>
      <w:r w:rsidR="003D41D3" w:rsidRPr="003C16C1">
        <w:t>s </w:t>
      </w:r>
      <w:r w:rsidR="0051559A" w:rsidRPr="003C16C1">
        <w:t xml:space="preserve">of </w:t>
      </w:r>
      <w:r w:rsidR="00011B0A" w:rsidRPr="003C16C1">
        <w:t>31</w:t>
      </w:r>
      <w:r w:rsidR="0051559A" w:rsidRPr="003C16C1">
        <w:t xml:space="preserve"> August, </w:t>
      </w:r>
      <w:r w:rsidR="007A6164" w:rsidRPr="003C16C1">
        <w:t>95.9</w:t>
      </w:r>
      <w:r w:rsidR="00364BB2" w:rsidRPr="003C16C1">
        <w:t xml:space="preserve"> per cent</w:t>
      </w:r>
      <w:r w:rsidR="0051559A" w:rsidRPr="003C16C1">
        <w:t xml:space="preserve"> of </w:t>
      </w:r>
      <w:r w:rsidR="000A5FA0" w:rsidRPr="003C16C1">
        <w:t xml:space="preserve">Fiji’s </w:t>
      </w:r>
      <w:r w:rsidR="0051559A" w:rsidRPr="003C16C1">
        <w:t>eligible population had been vaccinated</w:t>
      </w:r>
      <w:r w:rsidR="0051559A" w:rsidRPr="007A6164">
        <w:t xml:space="preserve"> with one dose of COVID-19 vaccine while </w:t>
      </w:r>
      <w:r w:rsidR="007A6164" w:rsidRPr="007A6164">
        <w:t>47.6</w:t>
      </w:r>
      <w:r w:rsidR="00364BB2">
        <w:t xml:space="preserve"> per cent</w:t>
      </w:r>
      <w:r w:rsidR="0051559A" w:rsidRPr="007A6164">
        <w:t xml:space="preserve"> had been fully vaccinated. </w:t>
      </w:r>
    </w:p>
    <w:p w14:paraId="2DA12C14" w14:textId="7AE4A190" w:rsidR="000D0D71" w:rsidRDefault="006B1047" w:rsidP="004C0250">
      <w:pPr>
        <w:spacing w:before="0"/>
      </w:pPr>
      <w:bookmarkStart w:id="1" w:name="_Hlk82092819"/>
      <w:r w:rsidRPr="000D0D71">
        <w:t xml:space="preserve">Fiji’s tourism-dependent economy </w:t>
      </w:r>
      <w:r w:rsidR="000A5FA0">
        <w:t>continues to be</w:t>
      </w:r>
      <w:r w:rsidR="000A5FA0" w:rsidRPr="000D0D71">
        <w:t xml:space="preserve"> </w:t>
      </w:r>
      <w:r w:rsidRPr="000D0D71">
        <w:t xml:space="preserve">one of the hardest hit economies globally. </w:t>
      </w:r>
      <w:r w:rsidR="00B17BC4" w:rsidRPr="003C16C1">
        <w:rPr>
          <w:b/>
          <w:bCs/>
        </w:rPr>
        <w:t xml:space="preserve">After shrinking 15.7 per cent </w:t>
      </w:r>
      <w:r w:rsidR="00461F78" w:rsidRPr="003C16C1">
        <w:rPr>
          <w:b/>
          <w:bCs/>
        </w:rPr>
        <w:t>in 2020</w:t>
      </w:r>
      <w:r w:rsidR="00B17BC4" w:rsidRPr="003C16C1">
        <w:rPr>
          <w:b/>
          <w:bCs/>
        </w:rPr>
        <w:t>,</w:t>
      </w:r>
      <w:r w:rsidR="00CC02A9" w:rsidRPr="003C16C1">
        <w:rPr>
          <w:b/>
          <w:bCs/>
        </w:rPr>
        <w:t xml:space="preserve"> </w:t>
      </w:r>
      <w:r w:rsidR="00CD7F38">
        <w:t>the A</w:t>
      </w:r>
      <w:r w:rsidR="0074409E">
        <w:t xml:space="preserve">sian </w:t>
      </w:r>
      <w:r w:rsidR="00CD7F38">
        <w:t>D</w:t>
      </w:r>
      <w:r w:rsidR="0074409E">
        <w:t xml:space="preserve">evelopment </w:t>
      </w:r>
      <w:r w:rsidR="00CD7F38">
        <w:t>B</w:t>
      </w:r>
      <w:r w:rsidR="0074409E">
        <w:t>ank</w:t>
      </w:r>
      <w:r w:rsidR="00CD7F38">
        <w:t xml:space="preserve"> </w:t>
      </w:r>
      <w:r w:rsidR="00B8438C">
        <w:t xml:space="preserve">(ADB) </w:t>
      </w:r>
      <w:r w:rsidR="00CD7F38">
        <w:t xml:space="preserve">forecasts </w:t>
      </w:r>
      <w:r w:rsidR="00B9447F">
        <w:t xml:space="preserve">a further GDP contraction of </w:t>
      </w:r>
      <w:r w:rsidR="00753C8E">
        <w:t xml:space="preserve">five </w:t>
      </w:r>
      <w:r w:rsidR="00CD7F38" w:rsidRPr="003C16C1">
        <w:t xml:space="preserve">per cent </w:t>
      </w:r>
      <w:r w:rsidR="00CD7F38">
        <w:t xml:space="preserve">for 2021. </w:t>
      </w:r>
      <w:r w:rsidR="00011B0A" w:rsidRPr="003C16C1">
        <w:t xml:space="preserve">In April 2021, </w:t>
      </w:r>
      <w:r w:rsidR="003C16C1">
        <w:t xml:space="preserve">the </w:t>
      </w:r>
      <w:r w:rsidR="00CD7F38">
        <w:t>International Monetary Fund</w:t>
      </w:r>
      <w:r w:rsidR="00011B0A" w:rsidRPr="003C16C1">
        <w:t xml:space="preserve"> </w:t>
      </w:r>
      <w:r w:rsidR="00B8438C">
        <w:t xml:space="preserve">(IMF) </w:t>
      </w:r>
      <w:r w:rsidR="00011B0A" w:rsidRPr="003C16C1">
        <w:t>forecasted a fiscal deficit of 1</w:t>
      </w:r>
      <w:r w:rsidR="00D71A33" w:rsidRPr="003C16C1">
        <w:t>4</w:t>
      </w:r>
      <w:r w:rsidR="00011B0A" w:rsidRPr="003C16C1">
        <w:t>.</w:t>
      </w:r>
      <w:r w:rsidR="00D71A33" w:rsidRPr="003C16C1">
        <w:t>6</w:t>
      </w:r>
      <w:r w:rsidR="00011B0A" w:rsidRPr="003C16C1">
        <w:t xml:space="preserve"> per cent of GDP</w:t>
      </w:r>
      <w:r w:rsidR="00E50726" w:rsidRPr="003C16C1">
        <w:t xml:space="preserve"> (</w:t>
      </w:r>
      <w:r w:rsidR="00E50726" w:rsidRPr="007A6164">
        <w:t>while</w:t>
      </w:r>
      <w:r w:rsidR="00011B0A" w:rsidRPr="007A6164">
        <w:t xml:space="preserve"> Fiji’s budget</w:t>
      </w:r>
      <w:r w:rsidR="00520FF6" w:rsidRPr="007A6164">
        <w:t xml:space="preserve"> estimates released in July show a </w:t>
      </w:r>
      <w:r w:rsidR="000A5FA0" w:rsidRPr="007A6164">
        <w:t>net deficit</w:t>
      </w:r>
      <w:r w:rsidR="00520FF6" w:rsidRPr="007A6164">
        <w:t xml:space="preserve"> </w:t>
      </w:r>
      <w:r w:rsidR="00461F78">
        <w:t>of</w:t>
      </w:r>
      <w:r w:rsidR="00461F78" w:rsidRPr="007A6164">
        <w:t xml:space="preserve"> </w:t>
      </w:r>
      <w:r w:rsidR="000A5FA0" w:rsidRPr="007A6164">
        <w:t>16.2</w:t>
      </w:r>
      <w:r w:rsidR="00364BB2">
        <w:t xml:space="preserve"> per cent</w:t>
      </w:r>
      <w:r w:rsidR="000A5FA0" w:rsidRPr="007A6164">
        <w:t xml:space="preserve"> of GDP</w:t>
      </w:r>
      <w:r w:rsidR="00E50726" w:rsidRPr="007A6164">
        <w:t>)</w:t>
      </w:r>
      <w:r w:rsidR="000A5FA0" w:rsidRPr="007A6164">
        <w:t xml:space="preserve">. </w:t>
      </w:r>
      <w:bookmarkEnd w:id="1"/>
      <w:r w:rsidR="000A5FA0" w:rsidRPr="007A6164">
        <w:t>Fiji’s budget</w:t>
      </w:r>
      <w:r w:rsidR="000A5FA0">
        <w:t xml:space="preserve"> anticipates the start of a slow economic recovery based on the assumption that</w:t>
      </w:r>
      <w:r w:rsidR="000D0D71">
        <w:t xml:space="preserve"> tourism </w:t>
      </w:r>
      <w:r w:rsidR="000A5FA0">
        <w:t xml:space="preserve">will </w:t>
      </w:r>
      <w:r w:rsidR="00753C8E">
        <w:t>increase significantly in</w:t>
      </w:r>
      <w:r w:rsidR="002D3F9E">
        <w:t xml:space="preserve"> </w:t>
      </w:r>
      <w:r w:rsidR="000D0D71">
        <w:t>2022</w:t>
      </w:r>
      <w:r w:rsidR="004703F9">
        <w:t xml:space="preserve">. </w:t>
      </w:r>
      <w:r w:rsidR="000A5FA0">
        <w:t xml:space="preserve">If this does not occur as expected, Fiji’s </w:t>
      </w:r>
      <w:r w:rsidR="0083099E">
        <w:t xml:space="preserve">economic </w:t>
      </w:r>
      <w:r w:rsidR="000A5FA0">
        <w:t xml:space="preserve">recovery will be significantly hampered. </w:t>
      </w:r>
    </w:p>
    <w:p w14:paraId="22900C6A" w14:textId="737B2E06" w:rsidR="00EC608A" w:rsidRDefault="00FC1216" w:rsidP="008C33E0">
      <w:pPr>
        <w:pStyle w:val="Heading2"/>
      </w:pPr>
      <w:r w:rsidRPr="00FC1216">
        <w:lastRenderedPageBreak/>
        <w:t>AUSTRALIA’S RESPONS</w:t>
      </w:r>
      <w:r w:rsidR="00193C49">
        <w:t xml:space="preserve">E </w:t>
      </w:r>
      <w:r w:rsidR="00A46B28">
        <w:t>and</w:t>
      </w:r>
      <w:r w:rsidR="00193C49">
        <w:t xml:space="preserve"> PROGRAM HIGHLIGHTS</w:t>
      </w:r>
      <w:r w:rsidR="00B55284">
        <w:t xml:space="preserve"> </w:t>
      </w:r>
    </w:p>
    <w:p w14:paraId="21DAD17C" w14:textId="2922B84F" w:rsidR="009D0E05" w:rsidRDefault="009D0E05" w:rsidP="004C0250">
      <w:pPr>
        <w:spacing w:before="0"/>
      </w:pPr>
      <w:bookmarkStart w:id="2" w:name="_Hlk86316822"/>
      <w:r>
        <w:t>Australia</w:t>
      </w:r>
      <w:r w:rsidR="00B80F1E">
        <w:t xml:space="preserve">’s development program </w:t>
      </w:r>
      <w:r w:rsidR="0083099E">
        <w:t xml:space="preserve">has </w:t>
      </w:r>
      <w:r w:rsidR="00B80F1E">
        <w:t>played a critical role</w:t>
      </w:r>
      <w:r>
        <w:t xml:space="preserve"> </w:t>
      </w:r>
      <w:r w:rsidR="00B80F1E">
        <w:t>supporting</w:t>
      </w:r>
      <w:r>
        <w:t xml:space="preserve"> health, education and skills</w:t>
      </w:r>
      <w:r w:rsidR="00B80F1E">
        <w:t>, and private sector recovery programs</w:t>
      </w:r>
      <w:r>
        <w:t xml:space="preserve">, as well </w:t>
      </w:r>
      <w:r w:rsidR="00B80F1E">
        <w:t xml:space="preserve">as disaster relief </w:t>
      </w:r>
      <w:r w:rsidR="005E05D7">
        <w:t xml:space="preserve">in the wake of tropical cyclones </w:t>
      </w:r>
      <w:r w:rsidR="00B80F1E">
        <w:t xml:space="preserve">and </w:t>
      </w:r>
      <w:r w:rsidR="001F3517">
        <w:t>direct budget support</w:t>
      </w:r>
      <w:r>
        <w:t xml:space="preserve"> to</w:t>
      </w:r>
      <w:r w:rsidR="00B80F1E">
        <w:t xml:space="preserve"> bolster social protection schemes for the most vulnerable Fijians. </w:t>
      </w:r>
      <w:bookmarkStart w:id="3" w:name="_Hlk84314710"/>
      <w:r w:rsidR="00DD794D">
        <w:t>Despite a difficult operating environment, most investments were able to adapt their activities to suit the COVID-19 context, while still making progress towards expected outcomes.</w:t>
      </w:r>
    </w:p>
    <w:bookmarkEnd w:id="3"/>
    <w:bookmarkEnd w:id="2"/>
    <w:p w14:paraId="79BE876C" w14:textId="68208608" w:rsidR="00297FD1" w:rsidRPr="00216C55" w:rsidRDefault="00297FD1" w:rsidP="00B32F5A">
      <w:pPr>
        <w:pStyle w:val="Heading3"/>
      </w:pPr>
      <w:r w:rsidRPr="00216C55">
        <w:t>Health Security</w:t>
      </w:r>
    </w:p>
    <w:p w14:paraId="1D70568E" w14:textId="7E7B188B" w:rsidR="00364A9E" w:rsidRDefault="009E646C" w:rsidP="004C0250">
      <w:pPr>
        <w:spacing w:before="0"/>
      </w:pPr>
      <w:r w:rsidRPr="003C16C1">
        <w:rPr>
          <w:b/>
          <w:bCs/>
        </w:rPr>
        <w:t xml:space="preserve">Australia is </w:t>
      </w:r>
      <w:r w:rsidR="00D75F05" w:rsidRPr="003C16C1">
        <w:rPr>
          <w:b/>
          <w:bCs/>
        </w:rPr>
        <w:t>Fiji’s largest public health partner</w:t>
      </w:r>
      <w:r>
        <w:t xml:space="preserve"> and has responded</w:t>
      </w:r>
      <w:r w:rsidR="008B6C9E" w:rsidRPr="006552C1">
        <w:t xml:space="preserve"> to </w:t>
      </w:r>
      <w:r>
        <w:t>Fiji’s</w:t>
      </w:r>
      <w:r w:rsidR="008B6C9E" w:rsidRPr="006552C1">
        <w:t xml:space="preserve"> most acute </w:t>
      </w:r>
      <w:r w:rsidR="00972B5B">
        <w:t xml:space="preserve">health </w:t>
      </w:r>
      <w:r w:rsidR="008B6C9E" w:rsidRPr="006552C1">
        <w:t>needs and priorities</w:t>
      </w:r>
      <w:r w:rsidR="008B6C9E">
        <w:t xml:space="preserve"> </w:t>
      </w:r>
      <w:r w:rsidR="00972B5B">
        <w:t>during the COVID-19 pandemic</w:t>
      </w:r>
      <w:r w:rsidR="008B6C9E" w:rsidRPr="006552C1">
        <w:t>.</w:t>
      </w:r>
      <w:r w:rsidR="00972B5B">
        <w:t xml:space="preserve"> Our support has built institutional capacity, strengthened the health system, </w:t>
      </w:r>
      <w:r>
        <w:t>helped improve</w:t>
      </w:r>
      <w:r w:rsidR="00972B5B">
        <w:t xml:space="preserve"> patient care (especially maternal, new-born and child health)</w:t>
      </w:r>
      <w:r w:rsidR="006B26B8">
        <w:t xml:space="preserve">, improved </w:t>
      </w:r>
      <w:r w:rsidR="00CD7F38">
        <w:t>w</w:t>
      </w:r>
      <w:r w:rsidR="006B26B8">
        <w:t xml:space="preserve">ater, </w:t>
      </w:r>
      <w:proofErr w:type="gramStart"/>
      <w:r w:rsidR="00CD7F38">
        <w:t>s</w:t>
      </w:r>
      <w:r w:rsidR="006B26B8">
        <w:t>anitation</w:t>
      </w:r>
      <w:proofErr w:type="gramEnd"/>
      <w:r w:rsidR="006B26B8">
        <w:t xml:space="preserve"> and </w:t>
      </w:r>
      <w:r w:rsidR="00CD7F38">
        <w:t>h</w:t>
      </w:r>
      <w:r w:rsidR="006B26B8">
        <w:t xml:space="preserve">ygiene, </w:t>
      </w:r>
      <w:r w:rsidR="00972B5B">
        <w:t xml:space="preserve">and </w:t>
      </w:r>
      <w:r w:rsidR="00364BB2">
        <w:t>supplied critical vaccines.</w:t>
      </w:r>
    </w:p>
    <w:p w14:paraId="5CA03762" w14:textId="6EAF5E35" w:rsidR="00045AAF" w:rsidRDefault="006E49F2" w:rsidP="004C0250">
      <w:pPr>
        <w:spacing w:before="0"/>
      </w:pPr>
      <w:r>
        <w:t>In the reporting period and i</w:t>
      </w:r>
      <w:r w:rsidR="00D75F05" w:rsidRPr="00485E9D">
        <w:t xml:space="preserve">n response to a request from the Government of Fiji, </w:t>
      </w:r>
      <w:r w:rsidR="00D75F05" w:rsidRPr="003C16C1">
        <w:rPr>
          <w:b/>
          <w:bCs/>
        </w:rPr>
        <w:t xml:space="preserve">Australia deployed </w:t>
      </w:r>
      <w:r w:rsidR="001F5C33" w:rsidRPr="003C16C1">
        <w:rPr>
          <w:b/>
          <w:bCs/>
        </w:rPr>
        <w:t xml:space="preserve">three </w:t>
      </w:r>
      <w:r w:rsidR="00D75F05" w:rsidRPr="003C16C1">
        <w:rPr>
          <w:b/>
          <w:bCs/>
        </w:rPr>
        <w:t xml:space="preserve">Australian Medical Assistance teams </w:t>
      </w:r>
      <w:r w:rsidR="00D75F05" w:rsidRPr="00485E9D">
        <w:t>with embedded New Zealand health specialists to support Fiji's emergency health response to the COVID</w:t>
      </w:r>
      <w:r w:rsidR="003D41D3">
        <w:noBreakHyphen/>
      </w:r>
      <w:r w:rsidR="00D75F05" w:rsidRPr="00485E9D">
        <w:t xml:space="preserve">19 outbreak. Teams worked alongside Fiji’s Ministry of Health and Medical Services staff and frontline health workers, with </w:t>
      </w:r>
      <w:r w:rsidR="00D75F05" w:rsidRPr="003C16C1">
        <w:t xml:space="preserve">a focus on infection prevention and control, </w:t>
      </w:r>
      <w:proofErr w:type="gramStart"/>
      <w:r w:rsidR="00D75F05" w:rsidRPr="003C16C1">
        <w:t>training</w:t>
      </w:r>
      <w:proofErr w:type="gramEnd"/>
      <w:r w:rsidR="00D75F05" w:rsidRPr="003C16C1">
        <w:t xml:space="preserve"> and public health support. Australia also supported Fiji’s Centre for Disease </w:t>
      </w:r>
      <w:r w:rsidR="00D75F05" w:rsidRPr="00EA640B">
        <w:t>Control</w:t>
      </w:r>
      <w:r w:rsidR="00D75F05" w:rsidRPr="008D4939">
        <w:t xml:space="preserve"> to enhance and strengthen testing and tracing capabilities, including through the recruitment of laboratory staff, and procurement of personal protective equipment and medical supplies.</w:t>
      </w:r>
    </w:p>
    <w:p w14:paraId="64D604E5" w14:textId="03B55791" w:rsidR="0058501E" w:rsidRPr="0058501E" w:rsidRDefault="0058501E" w:rsidP="0058501E">
      <w:pPr>
        <w:pStyle w:val="Bullet1"/>
        <w:numPr>
          <w:ilvl w:val="0"/>
          <w:numId w:val="0"/>
        </w:numPr>
      </w:pPr>
      <w:bookmarkStart w:id="4" w:name="_Hlk84514444"/>
      <w:r>
        <w:t xml:space="preserve">Australia has committed $16.9 million over three years (2020-23) for COVID-19 vaccine access in Fiji, including delivery support and vaccine procurement, drawing on Australia’s </w:t>
      </w:r>
      <w:r w:rsidRPr="0058501E">
        <w:rPr>
          <w:b/>
          <w:bCs/>
        </w:rPr>
        <w:t>Regional COVID-19 Vaccine Access and Health Security Initiative (VAHSI). Through VAHSI, Australia is supporting Fiji and other Pacific island countries to achieve comprehensive vaccine coverage</w:t>
      </w:r>
      <w:r w:rsidRPr="0058501E">
        <w:t>.</w:t>
      </w:r>
      <w:r>
        <w:t xml:space="preserve"> Australia has committed to share </w:t>
      </w:r>
      <w:r w:rsidR="00753C8E">
        <w:t xml:space="preserve">one </w:t>
      </w:r>
      <w:r>
        <w:t>million COVID-19 vaccine doses and associated consumables with Fiji</w:t>
      </w:r>
      <w:bookmarkStart w:id="5" w:name="_Hlk84517403"/>
      <w:bookmarkStart w:id="6" w:name="_Hlk84517136"/>
      <w:r w:rsidRPr="0058501E">
        <w:t xml:space="preserve">. This is in addition to Australia’s support for the </w:t>
      </w:r>
      <w:r w:rsidR="00FE4A70" w:rsidRPr="00FE4A70">
        <w:t xml:space="preserve">COVID-19 Vaccines Global Access </w:t>
      </w:r>
      <w:r w:rsidR="00FE4A70">
        <w:t>(</w:t>
      </w:r>
      <w:r w:rsidRPr="0058501E">
        <w:t>COVAX</w:t>
      </w:r>
      <w:r w:rsidR="00FE4A70">
        <w:t>)</w:t>
      </w:r>
      <w:r w:rsidRPr="0058501E">
        <w:t xml:space="preserve"> Advance Market Commitment totalling $130 million.</w:t>
      </w:r>
      <w:bookmarkEnd w:id="5"/>
      <w:r w:rsidRPr="0058501E">
        <w:t xml:space="preserve"> As </w:t>
      </w:r>
      <w:bookmarkEnd w:id="6"/>
      <w:proofErr w:type="gramStart"/>
      <w:r w:rsidRPr="0058501E">
        <w:t>at</w:t>
      </w:r>
      <w:proofErr w:type="gramEnd"/>
      <w:r w:rsidRPr="0058501E">
        <w:t xml:space="preserve"> 30 June, this mechanism had delivered 60,000 </w:t>
      </w:r>
      <w:r w:rsidR="00FE4A70">
        <w:br/>
      </w:r>
      <w:r w:rsidRPr="0058501E">
        <w:t xml:space="preserve">COVID-19 vaccine doses to Fiji. </w:t>
      </w:r>
    </w:p>
    <w:p w14:paraId="4149D75E" w14:textId="0C15DD9B" w:rsidR="00D75F05" w:rsidRPr="0058501E" w:rsidRDefault="006E49F2" w:rsidP="00CB3403">
      <w:pPr>
        <w:pStyle w:val="Bullet1"/>
        <w:numPr>
          <w:ilvl w:val="0"/>
          <w:numId w:val="0"/>
        </w:numPr>
      </w:pPr>
      <w:r>
        <w:t>In the reporting period, w</w:t>
      </w:r>
      <w:r w:rsidR="0058501E">
        <w:t xml:space="preserve">e also supported Fiji to prepare for its national vaccine rollout. Specific activities have included support for the electronic medical record Tamanu which will form part of Fiji’s immunisation register and development of a nation-wide communication strategy to address vaccine hesitancy. In addition, Australia </w:t>
      </w:r>
      <w:r w:rsidR="0058501E" w:rsidRPr="0058501E">
        <w:rPr>
          <w:b/>
          <w:bCs/>
        </w:rPr>
        <w:t>is providing technical advice to support Fiji’s vaccine rollout</w:t>
      </w:r>
      <w:r w:rsidR="0058501E">
        <w:t xml:space="preserve"> through the National Centre for Immunisation Research and Surveillance and the Therapeutic Goods Administration.</w:t>
      </w:r>
      <w:bookmarkEnd w:id="4"/>
    </w:p>
    <w:p w14:paraId="1D48D073" w14:textId="7EDD6586" w:rsidR="00297FD1" w:rsidRPr="00216C55" w:rsidRDefault="00297FD1" w:rsidP="00B32F5A">
      <w:pPr>
        <w:pStyle w:val="Heading3"/>
      </w:pPr>
      <w:r w:rsidRPr="00216C55">
        <w:t>Stability</w:t>
      </w:r>
    </w:p>
    <w:p w14:paraId="6BCAC13A" w14:textId="5373ADFF" w:rsidR="00045AAF" w:rsidRDefault="00884DBE" w:rsidP="004C0250">
      <w:pPr>
        <w:spacing w:before="0"/>
      </w:pPr>
      <w:r w:rsidRPr="003931DF">
        <w:t>Fiji’s tourism shutdown has resulted</w:t>
      </w:r>
      <w:r w:rsidR="00E6462A" w:rsidRPr="003931DF">
        <w:t xml:space="preserve"> in wide-spread job losses</w:t>
      </w:r>
      <w:r w:rsidRPr="003931DF">
        <w:t xml:space="preserve">, leaving </w:t>
      </w:r>
      <w:r w:rsidR="00C76DAE" w:rsidRPr="003931DF">
        <w:t>around</w:t>
      </w:r>
      <w:r w:rsidR="00E6462A" w:rsidRPr="003931DF">
        <w:t xml:space="preserve"> 115,000 </w:t>
      </w:r>
      <w:r w:rsidRPr="003931DF">
        <w:t>Fijians newly unemployed or on reduced hours</w:t>
      </w:r>
      <w:r w:rsidR="00C76DAE" w:rsidRPr="003931DF">
        <w:t>.</w:t>
      </w:r>
      <w:r w:rsidRPr="003931DF">
        <w:t xml:space="preserve"> A</w:t>
      </w:r>
      <w:r w:rsidR="00E6462A" w:rsidRPr="003931DF">
        <w:t xml:space="preserve"> third of </w:t>
      </w:r>
      <w:r w:rsidRPr="003931DF">
        <w:t>these are</w:t>
      </w:r>
      <w:r w:rsidR="00E6462A" w:rsidRPr="003931DF">
        <w:t xml:space="preserve"> wome</w:t>
      </w:r>
      <w:r w:rsidRPr="003931DF">
        <w:t>n</w:t>
      </w:r>
      <w:r w:rsidR="00E6462A" w:rsidRPr="003931DF">
        <w:t xml:space="preserve">. </w:t>
      </w:r>
      <w:r w:rsidR="00364BB2">
        <w:t>Our support has focussed on strengthening Government of Fiji’s national policies and institutions, including the national social protection system, gender equality and education.</w:t>
      </w:r>
    </w:p>
    <w:p w14:paraId="60D8AA4E" w14:textId="3E8CA81D" w:rsidR="00884DBE" w:rsidRPr="003931DF" w:rsidRDefault="006E49F2" w:rsidP="004C0250">
      <w:pPr>
        <w:spacing w:before="0"/>
      </w:pPr>
      <w:r>
        <w:t xml:space="preserve">In the reporting period, </w:t>
      </w:r>
      <w:r w:rsidR="00884DBE" w:rsidRPr="00EA640B">
        <w:t>Australia’s</w:t>
      </w:r>
      <w:r w:rsidR="00884DBE" w:rsidRPr="00EA640B">
        <w:rPr>
          <w:b/>
          <w:bCs/>
        </w:rPr>
        <w:t xml:space="preserve"> Pacific Women </w:t>
      </w:r>
      <w:r w:rsidR="00884DBE" w:rsidRPr="00EA640B">
        <w:t>program supported the Fiji Women’s Crisis Centre ($1.5 million) to boost counselling</w:t>
      </w:r>
      <w:r w:rsidR="00884DBE" w:rsidRPr="00EA640B">
        <w:rPr>
          <w:b/>
          <w:bCs/>
        </w:rPr>
        <w:t xml:space="preserve"> </w:t>
      </w:r>
      <w:r w:rsidR="00884DBE" w:rsidRPr="00EA640B">
        <w:t>services</w:t>
      </w:r>
      <w:r w:rsidR="00884DBE" w:rsidRPr="003931DF">
        <w:t xml:space="preserve"> available to women</w:t>
      </w:r>
      <w:r w:rsidR="00B539C1" w:rsidRPr="003931DF">
        <w:t xml:space="preserve"> </w:t>
      </w:r>
      <w:r w:rsidR="0083099E" w:rsidRPr="003931DF">
        <w:t>facing</w:t>
      </w:r>
      <w:r w:rsidR="00B539C1" w:rsidRPr="003931DF">
        <w:t xml:space="preserve"> domestic violence</w:t>
      </w:r>
      <w:r w:rsidR="00884DBE" w:rsidRPr="003931DF">
        <w:t xml:space="preserve">. </w:t>
      </w:r>
      <w:r w:rsidR="00B539C1" w:rsidRPr="003931DF">
        <w:t xml:space="preserve">The </w:t>
      </w:r>
      <w:r w:rsidR="00C76DAE" w:rsidRPr="003931DF">
        <w:t>C</w:t>
      </w:r>
      <w:r w:rsidR="00B539C1" w:rsidRPr="003931DF">
        <w:t xml:space="preserve">entre saw both an increase in new clients and those seeking repeat counselling sessions. </w:t>
      </w:r>
      <w:r w:rsidR="00884DBE" w:rsidRPr="003931DF">
        <w:t xml:space="preserve">Additionally, </w:t>
      </w:r>
      <w:r w:rsidR="00B539C1" w:rsidRPr="003931DF">
        <w:t xml:space="preserve">the </w:t>
      </w:r>
      <w:r w:rsidR="00884DBE" w:rsidRPr="00EA640B">
        <w:rPr>
          <w:b/>
          <w:bCs/>
        </w:rPr>
        <w:t>Pacific Women</w:t>
      </w:r>
      <w:r w:rsidR="00B539C1" w:rsidRPr="00EA640B">
        <w:rPr>
          <w:b/>
          <w:bCs/>
        </w:rPr>
        <w:t xml:space="preserve"> </w:t>
      </w:r>
      <w:r w:rsidR="00B539C1" w:rsidRPr="00EA640B">
        <w:t>program</w:t>
      </w:r>
      <w:r w:rsidR="00884DBE" w:rsidRPr="00EA640B">
        <w:t xml:space="preserve"> supported the Fiji Women’s Fund ($2.3</w:t>
      </w:r>
      <w:r w:rsidR="003D41D3" w:rsidRPr="00EA640B">
        <w:t> </w:t>
      </w:r>
      <w:r w:rsidR="00B539C1" w:rsidRPr="00EA640B">
        <w:t>million</w:t>
      </w:r>
      <w:r w:rsidR="00884DBE" w:rsidRPr="00EA640B">
        <w:t>)</w:t>
      </w:r>
      <w:r w:rsidR="00884DBE" w:rsidRPr="003931DF">
        <w:t xml:space="preserve"> to provide funding and capacity development support to women’s groups, </w:t>
      </w:r>
      <w:proofErr w:type="gramStart"/>
      <w:r w:rsidR="00884DBE" w:rsidRPr="003931DF">
        <w:t>networks</w:t>
      </w:r>
      <w:proofErr w:type="gramEnd"/>
      <w:r w:rsidR="00B539C1" w:rsidRPr="003931DF">
        <w:t xml:space="preserve"> </w:t>
      </w:r>
      <w:r w:rsidR="00884DBE" w:rsidRPr="003931DF">
        <w:t xml:space="preserve">and organisations in Fiji to expand and enhance their work on women’s empowerment and gender equality. </w:t>
      </w:r>
    </w:p>
    <w:p w14:paraId="779F6E1B" w14:textId="7C577562" w:rsidR="009E646C" w:rsidRDefault="00B539C1" w:rsidP="004C0250">
      <w:pPr>
        <w:spacing w:before="0"/>
      </w:pPr>
      <w:r w:rsidRPr="003931DF">
        <w:t xml:space="preserve">Through </w:t>
      </w:r>
      <w:r w:rsidRPr="00EA640B">
        <w:t>Australia’s $25 million</w:t>
      </w:r>
      <w:r w:rsidRPr="00EA640B">
        <w:rPr>
          <w:b/>
          <w:bCs/>
        </w:rPr>
        <w:t xml:space="preserve"> Fiji Education Program </w:t>
      </w:r>
      <w:r w:rsidRPr="00EA640B">
        <w:t xml:space="preserve">(2017-22), Australia is supporting </w:t>
      </w:r>
      <w:r w:rsidR="00C76DAE" w:rsidRPr="00EA640B">
        <w:t>Fiji’s</w:t>
      </w:r>
      <w:r w:rsidRPr="00EA640B">
        <w:t xml:space="preserve"> Ministry of Education, Heritage and Arts’</w:t>
      </w:r>
      <w:r w:rsidR="00E65CE7" w:rsidRPr="00EA640B">
        <w:t xml:space="preserve"> </w:t>
      </w:r>
      <w:r w:rsidRPr="00EA640B">
        <w:t>strategic priorities</w:t>
      </w:r>
      <w:r w:rsidR="00A55C71">
        <w:t xml:space="preserve"> including</w:t>
      </w:r>
      <w:r w:rsidRPr="003931DF">
        <w:t xml:space="preserve"> teacher preparation and development, inclusive education, and civil service reforms in the education sector.</w:t>
      </w:r>
      <w:r w:rsidR="00EC2942" w:rsidRPr="003931DF">
        <w:t xml:space="preserve"> </w:t>
      </w:r>
      <w:r w:rsidR="006E49F2">
        <w:t>In the reporting period, t</w:t>
      </w:r>
      <w:r w:rsidR="00EC2942" w:rsidRPr="003931DF">
        <w:t xml:space="preserve">he </w:t>
      </w:r>
      <w:r w:rsidR="006D0A1B" w:rsidRPr="003931DF">
        <w:t>Australian</w:t>
      </w:r>
      <w:r w:rsidR="0083099E" w:rsidRPr="003931DF">
        <w:t>-</w:t>
      </w:r>
      <w:r w:rsidR="00EC2942" w:rsidRPr="003931DF">
        <w:t>supported Establishment Control Panel in the Fiji Education Management Information System (FEMIS) was made fully operational leading to significant improvements in efficiency and accountabilities in Fiji’s system of school grants (88</w:t>
      </w:r>
      <w:r w:rsidR="0083099E" w:rsidRPr="003931DF">
        <w:t xml:space="preserve"> per cent </w:t>
      </w:r>
      <w:r w:rsidR="00EC2942" w:rsidRPr="003931DF">
        <w:t>of secondary schools completing bank reconciliations for grants in FEMIS</w:t>
      </w:r>
      <w:r w:rsidR="00563946">
        <w:t>)</w:t>
      </w:r>
      <w:r w:rsidR="004703F9">
        <w:t>.</w:t>
      </w:r>
      <w:r w:rsidR="004866C0">
        <w:t xml:space="preserve"> </w:t>
      </w:r>
      <w:r w:rsidR="00D603B4" w:rsidRPr="00EA640B">
        <w:t>With schools closed since April 2021</w:t>
      </w:r>
      <w:r w:rsidR="0083099E" w:rsidRPr="00EA640B">
        <w:t xml:space="preserve"> due to the COVID-19 </w:t>
      </w:r>
      <w:r w:rsidR="0083099E" w:rsidRPr="00EA640B">
        <w:lastRenderedPageBreak/>
        <w:t>outbreak</w:t>
      </w:r>
      <w:r w:rsidR="00D603B4" w:rsidRPr="00EA640B">
        <w:t>, t</w:t>
      </w:r>
      <w:r w:rsidR="00EC2942" w:rsidRPr="00EA640B">
        <w:t xml:space="preserve">he </w:t>
      </w:r>
      <w:r w:rsidR="00753C8E">
        <w:t>e</w:t>
      </w:r>
      <w:r w:rsidR="00EC2942" w:rsidRPr="00EA640B">
        <w:t>ducation program pivot</w:t>
      </w:r>
      <w:r w:rsidR="0083099E" w:rsidRPr="00EA640B">
        <w:t>ed</w:t>
      </w:r>
      <w:r w:rsidR="00EC2942" w:rsidRPr="00EA640B">
        <w:t xml:space="preserve"> program resources to respond to remote learning requirements</w:t>
      </w:r>
      <w:r w:rsidR="009E646C" w:rsidRPr="00EA640B">
        <w:t xml:space="preserve"> including the development of radio programs.</w:t>
      </w:r>
    </w:p>
    <w:p w14:paraId="00444648" w14:textId="3E00809D" w:rsidR="00C400E6" w:rsidRPr="002D3F9E" w:rsidRDefault="00190888" w:rsidP="004C0250">
      <w:pPr>
        <w:spacing w:before="0"/>
      </w:pPr>
      <w:r w:rsidRPr="002D3F9E">
        <w:t xml:space="preserve">In addition, we </w:t>
      </w:r>
      <w:r w:rsidRPr="00EA640B">
        <w:t>supported the</w:t>
      </w:r>
      <w:r w:rsidRPr="00EA640B">
        <w:rPr>
          <w:b/>
          <w:bCs/>
        </w:rPr>
        <w:t xml:space="preserve"> </w:t>
      </w:r>
      <w:r w:rsidR="00C400E6" w:rsidRPr="00EA640B">
        <w:rPr>
          <w:b/>
          <w:bCs/>
        </w:rPr>
        <w:t>Australia Pac</w:t>
      </w:r>
      <w:r w:rsidRPr="00EA640B">
        <w:rPr>
          <w:b/>
          <w:bCs/>
        </w:rPr>
        <w:t>i</w:t>
      </w:r>
      <w:r w:rsidR="00C400E6" w:rsidRPr="00EA640B">
        <w:rPr>
          <w:b/>
          <w:bCs/>
        </w:rPr>
        <w:t>fic Training Coalition</w:t>
      </w:r>
      <w:r w:rsidR="00C400E6" w:rsidRPr="00EA640B">
        <w:t>,</w:t>
      </w:r>
      <w:r w:rsidR="00C400E6" w:rsidRPr="002D3F9E">
        <w:t xml:space="preserve"> in partnership with </w:t>
      </w:r>
      <w:r w:rsidR="009A18E3">
        <w:t xml:space="preserve">the </w:t>
      </w:r>
      <w:r w:rsidR="00C400E6" w:rsidRPr="002D3F9E">
        <w:t xml:space="preserve">Fiji Higher Education Commission and Fiji National University </w:t>
      </w:r>
      <w:r w:rsidRPr="002D3F9E">
        <w:t xml:space="preserve">to </w:t>
      </w:r>
      <w:r w:rsidR="00C400E6" w:rsidRPr="002D3F9E">
        <w:t xml:space="preserve">develop a first-of-its-kind guideline on remote training delivery in a crisis for </w:t>
      </w:r>
      <w:r w:rsidRPr="002D3F9E">
        <w:t xml:space="preserve">Technical and Vocational Education and Training </w:t>
      </w:r>
      <w:r>
        <w:t>(</w:t>
      </w:r>
      <w:r w:rsidR="00C400E6" w:rsidRPr="002D3F9E">
        <w:t>TVET</w:t>
      </w:r>
      <w:r>
        <w:t>)</w:t>
      </w:r>
      <w:r w:rsidR="00C400E6" w:rsidRPr="002D3F9E">
        <w:t xml:space="preserve"> institutions in response to the impact of COVID-19</w:t>
      </w:r>
      <w:r w:rsidR="009A18E3">
        <w:t xml:space="preserve"> </w:t>
      </w:r>
      <w:r>
        <w:t>which has now been endorsed and adopted by TVET institutions</w:t>
      </w:r>
      <w:r w:rsidR="00C400E6" w:rsidRPr="002D3F9E">
        <w:t xml:space="preserve">. </w:t>
      </w:r>
    </w:p>
    <w:p w14:paraId="3D199742" w14:textId="423F3526" w:rsidR="00B02E28" w:rsidRPr="00EA640B" w:rsidRDefault="008B2601" w:rsidP="00192F09">
      <w:pPr>
        <w:spacing w:before="0"/>
      </w:pPr>
      <w:r w:rsidRPr="00EA640B">
        <w:t xml:space="preserve">Australia acted quickly to respond to the devastation caused by </w:t>
      </w:r>
      <w:r w:rsidR="0083099E" w:rsidRPr="00EA640B">
        <w:t xml:space="preserve">Tropical </w:t>
      </w:r>
      <w:r w:rsidRPr="00EA640B">
        <w:t xml:space="preserve">Cyclone </w:t>
      </w:r>
      <w:proofErr w:type="spellStart"/>
      <w:r w:rsidRPr="00EA640B">
        <w:t>Yasa</w:t>
      </w:r>
      <w:proofErr w:type="spellEnd"/>
      <w:r w:rsidRPr="00EA640B">
        <w:t xml:space="preserve"> (December 2020) which caused an estimated $326 million in damage, and </w:t>
      </w:r>
      <w:r w:rsidR="0083099E" w:rsidRPr="00EA640B">
        <w:t xml:space="preserve">Tropical </w:t>
      </w:r>
      <w:r w:rsidRPr="00EA640B">
        <w:t>Cyclone Ana (January 2021)</w:t>
      </w:r>
      <w:r w:rsidRPr="003931DF">
        <w:t xml:space="preserve"> which brought intense rainfall and extensive flooding</w:t>
      </w:r>
      <w:r w:rsidR="004703F9">
        <w:rPr>
          <w:color w:val="auto"/>
        </w:rPr>
        <w:t>.</w:t>
      </w:r>
      <w:r w:rsidR="004866C0">
        <w:rPr>
          <w:color w:val="auto"/>
        </w:rPr>
        <w:t xml:space="preserve"> </w:t>
      </w:r>
      <w:r w:rsidR="001203E8" w:rsidRPr="00EA640B">
        <w:t xml:space="preserve">Following Tropical Cyclone </w:t>
      </w:r>
      <w:proofErr w:type="spellStart"/>
      <w:r w:rsidR="001203E8" w:rsidRPr="00EA640B">
        <w:t>Yasa</w:t>
      </w:r>
      <w:proofErr w:type="spellEnd"/>
      <w:r w:rsidR="001203E8" w:rsidRPr="00EA640B">
        <w:t xml:space="preserve">, </w:t>
      </w:r>
      <w:r w:rsidR="001203E8" w:rsidRPr="00EA640B">
        <w:rPr>
          <w:b/>
          <w:bCs/>
        </w:rPr>
        <w:t>four Australian Defence Force</w:t>
      </w:r>
      <w:r w:rsidR="00753C8E">
        <w:rPr>
          <w:b/>
          <w:bCs/>
        </w:rPr>
        <w:t xml:space="preserve"> (ADF)</w:t>
      </w:r>
      <w:r w:rsidR="001203E8" w:rsidRPr="00EA640B">
        <w:rPr>
          <w:b/>
          <w:bCs/>
        </w:rPr>
        <w:t xml:space="preserve"> flights delivered humanitarian supplies, and HMAS Adelaide was deployed</w:t>
      </w:r>
      <w:r w:rsidR="001F5C33" w:rsidRPr="00EA640B">
        <w:rPr>
          <w:b/>
          <w:bCs/>
        </w:rPr>
        <w:t xml:space="preserve"> for </w:t>
      </w:r>
      <w:r w:rsidR="00B02E28" w:rsidRPr="00EA640B">
        <w:rPr>
          <w:b/>
          <w:bCs/>
        </w:rPr>
        <w:t>four</w:t>
      </w:r>
      <w:r w:rsidR="001F5C33" w:rsidRPr="00EA640B">
        <w:rPr>
          <w:b/>
          <w:bCs/>
        </w:rPr>
        <w:t xml:space="preserve"> weeks</w:t>
      </w:r>
      <w:r w:rsidR="001203E8" w:rsidRPr="00EA640B">
        <w:rPr>
          <w:b/>
          <w:bCs/>
        </w:rPr>
        <w:t xml:space="preserve"> to support the rehabilitation of damaged schools, enabling 32 schools to reopen quickly</w:t>
      </w:r>
      <w:r w:rsidR="001203E8" w:rsidRPr="00EA640B">
        <w:t xml:space="preserve">. A further three </w:t>
      </w:r>
      <w:r w:rsidR="00753C8E">
        <w:t xml:space="preserve">ADF </w:t>
      </w:r>
      <w:r w:rsidR="001203E8" w:rsidRPr="00EA640B">
        <w:t>flights delivered humanitarian supplies following Tropical Cyclone Ana. Australia also supported Fijian Government longer-term recovery efforts focused on school reconstruction. </w:t>
      </w:r>
      <w:r w:rsidR="00B02E28" w:rsidRPr="00EA640B">
        <w:t xml:space="preserve">In addition to the ODA figures in the Program Budget table on page </w:t>
      </w:r>
      <w:r w:rsidR="00C92432" w:rsidRPr="00EA640B">
        <w:t>one</w:t>
      </w:r>
      <w:r w:rsidR="00B02E28" w:rsidRPr="00EA640B">
        <w:t xml:space="preserve">, we provided $19.5 million in emergency relief and recovery support in response to tropical cyclones in </w:t>
      </w:r>
      <w:r w:rsidR="006E49F2">
        <w:t>the reporting period</w:t>
      </w:r>
      <w:r w:rsidR="00B02E28" w:rsidRPr="00EA640B">
        <w:t>.</w:t>
      </w:r>
    </w:p>
    <w:p w14:paraId="6191B351" w14:textId="0DE6D916" w:rsidR="00A03F38" w:rsidRPr="001203E8" w:rsidRDefault="006D0A1B" w:rsidP="001203E8">
      <w:pPr>
        <w:spacing w:before="0"/>
        <w:rPr>
          <w:rFonts w:ascii="Times New Roman" w:hAnsi="Times New Roman" w:cs="Times New Roman"/>
          <w:color w:val="auto"/>
          <w:sz w:val="24"/>
          <w:szCs w:val="24"/>
          <w:lang w:val="en-AU" w:eastAsia="en-AU"/>
        </w:rPr>
      </w:pPr>
      <w:r w:rsidRPr="003931DF">
        <w:t>Australia</w:t>
      </w:r>
      <w:r w:rsidR="005F58A2">
        <w:t>’s</w:t>
      </w:r>
      <w:r w:rsidRPr="003931DF">
        <w:t xml:space="preserve"> </w:t>
      </w:r>
      <w:r w:rsidR="005F58A2">
        <w:t xml:space="preserve">Department of </w:t>
      </w:r>
      <w:r w:rsidR="005F58A2" w:rsidRPr="003931DF">
        <w:t xml:space="preserve">Home Affairs </w:t>
      </w:r>
      <w:r w:rsidR="005F58A2">
        <w:t>engaged with Fiji’s</w:t>
      </w:r>
      <w:r w:rsidR="005F58A2" w:rsidRPr="003931DF">
        <w:t xml:space="preserve"> border and health agencies </w:t>
      </w:r>
      <w:r w:rsidR="005F58A2">
        <w:t>on</w:t>
      </w:r>
      <w:r w:rsidR="005F58A2" w:rsidRPr="003931DF">
        <w:t xml:space="preserve"> </w:t>
      </w:r>
      <w:r w:rsidR="005F58A2" w:rsidRPr="00EA640B">
        <w:rPr>
          <w:b/>
          <w:bCs/>
        </w:rPr>
        <w:t>safe border re-opening</w:t>
      </w:r>
      <w:r w:rsidR="005F58A2">
        <w:t>, th</w:t>
      </w:r>
      <w:r w:rsidR="00F309FC">
        <w:t>r</w:t>
      </w:r>
      <w:r w:rsidR="005F58A2">
        <w:t xml:space="preserve">ough </w:t>
      </w:r>
      <w:r w:rsidR="005F58A2" w:rsidRPr="003931DF">
        <w:t xml:space="preserve">workshops; reviewing international airport arrangements; briefing Fijian agencies on airport operations and occupational, health and safety for border officers; and </w:t>
      </w:r>
      <w:r w:rsidR="00CF3FD0">
        <w:t xml:space="preserve">by </w:t>
      </w:r>
      <w:r w:rsidR="005F58A2">
        <w:t xml:space="preserve">helping </w:t>
      </w:r>
      <w:r w:rsidR="005F58A2" w:rsidRPr="003931DF">
        <w:t xml:space="preserve">establish online </w:t>
      </w:r>
      <w:r w:rsidR="005F58A2">
        <w:t xml:space="preserve">visa </w:t>
      </w:r>
      <w:r w:rsidR="005F58A2" w:rsidRPr="003931DF">
        <w:t>processes, including collection of health information.</w:t>
      </w:r>
      <w:r w:rsidR="005F58A2">
        <w:t xml:space="preserve"> </w:t>
      </w:r>
      <w:r w:rsidR="006E49F2">
        <w:t>In the reporting period, w</w:t>
      </w:r>
      <w:r w:rsidR="005F58A2" w:rsidRPr="00EA640B">
        <w:t xml:space="preserve">e </w:t>
      </w:r>
      <w:r w:rsidRPr="00EA640B">
        <w:t>supported</w:t>
      </w:r>
      <w:r w:rsidR="00A03F38" w:rsidRPr="00EA640B">
        <w:t xml:space="preserve"> the establishment of Air and Sea Cargo targeting capabilities</w:t>
      </w:r>
      <w:r w:rsidR="00A03F38" w:rsidRPr="003931DF">
        <w:t xml:space="preserve"> </w:t>
      </w:r>
      <w:proofErr w:type="gramStart"/>
      <w:r w:rsidRPr="003931DF">
        <w:t xml:space="preserve">through the </w:t>
      </w:r>
      <w:r w:rsidR="00A03F38" w:rsidRPr="003931DF">
        <w:t>use of</w:t>
      </w:r>
      <w:proofErr w:type="gramEnd"/>
      <w:r w:rsidR="00A03F38" w:rsidRPr="003931DF">
        <w:t xml:space="preserve"> the Pacific Small Craft App to record small craft movements and quarantine status</w:t>
      </w:r>
      <w:r w:rsidR="002E4379">
        <w:t xml:space="preserve"> </w:t>
      </w:r>
      <w:r w:rsidR="005F58A2">
        <w:t>and</w:t>
      </w:r>
      <w:r w:rsidR="008645D3" w:rsidRPr="003931DF">
        <w:t xml:space="preserve"> implemented training in</w:t>
      </w:r>
      <w:r w:rsidR="00A03F38" w:rsidRPr="003931DF">
        <w:t xml:space="preserve"> enforcement operations and biosecurity risks</w:t>
      </w:r>
      <w:r w:rsidR="005F58A2">
        <w:t>.</w:t>
      </w:r>
    </w:p>
    <w:p w14:paraId="4CC36FF2" w14:textId="6F319EA0" w:rsidR="008B2601" w:rsidRPr="003931DF" w:rsidRDefault="008B2601" w:rsidP="004C0250">
      <w:pPr>
        <w:spacing w:before="0"/>
      </w:pPr>
      <w:r w:rsidRPr="003931DF">
        <w:t>Australia</w:t>
      </w:r>
      <w:r w:rsidR="00E967FD" w:rsidRPr="003931DF">
        <w:t xml:space="preserve"> </w:t>
      </w:r>
      <w:r w:rsidR="008645D3" w:rsidRPr="003931DF">
        <w:t xml:space="preserve">supported </w:t>
      </w:r>
      <w:r w:rsidRPr="003931DF">
        <w:t xml:space="preserve">the development of </w:t>
      </w:r>
      <w:r w:rsidRPr="00EA640B">
        <w:rPr>
          <w:b/>
          <w:bCs/>
        </w:rPr>
        <w:t>climate-smart farming practices</w:t>
      </w:r>
      <w:r w:rsidRPr="003931DF">
        <w:t xml:space="preserve"> for root-crop farmers </w:t>
      </w:r>
      <w:r w:rsidRPr="00EA640B">
        <w:t xml:space="preserve">through </w:t>
      </w:r>
      <w:r w:rsidRPr="004E5E04">
        <w:t>PHAMA Plus</w:t>
      </w:r>
      <w:r w:rsidR="004703F9" w:rsidRPr="00FE4A70">
        <w:t xml:space="preserve">. </w:t>
      </w:r>
      <w:r w:rsidR="00E967FD" w:rsidRPr="00FE4A70">
        <w:t>T</w:t>
      </w:r>
      <w:r w:rsidRPr="00FE4A70">
        <w:t xml:space="preserve">hrough the </w:t>
      </w:r>
      <w:r w:rsidRPr="004E5E04">
        <w:t xml:space="preserve">Governance for Resilient Development </w:t>
      </w:r>
      <w:proofErr w:type="gramStart"/>
      <w:r w:rsidRPr="004E5E04">
        <w:t>Program</w:t>
      </w:r>
      <w:proofErr w:type="gramEnd"/>
      <w:r w:rsidR="00E967FD">
        <w:t xml:space="preserve"> we</w:t>
      </w:r>
      <w:r w:rsidR="00E967FD" w:rsidRPr="003931DF">
        <w:t xml:space="preserve"> </w:t>
      </w:r>
      <w:r w:rsidRPr="003931DF">
        <w:t>support</w:t>
      </w:r>
      <w:r w:rsidR="008645D3" w:rsidRPr="003931DF">
        <w:t>ed</w:t>
      </w:r>
      <w:r w:rsidRPr="003931DF">
        <w:t xml:space="preserve"> the Ministry of Rural and Maritime Development and Disaster Management to more effectively integrate climate and disaster risk into local community development projects</w:t>
      </w:r>
      <w:r w:rsidR="004703F9">
        <w:t xml:space="preserve">. </w:t>
      </w:r>
    </w:p>
    <w:p w14:paraId="69E4347A" w14:textId="78B122A1" w:rsidR="008C745F" w:rsidRDefault="00297FD1" w:rsidP="00B32F5A">
      <w:pPr>
        <w:pStyle w:val="Heading3"/>
      </w:pPr>
      <w:r w:rsidRPr="00216C55">
        <w:t>Economic recovery</w:t>
      </w:r>
    </w:p>
    <w:p w14:paraId="22465AAD" w14:textId="337CFFD6" w:rsidR="00281DD9" w:rsidRPr="002D3F9E" w:rsidRDefault="008B6C9E" w:rsidP="004C0250">
      <w:pPr>
        <w:spacing w:before="0"/>
      </w:pPr>
      <w:r w:rsidRPr="002D3F9E">
        <w:t>Australia is committed to supporting Fiji through the economic challenges caused by COVID-19</w:t>
      </w:r>
      <w:r w:rsidR="00281DD9">
        <w:t>, and we moved quickly to respond and pivot our support to initiatives that directly contribute</w:t>
      </w:r>
      <w:r w:rsidR="002D3F9E">
        <w:t>d</w:t>
      </w:r>
      <w:r w:rsidR="00281DD9">
        <w:t xml:space="preserve"> to Fiji’s economic recovery. </w:t>
      </w:r>
      <w:r w:rsidR="00281DD9" w:rsidRPr="00EA640B">
        <w:rPr>
          <w:b/>
          <w:bCs/>
        </w:rPr>
        <w:t xml:space="preserve">Our support </w:t>
      </w:r>
      <w:r w:rsidR="00E5012A" w:rsidRPr="00EA640B">
        <w:rPr>
          <w:b/>
          <w:bCs/>
        </w:rPr>
        <w:t>helped to</w:t>
      </w:r>
      <w:r w:rsidR="00281DD9" w:rsidRPr="00EA640B">
        <w:rPr>
          <w:b/>
          <w:bCs/>
        </w:rPr>
        <w:t xml:space="preserve"> address immediate fiscal needs and promote</w:t>
      </w:r>
      <w:r w:rsidR="00E5012A" w:rsidRPr="00EA640B">
        <w:rPr>
          <w:b/>
          <w:bCs/>
        </w:rPr>
        <w:t>d</w:t>
      </w:r>
      <w:r w:rsidR="00281DD9" w:rsidRPr="00EA640B">
        <w:rPr>
          <w:b/>
          <w:bCs/>
        </w:rPr>
        <w:t xml:space="preserve"> private sector recovery</w:t>
      </w:r>
      <w:r w:rsidR="00281DD9">
        <w:t xml:space="preserve">. </w:t>
      </w:r>
    </w:p>
    <w:p w14:paraId="683A6D7B" w14:textId="6C22D225" w:rsidR="00FC4FBF" w:rsidRDefault="006E49F2" w:rsidP="004C0250">
      <w:pPr>
        <w:spacing w:before="0"/>
      </w:pPr>
      <w:bookmarkStart w:id="7" w:name="_Hlk82788043"/>
      <w:bookmarkStart w:id="8" w:name="_Hlk84326479"/>
      <w:r>
        <w:t>In the reporting period</w:t>
      </w:r>
      <w:r w:rsidR="008645D3">
        <w:t xml:space="preserve">, </w:t>
      </w:r>
      <w:r w:rsidR="00AD28CC" w:rsidRPr="00EA640B">
        <w:rPr>
          <w:b/>
          <w:bCs/>
        </w:rPr>
        <w:t>Australia</w:t>
      </w:r>
      <w:r w:rsidR="00FC4FBF" w:rsidRPr="00EA640B">
        <w:rPr>
          <w:b/>
          <w:bCs/>
        </w:rPr>
        <w:t xml:space="preserve"> provided Fiji with $83.5 million in </w:t>
      </w:r>
      <w:r w:rsidR="008645D3" w:rsidRPr="00EA640B">
        <w:rPr>
          <w:b/>
          <w:bCs/>
        </w:rPr>
        <w:t>budget support</w:t>
      </w:r>
      <w:r w:rsidR="008556E2" w:rsidRPr="00EA640B">
        <w:rPr>
          <w:color w:val="auto"/>
        </w:rPr>
        <w:t>,</w:t>
      </w:r>
      <w:r w:rsidR="008556E2" w:rsidRPr="00EA640B">
        <w:rPr>
          <w:b/>
          <w:bCs/>
          <w:color w:val="auto"/>
        </w:rPr>
        <w:t xml:space="preserve"> </w:t>
      </w:r>
      <w:r w:rsidR="008556E2" w:rsidRPr="00EA640B">
        <w:rPr>
          <w:color w:val="auto"/>
        </w:rPr>
        <w:t>$</w:t>
      </w:r>
      <w:r w:rsidR="002600AD" w:rsidRPr="00EA640B">
        <w:rPr>
          <w:color w:val="auto"/>
        </w:rPr>
        <w:t>74</w:t>
      </w:r>
      <w:r w:rsidR="008556E2" w:rsidRPr="00EA640B">
        <w:rPr>
          <w:color w:val="auto"/>
        </w:rPr>
        <w:t xml:space="preserve"> million </w:t>
      </w:r>
      <w:r w:rsidR="008556E2" w:rsidRPr="00EA640B">
        <w:t>of which was</w:t>
      </w:r>
      <w:r w:rsidR="00AD561E">
        <w:t xml:space="preserve"> through the </w:t>
      </w:r>
      <w:r w:rsidR="00AD561E" w:rsidRPr="001C56C7">
        <w:rPr>
          <w:b/>
          <w:bCs/>
        </w:rPr>
        <w:t>COVID-19 Response Package for the Pacific and Timor-Leste</w:t>
      </w:r>
      <w:r w:rsidR="00AD561E">
        <w:t>. This</w:t>
      </w:r>
      <w:r w:rsidR="00877A49" w:rsidRPr="00EA640B">
        <w:t xml:space="preserve"> enabled Fiji to maintain expenditure in key areas like health and social protection, and strengthened Fiji’s fiscal position</w:t>
      </w:r>
      <w:r w:rsidR="00877A49" w:rsidRPr="00192F09">
        <w:rPr>
          <w:color w:val="auto"/>
        </w:rPr>
        <w:t xml:space="preserve"> </w:t>
      </w:r>
      <w:r w:rsidR="00877A49">
        <w:t xml:space="preserve">and debt profile, better positioning Fiji’s economy for recovery. We targeted </w:t>
      </w:r>
      <w:r w:rsidR="00877A49" w:rsidRPr="00EA640B">
        <w:t>$20 million of this budget support to covering payments to three Government of Fiji social welfare programs</w:t>
      </w:r>
      <w:r w:rsidR="00877A49" w:rsidRPr="003931DF">
        <w:t xml:space="preserve">: </w:t>
      </w:r>
      <w:proofErr w:type="gramStart"/>
      <w:r w:rsidR="00877A49" w:rsidRPr="003931DF">
        <w:t>the</w:t>
      </w:r>
      <w:proofErr w:type="gramEnd"/>
      <w:r w:rsidR="00877A49" w:rsidRPr="003931DF">
        <w:t xml:space="preserve"> Poverty Benefit Scheme, Care and Protection Allowance, and Disability Allowance</w:t>
      </w:r>
      <w:r w:rsidR="00877A49">
        <w:t xml:space="preserve"> directly benefiting vulnerable Fijians</w:t>
      </w:r>
      <w:r w:rsidR="00877A49" w:rsidRPr="003931DF">
        <w:t>.</w:t>
      </w:r>
      <w:bookmarkEnd w:id="7"/>
    </w:p>
    <w:bookmarkEnd w:id="8"/>
    <w:p w14:paraId="00A695B7" w14:textId="110E2754" w:rsidR="00FC4FBF" w:rsidRPr="00447D34" w:rsidRDefault="00FC4FBF" w:rsidP="004C0250">
      <w:pPr>
        <w:spacing w:before="0"/>
      </w:pPr>
      <w:r w:rsidRPr="00447D34">
        <w:t xml:space="preserve">Under </w:t>
      </w:r>
      <w:r w:rsidRPr="004E5E04">
        <w:t>the</w:t>
      </w:r>
      <w:r w:rsidRPr="00EA640B">
        <w:rPr>
          <w:b/>
          <w:bCs/>
          <w:i/>
          <w:iCs/>
        </w:rPr>
        <w:t xml:space="preserve"> </w:t>
      </w:r>
      <w:r w:rsidRPr="00EA640B">
        <w:rPr>
          <w:b/>
          <w:bCs/>
        </w:rPr>
        <w:t>Australia-International Finance Corporation (IFC) Partnership</w:t>
      </w:r>
      <w:r w:rsidRPr="00447D34">
        <w:t xml:space="preserve">, Australia supported the Government of Fiji to explore and respond to the economic impacts of COVID-19, </w:t>
      </w:r>
      <w:r w:rsidR="00337423">
        <w:t>chiefly in</w:t>
      </w:r>
      <w:r w:rsidRPr="00447D34">
        <w:t xml:space="preserve"> Fiji’s tourism sector.</w:t>
      </w:r>
      <w:r w:rsidR="00337423">
        <w:t xml:space="preserve"> </w:t>
      </w:r>
      <w:r w:rsidRPr="00447D34">
        <w:t xml:space="preserve">In July 2020, the IFC delivered </w:t>
      </w:r>
      <w:r w:rsidRPr="00EA640B">
        <w:t>a survey of businesses to understand the impact of COVID</w:t>
      </w:r>
      <w:r w:rsidR="00CD7F38">
        <w:t>-</w:t>
      </w:r>
      <w:r w:rsidRPr="00EA640B">
        <w:t>19</w:t>
      </w:r>
      <w:r w:rsidRPr="00EA640B">
        <w:rPr>
          <w:b/>
          <w:bCs/>
        </w:rPr>
        <w:t xml:space="preserve"> </w:t>
      </w:r>
      <w:r w:rsidRPr="00447D34">
        <w:t>and to determine new business needs for economic recovery. The survey received over 3,500 responses from businesses across Fiji</w:t>
      </w:r>
      <w:r w:rsidR="004703F9">
        <w:t xml:space="preserve">. </w:t>
      </w:r>
      <w:r w:rsidRPr="00447D34">
        <w:t xml:space="preserve">Its findings </w:t>
      </w:r>
      <w:r w:rsidR="00337423">
        <w:t>shaped practical</w:t>
      </w:r>
      <w:r w:rsidRPr="00447D34">
        <w:t xml:space="preserve"> recommendations for Fijian businesses, government agencies and development partners on how to promote private sector recovery</w:t>
      </w:r>
      <w:r w:rsidR="00337423">
        <w:t>,</w:t>
      </w:r>
      <w:r w:rsidRPr="00447D34">
        <w:t xml:space="preserve"> </w:t>
      </w:r>
      <w:r>
        <w:t>which</w:t>
      </w:r>
      <w:r w:rsidRPr="00447D34">
        <w:t xml:space="preserve"> helped inform economic policy actions.</w:t>
      </w:r>
    </w:p>
    <w:p w14:paraId="1D06F4A1" w14:textId="3FC00EF8" w:rsidR="001B02AB" w:rsidRPr="00045AAF" w:rsidRDefault="00FC4FBF" w:rsidP="004C0250">
      <w:pPr>
        <w:spacing w:before="0"/>
      </w:pPr>
      <w:r>
        <w:t xml:space="preserve">The Australian-funded </w:t>
      </w:r>
      <w:r w:rsidRPr="00EA640B">
        <w:rPr>
          <w:b/>
          <w:bCs/>
        </w:rPr>
        <w:t xml:space="preserve">Market Development Facility </w:t>
      </w:r>
      <w:r w:rsidRPr="00EA640B">
        <w:t>supported Investment Fiji to promote Fijian exports and investment abroad in the post-COVID context. It allowed the</w:t>
      </w:r>
      <w:r w:rsidRPr="00447D34">
        <w:t xml:space="preserve"> Government of Fiji to develop the Fiji Exporters Guide, which provide</w:t>
      </w:r>
      <w:r>
        <w:t>d</w:t>
      </w:r>
      <w:r w:rsidRPr="00447D34">
        <w:t xml:space="preserve"> new and existing exporters access</w:t>
      </w:r>
      <w:r>
        <w:t xml:space="preserve"> to</w:t>
      </w:r>
      <w:r w:rsidRPr="00447D34">
        <w:t xml:space="preserve"> better information and </w:t>
      </w:r>
      <w:r>
        <w:t xml:space="preserve">help </w:t>
      </w:r>
      <w:r w:rsidRPr="00447D34">
        <w:t>understand</w:t>
      </w:r>
      <w:r>
        <w:t>ing</w:t>
      </w:r>
      <w:r w:rsidRPr="00447D34">
        <w:t xml:space="preserve"> what is required</w:t>
      </w:r>
      <w:r>
        <w:t xml:space="preserve"> to</w:t>
      </w:r>
      <w:r w:rsidRPr="00447D34">
        <w:t xml:space="preserve"> grow and sell produce for export. </w:t>
      </w:r>
    </w:p>
    <w:p w14:paraId="32574EC4" w14:textId="5C2E4FA5" w:rsidR="00086A9C" w:rsidRDefault="00086A9C" w:rsidP="004C0250">
      <w:pPr>
        <w:spacing w:before="0"/>
        <w:rPr>
          <w:rFonts w:asciiTheme="majorHAnsi" w:eastAsiaTheme="majorEastAsia" w:hAnsiTheme="majorHAnsi" w:cstheme="majorBidi"/>
          <w:b/>
          <w:caps/>
          <w:szCs w:val="26"/>
        </w:rPr>
      </w:pPr>
      <w:r>
        <w:br w:type="page"/>
      </w:r>
    </w:p>
    <w:p w14:paraId="12E24BAE" w14:textId="3D384261" w:rsidR="00BC1FED" w:rsidRDefault="00121DDD" w:rsidP="008C33E0">
      <w:pPr>
        <w:pStyle w:val="Heading2"/>
      </w:pPr>
      <w:r>
        <w:lastRenderedPageBreak/>
        <w:t>Annex 1</w:t>
      </w:r>
      <w:r w:rsidR="001F7F4D" w:rsidRPr="002945C4">
        <w:t xml:space="preserve">: </w:t>
      </w:r>
      <w:r w:rsidR="00540A22">
        <w:t xml:space="preserve">Progress against </w:t>
      </w:r>
      <w:r w:rsidR="008A1503">
        <w:t xml:space="preserve">COVID-19 Response plan </w:t>
      </w:r>
      <w:r w:rsidR="00E1666D">
        <w:t>results indicators</w:t>
      </w:r>
    </w:p>
    <w:p w14:paraId="53E0B1CB" w14:textId="1638AB50" w:rsidR="00AE2B7B" w:rsidRDefault="00AE2B7B" w:rsidP="00B32F5A">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681"/>
        <w:gridCol w:w="6855"/>
      </w:tblGrid>
      <w:tr w:rsidR="004F5615" w14:paraId="228F7F02" w14:textId="77777777" w:rsidTr="00F04E7A">
        <w:trPr>
          <w:tblHeader/>
        </w:trPr>
        <w:tc>
          <w:tcPr>
            <w:tcW w:w="3681" w:type="dxa"/>
            <w:shd w:val="clear" w:color="auto" w:fill="A2DCD1" w:themeFill="accent1" w:themeFillTint="99"/>
          </w:tcPr>
          <w:p w14:paraId="7116F4F5" w14:textId="2BCC79D7" w:rsidR="004F5615" w:rsidRPr="005736BB" w:rsidRDefault="00A96364" w:rsidP="004C0250">
            <w:pPr>
              <w:spacing w:before="0"/>
              <w:jc w:val="center"/>
              <w:rPr>
                <w:b/>
                <w:sz w:val="20"/>
                <w:szCs w:val="20"/>
              </w:rPr>
            </w:pPr>
            <w:r w:rsidRPr="005736BB">
              <w:rPr>
                <w:b/>
                <w:sz w:val="20"/>
                <w:szCs w:val="20"/>
              </w:rPr>
              <w:t xml:space="preserve">Key Results </w:t>
            </w:r>
            <w:r w:rsidR="00E1666D" w:rsidRPr="005736BB">
              <w:rPr>
                <w:b/>
                <w:sz w:val="20"/>
                <w:szCs w:val="20"/>
              </w:rPr>
              <w:t>Indicators</w:t>
            </w:r>
          </w:p>
        </w:tc>
        <w:tc>
          <w:tcPr>
            <w:tcW w:w="6855" w:type="dxa"/>
            <w:shd w:val="clear" w:color="auto" w:fill="A2DCD1" w:themeFill="accent1" w:themeFillTint="99"/>
          </w:tcPr>
          <w:p w14:paraId="18C04122" w14:textId="30B10914" w:rsidR="004F5615" w:rsidRPr="005736BB" w:rsidRDefault="00AD19F7" w:rsidP="004C0250">
            <w:pPr>
              <w:spacing w:before="0"/>
              <w:ind w:left="100"/>
              <w:jc w:val="center"/>
              <w:rPr>
                <w:sz w:val="20"/>
                <w:szCs w:val="20"/>
              </w:rPr>
            </w:pPr>
            <w:r w:rsidRPr="005736BB">
              <w:rPr>
                <w:b/>
                <w:sz w:val="20"/>
                <w:szCs w:val="20"/>
              </w:rPr>
              <w:t>Progress/Result</w:t>
            </w:r>
          </w:p>
        </w:tc>
      </w:tr>
      <w:tr w:rsidR="00CA5021" w14:paraId="5D4066B5" w14:textId="77777777" w:rsidTr="00F04E7A">
        <w:tc>
          <w:tcPr>
            <w:tcW w:w="3681" w:type="dxa"/>
          </w:tcPr>
          <w:p w14:paraId="77ACB8DC" w14:textId="7A4E9E3B" w:rsidR="00C54E78" w:rsidRPr="00A71760" w:rsidRDefault="00C54E78" w:rsidP="004C0250">
            <w:pPr>
              <w:spacing w:before="0"/>
              <w:rPr>
                <w:sz w:val="20"/>
                <w:szCs w:val="20"/>
              </w:rPr>
            </w:pPr>
            <w:r w:rsidRPr="00A71760">
              <w:rPr>
                <w:sz w:val="20"/>
                <w:szCs w:val="20"/>
              </w:rPr>
              <w:t xml:space="preserve">New or improved therapeutics, diagnostics, </w:t>
            </w:r>
            <w:proofErr w:type="gramStart"/>
            <w:r w:rsidRPr="00A71760">
              <w:rPr>
                <w:sz w:val="20"/>
                <w:szCs w:val="20"/>
              </w:rPr>
              <w:t>vaccines</w:t>
            </w:r>
            <w:proofErr w:type="gramEnd"/>
            <w:r w:rsidRPr="00A71760">
              <w:rPr>
                <w:sz w:val="20"/>
                <w:szCs w:val="20"/>
              </w:rPr>
              <w:t xml:space="preserve"> or additional equipment, to which Australia has contributed, are accessible in Fiji</w:t>
            </w:r>
          </w:p>
          <w:p w14:paraId="354112BD" w14:textId="2CD410C7" w:rsidR="00C54E78" w:rsidRPr="00A71760" w:rsidRDefault="00C54E78" w:rsidP="004C0250">
            <w:pPr>
              <w:spacing w:before="0"/>
              <w:ind w:left="269"/>
              <w:rPr>
                <w:sz w:val="20"/>
                <w:szCs w:val="20"/>
              </w:rPr>
            </w:pPr>
          </w:p>
        </w:tc>
        <w:tc>
          <w:tcPr>
            <w:tcW w:w="6855" w:type="dxa"/>
          </w:tcPr>
          <w:p w14:paraId="0AD07BB7" w14:textId="08B05822" w:rsidR="00F16F8E" w:rsidRPr="00A71760" w:rsidRDefault="003765AF" w:rsidP="004C0250">
            <w:pPr>
              <w:spacing w:before="0"/>
              <w:rPr>
                <w:sz w:val="20"/>
                <w:szCs w:val="20"/>
              </w:rPr>
            </w:pPr>
            <w:r w:rsidRPr="00A71760">
              <w:rPr>
                <w:sz w:val="20"/>
                <w:szCs w:val="20"/>
              </w:rPr>
              <w:t>377,600</w:t>
            </w:r>
            <w:r w:rsidR="00230B58" w:rsidRPr="00A71760">
              <w:rPr>
                <w:sz w:val="20"/>
                <w:szCs w:val="20"/>
              </w:rPr>
              <w:t xml:space="preserve"> COVID-19</w:t>
            </w:r>
            <w:r w:rsidR="00F16F8E" w:rsidRPr="00A71760">
              <w:rPr>
                <w:sz w:val="20"/>
                <w:szCs w:val="20"/>
              </w:rPr>
              <w:t xml:space="preserve"> doses </w:t>
            </w:r>
            <w:r w:rsidR="000E0E38" w:rsidRPr="00A71760">
              <w:rPr>
                <w:sz w:val="20"/>
                <w:szCs w:val="20"/>
              </w:rPr>
              <w:t xml:space="preserve">were </w:t>
            </w:r>
            <w:r w:rsidR="00F16F8E" w:rsidRPr="00A71760">
              <w:rPr>
                <w:sz w:val="20"/>
                <w:szCs w:val="20"/>
              </w:rPr>
              <w:t>delivered to Fiji</w:t>
            </w:r>
            <w:r w:rsidRPr="00A71760">
              <w:rPr>
                <w:sz w:val="20"/>
                <w:szCs w:val="20"/>
              </w:rPr>
              <w:t>, including 57,600 COVAX AstraZeneca</w:t>
            </w:r>
            <w:r w:rsidR="004866C0" w:rsidRPr="00A71760">
              <w:rPr>
                <w:sz w:val="20"/>
                <w:szCs w:val="20"/>
              </w:rPr>
              <w:t xml:space="preserve"> (AZ)</w:t>
            </w:r>
            <w:r w:rsidRPr="00A71760">
              <w:rPr>
                <w:sz w:val="20"/>
                <w:szCs w:val="20"/>
              </w:rPr>
              <w:t xml:space="preserve"> and 320,000 Australian</w:t>
            </w:r>
            <w:r w:rsidR="00FE4A70" w:rsidRPr="00A71760">
              <w:rPr>
                <w:sz w:val="20"/>
                <w:szCs w:val="20"/>
              </w:rPr>
              <w:t>-</w:t>
            </w:r>
            <w:r w:rsidRPr="00A71760">
              <w:rPr>
                <w:sz w:val="20"/>
                <w:szCs w:val="20"/>
              </w:rPr>
              <w:t>produced AZ</w:t>
            </w:r>
            <w:r w:rsidR="00FE4A70" w:rsidRPr="00A71760">
              <w:rPr>
                <w:sz w:val="20"/>
                <w:szCs w:val="20"/>
              </w:rPr>
              <w:t>.</w:t>
            </w:r>
          </w:p>
          <w:p w14:paraId="2F7D01EB" w14:textId="7031C147" w:rsidR="004866C0" w:rsidRPr="00A71760" w:rsidRDefault="004866C0" w:rsidP="004C0250">
            <w:pPr>
              <w:spacing w:before="0"/>
              <w:rPr>
                <w:sz w:val="20"/>
                <w:szCs w:val="20"/>
              </w:rPr>
            </w:pPr>
            <w:r w:rsidRPr="00A71760">
              <w:rPr>
                <w:sz w:val="20"/>
                <w:szCs w:val="20"/>
              </w:rPr>
              <w:t>P</w:t>
            </w:r>
            <w:r w:rsidR="00A166C2" w:rsidRPr="00A71760">
              <w:rPr>
                <w:sz w:val="20"/>
                <w:szCs w:val="20"/>
              </w:rPr>
              <w:t xml:space="preserve">rovided </w:t>
            </w:r>
            <w:r w:rsidR="00FE4A70" w:rsidRPr="00A71760">
              <w:rPr>
                <w:sz w:val="20"/>
                <w:szCs w:val="20"/>
              </w:rPr>
              <w:t xml:space="preserve">information and computer technology </w:t>
            </w:r>
            <w:r w:rsidR="00C57777" w:rsidRPr="00A71760">
              <w:rPr>
                <w:sz w:val="20"/>
                <w:szCs w:val="20"/>
              </w:rPr>
              <w:t>equipment</w:t>
            </w:r>
            <w:r w:rsidR="00A166C2" w:rsidRPr="00A71760">
              <w:rPr>
                <w:sz w:val="20"/>
                <w:szCs w:val="20"/>
              </w:rPr>
              <w:t>,</w:t>
            </w:r>
            <w:r w:rsidR="00C57777" w:rsidRPr="00A71760">
              <w:rPr>
                <w:sz w:val="20"/>
                <w:szCs w:val="20"/>
              </w:rPr>
              <w:t xml:space="preserve"> megaphones, </w:t>
            </w:r>
            <w:proofErr w:type="gramStart"/>
            <w:r w:rsidR="00C57777" w:rsidRPr="00A71760">
              <w:rPr>
                <w:sz w:val="20"/>
                <w:szCs w:val="20"/>
              </w:rPr>
              <w:t>radios</w:t>
            </w:r>
            <w:proofErr w:type="gramEnd"/>
            <w:r w:rsidR="00C57777" w:rsidRPr="00A71760">
              <w:rPr>
                <w:sz w:val="20"/>
                <w:szCs w:val="20"/>
              </w:rPr>
              <w:t xml:space="preserve"> and rental vehicles</w:t>
            </w:r>
            <w:r w:rsidR="00F16F8E" w:rsidRPr="00A71760">
              <w:rPr>
                <w:sz w:val="20"/>
                <w:szCs w:val="20"/>
              </w:rPr>
              <w:t xml:space="preserve"> </w:t>
            </w:r>
            <w:r w:rsidR="0033585D" w:rsidRPr="00A71760">
              <w:rPr>
                <w:sz w:val="20"/>
                <w:szCs w:val="20"/>
              </w:rPr>
              <w:t>for</w:t>
            </w:r>
            <w:r w:rsidR="00F16F8E" w:rsidRPr="00A71760">
              <w:rPr>
                <w:sz w:val="20"/>
                <w:szCs w:val="20"/>
              </w:rPr>
              <w:t xml:space="preserve"> Fiji’s Incident Management team</w:t>
            </w:r>
            <w:r w:rsidR="00CA4FEE" w:rsidRPr="00A71760">
              <w:rPr>
                <w:sz w:val="20"/>
                <w:szCs w:val="20"/>
              </w:rPr>
              <w:t>.</w:t>
            </w:r>
          </w:p>
          <w:p w14:paraId="43F6CBDD" w14:textId="6702DBDF" w:rsidR="004866C0" w:rsidRPr="00A71760" w:rsidRDefault="004866C0" w:rsidP="004C0250">
            <w:pPr>
              <w:spacing w:before="0"/>
              <w:rPr>
                <w:sz w:val="20"/>
                <w:szCs w:val="20"/>
              </w:rPr>
            </w:pPr>
            <w:r w:rsidRPr="00A71760">
              <w:rPr>
                <w:sz w:val="20"/>
                <w:szCs w:val="20"/>
              </w:rPr>
              <w:t xml:space="preserve">Supplied equipment to set up 10 COVID-19 isolation centres, including: </w:t>
            </w:r>
            <w:r w:rsidR="0033585D" w:rsidRPr="00A71760">
              <w:rPr>
                <w:sz w:val="20"/>
                <w:szCs w:val="20"/>
              </w:rPr>
              <w:t>25 marquees with flooring, 250</w:t>
            </w:r>
            <w:r w:rsidR="003D41D3" w:rsidRPr="00A71760">
              <w:rPr>
                <w:sz w:val="20"/>
                <w:szCs w:val="20"/>
              </w:rPr>
              <w:t> </w:t>
            </w:r>
            <w:r w:rsidR="0033585D" w:rsidRPr="00A71760">
              <w:rPr>
                <w:sz w:val="20"/>
                <w:szCs w:val="20"/>
              </w:rPr>
              <w:t xml:space="preserve">mattresses, 599 sets of sheets, 1,600 masks, </w:t>
            </w:r>
            <w:r w:rsidRPr="00A71760">
              <w:rPr>
                <w:sz w:val="20"/>
                <w:szCs w:val="20"/>
              </w:rPr>
              <w:br/>
            </w:r>
            <w:r w:rsidR="0033585D" w:rsidRPr="00A71760">
              <w:rPr>
                <w:sz w:val="20"/>
                <w:szCs w:val="20"/>
              </w:rPr>
              <w:t>25 thermal guns, 15</w:t>
            </w:r>
            <w:r w:rsidR="003D41D3" w:rsidRPr="00A71760">
              <w:rPr>
                <w:sz w:val="20"/>
                <w:szCs w:val="20"/>
              </w:rPr>
              <w:t>1 </w:t>
            </w:r>
            <w:r w:rsidR="0033585D" w:rsidRPr="00A71760">
              <w:rPr>
                <w:sz w:val="20"/>
                <w:szCs w:val="20"/>
              </w:rPr>
              <w:t>stretcher beds, a generator and 5 commercial washers and dryer</w:t>
            </w:r>
            <w:r w:rsidR="00DD74EA" w:rsidRPr="00A71760">
              <w:rPr>
                <w:sz w:val="20"/>
                <w:szCs w:val="20"/>
              </w:rPr>
              <w:t>.</w:t>
            </w:r>
          </w:p>
          <w:p w14:paraId="1C78B18E" w14:textId="444CC20B" w:rsidR="00082296" w:rsidRPr="00A71760" w:rsidRDefault="0033585D" w:rsidP="004C0250">
            <w:pPr>
              <w:spacing w:before="0"/>
              <w:rPr>
                <w:sz w:val="20"/>
                <w:szCs w:val="20"/>
              </w:rPr>
            </w:pPr>
            <w:r w:rsidRPr="00A71760">
              <w:rPr>
                <w:sz w:val="20"/>
                <w:szCs w:val="20"/>
              </w:rPr>
              <w:t>Other</w:t>
            </w:r>
            <w:r w:rsidR="00C57777" w:rsidRPr="00A71760">
              <w:rPr>
                <w:sz w:val="20"/>
                <w:szCs w:val="20"/>
              </w:rPr>
              <w:t xml:space="preserve"> therapeutics</w:t>
            </w:r>
            <w:r w:rsidR="004866C0" w:rsidRPr="00A71760">
              <w:rPr>
                <w:sz w:val="20"/>
                <w:szCs w:val="20"/>
              </w:rPr>
              <w:t xml:space="preserve"> supplied</w:t>
            </w:r>
            <w:r w:rsidR="00C57777" w:rsidRPr="00A71760">
              <w:rPr>
                <w:sz w:val="20"/>
                <w:szCs w:val="20"/>
              </w:rPr>
              <w:t xml:space="preserve"> included 2,500 litres of hand sanitiser and disinfectant, 500 thermal guns, 12,000 surgical masks</w:t>
            </w:r>
            <w:r w:rsidRPr="00A71760">
              <w:rPr>
                <w:sz w:val="20"/>
                <w:szCs w:val="20"/>
              </w:rPr>
              <w:t>,</w:t>
            </w:r>
            <w:r w:rsidR="00C57777" w:rsidRPr="00A71760">
              <w:rPr>
                <w:sz w:val="20"/>
                <w:szCs w:val="20"/>
              </w:rPr>
              <w:t xml:space="preserve"> other </w:t>
            </w:r>
            <w:r w:rsidR="00FE4A70" w:rsidRPr="00A71760">
              <w:rPr>
                <w:sz w:val="20"/>
                <w:szCs w:val="20"/>
              </w:rPr>
              <w:t>personal protective equipment</w:t>
            </w:r>
            <w:r w:rsidR="00C57777" w:rsidRPr="00A71760">
              <w:rPr>
                <w:sz w:val="20"/>
                <w:szCs w:val="20"/>
              </w:rPr>
              <w:t xml:space="preserve">, ambulance costs, and </w:t>
            </w:r>
            <w:r w:rsidR="00FE4A70" w:rsidRPr="00A71760">
              <w:rPr>
                <w:sz w:val="20"/>
                <w:szCs w:val="20"/>
              </w:rPr>
              <w:t>intravenous</w:t>
            </w:r>
            <w:r w:rsidR="00FE4A70" w:rsidRPr="00A71760" w:rsidDel="00FE4A70">
              <w:rPr>
                <w:sz w:val="20"/>
                <w:szCs w:val="20"/>
              </w:rPr>
              <w:t xml:space="preserve"> </w:t>
            </w:r>
            <w:r w:rsidR="00C57777" w:rsidRPr="00A71760">
              <w:rPr>
                <w:sz w:val="20"/>
                <w:szCs w:val="20"/>
              </w:rPr>
              <w:t xml:space="preserve">immunoglobulin </w:t>
            </w:r>
            <w:r w:rsidR="004866C0" w:rsidRPr="00A71760">
              <w:rPr>
                <w:sz w:val="20"/>
                <w:szCs w:val="20"/>
              </w:rPr>
              <w:t>(</w:t>
            </w:r>
            <w:r w:rsidR="00C57777" w:rsidRPr="00A71760">
              <w:rPr>
                <w:sz w:val="20"/>
                <w:szCs w:val="20"/>
              </w:rPr>
              <w:t>to prevent blood clots</w:t>
            </w:r>
            <w:r w:rsidR="004866C0" w:rsidRPr="00A71760">
              <w:rPr>
                <w:sz w:val="20"/>
                <w:szCs w:val="20"/>
              </w:rPr>
              <w:t>)</w:t>
            </w:r>
            <w:r w:rsidR="00C57777" w:rsidRPr="00A71760">
              <w:rPr>
                <w:sz w:val="20"/>
                <w:szCs w:val="20"/>
              </w:rPr>
              <w:t>.</w:t>
            </w:r>
            <w:r w:rsidR="00A166C2" w:rsidRPr="00A71760">
              <w:rPr>
                <w:sz w:val="20"/>
                <w:szCs w:val="20"/>
              </w:rPr>
              <w:t xml:space="preserve"> </w:t>
            </w:r>
          </w:p>
        </w:tc>
      </w:tr>
      <w:tr w:rsidR="004E03EE" w14:paraId="00DE379F" w14:textId="77777777" w:rsidTr="00F04E7A">
        <w:tc>
          <w:tcPr>
            <w:tcW w:w="3681" w:type="dxa"/>
          </w:tcPr>
          <w:p w14:paraId="097CE5E6" w14:textId="21E2E03B" w:rsidR="004E03EE" w:rsidRPr="00A71760" w:rsidRDefault="004E03EE" w:rsidP="004C0250">
            <w:pPr>
              <w:spacing w:before="0"/>
              <w:rPr>
                <w:sz w:val="20"/>
                <w:szCs w:val="20"/>
              </w:rPr>
            </w:pPr>
            <w:r w:rsidRPr="00A71760">
              <w:rPr>
                <w:sz w:val="20"/>
                <w:szCs w:val="20"/>
              </w:rPr>
              <w:t xml:space="preserve">Strengthened Fijian health system including preparedness for health emergencies at </w:t>
            </w:r>
            <w:r w:rsidR="00FE4A70" w:rsidRPr="00A71760">
              <w:rPr>
                <w:sz w:val="20"/>
                <w:szCs w:val="20"/>
              </w:rPr>
              <w:t>Colonial War Memorial</w:t>
            </w:r>
            <w:r w:rsidR="00FE4A70" w:rsidRPr="00A71760" w:rsidDel="00FE4A70">
              <w:rPr>
                <w:sz w:val="20"/>
                <w:szCs w:val="20"/>
              </w:rPr>
              <w:t xml:space="preserve"> </w:t>
            </w:r>
            <w:r w:rsidR="00F54F78" w:rsidRPr="00A71760">
              <w:rPr>
                <w:sz w:val="20"/>
                <w:szCs w:val="20"/>
              </w:rPr>
              <w:t>Hospital</w:t>
            </w:r>
          </w:p>
        </w:tc>
        <w:tc>
          <w:tcPr>
            <w:tcW w:w="6855" w:type="dxa"/>
          </w:tcPr>
          <w:p w14:paraId="7644F3CE" w14:textId="17C10D74" w:rsidR="00A01F13" w:rsidRPr="00A71760" w:rsidRDefault="004866C0" w:rsidP="004C0250">
            <w:pPr>
              <w:spacing w:before="0"/>
              <w:rPr>
                <w:sz w:val="20"/>
                <w:szCs w:val="20"/>
              </w:rPr>
            </w:pPr>
            <w:r w:rsidRPr="00A71760">
              <w:rPr>
                <w:sz w:val="20"/>
                <w:szCs w:val="20"/>
              </w:rPr>
              <w:t>S</w:t>
            </w:r>
            <w:r w:rsidR="00A06311" w:rsidRPr="00A71760">
              <w:rPr>
                <w:sz w:val="20"/>
                <w:szCs w:val="20"/>
              </w:rPr>
              <w:t xml:space="preserve">upported training </w:t>
            </w:r>
            <w:r w:rsidRPr="00A71760">
              <w:rPr>
                <w:sz w:val="20"/>
                <w:szCs w:val="20"/>
              </w:rPr>
              <w:t xml:space="preserve">for </w:t>
            </w:r>
            <w:r w:rsidR="00F77D64" w:rsidRPr="00A71760">
              <w:rPr>
                <w:sz w:val="20"/>
                <w:szCs w:val="20"/>
              </w:rPr>
              <w:t>200</w:t>
            </w:r>
            <w:r w:rsidR="00A01F13" w:rsidRPr="00A71760">
              <w:rPr>
                <w:sz w:val="20"/>
                <w:szCs w:val="20"/>
              </w:rPr>
              <w:t xml:space="preserve"> </w:t>
            </w:r>
            <w:r w:rsidR="00D220EC" w:rsidRPr="00A71760">
              <w:rPr>
                <w:sz w:val="20"/>
                <w:szCs w:val="20"/>
              </w:rPr>
              <w:t>health workers</w:t>
            </w:r>
            <w:r w:rsidR="00A01F13" w:rsidRPr="00A71760">
              <w:rPr>
                <w:sz w:val="20"/>
                <w:szCs w:val="20"/>
              </w:rPr>
              <w:t xml:space="preserve"> (</w:t>
            </w:r>
            <w:r w:rsidR="00F77D64" w:rsidRPr="00A71760">
              <w:rPr>
                <w:sz w:val="20"/>
                <w:szCs w:val="20"/>
              </w:rPr>
              <w:t>160</w:t>
            </w:r>
            <w:r w:rsidR="00A01F13" w:rsidRPr="00A71760">
              <w:rPr>
                <w:sz w:val="20"/>
                <w:szCs w:val="20"/>
              </w:rPr>
              <w:t xml:space="preserve"> women) in COVID-19 vaccine procedures</w:t>
            </w:r>
            <w:r w:rsidR="00684FC7" w:rsidRPr="00A71760">
              <w:rPr>
                <w:sz w:val="20"/>
                <w:szCs w:val="20"/>
              </w:rPr>
              <w:t>,</w:t>
            </w:r>
            <w:r w:rsidR="00A01F13" w:rsidRPr="00A71760">
              <w:rPr>
                <w:sz w:val="20"/>
                <w:szCs w:val="20"/>
              </w:rPr>
              <w:t xml:space="preserve"> </w:t>
            </w:r>
            <w:proofErr w:type="gramStart"/>
            <w:r w:rsidR="00A01F13" w:rsidRPr="00A71760">
              <w:rPr>
                <w:sz w:val="20"/>
                <w:szCs w:val="20"/>
              </w:rPr>
              <w:t>protocols</w:t>
            </w:r>
            <w:proofErr w:type="gramEnd"/>
            <w:r w:rsidR="00684FC7" w:rsidRPr="00A71760">
              <w:rPr>
                <w:sz w:val="20"/>
                <w:szCs w:val="20"/>
              </w:rPr>
              <w:t xml:space="preserve"> and safety requirements</w:t>
            </w:r>
            <w:r w:rsidRPr="00A71760">
              <w:rPr>
                <w:sz w:val="20"/>
                <w:szCs w:val="20"/>
              </w:rPr>
              <w:t xml:space="preserve">. </w:t>
            </w:r>
            <w:r w:rsidR="00A06311" w:rsidRPr="00A71760">
              <w:rPr>
                <w:sz w:val="20"/>
                <w:szCs w:val="20"/>
              </w:rPr>
              <w:t xml:space="preserve">Support also provided for primary screening and care demonstration training for 52 community organisation and </w:t>
            </w:r>
            <w:r w:rsidR="00FE4A70" w:rsidRPr="00A71760">
              <w:rPr>
                <w:sz w:val="20"/>
                <w:szCs w:val="20"/>
              </w:rPr>
              <w:t xml:space="preserve">Ministry of Health and Medical Services </w:t>
            </w:r>
            <w:r w:rsidR="00A06311" w:rsidRPr="00A71760">
              <w:rPr>
                <w:sz w:val="20"/>
                <w:szCs w:val="20"/>
              </w:rPr>
              <w:t>support staff (45 women) on use of the Tamanu app to conduct digital screening</w:t>
            </w:r>
            <w:r w:rsidR="00190F37" w:rsidRPr="00A71760">
              <w:rPr>
                <w:sz w:val="20"/>
                <w:szCs w:val="20"/>
              </w:rPr>
              <w:t>.</w:t>
            </w:r>
            <w:r w:rsidR="00A06311" w:rsidRPr="00A71760">
              <w:rPr>
                <w:sz w:val="20"/>
                <w:szCs w:val="20"/>
              </w:rPr>
              <w:t xml:space="preserve"> </w:t>
            </w:r>
          </w:p>
          <w:p w14:paraId="178C6A7F" w14:textId="4F5EB269" w:rsidR="004E03EE" w:rsidRPr="00A71760" w:rsidRDefault="004866C0" w:rsidP="004C0250">
            <w:pPr>
              <w:spacing w:before="0"/>
              <w:rPr>
                <w:sz w:val="20"/>
                <w:szCs w:val="20"/>
              </w:rPr>
            </w:pPr>
            <w:bookmarkStart w:id="9" w:name="_Hlk82090491"/>
            <w:r w:rsidRPr="00A71760">
              <w:rPr>
                <w:sz w:val="20"/>
                <w:szCs w:val="20"/>
              </w:rPr>
              <w:t xml:space="preserve">In response to Tropical Cyclones </w:t>
            </w:r>
            <w:proofErr w:type="spellStart"/>
            <w:r w:rsidRPr="00A71760">
              <w:rPr>
                <w:sz w:val="20"/>
                <w:szCs w:val="20"/>
              </w:rPr>
              <w:t>Yasa</w:t>
            </w:r>
            <w:proofErr w:type="spellEnd"/>
            <w:r w:rsidRPr="00A71760">
              <w:rPr>
                <w:sz w:val="20"/>
                <w:szCs w:val="20"/>
              </w:rPr>
              <w:t xml:space="preserve"> and Ana, s</w:t>
            </w:r>
            <w:r w:rsidR="00F21C4C" w:rsidRPr="00A71760">
              <w:rPr>
                <w:sz w:val="20"/>
                <w:szCs w:val="20"/>
              </w:rPr>
              <w:t>upport</w:t>
            </w:r>
            <w:r w:rsidRPr="00A71760">
              <w:rPr>
                <w:sz w:val="20"/>
                <w:szCs w:val="20"/>
              </w:rPr>
              <w:t>ed</w:t>
            </w:r>
            <w:r w:rsidR="00F21C4C" w:rsidRPr="00A71760">
              <w:rPr>
                <w:sz w:val="20"/>
                <w:szCs w:val="20"/>
              </w:rPr>
              <w:t xml:space="preserve"> </w:t>
            </w:r>
            <w:r w:rsidRPr="00A71760">
              <w:rPr>
                <w:sz w:val="20"/>
                <w:szCs w:val="20"/>
              </w:rPr>
              <w:t xml:space="preserve">the establishment of </w:t>
            </w:r>
            <w:r w:rsidR="0001348C" w:rsidRPr="00A71760">
              <w:rPr>
                <w:sz w:val="20"/>
                <w:szCs w:val="20"/>
              </w:rPr>
              <w:t>three women</w:t>
            </w:r>
            <w:r w:rsidR="00F21C4C" w:rsidRPr="00A71760">
              <w:rPr>
                <w:sz w:val="20"/>
                <w:szCs w:val="20"/>
              </w:rPr>
              <w:t>-</w:t>
            </w:r>
            <w:r w:rsidR="0001348C" w:rsidRPr="00A71760">
              <w:rPr>
                <w:sz w:val="20"/>
                <w:szCs w:val="20"/>
              </w:rPr>
              <w:t>friendly health spaces and</w:t>
            </w:r>
            <w:r w:rsidR="006552C1" w:rsidRPr="00A71760">
              <w:rPr>
                <w:sz w:val="20"/>
                <w:szCs w:val="20"/>
              </w:rPr>
              <w:t xml:space="preserve"> the deployment of </w:t>
            </w:r>
            <w:r w:rsidR="0001348C" w:rsidRPr="00A71760">
              <w:rPr>
                <w:sz w:val="20"/>
                <w:szCs w:val="20"/>
              </w:rPr>
              <w:t xml:space="preserve">six </w:t>
            </w:r>
            <w:r w:rsidR="006552C1" w:rsidRPr="00A71760">
              <w:rPr>
                <w:sz w:val="20"/>
                <w:szCs w:val="20"/>
              </w:rPr>
              <w:t>retired</w:t>
            </w:r>
            <w:r w:rsidR="002C1CD6" w:rsidRPr="00A71760">
              <w:rPr>
                <w:sz w:val="20"/>
                <w:szCs w:val="20"/>
              </w:rPr>
              <w:t xml:space="preserve"> Fijian </w:t>
            </w:r>
            <w:r w:rsidR="006552C1" w:rsidRPr="00A71760">
              <w:rPr>
                <w:sz w:val="20"/>
                <w:szCs w:val="20"/>
              </w:rPr>
              <w:t xml:space="preserve">midwives to </w:t>
            </w:r>
            <w:r w:rsidRPr="00A71760">
              <w:rPr>
                <w:sz w:val="20"/>
                <w:szCs w:val="20"/>
              </w:rPr>
              <w:t xml:space="preserve">severely affected </w:t>
            </w:r>
            <w:r w:rsidR="006552C1" w:rsidRPr="00A71760">
              <w:rPr>
                <w:sz w:val="20"/>
                <w:szCs w:val="20"/>
              </w:rPr>
              <w:t>communities</w:t>
            </w:r>
            <w:bookmarkEnd w:id="9"/>
            <w:r w:rsidR="00CD7F38" w:rsidRPr="00A71760">
              <w:rPr>
                <w:sz w:val="20"/>
                <w:szCs w:val="20"/>
              </w:rPr>
              <w:t xml:space="preserve">. </w:t>
            </w:r>
          </w:p>
        </w:tc>
      </w:tr>
      <w:tr w:rsidR="0033585D" w14:paraId="13689EF0" w14:textId="77777777" w:rsidTr="00F04E7A">
        <w:tc>
          <w:tcPr>
            <w:tcW w:w="3681" w:type="dxa"/>
          </w:tcPr>
          <w:p w14:paraId="1A7D927D" w14:textId="40DEF802" w:rsidR="0033585D" w:rsidRPr="00A71760" w:rsidRDefault="0033585D" w:rsidP="004C0250">
            <w:pPr>
              <w:spacing w:before="0"/>
              <w:rPr>
                <w:sz w:val="20"/>
                <w:szCs w:val="20"/>
              </w:rPr>
            </w:pPr>
            <w:r w:rsidRPr="00A71760">
              <w:rPr>
                <w:sz w:val="20"/>
                <w:szCs w:val="20"/>
              </w:rPr>
              <w:t>Increased efficiency of procurement processes to ensure consistent supply of medicines and other health commodities</w:t>
            </w:r>
          </w:p>
        </w:tc>
        <w:tc>
          <w:tcPr>
            <w:tcW w:w="6855" w:type="dxa"/>
          </w:tcPr>
          <w:p w14:paraId="5E69943C" w14:textId="443A9D0F" w:rsidR="0033585D" w:rsidRPr="00A71760" w:rsidRDefault="004866C0" w:rsidP="004C0250">
            <w:pPr>
              <w:spacing w:before="0"/>
              <w:rPr>
                <w:sz w:val="20"/>
                <w:szCs w:val="20"/>
              </w:rPr>
            </w:pPr>
            <w:r w:rsidRPr="00A71760">
              <w:rPr>
                <w:sz w:val="20"/>
                <w:szCs w:val="20"/>
              </w:rPr>
              <w:t xml:space="preserve">Supported a range of measures, including: the development of </w:t>
            </w:r>
            <w:r w:rsidR="00A06311" w:rsidRPr="00A71760">
              <w:rPr>
                <w:sz w:val="20"/>
                <w:szCs w:val="20"/>
              </w:rPr>
              <w:t>the Fiji National Vaccine Deployment Plan; the procurement of medical supplies and lab consumables for Fiji’s Centre for Disease Control</w:t>
            </w:r>
            <w:r w:rsidR="00F21C4C" w:rsidRPr="00A71760">
              <w:rPr>
                <w:sz w:val="20"/>
                <w:szCs w:val="20"/>
              </w:rPr>
              <w:t>,</w:t>
            </w:r>
            <w:r w:rsidR="00A06311" w:rsidRPr="00A71760">
              <w:rPr>
                <w:sz w:val="20"/>
                <w:szCs w:val="20"/>
              </w:rPr>
              <w:t xml:space="preserve"> and personal protective equipment and flu vaccines for frontline health staff; and supply of 120</w:t>
            </w:r>
            <w:r w:rsidR="003D41D3" w:rsidRPr="00A71760">
              <w:rPr>
                <w:sz w:val="20"/>
                <w:szCs w:val="20"/>
              </w:rPr>
              <w:t> </w:t>
            </w:r>
            <w:r w:rsidRPr="00A71760">
              <w:rPr>
                <w:sz w:val="20"/>
                <w:szCs w:val="20"/>
              </w:rPr>
              <w:t xml:space="preserve">computer </w:t>
            </w:r>
            <w:r w:rsidR="00A06311" w:rsidRPr="00A71760">
              <w:rPr>
                <w:sz w:val="20"/>
                <w:szCs w:val="20"/>
              </w:rPr>
              <w:t xml:space="preserve">tablets </w:t>
            </w:r>
            <w:r w:rsidR="00363EC6" w:rsidRPr="00A71760">
              <w:rPr>
                <w:sz w:val="20"/>
                <w:szCs w:val="20"/>
              </w:rPr>
              <w:t>for</w:t>
            </w:r>
            <w:r w:rsidR="00A06311" w:rsidRPr="00A71760">
              <w:rPr>
                <w:sz w:val="20"/>
                <w:szCs w:val="20"/>
              </w:rPr>
              <w:t xml:space="preserve"> contact tracing.</w:t>
            </w:r>
          </w:p>
        </w:tc>
      </w:tr>
      <w:tr w:rsidR="004E03EE" w14:paraId="071A69BD" w14:textId="77777777" w:rsidTr="00F04E7A">
        <w:tc>
          <w:tcPr>
            <w:tcW w:w="3681" w:type="dxa"/>
          </w:tcPr>
          <w:p w14:paraId="1477291A" w14:textId="45D1ED53" w:rsidR="004E03EE" w:rsidRPr="00A71760" w:rsidRDefault="004E03EE" w:rsidP="004C0250">
            <w:pPr>
              <w:spacing w:before="0"/>
              <w:rPr>
                <w:sz w:val="20"/>
                <w:szCs w:val="20"/>
              </w:rPr>
            </w:pPr>
            <w:r w:rsidRPr="00A71760">
              <w:rPr>
                <w:sz w:val="20"/>
                <w:szCs w:val="20"/>
              </w:rPr>
              <w:t>Women and men, girls and boys are provided with emergency assistance in conflict and crisis situations, such as major cyclones</w:t>
            </w:r>
          </w:p>
        </w:tc>
        <w:tc>
          <w:tcPr>
            <w:tcW w:w="6855" w:type="dxa"/>
          </w:tcPr>
          <w:p w14:paraId="4F47A616" w14:textId="078420A6" w:rsidR="004E03EE" w:rsidRPr="00A71760" w:rsidRDefault="004866C0" w:rsidP="004C0250">
            <w:pPr>
              <w:spacing w:before="0"/>
              <w:rPr>
                <w:sz w:val="20"/>
                <w:szCs w:val="20"/>
              </w:rPr>
            </w:pPr>
            <w:r w:rsidRPr="00A71760">
              <w:rPr>
                <w:sz w:val="20"/>
                <w:szCs w:val="20"/>
              </w:rPr>
              <w:t xml:space="preserve">Supported </w:t>
            </w:r>
            <w:r w:rsidR="004703F9" w:rsidRPr="00A71760">
              <w:rPr>
                <w:sz w:val="20"/>
                <w:szCs w:val="20"/>
              </w:rPr>
              <w:t xml:space="preserve">emergency </w:t>
            </w:r>
            <w:r w:rsidR="000F717C" w:rsidRPr="00A71760">
              <w:rPr>
                <w:sz w:val="20"/>
                <w:szCs w:val="20"/>
              </w:rPr>
              <w:t xml:space="preserve">assistance </w:t>
            </w:r>
            <w:r w:rsidRPr="00A71760">
              <w:rPr>
                <w:sz w:val="20"/>
                <w:szCs w:val="20"/>
              </w:rPr>
              <w:t>for</w:t>
            </w:r>
            <w:r w:rsidR="000F717C" w:rsidRPr="00A71760">
              <w:rPr>
                <w:sz w:val="20"/>
                <w:szCs w:val="20"/>
              </w:rPr>
              <w:t xml:space="preserve"> </w:t>
            </w:r>
            <w:r w:rsidR="004E03EE" w:rsidRPr="00A71760">
              <w:rPr>
                <w:sz w:val="20"/>
                <w:szCs w:val="20"/>
              </w:rPr>
              <w:t xml:space="preserve">75,329 people (37,074 women and girls) in response to Tropical Cyclones Ana and </w:t>
            </w:r>
            <w:proofErr w:type="spellStart"/>
            <w:r w:rsidR="004E03EE" w:rsidRPr="00A71760">
              <w:rPr>
                <w:sz w:val="20"/>
                <w:szCs w:val="20"/>
              </w:rPr>
              <w:t>Yasa</w:t>
            </w:r>
            <w:proofErr w:type="spellEnd"/>
            <w:r w:rsidR="004E03EE" w:rsidRPr="00A71760">
              <w:rPr>
                <w:sz w:val="20"/>
                <w:szCs w:val="20"/>
              </w:rPr>
              <w:t xml:space="preserve"> and </w:t>
            </w:r>
            <w:r w:rsidR="000F717C" w:rsidRPr="00A71760">
              <w:rPr>
                <w:sz w:val="20"/>
                <w:szCs w:val="20"/>
              </w:rPr>
              <w:t>the</w:t>
            </w:r>
            <w:r w:rsidR="004E03EE" w:rsidRPr="00A71760">
              <w:rPr>
                <w:sz w:val="20"/>
                <w:szCs w:val="20"/>
              </w:rPr>
              <w:t xml:space="preserve"> economic downturn</w:t>
            </w:r>
            <w:r w:rsidRPr="00A71760">
              <w:rPr>
                <w:sz w:val="20"/>
                <w:szCs w:val="20"/>
              </w:rPr>
              <w:t xml:space="preserve"> caused by COVID-19. This included </w:t>
            </w:r>
            <w:r w:rsidR="007723B2" w:rsidRPr="00A71760">
              <w:rPr>
                <w:sz w:val="20"/>
                <w:szCs w:val="20"/>
              </w:rPr>
              <w:t xml:space="preserve">food rations and backyard garden support for </w:t>
            </w:r>
            <w:r w:rsidR="004E03EE" w:rsidRPr="00A71760">
              <w:rPr>
                <w:sz w:val="20"/>
                <w:szCs w:val="20"/>
              </w:rPr>
              <w:t>5,197 households</w:t>
            </w:r>
            <w:r w:rsidRPr="00A71760">
              <w:rPr>
                <w:sz w:val="20"/>
                <w:szCs w:val="20"/>
              </w:rPr>
              <w:t>.</w:t>
            </w:r>
          </w:p>
          <w:p w14:paraId="0ABB85D1" w14:textId="77B25E28" w:rsidR="004E03EE" w:rsidRPr="00A71760" w:rsidRDefault="007723B2" w:rsidP="004C0250">
            <w:pPr>
              <w:spacing w:before="0"/>
              <w:rPr>
                <w:sz w:val="20"/>
                <w:szCs w:val="20"/>
              </w:rPr>
            </w:pPr>
            <w:r w:rsidRPr="00A71760">
              <w:rPr>
                <w:sz w:val="20"/>
                <w:szCs w:val="20"/>
              </w:rPr>
              <w:t>Through Empower Pacific</w:t>
            </w:r>
            <w:r w:rsidR="004866C0" w:rsidRPr="00A71760">
              <w:rPr>
                <w:sz w:val="20"/>
                <w:szCs w:val="20"/>
              </w:rPr>
              <w:t xml:space="preserve"> program</w:t>
            </w:r>
            <w:r w:rsidRPr="00A71760">
              <w:rPr>
                <w:sz w:val="20"/>
                <w:szCs w:val="20"/>
              </w:rPr>
              <w:t xml:space="preserve">, supported </w:t>
            </w:r>
            <w:r w:rsidR="004E03EE" w:rsidRPr="00A71760">
              <w:rPr>
                <w:sz w:val="20"/>
                <w:szCs w:val="20"/>
              </w:rPr>
              <w:t>2,757 people (1,666 women) with counselling and social services</w:t>
            </w:r>
            <w:r w:rsidR="004866C0" w:rsidRPr="00A71760">
              <w:rPr>
                <w:sz w:val="20"/>
                <w:szCs w:val="20"/>
              </w:rPr>
              <w:t>, including</w:t>
            </w:r>
            <w:r w:rsidRPr="00A71760">
              <w:rPr>
                <w:sz w:val="20"/>
                <w:szCs w:val="20"/>
              </w:rPr>
              <w:t xml:space="preserve"> </w:t>
            </w:r>
            <w:r w:rsidR="004E03EE" w:rsidRPr="00A71760">
              <w:rPr>
                <w:sz w:val="20"/>
                <w:szCs w:val="20"/>
              </w:rPr>
              <w:t xml:space="preserve">73 women and 63 men </w:t>
            </w:r>
            <w:r w:rsidR="004866C0" w:rsidRPr="00A71760">
              <w:rPr>
                <w:sz w:val="20"/>
                <w:szCs w:val="20"/>
              </w:rPr>
              <w:t xml:space="preserve">with </w:t>
            </w:r>
            <w:r w:rsidR="004E03EE" w:rsidRPr="00A71760">
              <w:rPr>
                <w:sz w:val="20"/>
                <w:szCs w:val="20"/>
              </w:rPr>
              <w:t>disabili</w:t>
            </w:r>
            <w:r w:rsidR="004866C0" w:rsidRPr="00A71760">
              <w:rPr>
                <w:sz w:val="20"/>
                <w:szCs w:val="20"/>
              </w:rPr>
              <w:t>t</w:t>
            </w:r>
            <w:r w:rsidR="00CD7F38" w:rsidRPr="00A71760">
              <w:rPr>
                <w:sz w:val="20"/>
                <w:szCs w:val="20"/>
              </w:rPr>
              <w:t>ies</w:t>
            </w:r>
            <w:r w:rsidR="004E03EE" w:rsidRPr="00A71760">
              <w:rPr>
                <w:sz w:val="20"/>
                <w:szCs w:val="20"/>
              </w:rPr>
              <w:t xml:space="preserve">. </w:t>
            </w:r>
          </w:p>
          <w:p w14:paraId="3A7073E2" w14:textId="469633D3" w:rsidR="004E03EE" w:rsidRPr="00A71760" w:rsidRDefault="004866C0" w:rsidP="004C0250">
            <w:pPr>
              <w:spacing w:before="0"/>
              <w:rPr>
                <w:sz w:val="20"/>
                <w:szCs w:val="20"/>
              </w:rPr>
            </w:pPr>
            <w:r w:rsidRPr="00A71760">
              <w:rPr>
                <w:sz w:val="20"/>
                <w:szCs w:val="20"/>
              </w:rPr>
              <w:t>Supported the p</w:t>
            </w:r>
            <w:r w:rsidR="00323792" w:rsidRPr="00A71760">
              <w:rPr>
                <w:sz w:val="20"/>
                <w:szCs w:val="20"/>
              </w:rPr>
              <w:t xml:space="preserve">rovision of water tanks, solar panels, menstrual health management supplies, </w:t>
            </w:r>
            <w:proofErr w:type="gramStart"/>
            <w:r w:rsidR="00323792" w:rsidRPr="00A71760">
              <w:rPr>
                <w:sz w:val="20"/>
                <w:szCs w:val="20"/>
              </w:rPr>
              <w:t>latrines</w:t>
            </w:r>
            <w:proofErr w:type="gramEnd"/>
            <w:r w:rsidR="00323792" w:rsidRPr="00A71760">
              <w:rPr>
                <w:sz w:val="20"/>
                <w:szCs w:val="20"/>
              </w:rPr>
              <w:t xml:space="preserve"> and latrine houses</w:t>
            </w:r>
            <w:r w:rsidRPr="00A71760">
              <w:rPr>
                <w:sz w:val="20"/>
                <w:szCs w:val="20"/>
              </w:rPr>
              <w:t>. This enabled</w:t>
            </w:r>
            <w:r w:rsidR="00323792" w:rsidRPr="00A71760">
              <w:rPr>
                <w:sz w:val="20"/>
                <w:szCs w:val="20"/>
              </w:rPr>
              <w:t xml:space="preserve"> </w:t>
            </w:r>
            <w:r w:rsidRPr="00A71760">
              <w:rPr>
                <w:sz w:val="20"/>
                <w:szCs w:val="20"/>
              </w:rPr>
              <w:t xml:space="preserve">the </w:t>
            </w:r>
            <w:r w:rsidR="00323792" w:rsidRPr="00A71760">
              <w:rPr>
                <w:sz w:val="20"/>
                <w:szCs w:val="20"/>
              </w:rPr>
              <w:t xml:space="preserve">reopening of schools </w:t>
            </w:r>
            <w:r w:rsidRPr="00A71760">
              <w:rPr>
                <w:sz w:val="20"/>
                <w:szCs w:val="20"/>
              </w:rPr>
              <w:t xml:space="preserve">and </w:t>
            </w:r>
            <w:r w:rsidR="00323792" w:rsidRPr="00A71760">
              <w:rPr>
                <w:sz w:val="20"/>
                <w:szCs w:val="20"/>
              </w:rPr>
              <w:t xml:space="preserve">benefitted </w:t>
            </w:r>
            <w:r w:rsidR="004E03EE" w:rsidRPr="00A71760">
              <w:rPr>
                <w:sz w:val="20"/>
                <w:szCs w:val="20"/>
              </w:rPr>
              <w:t>39,245 students (18,744 gi</w:t>
            </w:r>
            <w:r w:rsidRPr="00A71760">
              <w:rPr>
                <w:sz w:val="20"/>
                <w:szCs w:val="20"/>
              </w:rPr>
              <w:t>r</w:t>
            </w:r>
            <w:r w:rsidR="004E03EE" w:rsidRPr="00A71760">
              <w:rPr>
                <w:sz w:val="20"/>
                <w:szCs w:val="20"/>
              </w:rPr>
              <w:t>ls</w:t>
            </w:r>
            <w:r w:rsidRPr="00A71760">
              <w:rPr>
                <w:sz w:val="20"/>
                <w:szCs w:val="20"/>
              </w:rPr>
              <w:t>,</w:t>
            </w:r>
            <w:r w:rsidR="004E03EE" w:rsidRPr="00A71760">
              <w:rPr>
                <w:sz w:val="20"/>
                <w:szCs w:val="20"/>
              </w:rPr>
              <w:t xml:space="preserve"> and 55 girls and 69 boys </w:t>
            </w:r>
            <w:r w:rsidRPr="00A71760">
              <w:rPr>
                <w:sz w:val="20"/>
                <w:szCs w:val="20"/>
              </w:rPr>
              <w:t>with disabilit</w:t>
            </w:r>
            <w:r w:rsidR="00CD7F38" w:rsidRPr="00A71760">
              <w:rPr>
                <w:sz w:val="20"/>
                <w:szCs w:val="20"/>
              </w:rPr>
              <w:t>ies</w:t>
            </w:r>
            <w:r w:rsidRPr="00A71760">
              <w:rPr>
                <w:sz w:val="20"/>
                <w:szCs w:val="20"/>
              </w:rPr>
              <w:t>)</w:t>
            </w:r>
            <w:r w:rsidR="004E03EE" w:rsidRPr="00A71760">
              <w:rPr>
                <w:sz w:val="20"/>
                <w:szCs w:val="20"/>
              </w:rPr>
              <w:t>.</w:t>
            </w:r>
          </w:p>
        </w:tc>
      </w:tr>
    </w:tbl>
    <w:p w14:paraId="08BBE344" w14:textId="1FF6DD87" w:rsidR="00AE2B7B" w:rsidRPr="00AE2B7B" w:rsidRDefault="00837023" w:rsidP="00B32F5A">
      <w:pPr>
        <w:pStyle w:val="Heading3"/>
      </w:pPr>
      <w:r>
        <w:lastRenderedPageBreak/>
        <w:t>S</w:t>
      </w:r>
      <w:r w:rsidR="00AE2B7B" w:rsidRPr="00AE2B7B">
        <w:t>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3681"/>
        <w:gridCol w:w="6855"/>
      </w:tblGrid>
      <w:tr w:rsidR="00CA5021" w14:paraId="14EF210E" w14:textId="77777777" w:rsidTr="00F04E7A">
        <w:trPr>
          <w:tblHeader/>
        </w:trPr>
        <w:tc>
          <w:tcPr>
            <w:tcW w:w="3681" w:type="dxa"/>
            <w:shd w:val="clear" w:color="auto" w:fill="A2DCD1" w:themeFill="accent1" w:themeFillTint="99"/>
            <w:vAlign w:val="bottom"/>
          </w:tcPr>
          <w:p w14:paraId="47014330" w14:textId="7A7E2C4C" w:rsidR="00CA5021" w:rsidRPr="005736BB" w:rsidRDefault="00A96364" w:rsidP="004C0250">
            <w:pPr>
              <w:widowControl w:val="0"/>
              <w:spacing w:before="0"/>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855" w:type="dxa"/>
            <w:shd w:val="clear" w:color="auto" w:fill="A2DCD1" w:themeFill="accent1" w:themeFillTint="99"/>
            <w:vAlign w:val="bottom"/>
          </w:tcPr>
          <w:p w14:paraId="167B5817" w14:textId="6DB7E03D" w:rsidR="00CA5021" w:rsidRPr="005736BB" w:rsidRDefault="00AD19F7" w:rsidP="004C0250">
            <w:pPr>
              <w:widowControl w:val="0"/>
              <w:spacing w:before="0"/>
              <w:jc w:val="center"/>
              <w:rPr>
                <w:sz w:val="20"/>
                <w:szCs w:val="20"/>
              </w:rPr>
            </w:pPr>
            <w:r w:rsidRPr="005736BB">
              <w:rPr>
                <w:b/>
                <w:sz w:val="20"/>
                <w:szCs w:val="20"/>
              </w:rPr>
              <w:t>Progress/Result</w:t>
            </w:r>
          </w:p>
        </w:tc>
      </w:tr>
      <w:tr w:rsidR="00C54E78" w14:paraId="1245941D" w14:textId="77777777" w:rsidTr="00F04E7A">
        <w:trPr>
          <w:tblHeader/>
        </w:trPr>
        <w:tc>
          <w:tcPr>
            <w:tcW w:w="3681" w:type="dxa"/>
          </w:tcPr>
          <w:p w14:paraId="01845A36" w14:textId="442645C3" w:rsidR="00C54E78" w:rsidRPr="00A71760" w:rsidRDefault="00C54E78" w:rsidP="004C0250">
            <w:pPr>
              <w:spacing w:before="0"/>
              <w:rPr>
                <w:sz w:val="20"/>
                <w:szCs w:val="20"/>
              </w:rPr>
            </w:pPr>
            <w:r w:rsidRPr="00A71760">
              <w:rPr>
                <w:sz w:val="20"/>
                <w:szCs w:val="20"/>
              </w:rPr>
              <w:t>Numbers reached with new or improved social protection programs, including remote communities</w:t>
            </w:r>
          </w:p>
        </w:tc>
        <w:tc>
          <w:tcPr>
            <w:tcW w:w="6855" w:type="dxa"/>
          </w:tcPr>
          <w:p w14:paraId="4D856A23" w14:textId="44226347" w:rsidR="00C54E78" w:rsidRPr="00A71760" w:rsidRDefault="004866C0" w:rsidP="004C0250">
            <w:pPr>
              <w:spacing w:before="0"/>
              <w:rPr>
                <w:sz w:val="20"/>
                <w:szCs w:val="20"/>
              </w:rPr>
            </w:pPr>
            <w:r w:rsidRPr="00A71760">
              <w:rPr>
                <w:sz w:val="20"/>
                <w:szCs w:val="20"/>
              </w:rPr>
              <w:t xml:space="preserve">Supported </w:t>
            </w:r>
            <w:r w:rsidR="0007095A" w:rsidRPr="00A71760">
              <w:rPr>
                <w:sz w:val="20"/>
                <w:szCs w:val="20"/>
              </w:rPr>
              <w:t xml:space="preserve">social protection schemes </w:t>
            </w:r>
            <w:r w:rsidR="006F226F" w:rsidRPr="00A71760">
              <w:rPr>
                <w:sz w:val="20"/>
                <w:szCs w:val="20"/>
              </w:rPr>
              <w:t xml:space="preserve">that </w:t>
            </w:r>
            <w:r w:rsidR="0007095A" w:rsidRPr="00A71760">
              <w:rPr>
                <w:sz w:val="20"/>
                <w:szCs w:val="20"/>
              </w:rPr>
              <w:t>benefited over 102,000 people</w:t>
            </w:r>
            <w:r w:rsidR="006F226F" w:rsidRPr="00A71760">
              <w:rPr>
                <w:sz w:val="20"/>
                <w:szCs w:val="20"/>
              </w:rPr>
              <w:t>.</w:t>
            </w:r>
          </w:p>
        </w:tc>
      </w:tr>
      <w:tr w:rsidR="004E03EE" w14:paraId="796DE061" w14:textId="77777777" w:rsidTr="00F04E7A">
        <w:trPr>
          <w:tblHeader/>
        </w:trPr>
        <w:tc>
          <w:tcPr>
            <w:tcW w:w="3681" w:type="dxa"/>
          </w:tcPr>
          <w:p w14:paraId="6EA96CBD" w14:textId="77777777" w:rsidR="004E03EE" w:rsidRPr="00A71760" w:rsidRDefault="004E03EE" w:rsidP="004C0250">
            <w:pPr>
              <w:spacing w:before="0"/>
              <w:rPr>
                <w:sz w:val="20"/>
                <w:szCs w:val="20"/>
              </w:rPr>
            </w:pPr>
            <w:r w:rsidRPr="00A71760">
              <w:rPr>
                <w:sz w:val="20"/>
                <w:szCs w:val="20"/>
              </w:rPr>
              <w:t>More women and girl survivors of violence in Fiji receive services such as counselling</w:t>
            </w:r>
          </w:p>
          <w:p w14:paraId="24FD0AAB" w14:textId="77777777" w:rsidR="004E03EE" w:rsidRPr="00A71760" w:rsidRDefault="004E03EE" w:rsidP="004C0250">
            <w:pPr>
              <w:spacing w:before="0"/>
              <w:ind w:left="269"/>
              <w:rPr>
                <w:sz w:val="20"/>
                <w:szCs w:val="20"/>
              </w:rPr>
            </w:pPr>
          </w:p>
        </w:tc>
        <w:tc>
          <w:tcPr>
            <w:tcW w:w="6855" w:type="dxa"/>
          </w:tcPr>
          <w:p w14:paraId="1E732DDB" w14:textId="17C4B30C" w:rsidR="004E03EE" w:rsidRPr="00A71760" w:rsidRDefault="006F226F" w:rsidP="004C0250">
            <w:pPr>
              <w:spacing w:before="0"/>
              <w:rPr>
                <w:sz w:val="20"/>
                <w:szCs w:val="20"/>
              </w:rPr>
            </w:pPr>
            <w:r w:rsidRPr="00A71760">
              <w:rPr>
                <w:sz w:val="20"/>
                <w:szCs w:val="20"/>
              </w:rPr>
              <w:t xml:space="preserve">Supported </w:t>
            </w:r>
            <w:r w:rsidR="004E03EE" w:rsidRPr="00A71760">
              <w:rPr>
                <w:sz w:val="20"/>
                <w:szCs w:val="20"/>
              </w:rPr>
              <w:t xml:space="preserve">1,305 new clients </w:t>
            </w:r>
            <w:r w:rsidRPr="00A71760">
              <w:rPr>
                <w:sz w:val="20"/>
                <w:szCs w:val="20"/>
              </w:rPr>
              <w:t xml:space="preserve">to </w:t>
            </w:r>
            <w:r w:rsidR="004E03EE" w:rsidRPr="00A71760">
              <w:rPr>
                <w:sz w:val="20"/>
                <w:szCs w:val="20"/>
              </w:rPr>
              <w:t>access counselling services</w:t>
            </w:r>
            <w:r w:rsidRPr="00A71760">
              <w:rPr>
                <w:sz w:val="20"/>
                <w:szCs w:val="20"/>
              </w:rPr>
              <w:t xml:space="preserve">, including </w:t>
            </w:r>
            <w:r w:rsidR="004E03EE" w:rsidRPr="00A71760">
              <w:rPr>
                <w:sz w:val="20"/>
                <w:szCs w:val="20"/>
              </w:rPr>
              <w:t xml:space="preserve">over 2,200 repeat counselling sessions. </w:t>
            </w:r>
          </w:p>
          <w:p w14:paraId="1A8EF586" w14:textId="74C760C6" w:rsidR="004E03EE" w:rsidRPr="00A71760" w:rsidRDefault="006F226F" w:rsidP="004C0250">
            <w:pPr>
              <w:spacing w:before="0"/>
              <w:rPr>
                <w:sz w:val="20"/>
                <w:szCs w:val="20"/>
              </w:rPr>
            </w:pPr>
            <w:r w:rsidRPr="00A71760">
              <w:rPr>
                <w:sz w:val="20"/>
                <w:szCs w:val="20"/>
              </w:rPr>
              <w:t>Under t</w:t>
            </w:r>
            <w:r w:rsidR="004E03EE" w:rsidRPr="00A71760">
              <w:rPr>
                <w:sz w:val="20"/>
                <w:szCs w:val="20"/>
              </w:rPr>
              <w:t>he Fiji Women’s Fund supported 32 initiatives</w:t>
            </w:r>
            <w:r w:rsidRPr="00A71760">
              <w:rPr>
                <w:sz w:val="20"/>
                <w:szCs w:val="20"/>
              </w:rPr>
              <w:t xml:space="preserve"> that </w:t>
            </w:r>
            <w:r w:rsidR="004E03EE" w:rsidRPr="00A71760">
              <w:rPr>
                <w:sz w:val="20"/>
                <w:szCs w:val="20"/>
              </w:rPr>
              <w:t>reach</w:t>
            </w:r>
            <w:r w:rsidRPr="00A71760">
              <w:rPr>
                <w:sz w:val="20"/>
                <w:szCs w:val="20"/>
              </w:rPr>
              <w:t>ed</w:t>
            </w:r>
            <w:r w:rsidR="004E03EE" w:rsidRPr="00A71760">
              <w:rPr>
                <w:sz w:val="20"/>
                <w:szCs w:val="20"/>
              </w:rPr>
              <w:t xml:space="preserve"> over 18,600</w:t>
            </w:r>
            <w:r w:rsidR="003D41D3" w:rsidRPr="00A71760">
              <w:rPr>
                <w:sz w:val="20"/>
                <w:szCs w:val="20"/>
              </w:rPr>
              <w:t> </w:t>
            </w:r>
            <w:r w:rsidR="004E03EE" w:rsidRPr="00A71760">
              <w:rPr>
                <w:sz w:val="20"/>
                <w:szCs w:val="20"/>
              </w:rPr>
              <w:t>people, mostly women and girls.</w:t>
            </w:r>
          </w:p>
        </w:tc>
      </w:tr>
      <w:tr w:rsidR="004E03EE" w14:paraId="2EBDA8B2" w14:textId="77777777" w:rsidTr="00F04E7A">
        <w:trPr>
          <w:tblHeader/>
        </w:trPr>
        <w:tc>
          <w:tcPr>
            <w:tcW w:w="3681" w:type="dxa"/>
          </w:tcPr>
          <w:p w14:paraId="720D65B4" w14:textId="5D7C2823" w:rsidR="004E03EE" w:rsidRPr="00A71760" w:rsidRDefault="004E03EE" w:rsidP="004C0250">
            <w:pPr>
              <w:spacing w:before="0"/>
              <w:rPr>
                <w:sz w:val="20"/>
                <w:szCs w:val="20"/>
              </w:rPr>
            </w:pPr>
            <w:r w:rsidRPr="00A71760">
              <w:rPr>
                <w:sz w:val="20"/>
                <w:szCs w:val="20"/>
              </w:rPr>
              <w:t>Number of additional girls and boys enrolled in school</w:t>
            </w:r>
          </w:p>
        </w:tc>
        <w:tc>
          <w:tcPr>
            <w:tcW w:w="6855" w:type="dxa"/>
          </w:tcPr>
          <w:p w14:paraId="07039026" w14:textId="1519D598" w:rsidR="004E03EE" w:rsidRPr="00A71760" w:rsidRDefault="006F226F" w:rsidP="004C0250">
            <w:pPr>
              <w:spacing w:before="0"/>
              <w:rPr>
                <w:color w:val="auto"/>
                <w:sz w:val="20"/>
                <w:szCs w:val="20"/>
                <w:lang w:val="en-US"/>
              </w:rPr>
            </w:pPr>
            <w:r w:rsidRPr="00A71760">
              <w:rPr>
                <w:sz w:val="20"/>
                <w:szCs w:val="20"/>
              </w:rPr>
              <w:t>S</w:t>
            </w:r>
            <w:r w:rsidR="004E03EE" w:rsidRPr="00A71760">
              <w:rPr>
                <w:sz w:val="20"/>
                <w:szCs w:val="20"/>
              </w:rPr>
              <w:t>upported 3</w:t>
            </w:r>
            <w:r w:rsidR="00006693" w:rsidRPr="00A71760">
              <w:rPr>
                <w:sz w:val="20"/>
                <w:szCs w:val="20"/>
              </w:rPr>
              <w:t>,</w:t>
            </w:r>
            <w:r w:rsidR="004E03EE" w:rsidRPr="00A71760">
              <w:rPr>
                <w:sz w:val="20"/>
                <w:szCs w:val="20"/>
              </w:rPr>
              <w:t>029</w:t>
            </w:r>
            <w:r w:rsidRPr="00A71760">
              <w:rPr>
                <w:sz w:val="20"/>
                <w:szCs w:val="20"/>
              </w:rPr>
              <w:t xml:space="preserve"> additional school enrolments</w:t>
            </w:r>
            <w:r w:rsidR="004E03EE" w:rsidRPr="00A71760">
              <w:rPr>
                <w:sz w:val="20"/>
                <w:szCs w:val="20"/>
              </w:rPr>
              <w:t xml:space="preserve"> (1,474 girls)</w:t>
            </w:r>
            <w:r w:rsidR="00006693" w:rsidRPr="00A71760">
              <w:rPr>
                <w:sz w:val="20"/>
                <w:szCs w:val="20"/>
              </w:rPr>
              <w:t xml:space="preserve">, including </w:t>
            </w:r>
            <w:r w:rsidR="004E03EE" w:rsidRPr="00A71760">
              <w:rPr>
                <w:sz w:val="20"/>
                <w:szCs w:val="20"/>
              </w:rPr>
              <w:t>79</w:t>
            </w:r>
            <w:r w:rsidR="003D41D3" w:rsidRPr="00A71760">
              <w:rPr>
                <w:sz w:val="20"/>
                <w:szCs w:val="20"/>
              </w:rPr>
              <w:t> </w:t>
            </w:r>
            <w:r w:rsidR="004E03EE" w:rsidRPr="00A71760">
              <w:rPr>
                <w:sz w:val="20"/>
                <w:szCs w:val="20"/>
              </w:rPr>
              <w:t xml:space="preserve">students </w:t>
            </w:r>
            <w:r w:rsidRPr="00A71760">
              <w:rPr>
                <w:sz w:val="20"/>
                <w:szCs w:val="20"/>
              </w:rPr>
              <w:t>with</w:t>
            </w:r>
            <w:r w:rsidR="00CD7F38" w:rsidRPr="00A71760">
              <w:rPr>
                <w:sz w:val="20"/>
                <w:szCs w:val="20"/>
              </w:rPr>
              <w:t xml:space="preserve"> </w:t>
            </w:r>
            <w:r w:rsidRPr="00A71760">
              <w:rPr>
                <w:sz w:val="20"/>
                <w:szCs w:val="20"/>
              </w:rPr>
              <w:t>disabilit</w:t>
            </w:r>
            <w:r w:rsidR="00CD7F38" w:rsidRPr="00A71760">
              <w:rPr>
                <w:sz w:val="20"/>
                <w:szCs w:val="20"/>
              </w:rPr>
              <w:t>ies</w:t>
            </w:r>
            <w:r w:rsidR="004E03EE" w:rsidRPr="00A71760">
              <w:rPr>
                <w:sz w:val="20"/>
                <w:szCs w:val="20"/>
              </w:rPr>
              <w:t>.</w:t>
            </w:r>
            <w:r w:rsidR="00A85B43" w:rsidRPr="00A71760">
              <w:rPr>
                <w:sz w:val="20"/>
                <w:szCs w:val="20"/>
              </w:rPr>
              <w:t xml:space="preserve"> </w:t>
            </w:r>
          </w:p>
        </w:tc>
      </w:tr>
      <w:tr w:rsidR="00363EC6" w14:paraId="77980559" w14:textId="77777777" w:rsidTr="00F04E7A">
        <w:trPr>
          <w:tblHeader/>
        </w:trPr>
        <w:tc>
          <w:tcPr>
            <w:tcW w:w="3681" w:type="dxa"/>
          </w:tcPr>
          <w:p w14:paraId="6C49EF62" w14:textId="1B23E763" w:rsidR="00363EC6" w:rsidRPr="00A71760" w:rsidRDefault="00363EC6" w:rsidP="004C0250">
            <w:pPr>
              <w:spacing w:before="0"/>
              <w:rPr>
                <w:sz w:val="20"/>
                <w:szCs w:val="20"/>
              </w:rPr>
            </w:pPr>
            <w:r w:rsidRPr="00A71760">
              <w:rPr>
                <w:sz w:val="20"/>
                <w:szCs w:val="20"/>
              </w:rPr>
              <w:t>Number of verified students with disabilities in – Fiji Education Management Information System</w:t>
            </w:r>
            <w:r w:rsidR="00FE4A70" w:rsidRPr="00A71760">
              <w:rPr>
                <w:sz w:val="20"/>
                <w:szCs w:val="20"/>
              </w:rPr>
              <w:t xml:space="preserve"> (FEMIS)</w:t>
            </w:r>
          </w:p>
        </w:tc>
        <w:tc>
          <w:tcPr>
            <w:tcW w:w="6855" w:type="dxa"/>
          </w:tcPr>
          <w:p w14:paraId="6B7160B6" w14:textId="7631D632" w:rsidR="00363EC6" w:rsidRPr="00A71760" w:rsidRDefault="006F226F" w:rsidP="004C0250">
            <w:pPr>
              <w:spacing w:before="0"/>
              <w:rPr>
                <w:sz w:val="20"/>
                <w:szCs w:val="20"/>
              </w:rPr>
            </w:pPr>
            <w:r w:rsidRPr="00A71760">
              <w:rPr>
                <w:sz w:val="20"/>
                <w:szCs w:val="20"/>
                <w:lang w:val="en-US"/>
              </w:rPr>
              <w:t>Supported the use of FEMIS to identify</w:t>
            </w:r>
            <w:r w:rsidR="00006693" w:rsidRPr="00A71760">
              <w:rPr>
                <w:sz w:val="20"/>
                <w:szCs w:val="20"/>
                <w:lang w:val="en-US"/>
              </w:rPr>
              <w:t xml:space="preserve"> 1,419 (511 girls</w:t>
            </w:r>
            <w:r w:rsidRPr="00A71760">
              <w:rPr>
                <w:sz w:val="20"/>
                <w:szCs w:val="20"/>
                <w:lang w:val="en-US"/>
              </w:rPr>
              <w:t xml:space="preserve">, or </w:t>
            </w:r>
            <w:r w:rsidR="00006693" w:rsidRPr="00A71760">
              <w:rPr>
                <w:sz w:val="20"/>
                <w:szCs w:val="20"/>
                <w:lang w:val="en-US"/>
              </w:rPr>
              <w:t xml:space="preserve">36 per cent) </w:t>
            </w:r>
            <w:r w:rsidRPr="00A71760">
              <w:rPr>
                <w:sz w:val="20"/>
                <w:szCs w:val="20"/>
                <w:lang w:val="en-US"/>
              </w:rPr>
              <w:t xml:space="preserve">as </w:t>
            </w:r>
            <w:r w:rsidR="00363EC6" w:rsidRPr="00A71760">
              <w:rPr>
                <w:sz w:val="20"/>
                <w:szCs w:val="20"/>
                <w:lang w:val="en-US"/>
              </w:rPr>
              <w:t>MEHA</w:t>
            </w:r>
            <w:r w:rsidR="00006693" w:rsidRPr="00A71760">
              <w:rPr>
                <w:sz w:val="20"/>
                <w:szCs w:val="20"/>
                <w:lang w:val="en-US"/>
              </w:rPr>
              <w:t>-</w:t>
            </w:r>
            <w:r w:rsidR="00363EC6" w:rsidRPr="00A71760">
              <w:rPr>
                <w:sz w:val="20"/>
                <w:szCs w:val="20"/>
                <w:lang w:val="en-US"/>
              </w:rPr>
              <w:t xml:space="preserve">verified students </w:t>
            </w:r>
            <w:r w:rsidRPr="00A71760">
              <w:rPr>
                <w:sz w:val="20"/>
                <w:szCs w:val="20"/>
                <w:lang w:val="en-US"/>
              </w:rPr>
              <w:t>with disabilit</w:t>
            </w:r>
            <w:r w:rsidR="00CD7F38" w:rsidRPr="00A71760">
              <w:rPr>
                <w:sz w:val="20"/>
                <w:szCs w:val="20"/>
                <w:lang w:val="en-US"/>
              </w:rPr>
              <w:t>ies</w:t>
            </w:r>
            <w:r w:rsidRPr="00A71760">
              <w:rPr>
                <w:sz w:val="20"/>
                <w:szCs w:val="20"/>
                <w:lang w:val="en-US"/>
              </w:rPr>
              <w:t>.</w:t>
            </w:r>
          </w:p>
        </w:tc>
      </w:tr>
      <w:tr w:rsidR="004E03EE" w14:paraId="70A0B1FE" w14:textId="77777777" w:rsidTr="00F04E7A">
        <w:trPr>
          <w:tblHeader/>
        </w:trPr>
        <w:tc>
          <w:tcPr>
            <w:tcW w:w="3681" w:type="dxa"/>
          </w:tcPr>
          <w:p w14:paraId="21FD0807" w14:textId="77777777" w:rsidR="004E03EE" w:rsidRPr="00A71760" w:rsidRDefault="004E03EE" w:rsidP="004C0250">
            <w:pPr>
              <w:spacing w:before="0"/>
              <w:rPr>
                <w:sz w:val="20"/>
                <w:szCs w:val="20"/>
              </w:rPr>
            </w:pPr>
            <w:r w:rsidRPr="00A71760">
              <w:rPr>
                <w:sz w:val="20"/>
                <w:szCs w:val="20"/>
              </w:rPr>
              <w:t>Evidence Australian support has improved border control measures</w:t>
            </w:r>
          </w:p>
          <w:p w14:paraId="1023416C" w14:textId="77777777" w:rsidR="004E03EE" w:rsidRPr="00A71760" w:rsidRDefault="004E03EE" w:rsidP="004C0250">
            <w:pPr>
              <w:spacing w:before="0"/>
              <w:ind w:left="269"/>
              <w:rPr>
                <w:sz w:val="20"/>
                <w:szCs w:val="20"/>
              </w:rPr>
            </w:pPr>
          </w:p>
        </w:tc>
        <w:tc>
          <w:tcPr>
            <w:tcW w:w="6855" w:type="dxa"/>
          </w:tcPr>
          <w:p w14:paraId="46B60B2A" w14:textId="10D30FFB" w:rsidR="004E03EE" w:rsidRPr="00A71760" w:rsidRDefault="006F226F" w:rsidP="004C0250">
            <w:pPr>
              <w:spacing w:before="0"/>
              <w:rPr>
                <w:rFonts w:eastAsia="Times New Roman"/>
                <w:sz w:val="20"/>
                <w:szCs w:val="20"/>
              </w:rPr>
            </w:pPr>
            <w:r w:rsidRPr="00A71760">
              <w:rPr>
                <w:sz w:val="20"/>
                <w:szCs w:val="20"/>
              </w:rPr>
              <w:t>Supported the training of officers from the Fiji Revenue and Customs Service (FRCS) and Fiji Immigration</w:t>
            </w:r>
            <w:r w:rsidRPr="00A71760" w:rsidDel="006F226F">
              <w:rPr>
                <w:sz w:val="20"/>
                <w:szCs w:val="20"/>
              </w:rPr>
              <w:t xml:space="preserve"> </w:t>
            </w:r>
            <w:r w:rsidRPr="00A71760">
              <w:rPr>
                <w:sz w:val="20"/>
                <w:szCs w:val="20"/>
              </w:rPr>
              <w:t>to</w:t>
            </w:r>
            <w:r w:rsidR="001B359C" w:rsidRPr="00A71760">
              <w:rPr>
                <w:sz w:val="20"/>
                <w:szCs w:val="20"/>
              </w:rPr>
              <w:t xml:space="preserve"> improve</w:t>
            </w:r>
            <w:r w:rsidRPr="00A71760">
              <w:rPr>
                <w:sz w:val="20"/>
                <w:szCs w:val="20"/>
              </w:rPr>
              <w:t xml:space="preserve">, in the COVID-19 context, </w:t>
            </w:r>
            <w:r w:rsidR="00F54F78" w:rsidRPr="00A71760">
              <w:rPr>
                <w:sz w:val="20"/>
                <w:szCs w:val="20"/>
              </w:rPr>
              <w:t>b</w:t>
            </w:r>
            <w:r w:rsidR="004E03EE" w:rsidRPr="00A71760">
              <w:rPr>
                <w:sz w:val="20"/>
                <w:szCs w:val="20"/>
              </w:rPr>
              <w:t>order operations and procedures</w:t>
            </w:r>
            <w:r w:rsidRPr="00A71760">
              <w:rPr>
                <w:sz w:val="20"/>
                <w:szCs w:val="20"/>
              </w:rPr>
              <w:t xml:space="preserve">. </w:t>
            </w:r>
            <w:r w:rsidR="00D41952" w:rsidRPr="00A71760">
              <w:rPr>
                <w:sz w:val="20"/>
                <w:szCs w:val="20"/>
              </w:rPr>
              <w:t>This included</w:t>
            </w:r>
            <w:r w:rsidRPr="00A71760">
              <w:rPr>
                <w:sz w:val="20"/>
                <w:szCs w:val="20"/>
              </w:rPr>
              <w:t xml:space="preserve">: </w:t>
            </w:r>
            <w:r w:rsidR="00D41952" w:rsidRPr="00A71760">
              <w:rPr>
                <w:sz w:val="20"/>
                <w:szCs w:val="20"/>
              </w:rPr>
              <w:t xml:space="preserve">training of </w:t>
            </w:r>
            <w:r w:rsidR="004E03EE" w:rsidRPr="00A71760">
              <w:rPr>
                <w:rFonts w:eastAsia="Times New Roman"/>
                <w:sz w:val="20"/>
                <w:szCs w:val="20"/>
              </w:rPr>
              <w:t xml:space="preserve">30 </w:t>
            </w:r>
            <w:r w:rsidRPr="00A71760">
              <w:rPr>
                <w:rFonts w:eastAsia="Times New Roman"/>
                <w:sz w:val="20"/>
                <w:szCs w:val="20"/>
              </w:rPr>
              <w:t>o</w:t>
            </w:r>
            <w:r w:rsidR="004E03EE" w:rsidRPr="00A71760">
              <w:rPr>
                <w:rFonts w:eastAsia="Times New Roman"/>
                <w:sz w:val="20"/>
                <w:szCs w:val="20"/>
              </w:rPr>
              <w:t>fficers (15 women) on use of the Pacific Small Craft App</w:t>
            </w:r>
            <w:r w:rsidR="00D41952" w:rsidRPr="00A71760">
              <w:rPr>
                <w:rFonts w:eastAsia="Times New Roman"/>
                <w:sz w:val="20"/>
                <w:szCs w:val="20"/>
              </w:rPr>
              <w:t xml:space="preserve">; participation of </w:t>
            </w:r>
            <w:r w:rsidR="004E03EE" w:rsidRPr="00A71760">
              <w:rPr>
                <w:rFonts w:eastAsia="Times New Roman"/>
                <w:sz w:val="20"/>
                <w:szCs w:val="20"/>
              </w:rPr>
              <w:t xml:space="preserve">60 </w:t>
            </w:r>
            <w:r w:rsidR="00DD74EA" w:rsidRPr="00A71760">
              <w:rPr>
                <w:rFonts w:eastAsia="Times New Roman"/>
                <w:sz w:val="20"/>
                <w:szCs w:val="20"/>
              </w:rPr>
              <w:t>o</w:t>
            </w:r>
            <w:r w:rsidR="004E03EE" w:rsidRPr="00A71760">
              <w:rPr>
                <w:rFonts w:eastAsia="Times New Roman"/>
                <w:sz w:val="20"/>
                <w:szCs w:val="20"/>
              </w:rPr>
              <w:t xml:space="preserve">fficers </w:t>
            </w:r>
            <w:r w:rsidR="00D41952" w:rsidRPr="00A71760">
              <w:rPr>
                <w:rFonts w:eastAsia="Times New Roman"/>
                <w:sz w:val="20"/>
                <w:szCs w:val="20"/>
              </w:rPr>
              <w:t>(30 women) in</w:t>
            </w:r>
            <w:r w:rsidR="004E03EE" w:rsidRPr="00A71760">
              <w:rPr>
                <w:rFonts w:eastAsia="Times New Roman"/>
                <w:sz w:val="20"/>
                <w:szCs w:val="20"/>
              </w:rPr>
              <w:t xml:space="preserve"> a COVID-19 </w:t>
            </w:r>
            <w:r w:rsidR="00DD74EA" w:rsidRPr="00A71760">
              <w:rPr>
                <w:rFonts w:eastAsia="Times New Roman"/>
                <w:sz w:val="20"/>
                <w:szCs w:val="20"/>
              </w:rPr>
              <w:t>w</w:t>
            </w:r>
            <w:r w:rsidR="004E03EE" w:rsidRPr="00A71760">
              <w:rPr>
                <w:rFonts w:eastAsia="Times New Roman"/>
                <w:sz w:val="20"/>
                <w:szCs w:val="20"/>
              </w:rPr>
              <w:t>orkshop</w:t>
            </w:r>
            <w:r w:rsidR="00D41952" w:rsidRPr="00A71760">
              <w:rPr>
                <w:rFonts w:eastAsia="Times New Roman"/>
                <w:sz w:val="20"/>
                <w:szCs w:val="20"/>
              </w:rPr>
              <w:t xml:space="preserve">; training </w:t>
            </w:r>
            <w:r w:rsidRPr="00A71760">
              <w:rPr>
                <w:rFonts w:eastAsia="Times New Roman"/>
                <w:sz w:val="20"/>
                <w:szCs w:val="20"/>
              </w:rPr>
              <w:t xml:space="preserve">on operational safety </w:t>
            </w:r>
            <w:r w:rsidR="00D41952" w:rsidRPr="00A71760">
              <w:rPr>
                <w:rFonts w:eastAsia="Times New Roman"/>
                <w:sz w:val="20"/>
                <w:szCs w:val="20"/>
              </w:rPr>
              <w:t xml:space="preserve">for Immigration Detention and Removal Operations for 10 </w:t>
            </w:r>
            <w:r w:rsidRPr="00A71760">
              <w:rPr>
                <w:rFonts w:eastAsia="Times New Roman"/>
                <w:sz w:val="20"/>
                <w:szCs w:val="20"/>
              </w:rPr>
              <w:t>o</w:t>
            </w:r>
            <w:r w:rsidR="00D41952" w:rsidRPr="00A71760">
              <w:rPr>
                <w:rFonts w:eastAsia="Times New Roman"/>
                <w:sz w:val="20"/>
                <w:szCs w:val="20"/>
              </w:rPr>
              <w:t xml:space="preserve">fficers (5 women); and </w:t>
            </w:r>
            <w:r w:rsidRPr="00A71760">
              <w:rPr>
                <w:rFonts w:eastAsia="Times New Roman"/>
                <w:sz w:val="20"/>
                <w:szCs w:val="20"/>
              </w:rPr>
              <w:t xml:space="preserve">training on </w:t>
            </w:r>
            <w:r w:rsidR="00D41952" w:rsidRPr="00A71760">
              <w:rPr>
                <w:rFonts w:eastAsia="Times New Roman"/>
                <w:sz w:val="20"/>
                <w:szCs w:val="20"/>
              </w:rPr>
              <w:t xml:space="preserve">document examination and imposter detection for </w:t>
            </w:r>
            <w:r w:rsidR="004E03EE" w:rsidRPr="00A71760">
              <w:rPr>
                <w:rFonts w:eastAsia="Times New Roman"/>
                <w:sz w:val="20"/>
                <w:szCs w:val="20"/>
              </w:rPr>
              <w:t xml:space="preserve">30 </w:t>
            </w:r>
            <w:r w:rsidRPr="00A71760">
              <w:rPr>
                <w:rFonts w:eastAsia="Times New Roman"/>
                <w:sz w:val="20"/>
                <w:szCs w:val="20"/>
              </w:rPr>
              <w:t>o</w:t>
            </w:r>
            <w:r w:rsidR="004E03EE" w:rsidRPr="00A71760">
              <w:rPr>
                <w:rFonts w:eastAsia="Times New Roman"/>
                <w:sz w:val="20"/>
                <w:szCs w:val="20"/>
              </w:rPr>
              <w:t>fficers</w:t>
            </w:r>
            <w:r w:rsidR="00D41952" w:rsidRPr="00A71760">
              <w:rPr>
                <w:rFonts w:eastAsia="Times New Roman"/>
                <w:sz w:val="20"/>
                <w:szCs w:val="20"/>
              </w:rPr>
              <w:t>.</w:t>
            </w:r>
          </w:p>
          <w:p w14:paraId="339184CE" w14:textId="600844CB" w:rsidR="004E03EE" w:rsidRPr="00A71760" w:rsidRDefault="006F226F" w:rsidP="004C0250">
            <w:pPr>
              <w:spacing w:before="0"/>
              <w:rPr>
                <w:sz w:val="20"/>
                <w:szCs w:val="20"/>
              </w:rPr>
            </w:pPr>
            <w:r w:rsidRPr="00A71760">
              <w:rPr>
                <w:rFonts w:eastAsia="Times New Roman"/>
                <w:sz w:val="20"/>
                <w:szCs w:val="20"/>
              </w:rPr>
              <w:t>P</w:t>
            </w:r>
            <w:r w:rsidR="00E02C43" w:rsidRPr="00A71760">
              <w:rPr>
                <w:rFonts w:eastAsia="Times New Roman"/>
                <w:sz w:val="20"/>
                <w:szCs w:val="20"/>
              </w:rPr>
              <w:t xml:space="preserve">rovided </w:t>
            </w:r>
            <w:r w:rsidR="004E03EE" w:rsidRPr="00A71760">
              <w:rPr>
                <w:rFonts w:eastAsia="Times New Roman"/>
                <w:sz w:val="20"/>
                <w:szCs w:val="20"/>
              </w:rPr>
              <w:t>ICT equipment to FRCS to undertake targeting and profiling activities</w:t>
            </w:r>
            <w:r w:rsidRPr="00A71760">
              <w:rPr>
                <w:rFonts w:eastAsia="Times New Roman"/>
                <w:sz w:val="20"/>
                <w:szCs w:val="20"/>
              </w:rPr>
              <w:t>. Support</w:t>
            </w:r>
            <w:r w:rsidR="004E03EE" w:rsidRPr="00A71760">
              <w:rPr>
                <w:rFonts w:eastAsia="Times New Roman"/>
                <w:sz w:val="20"/>
                <w:szCs w:val="20"/>
              </w:rPr>
              <w:t xml:space="preserve"> </w:t>
            </w:r>
            <w:r w:rsidR="00E02C43" w:rsidRPr="00A71760">
              <w:rPr>
                <w:rFonts w:eastAsia="Times New Roman"/>
                <w:sz w:val="20"/>
                <w:szCs w:val="20"/>
              </w:rPr>
              <w:t xml:space="preserve">also </w:t>
            </w:r>
            <w:r w:rsidR="004E03EE" w:rsidRPr="00A71760">
              <w:rPr>
                <w:rFonts w:eastAsia="Times New Roman"/>
                <w:sz w:val="20"/>
                <w:szCs w:val="20"/>
              </w:rPr>
              <w:t xml:space="preserve">provided to Fiji Immigration to digitise </w:t>
            </w:r>
            <w:r w:rsidR="00E02C43" w:rsidRPr="00A71760">
              <w:rPr>
                <w:rFonts w:eastAsia="Times New Roman"/>
                <w:sz w:val="20"/>
                <w:szCs w:val="20"/>
              </w:rPr>
              <w:t>its</w:t>
            </w:r>
            <w:r w:rsidR="004E03EE" w:rsidRPr="00A71760">
              <w:rPr>
                <w:rFonts w:eastAsia="Times New Roman"/>
                <w:sz w:val="20"/>
                <w:szCs w:val="20"/>
              </w:rPr>
              <w:t xml:space="preserve"> processes and support online services. </w:t>
            </w:r>
          </w:p>
        </w:tc>
      </w:tr>
      <w:tr w:rsidR="004E03EE" w14:paraId="1757B063" w14:textId="77777777" w:rsidTr="00F04E7A">
        <w:trPr>
          <w:tblHeader/>
        </w:trPr>
        <w:tc>
          <w:tcPr>
            <w:tcW w:w="3681" w:type="dxa"/>
          </w:tcPr>
          <w:p w14:paraId="0BF97D55" w14:textId="0C18D5F2" w:rsidR="004E03EE" w:rsidRPr="00A71760" w:rsidRDefault="004E03EE" w:rsidP="004C0250">
            <w:pPr>
              <w:spacing w:before="0"/>
              <w:rPr>
                <w:sz w:val="20"/>
                <w:szCs w:val="20"/>
              </w:rPr>
            </w:pPr>
            <w:r w:rsidRPr="00A71760">
              <w:rPr>
                <w:sz w:val="20"/>
                <w:szCs w:val="20"/>
              </w:rPr>
              <w:t xml:space="preserve">Evidence of strengthened and effective coordination during disaster responses (including across </w:t>
            </w:r>
            <w:r w:rsidR="00B80A33" w:rsidRPr="00A71760">
              <w:rPr>
                <w:sz w:val="20"/>
                <w:szCs w:val="20"/>
              </w:rPr>
              <w:t xml:space="preserve">civil society organisations </w:t>
            </w:r>
            <w:r w:rsidRPr="00A71760">
              <w:rPr>
                <w:sz w:val="20"/>
                <w:szCs w:val="20"/>
              </w:rPr>
              <w:t>and Government)</w:t>
            </w:r>
          </w:p>
        </w:tc>
        <w:tc>
          <w:tcPr>
            <w:tcW w:w="6855" w:type="dxa"/>
          </w:tcPr>
          <w:p w14:paraId="7942FD71" w14:textId="44AA8E89" w:rsidR="00836CB7" w:rsidRPr="00A71760" w:rsidRDefault="006F226F" w:rsidP="004C0250">
            <w:pPr>
              <w:spacing w:before="0"/>
              <w:rPr>
                <w:sz w:val="20"/>
                <w:szCs w:val="20"/>
              </w:rPr>
            </w:pPr>
            <w:r w:rsidRPr="00A71760">
              <w:rPr>
                <w:sz w:val="20"/>
                <w:szCs w:val="20"/>
              </w:rPr>
              <w:t xml:space="preserve">Following Cyclones </w:t>
            </w:r>
            <w:proofErr w:type="spellStart"/>
            <w:r w:rsidRPr="00A71760">
              <w:rPr>
                <w:sz w:val="20"/>
                <w:szCs w:val="20"/>
              </w:rPr>
              <w:t>Yasa</w:t>
            </w:r>
            <w:proofErr w:type="spellEnd"/>
            <w:r w:rsidRPr="00A71760">
              <w:rPr>
                <w:sz w:val="20"/>
                <w:szCs w:val="20"/>
              </w:rPr>
              <w:t xml:space="preserve"> and Ana, s</w:t>
            </w:r>
            <w:r w:rsidR="00836CB7" w:rsidRPr="00A71760">
              <w:rPr>
                <w:sz w:val="20"/>
                <w:szCs w:val="20"/>
              </w:rPr>
              <w:t xml:space="preserve">upported </w:t>
            </w:r>
            <w:r w:rsidRPr="00A71760">
              <w:rPr>
                <w:sz w:val="20"/>
                <w:szCs w:val="20"/>
              </w:rPr>
              <w:t>the</w:t>
            </w:r>
            <w:r w:rsidR="00581FEC" w:rsidRPr="00A71760">
              <w:rPr>
                <w:sz w:val="20"/>
                <w:szCs w:val="20"/>
              </w:rPr>
              <w:t xml:space="preserve"> Fij</w:t>
            </w:r>
            <w:r w:rsidRPr="00A71760">
              <w:rPr>
                <w:sz w:val="20"/>
                <w:szCs w:val="20"/>
              </w:rPr>
              <w:t>i</w:t>
            </w:r>
            <w:r w:rsidR="00581FEC" w:rsidRPr="00A71760">
              <w:rPr>
                <w:sz w:val="20"/>
                <w:szCs w:val="20"/>
              </w:rPr>
              <w:t xml:space="preserve"> National Disaster Management Office to restore </w:t>
            </w:r>
            <w:r w:rsidR="00836CB7" w:rsidRPr="00A71760">
              <w:rPr>
                <w:sz w:val="20"/>
                <w:szCs w:val="20"/>
              </w:rPr>
              <w:t xml:space="preserve">emergency </w:t>
            </w:r>
            <w:r w:rsidR="00581FEC" w:rsidRPr="00A71760">
              <w:rPr>
                <w:sz w:val="20"/>
                <w:szCs w:val="20"/>
              </w:rPr>
              <w:t>communication capabilities</w:t>
            </w:r>
            <w:r w:rsidRPr="00A71760">
              <w:rPr>
                <w:sz w:val="20"/>
                <w:szCs w:val="20"/>
              </w:rPr>
              <w:t>.</w:t>
            </w:r>
            <w:r w:rsidR="004866C0" w:rsidRPr="00A71760">
              <w:rPr>
                <w:sz w:val="20"/>
                <w:szCs w:val="20"/>
              </w:rPr>
              <w:t xml:space="preserve"> </w:t>
            </w:r>
          </w:p>
          <w:p w14:paraId="7D49E80A" w14:textId="25F25F25" w:rsidR="00581FEC" w:rsidRPr="00A71760" w:rsidRDefault="00836CB7" w:rsidP="004C0250">
            <w:pPr>
              <w:spacing w:before="0"/>
              <w:rPr>
                <w:rFonts w:eastAsia="Times New Roman"/>
                <w:sz w:val="20"/>
                <w:szCs w:val="20"/>
              </w:rPr>
            </w:pPr>
            <w:r w:rsidRPr="00A71760">
              <w:rPr>
                <w:sz w:val="20"/>
                <w:szCs w:val="20"/>
              </w:rPr>
              <w:t>S</w:t>
            </w:r>
            <w:r w:rsidR="00581FEC" w:rsidRPr="00A71760">
              <w:rPr>
                <w:sz w:val="20"/>
                <w:szCs w:val="20"/>
              </w:rPr>
              <w:t>upport</w:t>
            </w:r>
            <w:r w:rsidR="00AE4CF3" w:rsidRPr="00A71760">
              <w:rPr>
                <w:sz w:val="20"/>
                <w:szCs w:val="20"/>
              </w:rPr>
              <w:t>ed</w:t>
            </w:r>
            <w:r w:rsidR="00581FEC" w:rsidRPr="00A71760">
              <w:rPr>
                <w:sz w:val="20"/>
                <w:szCs w:val="20"/>
              </w:rPr>
              <w:t xml:space="preserve"> the National Emergency Operations Centre, including</w:t>
            </w:r>
            <w:r w:rsidR="00AE4CF3" w:rsidRPr="00A71760">
              <w:rPr>
                <w:sz w:val="20"/>
                <w:szCs w:val="20"/>
              </w:rPr>
              <w:t xml:space="preserve"> to</w:t>
            </w:r>
            <w:r w:rsidR="00581FEC" w:rsidRPr="00A71760">
              <w:rPr>
                <w:sz w:val="20"/>
                <w:szCs w:val="20"/>
              </w:rPr>
              <w:t xml:space="preserve"> updat</w:t>
            </w:r>
            <w:r w:rsidR="00AE4CF3" w:rsidRPr="00A71760">
              <w:rPr>
                <w:sz w:val="20"/>
                <w:szCs w:val="20"/>
              </w:rPr>
              <w:t>e its</w:t>
            </w:r>
            <w:r w:rsidR="00581FEC" w:rsidRPr="00A71760">
              <w:rPr>
                <w:sz w:val="20"/>
                <w:szCs w:val="20"/>
              </w:rPr>
              <w:t xml:space="preserve"> standard operating procedures</w:t>
            </w:r>
            <w:r w:rsidR="00CD7F38" w:rsidRPr="00A71760">
              <w:rPr>
                <w:sz w:val="20"/>
                <w:szCs w:val="20"/>
              </w:rPr>
              <w:t xml:space="preserve">. </w:t>
            </w:r>
          </w:p>
        </w:tc>
      </w:tr>
    </w:tbl>
    <w:p w14:paraId="3F2619AB" w14:textId="64D997BA" w:rsidR="00AE2B7B" w:rsidRPr="00AE2B7B" w:rsidRDefault="00AE2B7B" w:rsidP="00B32F5A">
      <w:pPr>
        <w:pStyle w:val="Heading3"/>
      </w:pPr>
      <w:r w:rsidRPr="00AE2B7B">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681"/>
        <w:gridCol w:w="6855"/>
      </w:tblGrid>
      <w:tr w:rsidR="00CA5021" w14:paraId="6541DEB5" w14:textId="77777777" w:rsidTr="00F04E7A">
        <w:trPr>
          <w:tblHeader/>
        </w:trPr>
        <w:tc>
          <w:tcPr>
            <w:tcW w:w="3681" w:type="dxa"/>
            <w:shd w:val="clear" w:color="auto" w:fill="A2DCD1" w:themeFill="accent1" w:themeFillTint="99"/>
            <w:vAlign w:val="bottom"/>
          </w:tcPr>
          <w:p w14:paraId="7B68B645" w14:textId="39A83BEA" w:rsidR="00CA5021" w:rsidRPr="005736BB" w:rsidRDefault="00A96364" w:rsidP="004C0250">
            <w:pPr>
              <w:widowControl w:val="0"/>
              <w:spacing w:before="0"/>
              <w:jc w:val="center"/>
              <w:rPr>
                <w:sz w:val="20"/>
                <w:szCs w:val="20"/>
              </w:rPr>
            </w:pPr>
            <w:bookmarkStart w:id="10" w:name="_Hlk84326502"/>
            <w:r w:rsidRPr="005736BB">
              <w:rPr>
                <w:b/>
                <w:sz w:val="20"/>
                <w:szCs w:val="20"/>
              </w:rPr>
              <w:t xml:space="preserve">Key Results </w:t>
            </w:r>
            <w:r w:rsidR="00CA5021" w:rsidRPr="005736BB">
              <w:rPr>
                <w:b/>
                <w:sz w:val="20"/>
                <w:szCs w:val="20"/>
              </w:rPr>
              <w:t>Indicator</w:t>
            </w:r>
            <w:r w:rsidRPr="005736BB">
              <w:rPr>
                <w:b/>
                <w:sz w:val="20"/>
                <w:szCs w:val="20"/>
              </w:rPr>
              <w:t>s</w:t>
            </w:r>
          </w:p>
        </w:tc>
        <w:tc>
          <w:tcPr>
            <w:tcW w:w="6855" w:type="dxa"/>
            <w:shd w:val="clear" w:color="auto" w:fill="A2DCD1" w:themeFill="accent1" w:themeFillTint="99"/>
            <w:vAlign w:val="bottom"/>
          </w:tcPr>
          <w:p w14:paraId="7B256934" w14:textId="69DE6F90" w:rsidR="00CA5021" w:rsidRPr="005736BB" w:rsidRDefault="00AD19F7" w:rsidP="004C0250">
            <w:pPr>
              <w:widowControl w:val="0"/>
              <w:spacing w:before="0"/>
              <w:jc w:val="center"/>
              <w:rPr>
                <w:sz w:val="20"/>
                <w:szCs w:val="20"/>
              </w:rPr>
            </w:pPr>
            <w:r w:rsidRPr="005736BB">
              <w:rPr>
                <w:b/>
                <w:sz w:val="20"/>
                <w:szCs w:val="20"/>
              </w:rPr>
              <w:t>Progress/Result</w:t>
            </w:r>
          </w:p>
        </w:tc>
      </w:tr>
      <w:tr w:rsidR="00CA5021" w14:paraId="564E6F58" w14:textId="77777777" w:rsidTr="00F04E7A">
        <w:trPr>
          <w:tblHeader/>
        </w:trPr>
        <w:tc>
          <w:tcPr>
            <w:tcW w:w="3681" w:type="dxa"/>
          </w:tcPr>
          <w:p w14:paraId="234C1CE4" w14:textId="1FB19C85" w:rsidR="00CA5021" w:rsidRPr="00A71760" w:rsidRDefault="00C54E78" w:rsidP="004C0250">
            <w:pPr>
              <w:spacing w:before="0"/>
              <w:rPr>
                <w:sz w:val="20"/>
                <w:szCs w:val="20"/>
              </w:rPr>
            </w:pPr>
            <w:r w:rsidRPr="00A71760">
              <w:rPr>
                <w:sz w:val="20"/>
                <w:szCs w:val="20"/>
              </w:rPr>
              <w:t xml:space="preserve">Examples of Australian-funded technical advice in stimulus measures and longer-term economic recovery policy and planning, including for infrastructure </w:t>
            </w:r>
          </w:p>
        </w:tc>
        <w:tc>
          <w:tcPr>
            <w:tcW w:w="6855" w:type="dxa"/>
          </w:tcPr>
          <w:p w14:paraId="5A50515E" w14:textId="2C484659" w:rsidR="00696FBF" w:rsidRPr="00A71760" w:rsidRDefault="00AE4CF3" w:rsidP="004C0250">
            <w:pPr>
              <w:spacing w:before="0"/>
              <w:rPr>
                <w:sz w:val="20"/>
                <w:szCs w:val="20"/>
              </w:rPr>
            </w:pPr>
            <w:r w:rsidRPr="00A71760">
              <w:rPr>
                <w:sz w:val="20"/>
                <w:szCs w:val="20"/>
              </w:rPr>
              <w:t xml:space="preserve">Supported business surveys to assist </w:t>
            </w:r>
            <w:r w:rsidR="008A5C97" w:rsidRPr="00A71760">
              <w:rPr>
                <w:sz w:val="20"/>
                <w:szCs w:val="20"/>
              </w:rPr>
              <w:t xml:space="preserve">Fijian businesses, government agencies and development partners on </w:t>
            </w:r>
            <w:r w:rsidR="00337423" w:rsidRPr="00A71760">
              <w:rPr>
                <w:sz w:val="20"/>
                <w:szCs w:val="20"/>
              </w:rPr>
              <w:t>economic</w:t>
            </w:r>
            <w:r w:rsidR="008A5C97" w:rsidRPr="00A71760">
              <w:rPr>
                <w:sz w:val="20"/>
                <w:szCs w:val="20"/>
              </w:rPr>
              <w:t xml:space="preserve"> recovery </w:t>
            </w:r>
            <w:r w:rsidRPr="00A71760">
              <w:rPr>
                <w:sz w:val="20"/>
                <w:szCs w:val="20"/>
              </w:rPr>
              <w:t xml:space="preserve">and to </w:t>
            </w:r>
            <w:r w:rsidR="008A5C97" w:rsidRPr="00A71760">
              <w:rPr>
                <w:sz w:val="20"/>
                <w:szCs w:val="20"/>
              </w:rPr>
              <w:t xml:space="preserve">inform the </w:t>
            </w:r>
            <w:r w:rsidRPr="00A71760">
              <w:rPr>
                <w:sz w:val="20"/>
                <w:szCs w:val="20"/>
              </w:rPr>
              <w:t>Fijian Governments</w:t>
            </w:r>
            <w:r w:rsidR="008A5C97" w:rsidRPr="00A71760">
              <w:rPr>
                <w:sz w:val="20"/>
                <w:szCs w:val="20"/>
              </w:rPr>
              <w:t xml:space="preserve"> economic policy actions.</w:t>
            </w:r>
          </w:p>
        </w:tc>
      </w:tr>
      <w:tr w:rsidR="004E03EE" w14:paraId="460DECA7" w14:textId="77777777" w:rsidTr="00F04E7A">
        <w:trPr>
          <w:tblHeader/>
        </w:trPr>
        <w:tc>
          <w:tcPr>
            <w:tcW w:w="3681" w:type="dxa"/>
          </w:tcPr>
          <w:p w14:paraId="1F90CA72" w14:textId="00EDDEE4" w:rsidR="004E03EE" w:rsidRPr="00A71760" w:rsidRDefault="004E03EE" w:rsidP="004C0250">
            <w:pPr>
              <w:spacing w:before="0"/>
              <w:rPr>
                <w:sz w:val="20"/>
                <w:szCs w:val="20"/>
              </w:rPr>
            </w:pPr>
            <w:r w:rsidRPr="00A71760">
              <w:rPr>
                <w:sz w:val="20"/>
                <w:szCs w:val="20"/>
              </w:rPr>
              <w:t xml:space="preserve">Australian budget support, aligned with other development finance, supports the Government of Fiji to maintain macroeconomic stability and achieve </w:t>
            </w:r>
            <w:r w:rsidR="00FE4A70" w:rsidRPr="00A71760">
              <w:rPr>
                <w:sz w:val="20"/>
                <w:szCs w:val="20"/>
              </w:rPr>
              <w:t>public financial management</w:t>
            </w:r>
            <w:r w:rsidR="00DC03E7" w:rsidRPr="00A71760">
              <w:rPr>
                <w:sz w:val="20"/>
                <w:szCs w:val="20"/>
              </w:rPr>
              <w:t xml:space="preserve"> </w:t>
            </w:r>
            <w:r w:rsidRPr="00A71760">
              <w:rPr>
                <w:sz w:val="20"/>
                <w:szCs w:val="20"/>
              </w:rPr>
              <w:t>milestones</w:t>
            </w:r>
          </w:p>
        </w:tc>
        <w:tc>
          <w:tcPr>
            <w:tcW w:w="6855" w:type="dxa"/>
          </w:tcPr>
          <w:p w14:paraId="10B3353C" w14:textId="36F2E82C" w:rsidR="004E03EE" w:rsidRPr="00A71760" w:rsidRDefault="00AE4CF3" w:rsidP="004C0250">
            <w:pPr>
              <w:spacing w:before="0"/>
              <w:rPr>
                <w:sz w:val="20"/>
                <w:szCs w:val="20"/>
              </w:rPr>
            </w:pPr>
            <w:r w:rsidRPr="00A71760">
              <w:rPr>
                <w:sz w:val="20"/>
                <w:szCs w:val="20"/>
              </w:rPr>
              <w:t>By providing</w:t>
            </w:r>
            <w:r w:rsidR="004E03EE" w:rsidRPr="00A71760">
              <w:rPr>
                <w:sz w:val="20"/>
                <w:szCs w:val="20"/>
              </w:rPr>
              <w:t xml:space="preserve"> </w:t>
            </w:r>
            <w:r w:rsidR="0074409E" w:rsidRPr="00A71760">
              <w:rPr>
                <w:sz w:val="20"/>
                <w:szCs w:val="20"/>
              </w:rPr>
              <w:t xml:space="preserve">$83.5 million in </w:t>
            </w:r>
            <w:r w:rsidR="004E03EE" w:rsidRPr="00A71760">
              <w:rPr>
                <w:sz w:val="20"/>
                <w:szCs w:val="20"/>
              </w:rPr>
              <w:t>budget support</w:t>
            </w:r>
            <w:r w:rsidRPr="00A71760">
              <w:rPr>
                <w:sz w:val="20"/>
                <w:szCs w:val="20"/>
              </w:rPr>
              <w:t xml:space="preserve">, supported </w:t>
            </w:r>
            <w:r w:rsidR="004E03EE" w:rsidRPr="00A71760">
              <w:rPr>
                <w:sz w:val="20"/>
                <w:szCs w:val="20"/>
              </w:rPr>
              <w:t xml:space="preserve">Fiji to </w:t>
            </w:r>
            <w:r w:rsidRPr="00A71760">
              <w:rPr>
                <w:sz w:val="20"/>
                <w:szCs w:val="20"/>
              </w:rPr>
              <w:t>meet</w:t>
            </w:r>
            <w:r w:rsidR="004E03EE" w:rsidRPr="00A71760">
              <w:rPr>
                <w:sz w:val="20"/>
                <w:szCs w:val="20"/>
              </w:rPr>
              <w:t xml:space="preserve"> critical expenditures in a challenging fiscal environment.</w:t>
            </w:r>
            <w:r w:rsidR="008C33E0" w:rsidRPr="00A71760">
              <w:rPr>
                <w:sz w:val="20"/>
                <w:szCs w:val="20"/>
              </w:rPr>
              <w:t xml:space="preserve"> </w:t>
            </w:r>
            <w:r w:rsidR="004E03EE" w:rsidRPr="00A71760">
              <w:rPr>
                <w:sz w:val="20"/>
                <w:szCs w:val="20"/>
              </w:rPr>
              <w:t xml:space="preserve">Despite a major downturn in revenues, </w:t>
            </w:r>
            <w:r w:rsidRPr="00A71760">
              <w:rPr>
                <w:sz w:val="20"/>
                <w:szCs w:val="20"/>
              </w:rPr>
              <w:t xml:space="preserve">this assisted </w:t>
            </w:r>
            <w:r w:rsidR="004E03EE" w:rsidRPr="00A71760">
              <w:rPr>
                <w:sz w:val="20"/>
                <w:szCs w:val="20"/>
              </w:rPr>
              <w:t xml:space="preserve">Fiji to maintain expenditure in key sectors like health. </w:t>
            </w:r>
            <w:r w:rsidRPr="00A71760">
              <w:rPr>
                <w:sz w:val="20"/>
                <w:szCs w:val="20"/>
              </w:rPr>
              <w:t>B</w:t>
            </w:r>
            <w:r w:rsidR="004E03EE" w:rsidRPr="00A71760">
              <w:rPr>
                <w:sz w:val="20"/>
                <w:szCs w:val="20"/>
              </w:rPr>
              <w:t>udget support was linked to policy reforms that</w:t>
            </w:r>
            <w:r w:rsidR="00800682" w:rsidRPr="00A71760">
              <w:rPr>
                <w:sz w:val="20"/>
                <w:szCs w:val="20"/>
              </w:rPr>
              <w:t>:</w:t>
            </w:r>
            <w:r w:rsidR="004E03EE" w:rsidRPr="00A71760">
              <w:rPr>
                <w:sz w:val="20"/>
                <w:szCs w:val="20"/>
              </w:rPr>
              <w:t xml:space="preserve"> </w:t>
            </w:r>
            <w:r w:rsidR="00800682" w:rsidRPr="00A71760">
              <w:rPr>
                <w:sz w:val="20"/>
                <w:szCs w:val="20"/>
              </w:rPr>
              <w:t xml:space="preserve">encourage </w:t>
            </w:r>
            <w:r w:rsidR="004E03EE" w:rsidRPr="00A71760">
              <w:rPr>
                <w:sz w:val="20"/>
                <w:szCs w:val="20"/>
              </w:rPr>
              <w:t>private sector-led economic recovery</w:t>
            </w:r>
            <w:r w:rsidR="00800682" w:rsidRPr="00A71760">
              <w:rPr>
                <w:sz w:val="20"/>
                <w:szCs w:val="20"/>
              </w:rPr>
              <w:t xml:space="preserve">; </w:t>
            </w:r>
            <w:r w:rsidR="004E03EE" w:rsidRPr="00A71760">
              <w:rPr>
                <w:sz w:val="20"/>
                <w:szCs w:val="20"/>
              </w:rPr>
              <w:t xml:space="preserve">enhanced climate, </w:t>
            </w:r>
            <w:proofErr w:type="gramStart"/>
            <w:r w:rsidR="004E03EE" w:rsidRPr="00A71760">
              <w:rPr>
                <w:sz w:val="20"/>
                <w:szCs w:val="20"/>
              </w:rPr>
              <w:t>disaster</w:t>
            </w:r>
            <w:proofErr w:type="gramEnd"/>
            <w:r w:rsidR="004E03EE" w:rsidRPr="00A71760">
              <w:rPr>
                <w:sz w:val="20"/>
                <w:szCs w:val="20"/>
              </w:rPr>
              <w:t xml:space="preserve"> and social resilience</w:t>
            </w:r>
            <w:r w:rsidR="00800682" w:rsidRPr="00A71760">
              <w:rPr>
                <w:sz w:val="20"/>
                <w:szCs w:val="20"/>
              </w:rPr>
              <w:t xml:space="preserve">; </w:t>
            </w:r>
            <w:r w:rsidR="004E03EE" w:rsidRPr="00A71760">
              <w:rPr>
                <w:sz w:val="20"/>
                <w:szCs w:val="20"/>
              </w:rPr>
              <w:t>and continued strengthening of public financial management.</w:t>
            </w:r>
          </w:p>
        </w:tc>
      </w:tr>
      <w:bookmarkEnd w:id="10"/>
      <w:tr w:rsidR="00C1085B" w14:paraId="3914ED8C" w14:textId="77777777" w:rsidTr="006275D8">
        <w:trPr>
          <w:trHeight w:val="1452"/>
          <w:tblHeader/>
        </w:trPr>
        <w:tc>
          <w:tcPr>
            <w:tcW w:w="3681" w:type="dxa"/>
          </w:tcPr>
          <w:p w14:paraId="3075B955" w14:textId="6F52962A" w:rsidR="00C1085B" w:rsidRPr="00A71760" w:rsidRDefault="00C1085B" w:rsidP="004C0250">
            <w:pPr>
              <w:spacing w:before="0"/>
              <w:rPr>
                <w:sz w:val="20"/>
                <w:szCs w:val="20"/>
              </w:rPr>
            </w:pPr>
            <w:r w:rsidRPr="00A71760">
              <w:rPr>
                <w:sz w:val="20"/>
                <w:szCs w:val="20"/>
              </w:rPr>
              <w:t>Number of women entrepreneurs provided with financial and/or business development services</w:t>
            </w:r>
          </w:p>
        </w:tc>
        <w:tc>
          <w:tcPr>
            <w:tcW w:w="6855" w:type="dxa"/>
          </w:tcPr>
          <w:p w14:paraId="2F53B35E" w14:textId="755DD0C5" w:rsidR="00C1085B" w:rsidRPr="00A71760" w:rsidRDefault="00800682" w:rsidP="004C0250">
            <w:pPr>
              <w:spacing w:before="0"/>
              <w:rPr>
                <w:sz w:val="20"/>
                <w:szCs w:val="20"/>
              </w:rPr>
            </w:pPr>
            <w:r w:rsidRPr="00A71760">
              <w:rPr>
                <w:sz w:val="20"/>
                <w:szCs w:val="20"/>
              </w:rPr>
              <w:t>S</w:t>
            </w:r>
            <w:r w:rsidR="00C1085B" w:rsidRPr="00A71760">
              <w:rPr>
                <w:sz w:val="20"/>
                <w:szCs w:val="20"/>
              </w:rPr>
              <w:t>upported 266 women to access financial/business development services. This included:</w:t>
            </w:r>
            <w:r w:rsidR="00F7298D" w:rsidRPr="00A71760">
              <w:rPr>
                <w:sz w:val="20"/>
                <w:szCs w:val="20"/>
              </w:rPr>
              <w:t xml:space="preserve"> </w:t>
            </w:r>
            <w:r w:rsidR="00C1085B" w:rsidRPr="00A71760">
              <w:rPr>
                <w:sz w:val="20"/>
                <w:szCs w:val="20"/>
              </w:rPr>
              <w:t>prov</w:t>
            </w:r>
            <w:r w:rsidRPr="00A71760">
              <w:rPr>
                <w:sz w:val="20"/>
                <w:szCs w:val="20"/>
              </w:rPr>
              <w:t>iding</w:t>
            </w:r>
            <w:r w:rsidR="00C1085B" w:rsidRPr="00A71760">
              <w:rPr>
                <w:sz w:val="20"/>
                <w:szCs w:val="20"/>
              </w:rPr>
              <w:t xml:space="preserve"> financial and business development advice to 218 </w:t>
            </w:r>
            <w:r w:rsidR="00CD7F38" w:rsidRPr="00A71760">
              <w:rPr>
                <w:sz w:val="20"/>
                <w:szCs w:val="20"/>
              </w:rPr>
              <w:t>women</w:t>
            </w:r>
            <w:r w:rsidR="00C1085B" w:rsidRPr="00A71760">
              <w:rPr>
                <w:sz w:val="20"/>
                <w:szCs w:val="20"/>
              </w:rPr>
              <w:t xml:space="preserve"> entrepreneurs</w:t>
            </w:r>
            <w:r w:rsidR="00F7298D" w:rsidRPr="00A71760">
              <w:rPr>
                <w:sz w:val="20"/>
                <w:szCs w:val="20"/>
              </w:rPr>
              <w:t>;</w:t>
            </w:r>
            <w:r w:rsidR="00C1085B" w:rsidRPr="00A71760">
              <w:rPr>
                <w:sz w:val="20"/>
                <w:szCs w:val="20"/>
              </w:rPr>
              <w:t xml:space="preserve"> social media promotion </w:t>
            </w:r>
            <w:r w:rsidRPr="00A71760">
              <w:rPr>
                <w:sz w:val="20"/>
                <w:szCs w:val="20"/>
              </w:rPr>
              <w:t xml:space="preserve">in support </w:t>
            </w:r>
            <w:r w:rsidR="00C1085B" w:rsidRPr="00A71760">
              <w:rPr>
                <w:sz w:val="20"/>
                <w:szCs w:val="20"/>
              </w:rPr>
              <w:t xml:space="preserve">for </w:t>
            </w:r>
            <w:r w:rsidR="00FE4A70" w:rsidRPr="00A71760">
              <w:rPr>
                <w:sz w:val="20"/>
                <w:szCs w:val="20"/>
              </w:rPr>
              <w:br/>
            </w:r>
            <w:r w:rsidR="00C1085B" w:rsidRPr="00A71760">
              <w:rPr>
                <w:sz w:val="20"/>
                <w:szCs w:val="20"/>
              </w:rPr>
              <w:t>23</w:t>
            </w:r>
            <w:r w:rsidR="00596528" w:rsidRPr="00A71760">
              <w:rPr>
                <w:sz w:val="20"/>
                <w:szCs w:val="20"/>
              </w:rPr>
              <w:t> </w:t>
            </w:r>
            <w:r w:rsidR="00CD7F38" w:rsidRPr="00A71760">
              <w:rPr>
                <w:sz w:val="20"/>
                <w:szCs w:val="20"/>
              </w:rPr>
              <w:t>women</w:t>
            </w:r>
            <w:r w:rsidR="00C1085B" w:rsidRPr="00A71760">
              <w:rPr>
                <w:sz w:val="20"/>
                <w:szCs w:val="20"/>
              </w:rPr>
              <w:t>-run Micro Small and Medium Enterprises (MSMEs)</w:t>
            </w:r>
            <w:r w:rsidR="00F7298D" w:rsidRPr="00A71760">
              <w:rPr>
                <w:sz w:val="20"/>
                <w:szCs w:val="20"/>
              </w:rPr>
              <w:t>;</w:t>
            </w:r>
            <w:r w:rsidR="00C1085B" w:rsidRPr="00A71760">
              <w:rPr>
                <w:sz w:val="20"/>
                <w:szCs w:val="20"/>
              </w:rPr>
              <w:t xml:space="preserve"> and support </w:t>
            </w:r>
            <w:r w:rsidRPr="00A71760">
              <w:rPr>
                <w:sz w:val="20"/>
                <w:szCs w:val="20"/>
              </w:rPr>
              <w:t xml:space="preserve">for </w:t>
            </w:r>
            <w:r w:rsidR="00C1085B" w:rsidRPr="00A71760">
              <w:rPr>
                <w:sz w:val="20"/>
                <w:szCs w:val="20"/>
              </w:rPr>
              <w:t xml:space="preserve">access </w:t>
            </w:r>
            <w:r w:rsidRPr="00A71760">
              <w:rPr>
                <w:sz w:val="20"/>
                <w:szCs w:val="20"/>
              </w:rPr>
              <w:t xml:space="preserve">to </w:t>
            </w:r>
            <w:r w:rsidR="00C1085B" w:rsidRPr="00A71760">
              <w:rPr>
                <w:sz w:val="20"/>
                <w:szCs w:val="20"/>
              </w:rPr>
              <w:t xml:space="preserve">new sales channels for 13 </w:t>
            </w:r>
            <w:r w:rsidR="00CD7F38" w:rsidRPr="00A71760">
              <w:rPr>
                <w:sz w:val="20"/>
                <w:szCs w:val="20"/>
              </w:rPr>
              <w:t>women</w:t>
            </w:r>
            <w:r w:rsidR="00C1085B" w:rsidRPr="00A71760">
              <w:rPr>
                <w:sz w:val="20"/>
                <w:szCs w:val="20"/>
              </w:rPr>
              <w:t>-led MSMEs.</w:t>
            </w:r>
          </w:p>
        </w:tc>
      </w:tr>
      <w:tr w:rsidR="004E03EE" w14:paraId="1BDB13E4" w14:textId="77777777" w:rsidTr="006275D8">
        <w:trPr>
          <w:trHeight w:val="1958"/>
          <w:tblHeader/>
        </w:trPr>
        <w:tc>
          <w:tcPr>
            <w:tcW w:w="3681" w:type="dxa"/>
          </w:tcPr>
          <w:p w14:paraId="08D8DE74" w14:textId="5C33D423" w:rsidR="004E03EE" w:rsidRPr="00A71760" w:rsidRDefault="004E03EE" w:rsidP="004C0250">
            <w:pPr>
              <w:spacing w:before="0"/>
              <w:rPr>
                <w:sz w:val="20"/>
                <w:szCs w:val="20"/>
              </w:rPr>
            </w:pPr>
            <w:r w:rsidRPr="00A71760">
              <w:rPr>
                <w:sz w:val="20"/>
                <w:szCs w:val="20"/>
              </w:rPr>
              <w:t>Examples of partnering, with private sector and others, to ensure supply lines are open</w:t>
            </w:r>
          </w:p>
        </w:tc>
        <w:tc>
          <w:tcPr>
            <w:tcW w:w="6855" w:type="dxa"/>
          </w:tcPr>
          <w:p w14:paraId="6D49ECA2" w14:textId="1FC1ADD6" w:rsidR="00800682" w:rsidRPr="00A71760" w:rsidRDefault="00800682" w:rsidP="004C0250">
            <w:pPr>
              <w:spacing w:before="0"/>
              <w:rPr>
                <w:sz w:val="20"/>
                <w:szCs w:val="20"/>
              </w:rPr>
            </w:pPr>
            <w:r w:rsidRPr="00A71760">
              <w:rPr>
                <w:sz w:val="20"/>
                <w:szCs w:val="20"/>
              </w:rPr>
              <w:t xml:space="preserve">Under </w:t>
            </w:r>
            <w:r w:rsidR="004E03EE" w:rsidRPr="00A71760">
              <w:rPr>
                <w:sz w:val="20"/>
                <w:szCs w:val="20"/>
              </w:rPr>
              <w:t>a pharmaceutical and medical consumables supply chain project</w:t>
            </w:r>
            <w:r w:rsidRPr="00A71760">
              <w:rPr>
                <w:sz w:val="20"/>
                <w:szCs w:val="20"/>
              </w:rPr>
              <w:t>, key result</w:t>
            </w:r>
            <w:r w:rsidR="00DD74EA" w:rsidRPr="00A71760">
              <w:rPr>
                <w:sz w:val="20"/>
                <w:szCs w:val="20"/>
              </w:rPr>
              <w:t>s</w:t>
            </w:r>
            <w:r w:rsidRPr="00A71760">
              <w:rPr>
                <w:sz w:val="20"/>
                <w:szCs w:val="20"/>
              </w:rPr>
              <w:t xml:space="preserve"> included:</w:t>
            </w:r>
          </w:p>
          <w:p w14:paraId="4CC05B1B" w14:textId="72E523AB" w:rsidR="00800682" w:rsidRPr="00A71760" w:rsidRDefault="004703F9" w:rsidP="004703F9">
            <w:pPr>
              <w:pStyle w:val="ListParagraph"/>
              <w:numPr>
                <w:ilvl w:val="0"/>
                <w:numId w:val="26"/>
              </w:numPr>
              <w:spacing w:before="0"/>
              <w:ind w:left="371" w:hanging="283"/>
              <w:rPr>
                <w:sz w:val="20"/>
                <w:szCs w:val="20"/>
              </w:rPr>
            </w:pPr>
            <w:r w:rsidRPr="00A71760">
              <w:rPr>
                <w:sz w:val="20"/>
                <w:szCs w:val="20"/>
              </w:rPr>
              <w:t xml:space="preserve">a </w:t>
            </w:r>
            <w:r w:rsidR="004E03EE" w:rsidRPr="00A71760">
              <w:rPr>
                <w:sz w:val="20"/>
                <w:szCs w:val="20"/>
              </w:rPr>
              <w:t xml:space="preserve">new drug logistics management information system </w:t>
            </w:r>
            <w:r w:rsidR="00800682" w:rsidRPr="00A71760">
              <w:rPr>
                <w:sz w:val="20"/>
                <w:szCs w:val="20"/>
              </w:rPr>
              <w:t>to</w:t>
            </w:r>
            <w:r w:rsidR="004E03EE" w:rsidRPr="00A71760">
              <w:rPr>
                <w:sz w:val="20"/>
                <w:szCs w:val="20"/>
              </w:rPr>
              <w:t xml:space="preserve"> improve medicines availability at primary health facilities and reduce wastage of expired stock, resulting in improved patient care, </w:t>
            </w:r>
            <w:r w:rsidR="00800682" w:rsidRPr="00A71760">
              <w:rPr>
                <w:sz w:val="20"/>
                <w:szCs w:val="20"/>
              </w:rPr>
              <w:br/>
            </w:r>
            <w:r w:rsidR="004E03EE" w:rsidRPr="00A71760">
              <w:rPr>
                <w:sz w:val="20"/>
                <w:szCs w:val="20"/>
              </w:rPr>
              <w:t>cost-savings and environmental benefits</w:t>
            </w:r>
            <w:r w:rsidR="00F7298D" w:rsidRPr="00A71760">
              <w:rPr>
                <w:sz w:val="20"/>
                <w:szCs w:val="20"/>
              </w:rPr>
              <w:t xml:space="preserve">; and </w:t>
            </w:r>
          </w:p>
          <w:p w14:paraId="02DAB840" w14:textId="23213A25" w:rsidR="004E03EE" w:rsidRPr="00A71760" w:rsidRDefault="00F7298D" w:rsidP="004703F9">
            <w:pPr>
              <w:pStyle w:val="ListParagraph"/>
              <w:numPr>
                <w:ilvl w:val="0"/>
                <w:numId w:val="26"/>
              </w:numPr>
              <w:spacing w:before="0"/>
              <w:ind w:left="371" w:hanging="283"/>
              <w:rPr>
                <w:sz w:val="20"/>
                <w:szCs w:val="20"/>
              </w:rPr>
            </w:pPr>
            <w:r w:rsidRPr="00A71760">
              <w:rPr>
                <w:sz w:val="20"/>
                <w:szCs w:val="20"/>
              </w:rPr>
              <w:t>a</w:t>
            </w:r>
            <w:r w:rsidR="004E03EE" w:rsidRPr="00A71760">
              <w:rPr>
                <w:sz w:val="20"/>
                <w:szCs w:val="20"/>
              </w:rPr>
              <w:t xml:space="preserve"> ‘Tupaia’ survey of 227</w:t>
            </w:r>
            <w:r w:rsidR="00596528" w:rsidRPr="00A71760">
              <w:rPr>
                <w:sz w:val="20"/>
                <w:szCs w:val="20"/>
              </w:rPr>
              <w:t> </w:t>
            </w:r>
            <w:r w:rsidR="004E03EE" w:rsidRPr="00A71760">
              <w:rPr>
                <w:sz w:val="20"/>
                <w:szCs w:val="20"/>
              </w:rPr>
              <w:t xml:space="preserve">health facilities produced previously unknown baseline medicines availability data at national, </w:t>
            </w:r>
            <w:proofErr w:type="gramStart"/>
            <w:r w:rsidR="004E03EE" w:rsidRPr="00A71760">
              <w:rPr>
                <w:sz w:val="20"/>
                <w:szCs w:val="20"/>
              </w:rPr>
              <w:t>divisional</w:t>
            </w:r>
            <w:proofErr w:type="gramEnd"/>
            <w:r w:rsidR="004E03EE" w:rsidRPr="00A71760">
              <w:rPr>
                <w:sz w:val="20"/>
                <w:szCs w:val="20"/>
              </w:rPr>
              <w:t xml:space="preserve"> and individual primary healthcare facility levels.</w:t>
            </w:r>
          </w:p>
        </w:tc>
      </w:tr>
      <w:tr w:rsidR="004E03EE" w14:paraId="5E9421F9" w14:textId="77777777" w:rsidTr="00F04E7A">
        <w:trPr>
          <w:tblHeader/>
        </w:trPr>
        <w:tc>
          <w:tcPr>
            <w:tcW w:w="3681" w:type="dxa"/>
          </w:tcPr>
          <w:p w14:paraId="6250A961" w14:textId="1D8365A7" w:rsidR="004E03EE" w:rsidRPr="00A71760" w:rsidRDefault="004E03EE" w:rsidP="004C0250">
            <w:pPr>
              <w:spacing w:before="0"/>
              <w:rPr>
                <w:sz w:val="20"/>
                <w:szCs w:val="20"/>
              </w:rPr>
            </w:pPr>
            <w:r w:rsidRPr="00A71760">
              <w:rPr>
                <w:sz w:val="20"/>
                <w:szCs w:val="20"/>
              </w:rPr>
              <w:t xml:space="preserve">Number of Awards in each intake focused on skills supporting health systems and services, economic </w:t>
            </w:r>
            <w:proofErr w:type="gramStart"/>
            <w:r w:rsidRPr="00A71760">
              <w:rPr>
                <w:sz w:val="20"/>
                <w:szCs w:val="20"/>
              </w:rPr>
              <w:t>management</w:t>
            </w:r>
            <w:proofErr w:type="gramEnd"/>
            <w:r w:rsidRPr="00A71760">
              <w:rPr>
                <w:sz w:val="20"/>
                <w:szCs w:val="20"/>
              </w:rPr>
              <w:t xml:space="preserve"> and public sector reform</w:t>
            </w:r>
          </w:p>
        </w:tc>
        <w:tc>
          <w:tcPr>
            <w:tcW w:w="6855" w:type="dxa"/>
          </w:tcPr>
          <w:p w14:paraId="3DFA9F66" w14:textId="6436BA04" w:rsidR="004E03EE" w:rsidRPr="00A71760" w:rsidRDefault="00B5283B" w:rsidP="004C0250">
            <w:pPr>
              <w:spacing w:before="0"/>
              <w:rPr>
                <w:sz w:val="20"/>
                <w:szCs w:val="20"/>
              </w:rPr>
            </w:pPr>
            <w:bookmarkStart w:id="11" w:name="_Hlk81296335"/>
            <w:r w:rsidRPr="00A71760">
              <w:rPr>
                <w:sz w:val="20"/>
                <w:szCs w:val="20"/>
              </w:rPr>
              <w:t xml:space="preserve">Thirteen </w:t>
            </w:r>
            <w:r w:rsidR="004E03EE" w:rsidRPr="00A71760">
              <w:rPr>
                <w:sz w:val="20"/>
                <w:szCs w:val="20"/>
              </w:rPr>
              <w:t xml:space="preserve">Australia Awards (10 women) </w:t>
            </w:r>
            <w:r w:rsidR="00F15DEB" w:rsidRPr="00A71760">
              <w:rPr>
                <w:sz w:val="20"/>
                <w:szCs w:val="20"/>
              </w:rPr>
              <w:t xml:space="preserve">offered </w:t>
            </w:r>
            <w:r w:rsidR="00ED02F9" w:rsidRPr="00A71760">
              <w:rPr>
                <w:sz w:val="20"/>
                <w:szCs w:val="20"/>
              </w:rPr>
              <w:t>for</w:t>
            </w:r>
            <w:r w:rsidR="004E03EE" w:rsidRPr="00A71760">
              <w:rPr>
                <w:sz w:val="20"/>
                <w:szCs w:val="20"/>
              </w:rPr>
              <w:t xml:space="preserve"> the 2021 intake in </w:t>
            </w:r>
            <w:r w:rsidR="00F15DEB" w:rsidRPr="00A71760">
              <w:rPr>
                <w:sz w:val="20"/>
                <w:szCs w:val="20"/>
              </w:rPr>
              <w:t xml:space="preserve">the </w:t>
            </w:r>
            <w:r w:rsidR="004E03EE" w:rsidRPr="00A71760">
              <w:rPr>
                <w:sz w:val="20"/>
                <w:szCs w:val="20"/>
              </w:rPr>
              <w:t>priority areas of</w:t>
            </w:r>
            <w:r w:rsidR="00800682" w:rsidRPr="00A71760">
              <w:rPr>
                <w:sz w:val="20"/>
                <w:szCs w:val="20"/>
              </w:rPr>
              <w:t xml:space="preserve">: </w:t>
            </w:r>
            <w:r w:rsidR="004E03EE" w:rsidRPr="00A71760">
              <w:rPr>
                <w:sz w:val="20"/>
                <w:szCs w:val="20"/>
              </w:rPr>
              <w:t xml:space="preserve">health system strengthening (9), economic management (1) and public sector reform (3). </w:t>
            </w:r>
          </w:p>
          <w:bookmarkEnd w:id="11"/>
          <w:p w14:paraId="4B7EE7EC" w14:textId="77777777" w:rsidR="004E03EE" w:rsidRPr="00A71760" w:rsidRDefault="004E03EE" w:rsidP="004C0250">
            <w:pPr>
              <w:spacing w:before="0"/>
              <w:ind w:left="269"/>
              <w:rPr>
                <w:sz w:val="20"/>
                <w:szCs w:val="20"/>
              </w:rPr>
            </w:pPr>
          </w:p>
        </w:tc>
      </w:tr>
    </w:tbl>
    <w:p w14:paraId="2F13E6BA" w14:textId="77777777" w:rsidR="008A6BB7" w:rsidRDefault="008A6BB7" w:rsidP="008C33E0">
      <w:pPr>
        <w:pStyle w:val="Heading2"/>
        <w:sectPr w:rsidR="008A6BB7" w:rsidSect="0054163A">
          <w:headerReference w:type="default" r:id="rId9"/>
          <w:footerReference w:type="default" r:id="rId10"/>
          <w:headerReference w:type="first" r:id="rId11"/>
          <w:footerReference w:type="first" r:id="rId12"/>
          <w:pgSz w:w="11906" w:h="16838" w:code="9"/>
          <w:pgMar w:top="1559" w:right="680" w:bottom="1418" w:left="680" w:header="567" w:footer="340" w:gutter="0"/>
          <w:cols w:space="397"/>
          <w:titlePg/>
          <w:docGrid w:linePitch="360"/>
        </w:sectPr>
      </w:pPr>
    </w:p>
    <w:p w14:paraId="06ABEE3D" w14:textId="22ABB8E8" w:rsidR="00D1231A" w:rsidRDefault="00121DDD" w:rsidP="008C33E0">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7A4493" w:rsidRPr="00AF18F4" w14:paraId="69FD1E5F"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5736BB" w:rsidRDefault="00AC551D" w:rsidP="00867F4D">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hideMark/>
          </w:tcPr>
          <w:p w14:paraId="36D4C187" w14:textId="58055531" w:rsidR="00AC551D" w:rsidRPr="005736BB"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hideMark/>
          </w:tcPr>
          <w:p w14:paraId="1B1121B3" w14:textId="77777777" w:rsidR="00AC551D" w:rsidRPr="005736BB"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hideMark/>
          </w:tcPr>
          <w:p w14:paraId="7B4698B4" w14:textId="77777777" w:rsidR="00AC551D" w:rsidRPr="005736BB"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hideMark/>
          </w:tcPr>
          <w:p w14:paraId="5E5D38EF" w14:textId="4CC6B5C6" w:rsidR="00AC551D" w:rsidRPr="005736BB"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AC551D" w:rsidRPr="00AF18F4" w14:paraId="1867487D"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E831155" w14:textId="7C669029" w:rsidR="00AC551D" w:rsidRPr="00CA5021" w:rsidRDefault="00C54E78" w:rsidP="00867F4D">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Fiji Program Support Facility</w:t>
            </w:r>
          </w:p>
        </w:tc>
        <w:tc>
          <w:tcPr>
            <w:tcW w:w="1134" w:type="dxa"/>
            <w:tcBorders>
              <w:top w:val="none" w:sz="0" w:space="0" w:color="auto"/>
              <w:bottom w:val="none" w:sz="0" w:space="0" w:color="auto"/>
            </w:tcBorders>
            <w:shd w:val="clear" w:color="auto" w:fill="F2F2F2" w:themeFill="background1" w:themeFillShade="F2"/>
            <w:hideMark/>
          </w:tcPr>
          <w:p w14:paraId="753CB627" w14:textId="77777777" w:rsidR="00AC551D" w:rsidRPr="00CA5021"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F2F2F2" w:themeFill="background1" w:themeFillShade="F2"/>
            <w:noWrap/>
          </w:tcPr>
          <w:p w14:paraId="3524F2ED" w14:textId="3A37B29E"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tcPr>
          <w:p w14:paraId="65883235" w14:textId="05CC31B1"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276" w:type="dxa"/>
            <w:tcBorders>
              <w:top w:val="none" w:sz="0" w:space="0" w:color="auto"/>
              <w:bottom w:val="none" w:sz="0" w:space="0" w:color="auto"/>
            </w:tcBorders>
            <w:shd w:val="clear" w:color="auto" w:fill="F2F2F2" w:themeFill="background1" w:themeFillShade="F2"/>
            <w:noWrap/>
          </w:tcPr>
          <w:p w14:paraId="34FAF95D" w14:textId="059B020F"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3</w:t>
            </w:r>
          </w:p>
        </w:tc>
      </w:tr>
      <w:tr w:rsidR="00AC551D" w:rsidRPr="00AF18F4" w14:paraId="3F9940CA"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0A3CC814" w:rsidR="00AC551D" w:rsidRPr="00CA5021" w:rsidRDefault="007178C4" w:rsidP="00867F4D">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 xml:space="preserve">uration: </w:t>
            </w:r>
            <w:r w:rsidR="00C54E78">
              <w:rPr>
                <w:rFonts w:asciiTheme="minorHAnsi" w:eastAsia="Times New Roman" w:hAnsiTheme="minorHAnsi" w:cstheme="minorHAnsi"/>
                <w:color w:val="404040"/>
                <w:sz w:val="20"/>
                <w:szCs w:val="20"/>
                <w:lang w:val="en-AU" w:eastAsia="en-AU"/>
              </w:rPr>
              <w:t>2016-22</w:t>
            </w:r>
            <w:r w:rsidR="00AC551D" w:rsidRPr="00CA5021">
              <w:rPr>
                <w:rFonts w:asciiTheme="minorHAnsi" w:eastAsia="Times New Roman" w:hAnsiTheme="minorHAnsi" w:cstheme="minorHAnsi"/>
                <w:color w:val="404040"/>
                <w:sz w:val="20"/>
                <w:szCs w:val="20"/>
                <w:lang w:val="en-AU" w:eastAsia="en-AU"/>
              </w:rPr>
              <w:t>; Budget: $</w:t>
            </w:r>
            <w:r w:rsidR="00C54E78">
              <w:rPr>
                <w:rFonts w:asciiTheme="minorHAnsi" w:eastAsia="Times New Roman" w:hAnsiTheme="minorHAnsi" w:cstheme="minorHAnsi"/>
                <w:color w:val="404040"/>
                <w:sz w:val="20"/>
                <w:szCs w:val="20"/>
                <w:lang w:val="en-AU" w:eastAsia="en-AU"/>
              </w:rPr>
              <w:t>84.4m</w:t>
            </w:r>
            <w:r w:rsidR="00AC551D" w:rsidRPr="00CA5021">
              <w:rPr>
                <w:rFonts w:asciiTheme="minorHAnsi" w:eastAsia="Times New Roman" w:hAnsiTheme="minorHAnsi" w:cstheme="minorHAnsi"/>
                <w:color w:val="404040"/>
                <w:sz w:val="20"/>
                <w:szCs w:val="20"/>
                <w:lang w:val="en-AU" w:eastAsia="en-AU"/>
              </w:rPr>
              <w:t xml:space="preserve"> </w:t>
            </w:r>
          </w:p>
        </w:tc>
        <w:tc>
          <w:tcPr>
            <w:tcW w:w="1134" w:type="dxa"/>
            <w:tcBorders>
              <w:top w:val="none" w:sz="0" w:space="0" w:color="auto"/>
              <w:bottom w:val="none" w:sz="0" w:space="0" w:color="auto"/>
            </w:tcBorders>
            <w:shd w:val="clear" w:color="auto" w:fill="F2F2F2" w:themeFill="background1" w:themeFillShade="F2"/>
            <w:hideMark/>
          </w:tcPr>
          <w:p w14:paraId="42A30353" w14:textId="77777777" w:rsidR="00AC551D" w:rsidRPr="00CA5021" w:rsidRDefault="00AC551D"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F2F2F2" w:themeFill="background1" w:themeFillShade="F2"/>
            <w:noWrap/>
          </w:tcPr>
          <w:p w14:paraId="02C361E5" w14:textId="6DB2310E"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tcPr>
          <w:p w14:paraId="1C8F4065" w14:textId="378FF62A"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c>
          <w:tcPr>
            <w:tcW w:w="1276" w:type="dxa"/>
            <w:tcBorders>
              <w:top w:val="none" w:sz="0" w:space="0" w:color="auto"/>
              <w:bottom w:val="none" w:sz="0" w:space="0" w:color="auto"/>
            </w:tcBorders>
            <w:shd w:val="clear" w:color="auto" w:fill="F2F2F2" w:themeFill="background1" w:themeFillShade="F2"/>
            <w:noWrap/>
          </w:tcPr>
          <w:p w14:paraId="3EA630FF" w14:textId="28E37CCE" w:rsidR="00AC551D" w:rsidRPr="005079EF" w:rsidRDefault="005079EF"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3</w:t>
            </w:r>
          </w:p>
        </w:tc>
      </w:tr>
      <w:tr w:rsidR="00AB34F2" w:rsidRPr="00AF18F4" w14:paraId="433D367E"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noWrap/>
            <w:vAlign w:val="bottom"/>
            <w:hideMark/>
          </w:tcPr>
          <w:p w14:paraId="7703CD34" w14:textId="4F7544DF" w:rsidR="00AB34F2" w:rsidRPr="00CA5021" w:rsidRDefault="00AB34F2" w:rsidP="00867F4D">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Pacific Women Fiji Country Plan</w:t>
            </w:r>
          </w:p>
        </w:tc>
        <w:tc>
          <w:tcPr>
            <w:tcW w:w="1134" w:type="dxa"/>
            <w:tcBorders>
              <w:top w:val="none" w:sz="0" w:space="0" w:color="auto"/>
              <w:bottom w:val="none" w:sz="0" w:space="0" w:color="auto"/>
            </w:tcBorders>
            <w:shd w:val="clear" w:color="auto" w:fill="E0F3EF" w:themeFill="accent1" w:themeFillTint="33"/>
            <w:hideMark/>
          </w:tcPr>
          <w:p w14:paraId="67E44092" w14:textId="77777777" w:rsidR="00AB34F2" w:rsidRPr="00CA5021"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2021</w:t>
            </w:r>
          </w:p>
        </w:tc>
        <w:tc>
          <w:tcPr>
            <w:tcW w:w="1276" w:type="dxa"/>
            <w:tcBorders>
              <w:top w:val="none" w:sz="0" w:space="0" w:color="auto"/>
              <w:bottom w:val="none" w:sz="0" w:space="0" w:color="auto"/>
            </w:tcBorders>
            <w:shd w:val="clear" w:color="auto" w:fill="E0F3EF" w:themeFill="accent1" w:themeFillTint="33"/>
            <w:noWrap/>
          </w:tcPr>
          <w:p w14:paraId="3A8E0478" w14:textId="33147CA8"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c>
          <w:tcPr>
            <w:tcW w:w="1134" w:type="dxa"/>
            <w:tcBorders>
              <w:top w:val="none" w:sz="0" w:space="0" w:color="auto"/>
              <w:bottom w:val="none" w:sz="0" w:space="0" w:color="auto"/>
            </w:tcBorders>
            <w:shd w:val="clear" w:color="auto" w:fill="E0F3EF" w:themeFill="accent1" w:themeFillTint="33"/>
            <w:noWrap/>
          </w:tcPr>
          <w:p w14:paraId="754E4ADA" w14:textId="5CBD7D52"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276" w:type="dxa"/>
            <w:tcBorders>
              <w:top w:val="none" w:sz="0" w:space="0" w:color="auto"/>
              <w:bottom w:val="none" w:sz="0" w:space="0" w:color="auto"/>
            </w:tcBorders>
            <w:shd w:val="clear" w:color="auto" w:fill="E0F3EF" w:themeFill="accent1" w:themeFillTint="33"/>
            <w:noWrap/>
          </w:tcPr>
          <w:p w14:paraId="579A968A" w14:textId="6C7D9C36"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r>
      <w:tr w:rsidR="00AB34F2" w:rsidRPr="00AF18F4" w14:paraId="2F1DE13E"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1E605139" w14:textId="17E35516" w:rsidR="00AB34F2" w:rsidRPr="00CA5021" w:rsidRDefault="00AB34F2" w:rsidP="00867F4D">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Pr>
                <w:rFonts w:asciiTheme="minorHAnsi" w:eastAsia="Times New Roman" w:hAnsiTheme="minorHAnsi" w:cstheme="minorHAnsi"/>
                <w:color w:val="404040"/>
                <w:sz w:val="20"/>
                <w:szCs w:val="20"/>
                <w:lang w:val="en-AU" w:eastAsia="en-AU"/>
              </w:rPr>
              <w:t>2014-22</w:t>
            </w:r>
            <w:r w:rsidRPr="00CA5021">
              <w:rPr>
                <w:rFonts w:asciiTheme="minorHAnsi" w:eastAsia="Times New Roman" w:hAnsiTheme="minorHAnsi" w:cstheme="minorHAnsi"/>
                <w:color w:val="404040"/>
                <w:sz w:val="20"/>
                <w:szCs w:val="20"/>
                <w:lang w:val="en-AU" w:eastAsia="en-AU"/>
              </w:rPr>
              <w:t>; Budget: $</w:t>
            </w:r>
            <w:r>
              <w:rPr>
                <w:rFonts w:asciiTheme="minorHAnsi" w:eastAsia="Times New Roman" w:hAnsiTheme="minorHAnsi" w:cstheme="minorHAnsi"/>
                <w:color w:val="404040"/>
                <w:sz w:val="20"/>
                <w:szCs w:val="20"/>
                <w:lang w:val="en-AU" w:eastAsia="en-AU"/>
              </w:rPr>
              <w:t>25.0</w:t>
            </w:r>
            <w:r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E0F3EF" w:themeFill="accent1" w:themeFillTint="33"/>
            <w:hideMark/>
          </w:tcPr>
          <w:p w14:paraId="7018BC30" w14:textId="77777777" w:rsidR="00AB34F2" w:rsidRPr="00CA5021"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2020</w:t>
            </w:r>
          </w:p>
        </w:tc>
        <w:tc>
          <w:tcPr>
            <w:tcW w:w="1276" w:type="dxa"/>
            <w:tcBorders>
              <w:top w:val="none" w:sz="0" w:space="0" w:color="auto"/>
              <w:bottom w:val="none" w:sz="0" w:space="0" w:color="auto"/>
            </w:tcBorders>
            <w:shd w:val="clear" w:color="auto" w:fill="E0F3EF" w:themeFill="accent1" w:themeFillTint="33"/>
            <w:noWrap/>
          </w:tcPr>
          <w:p w14:paraId="7FF87E63" w14:textId="29DEB343"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c>
          <w:tcPr>
            <w:tcW w:w="1134" w:type="dxa"/>
            <w:tcBorders>
              <w:top w:val="none" w:sz="0" w:space="0" w:color="auto"/>
              <w:bottom w:val="none" w:sz="0" w:space="0" w:color="auto"/>
            </w:tcBorders>
            <w:shd w:val="clear" w:color="auto" w:fill="E0F3EF" w:themeFill="accent1" w:themeFillTint="33"/>
            <w:noWrap/>
          </w:tcPr>
          <w:p w14:paraId="7B158D07" w14:textId="5F8FDDB1"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276" w:type="dxa"/>
            <w:tcBorders>
              <w:top w:val="none" w:sz="0" w:space="0" w:color="auto"/>
              <w:bottom w:val="none" w:sz="0" w:space="0" w:color="auto"/>
            </w:tcBorders>
            <w:shd w:val="clear" w:color="auto" w:fill="E0F3EF" w:themeFill="accent1" w:themeFillTint="33"/>
            <w:noWrap/>
          </w:tcPr>
          <w:p w14:paraId="04D0497F" w14:textId="2D38ACAA"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r>
      <w:tr w:rsidR="00AB34F2" w:rsidRPr="00AF18F4" w14:paraId="1FF9A082"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noWrap/>
            <w:vAlign w:val="bottom"/>
            <w:hideMark/>
          </w:tcPr>
          <w:p w14:paraId="2856E45D" w14:textId="120DF70E" w:rsidR="00AB34F2" w:rsidRPr="00CA5021" w:rsidRDefault="00AB34F2" w:rsidP="00867F4D">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Inclusive Economic Growth (Market Development Facility)</w:t>
            </w:r>
          </w:p>
        </w:tc>
        <w:tc>
          <w:tcPr>
            <w:tcW w:w="1134" w:type="dxa"/>
            <w:tcBorders>
              <w:top w:val="none" w:sz="0" w:space="0" w:color="auto"/>
              <w:bottom w:val="none" w:sz="0" w:space="0" w:color="auto"/>
            </w:tcBorders>
            <w:shd w:val="clear" w:color="auto" w:fill="F2F2F2" w:themeFill="background1" w:themeFillShade="F2"/>
            <w:hideMark/>
          </w:tcPr>
          <w:p w14:paraId="28837949" w14:textId="77777777" w:rsidR="00AB34F2" w:rsidRPr="00CA5021"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2021</w:t>
            </w:r>
          </w:p>
        </w:tc>
        <w:tc>
          <w:tcPr>
            <w:tcW w:w="1276" w:type="dxa"/>
            <w:tcBorders>
              <w:top w:val="none" w:sz="0" w:space="0" w:color="auto"/>
              <w:bottom w:val="none" w:sz="0" w:space="0" w:color="auto"/>
            </w:tcBorders>
            <w:shd w:val="clear" w:color="auto" w:fill="F2F2F2" w:themeFill="background1" w:themeFillShade="F2"/>
            <w:noWrap/>
          </w:tcPr>
          <w:p w14:paraId="56D0B385" w14:textId="5B6C44FC"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tcPr>
          <w:p w14:paraId="1F83D288" w14:textId="639F5E0C"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c>
          <w:tcPr>
            <w:tcW w:w="1276" w:type="dxa"/>
            <w:tcBorders>
              <w:top w:val="none" w:sz="0" w:space="0" w:color="auto"/>
              <w:bottom w:val="none" w:sz="0" w:space="0" w:color="auto"/>
            </w:tcBorders>
            <w:shd w:val="clear" w:color="auto" w:fill="F2F2F2" w:themeFill="background1" w:themeFillShade="F2"/>
            <w:noWrap/>
          </w:tcPr>
          <w:p w14:paraId="1F305D63" w14:textId="73E7DEC7"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r>
      <w:tr w:rsidR="00AB34F2" w:rsidRPr="00AF18F4" w14:paraId="51634969"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68F61F5" w14:textId="5560FE50" w:rsidR="00AB34F2" w:rsidRPr="00CA5021" w:rsidRDefault="00AB34F2" w:rsidP="00867F4D">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Pr>
                <w:rFonts w:asciiTheme="minorHAnsi" w:eastAsia="Times New Roman" w:hAnsiTheme="minorHAnsi" w:cstheme="minorHAnsi"/>
                <w:color w:val="404040"/>
                <w:sz w:val="20"/>
                <w:szCs w:val="20"/>
                <w:lang w:val="en-AU" w:eastAsia="en-AU"/>
              </w:rPr>
              <w:t>2017-22</w:t>
            </w:r>
            <w:r w:rsidRPr="00CA5021">
              <w:rPr>
                <w:rFonts w:asciiTheme="minorHAnsi" w:eastAsia="Times New Roman" w:hAnsiTheme="minorHAnsi" w:cstheme="minorHAnsi"/>
                <w:color w:val="404040"/>
                <w:sz w:val="20"/>
                <w:szCs w:val="20"/>
                <w:lang w:val="en-AU" w:eastAsia="en-AU"/>
              </w:rPr>
              <w:t>; Budget: $</w:t>
            </w:r>
            <w:r>
              <w:rPr>
                <w:rFonts w:asciiTheme="minorHAnsi" w:eastAsia="Times New Roman" w:hAnsiTheme="minorHAnsi" w:cstheme="minorHAnsi"/>
                <w:color w:val="404040"/>
                <w:sz w:val="20"/>
                <w:szCs w:val="20"/>
                <w:lang w:val="en-AU" w:eastAsia="en-AU"/>
              </w:rPr>
              <w:t>17.5</w:t>
            </w:r>
            <w:r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05ADDFD4" w14:textId="77777777" w:rsidR="00AB34F2" w:rsidRPr="00CA5021"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2020</w:t>
            </w:r>
          </w:p>
        </w:tc>
        <w:tc>
          <w:tcPr>
            <w:tcW w:w="1276" w:type="dxa"/>
            <w:tcBorders>
              <w:top w:val="none" w:sz="0" w:space="0" w:color="auto"/>
              <w:bottom w:val="none" w:sz="0" w:space="0" w:color="auto"/>
            </w:tcBorders>
            <w:shd w:val="clear" w:color="auto" w:fill="F2F2F2" w:themeFill="background1" w:themeFillShade="F2"/>
            <w:noWrap/>
          </w:tcPr>
          <w:p w14:paraId="7A708A19" w14:textId="4FF360B0"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tcPr>
          <w:p w14:paraId="4A6EE93A" w14:textId="5746DEE0"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c>
          <w:tcPr>
            <w:tcW w:w="1276" w:type="dxa"/>
            <w:tcBorders>
              <w:top w:val="none" w:sz="0" w:space="0" w:color="auto"/>
              <w:bottom w:val="none" w:sz="0" w:space="0" w:color="auto"/>
            </w:tcBorders>
            <w:shd w:val="clear" w:color="auto" w:fill="F2F2F2" w:themeFill="background1" w:themeFillShade="F2"/>
            <w:noWrap/>
          </w:tcPr>
          <w:p w14:paraId="1BF6318F" w14:textId="54E11EED"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5</w:t>
            </w:r>
          </w:p>
        </w:tc>
      </w:tr>
      <w:tr w:rsidR="00AB34F2" w:rsidRPr="00AF18F4" w14:paraId="65380C9E"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tcPr>
          <w:p w14:paraId="1E4B88F5" w14:textId="7DCB8280" w:rsidR="00AB34F2" w:rsidRPr="005079EF" w:rsidRDefault="00AB34F2" w:rsidP="00867F4D">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5079EF">
              <w:rPr>
                <w:rFonts w:asciiTheme="minorHAnsi" w:eastAsia="Times New Roman" w:hAnsiTheme="minorHAnsi" w:cstheme="minorHAnsi"/>
                <w:b/>
                <w:bCs/>
                <w:color w:val="404040"/>
                <w:sz w:val="20"/>
                <w:szCs w:val="20"/>
                <w:lang w:val="en-AU" w:eastAsia="en-AU"/>
              </w:rPr>
              <w:t>Supporting Private Sector Development in Fiji</w:t>
            </w:r>
          </w:p>
        </w:tc>
        <w:tc>
          <w:tcPr>
            <w:tcW w:w="1134" w:type="dxa"/>
            <w:shd w:val="clear" w:color="auto" w:fill="E0F3EF" w:themeFill="accent1" w:themeFillTint="33"/>
          </w:tcPr>
          <w:p w14:paraId="52D1E164" w14:textId="0D785B52"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sidRPr="005079EF">
              <w:rPr>
                <w:rFonts w:asciiTheme="minorHAnsi" w:eastAsia="Times New Roman" w:hAnsiTheme="minorHAnsi" w:cstheme="minorHAnsi"/>
                <w:color w:val="404040"/>
                <w:sz w:val="20"/>
                <w:szCs w:val="20"/>
                <w:lang w:val="en-AU" w:eastAsia="en-AU"/>
              </w:rPr>
              <w:t>2021</w:t>
            </w:r>
          </w:p>
        </w:tc>
        <w:tc>
          <w:tcPr>
            <w:tcW w:w="1276" w:type="dxa"/>
            <w:shd w:val="clear" w:color="auto" w:fill="E0F3EF" w:themeFill="accent1" w:themeFillTint="33"/>
            <w:noWrap/>
          </w:tcPr>
          <w:p w14:paraId="58C0909E" w14:textId="25D0F52F"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6E78EEB0" w14:textId="5C5AC205"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3069C85B" w14:textId="20D231A1"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4</w:t>
            </w:r>
          </w:p>
        </w:tc>
      </w:tr>
      <w:tr w:rsidR="00AB34F2" w:rsidRPr="00AF18F4" w14:paraId="0C05A49D" w14:textId="77777777" w:rsidTr="00867F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4E1157A0" w14:textId="6751D67E" w:rsidR="00AB34F2" w:rsidRPr="005079EF" w:rsidRDefault="00AB34F2" w:rsidP="00867F4D">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5079EF">
              <w:rPr>
                <w:rFonts w:asciiTheme="minorHAnsi" w:eastAsia="Times New Roman" w:hAnsiTheme="minorHAnsi" w:cstheme="minorHAnsi"/>
                <w:color w:val="404040"/>
                <w:sz w:val="20"/>
                <w:szCs w:val="20"/>
                <w:lang w:val="en-AU" w:eastAsia="en-AU"/>
              </w:rPr>
              <w:t>Investment duration: 2016-21; Budget: $1</w:t>
            </w:r>
            <w:r w:rsidR="00FA379E">
              <w:rPr>
                <w:rFonts w:asciiTheme="minorHAnsi" w:eastAsia="Times New Roman" w:hAnsiTheme="minorHAnsi" w:cstheme="minorHAnsi"/>
                <w:color w:val="404040"/>
                <w:sz w:val="20"/>
                <w:szCs w:val="20"/>
                <w:lang w:val="en-AU" w:eastAsia="en-AU"/>
              </w:rPr>
              <w:t>5</w:t>
            </w:r>
            <w:r w:rsidRPr="005079EF">
              <w:rPr>
                <w:rFonts w:asciiTheme="minorHAnsi" w:eastAsia="Times New Roman" w:hAnsiTheme="minorHAnsi" w:cstheme="minorHAnsi"/>
                <w:color w:val="404040"/>
                <w:sz w:val="20"/>
                <w:szCs w:val="20"/>
                <w:lang w:val="en-AU" w:eastAsia="en-AU"/>
              </w:rPr>
              <w:t>.</w:t>
            </w:r>
            <w:r w:rsidR="00FA379E">
              <w:rPr>
                <w:rFonts w:asciiTheme="minorHAnsi" w:eastAsia="Times New Roman" w:hAnsiTheme="minorHAnsi" w:cstheme="minorHAnsi"/>
                <w:color w:val="404040"/>
                <w:sz w:val="20"/>
                <w:szCs w:val="20"/>
                <w:lang w:val="en-AU" w:eastAsia="en-AU"/>
              </w:rPr>
              <w:t>1</w:t>
            </w:r>
            <w:r w:rsidRPr="005079EF">
              <w:rPr>
                <w:rFonts w:asciiTheme="minorHAnsi" w:eastAsia="Times New Roman" w:hAnsiTheme="minorHAnsi" w:cstheme="minorHAnsi"/>
                <w:color w:val="404040"/>
                <w:sz w:val="20"/>
                <w:szCs w:val="20"/>
                <w:lang w:val="en-AU" w:eastAsia="en-AU"/>
              </w:rPr>
              <w:t>m</w:t>
            </w:r>
          </w:p>
        </w:tc>
        <w:tc>
          <w:tcPr>
            <w:tcW w:w="1134" w:type="dxa"/>
            <w:shd w:val="clear" w:color="auto" w:fill="E0F3EF" w:themeFill="accent1" w:themeFillTint="33"/>
          </w:tcPr>
          <w:p w14:paraId="0A5B63E1" w14:textId="7E17AEF4"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val="en-AU" w:eastAsia="en-AU"/>
              </w:rPr>
            </w:pPr>
            <w:r w:rsidRPr="005079EF">
              <w:rPr>
                <w:rFonts w:asciiTheme="minorHAnsi" w:eastAsia="Times New Roman" w:hAnsiTheme="minorHAnsi" w:cstheme="minorHAnsi"/>
                <w:color w:val="404040"/>
                <w:sz w:val="20"/>
                <w:szCs w:val="20"/>
                <w:lang w:val="en-AU" w:eastAsia="en-AU"/>
              </w:rPr>
              <w:t>2020</w:t>
            </w:r>
          </w:p>
        </w:tc>
        <w:tc>
          <w:tcPr>
            <w:tcW w:w="1276" w:type="dxa"/>
            <w:shd w:val="clear" w:color="auto" w:fill="E0F3EF" w:themeFill="accent1" w:themeFillTint="33"/>
            <w:noWrap/>
          </w:tcPr>
          <w:p w14:paraId="6F135E8A" w14:textId="3AC6B1F9"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5</w:t>
            </w:r>
          </w:p>
        </w:tc>
        <w:tc>
          <w:tcPr>
            <w:tcW w:w="1134" w:type="dxa"/>
            <w:shd w:val="clear" w:color="auto" w:fill="E0F3EF" w:themeFill="accent1" w:themeFillTint="33"/>
            <w:noWrap/>
          </w:tcPr>
          <w:p w14:paraId="551ECFFD" w14:textId="73A6780B"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5</w:t>
            </w:r>
          </w:p>
        </w:tc>
        <w:tc>
          <w:tcPr>
            <w:tcW w:w="1276" w:type="dxa"/>
            <w:shd w:val="clear" w:color="auto" w:fill="E0F3EF" w:themeFill="accent1" w:themeFillTint="33"/>
            <w:noWrap/>
          </w:tcPr>
          <w:p w14:paraId="1A1E007E" w14:textId="54582EFD" w:rsidR="00AB34F2" w:rsidRPr="005079EF" w:rsidRDefault="00AB34F2" w:rsidP="00867F4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5079EF">
              <w:rPr>
                <w:rFonts w:asciiTheme="minorHAnsi" w:eastAsia="Times New Roman" w:hAnsiTheme="minorHAnsi" w:cstheme="minorHAnsi"/>
                <w:color w:val="auto"/>
                <w:sz w:val="20"/>
                <w:szCs w:val="20"/>
                <w:lang w:val="en-AU" w:eastAsia="en-AU"/>
              </w:rPr>
              <w:t>4</w:t>
            </w:r>
          </w:p>
        </w:tc>
      </w:tr>
    </w:tbl>
    <w:p w14:paraId="17600418" w14:textId="2AA3CB27"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5E8BE65D" w:rsidR="00681633" w:rsidRDefault="00681633" w:rsidP="008A6BB7">
      <w:pPr>
        <w:spacing w:before="0" w:after="0" w:line="240" w:lineRule="auto"/>
        <w:contextualSpacing/>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1 = Very poor; does not satisfy criteria in any major area</w:t>
      </w:r>
      <w:r w:rsidRPr="004703F9">
        <w:rPr>
          <w:sz w:val="16"/>
          <w:szCs w:val="16"/>
        </w:rPr>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6A409" w14:textId="77777777" w:rsidR="007F1180" w:rsidRDefault="007F1180" w:rsidP="00D37B04">
      <w:r>
        <w:separator/>
      </w:r>
    </w:p>
  </w:endnote>
  <w:endnote w:type="continuationSeparator" w:id="0">
    <w:p w14:paraId="30C77D84" w14:textId="77777777" w:rsidR="007F1180" w:rsidRDefault="007F1180"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36ABB336" w14:textId="77777777" w:rsidR="001D37BC" w:rsidRDefault="001D37BC">
        <w:pPr>
          <w:pStyle w:val="Footer"/>
          <w:jc w:val="center"/>
          <w:rPr>
            <w:color w:val="auto"/>
          </w:rPr>
        </w:pPr>
      </w:p>
      <w:p w14:paraId="1B636999" w14:textId="03830A46" w:rsidR="00501007" w:rsidRDefault="005269F2">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7E8BB3FD" wp14:editId="64E318BE">
              <wp:simplePos x="0" y="0"/>
              <wp:positionH relativeFrom="margin">
                <wp:posOffset>-120650</wp:posOffset>
              </wp:positionH>
              <wp:positionV relativeFrom="page">
                <wp:posOffset>9734551</wp:posOffset>
              </wp:positionV>
              <wp:extent cx="6931025" cy="6477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2117" cy="647802"/>
                      </a:xfrm>
                      <a:prstGeom prst="rect">
                        <a:avLst/>
                      </a:prstGeom>
                    </pic:spPr>
                  </pic:pic>
                </a:graphicData>
              </a:graphic>
              <wp14:sizeRelH relativeFrom="margin">
                <wp14:pctWidth>0</wp14:pctWidth>
              </wp14:sizeRelH>
              <wp14:sizeRelV relativeFrom="margin">
                <wp14:pctHeight>0</wp14:pctHeight>
              </wp14:sizeRelV>
            </wp:anchor>
          </w:drawing>
        </w:r>
      </w:p>
      <w:p w14:paraId="2029CC34" w14:textId="18C04D1F" w:rsidR="005269F2" w:rsidRPr="00854F69" w:rsidRDefault="005269F2" w:rsidP="005269F2">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0BB5A1F" w14:textId="1C116D24" w:rsidR="00501007" w:rsidRDefault="00501007">
        <w:pPr>
          <w:pStyle w:val="Footer"/>
          <w:jc w:val="center"/>
          <w:rPr>
            <w:color w:val="auto"/>
          </w:rPr>
        </w:pPr>
      </w:p>
      <w:p w14:paraId="1E51B8D5" w14:textId="4C69FFD5" w:rsidR="00501007" w:rsidRPr="001D3DDD" w:rsidRDefault="006A65B4" w:rsidP="0005564F">
        <w:pPr>
          <w:pStyle w:val="Footer"/>
          <w:spacing w:line="240" w:lineRule="auto"/>
          <w:jc w:val="center"/>
          <w:rPr>
            <w:color w:val="auto"/>
          </w:rPr>
        </w:pPr>
      </w:p>
    </w:sdtContent>
  </w:sdt>
  <w:p w14:paraId="3A729F02" w14:textId="519EAB54" w:rsidR="00501007" w:rsidRDefault="00501007"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55DB" w14:textId="60D0D0EF" w:rsidR="005269F2" w:rsidRPr="00854F69" w:rsidRDefault="005269F2" w:rsidP="005269F2">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53FAA38D" wp14:editId="27879825">
          <wp:simplePos x="0" y="0"/>
          <wp:positionH relativeFrom="margin">
            <wp:posOffset>-120650</wp:posOffset>
          </wp:positionH>
          <wp:positionV relativeFrom="page">
            <wp:posOffset>9956800</wp:posOffset>
          </wp:positionV>
          <wp:extent cx="6931181" cy="627380"/>
          <wp:effectExtent l="0" t="0" r="317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863" cy="627894"/>
                  </a:xfrm>
                  <a:prstGeom prst="rect">
                    <a:avLst/>
                  </a:prstGeom>
                </pic:spPr>
              </pic:pic>
            </a:graphicData>
          </a:graphic>
          <wp14:sizeRelH relativeFrom="margin">
            <wp14:pctWidth>0</wp14:pctWidth>
          </wp14:sizeRelH>
          <wp14:sizeRelV relativeFrom="margin">
            <wp14:pctHeight>0</wp14:pctHeight>
          </wp14:sizeRelV>
        </wp:anchor>
      </w:drawing>
    </w:r>
    <w:r w:rsidR="008F7CA4">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8F7CA4">
      <w:rPr>
        <w:b/>
        <w:noProof/>
        <w:color w:val="495965" w:themeColor="text2"/>
        <w:lang w:val="en-AU" w:eastAsia="en-AU"/>
      </w:rPr>
      <w:t xml:space="preserve">    </w:t>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8A48A0A" w14:textId="77777777" w:rsidR="005269F2" w:rsidRDefault="0052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01A0" w14:textId="77777777" w:rsidR="007F1180" w:rsidRPr="008C5A0E" w:rsidRDefault="007F1180" w:rsidP="00D37B04">
      <w:pPr>
        <w:pStyle w:val="Footer"/>
      </w:pPr>
    </w:p>
  </w:footnote>
  <w:footnote w:type="continuationSeparator" w:id="0">
    <w:p w14:paraId="35C370DB" w14:textId="77777777" w:rsidR="007F1180" w:rsidRDefault="007F1180"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501007" w:rsidRDefault="00501007" w:rsidP="007A4493">
    <w:pPr>
      <w:pStyle w:val="Header"/>
      <w:ind w:left="0"/>
    </w:pPr>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501007" w:rsidRDefault="00501007" w:rsidP="001F7F4D">
    <w:pPr>
      <w:pStyle w:val="Header"/>
      <w:spacing w:after="240"/>
      <w:ind w:left="0"/>
    </w:pPr>
    <w:r>
      <w:rPr>
        <w:noProof/>
      </w:rPr>
      <w:drawing>
        <wp:inline distT="0" distB="0" distL="0" distR="0" wp14:anchorId="53173A37" wp14:editId="3D212865">
          <wp:extent cx="6696075" cy="1247775"/>
          <wp:effectExtent l="0" t="0" r="9525" b="9525"/>
          <wp:docPr id="5" name="Picture 5"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A110BE"/>
    <w:multiLevelType w:val="hybridMultilevel"/>
    <w:tmpl w:val="1C5685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4B43D5"/>
    <w:multiLevelType w:val="hybridMultilevel"/>
    <w:tmpl w:val="0DBE780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135D7B8A"/>
    <w:multiLevelType w:val="hybridMultilevel"/>
    <w:tmpl w:val="76F2BF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9D0C59"/>
    <w:multiLevelType w:val="hybridMultilevel"/>
    <w:tmpl w:val="179E67F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1DCC5941"/>
    <w:multiLevelType w:val="hybridMultilevel"/>
    <w:tmpl w:val="5148AA48"/>
    <w:lvl w:ilvl="0" w:tplc="8D30D53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F795F7D"/>
    <w:multiLevelType w:val="hybridMultilevel"/>
    <w:tmpl w:val="761A237E"/>
    <w:lvl w:ilvl="0" w:tplc="FE0CC69A">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8F132CE"/>
    <w:multiLevelType w:val="multilevel"/>
    <w:tmpl w:val="3B7A10DE"/>
    <w:numStyleLink w:val="BulletsList"/>
  </w:abstractNum>
  <w:abstractNum w:abstractNumId="11" w15:restartNumberingAfterBreak="0">
    <w:nsid w:val="3BEE5A67"/>
    <w:multiLevelType w:val="hybridMultilevel"/>
    <w:tmpl w:val="C8F87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A0751DA"/>
    <w:multiLevelType w:val="hybridMultilevel"/>
    <w:tmpl w:val="BE0EA49C"/>
    <w:lvl w:ilvl="0" w:tplc="0C090001">
      <w:start w:val="1"/>
      <w:numFmt w:val="bullet"/>
      <w:lvlText w:val=""/>
      <w:lvlJc w:val="left"/>
      <w:pPr>
        <w:ind w:left="629" w:hanging="360"/>
      </w:pPr>
      <w:rPr>
        <w:rFonts w:ascii="Symbol" w:hAnsi="Symbol" w:hint="default"/>
      </w:rPr>
    </w:lvl>
    <w:lvl w:ilvl="1" w:tplc="0C090003">
      <w:start w:val="1"/>
      <w:numFmt w:val="bullet"/>
      <w:lvlText w:val="o"/>
      <w:lvlJc w:val="left"/>
      <w:pPr>
        <w:ind w:left="1349" w:hanging="360"/>
      </w:pPr>
      <w:rPr>
        <w:rFonts w:ascii="Courier New" w:hAnsi="Courier New" w:cs="Courier New" w:hint="default"/>
      </w:rPr>
    </w:lvl>
    <w:lvl w:ilvl="2" w:tplc="0C090005" w:tentative="1">
      <w:start w:val="1"/>
      <w:numFmt w:val="bullet"/>
      <w:lvlText w:val=""/>
      <w:lvlJc w:val="left"/>
      <w:pPr>
        <w:ind w:left="2069" w:hanging="360"/>
      </w:pPr>
      <w:rPr>
        <w:rFonts w:ascii="Wingdings" w:hAnsi="Wingdings" w:hint="default"/>
      </w:rPr>
    </w:lvl>
    <w:lvl w:ilvl="3" w:tplc="0C090001" w:tentative="1">
      <w:start w:val="1"/>
      <w:numFmt w:val="bullet"/>
      <w:lvlText w:val=""/>
      <w:lvlJc w:val="left"/>
      <w:pPr>
        <w:ind w:left="2789" w:hanging="360"/>
      </w:pPr>
      <w:rPr>
        <w:rFonts w:ascii="Symbol" w:hAnsi="Symbol" w:hint="default"/>
      </w:rPr>
    </w:lvl>
    <w:lvl w:ilvl="4" w:tplc="0C090003" w:tentative="1">
      <w:start w:val="1"/>
      <w:numFmt w:val="bullet"/>
      <w:lvlText w:val="o"/>
      <w:lvlJc w:val="left"/>
      <w:pPr>
        <w:ind w:left="3509" w:hanging="360"/>
      </w:pPr>
      <w:rPr>
        <w:rFonts w:ascii="Courier New" w:hAnsi="Courier New" w:cs="Courier New" w:hint="default"/>
      </w:rPr>
    </w:lvl>
    <w:lvl w:ilvl="5" w:tplc="0C090005" w:tentative="1">
      <w:start w:val="1"/>
      <w:numFmt w:val="bullet"/>
      <w:lvlText w:val=""/>
      <w:lvlJc w:val="left"/>
      <w:pPr>
        <w:ind w:left="4229" w:hanging="360"/>
      </w:pPr>
      <w:rPr>
        <w:rFonts w:ascii="Wingdings" w:hAnsi="Wingdings" w:hint="default"/>
      </w:rPr>
    </w:lvl>
    <w:lvl w:ilvl="6" w:tplc="0C090001" w:tentative="1">
      <w:start w:val="1"/>
      <w:numFmt w:val="bullet"/>
      <w:lvlText w:val=""/>
      <w:lvlJc w:val="left"/>
      <w:pPr>
        <w:ind w:left="4949" w:hanging="360"/>
      </w:pPr>
      <w:rPr>
        <w:rFonts w:ascii="Symbol" w:hAnsi="Symbol" w:hint="default"/>
      </w:rPr>
    </w:lvl>
    <w:lvl w:ilvl="7" w:tplc="0C090003" w:tentative="1">
      <w:start w:val="1"/>
      <w:numFmt w:val="bullet"/>
      <w:lvlText w:val="o"/>
      <w:lvlJc w:val="left"/>
      <w:pPr>
        <w:ind w:left="5669" w:hanging="360"/>
      </w:pPr>
      <w:rPr>
        <w:rFonts w:ascii="Courier New" w:hAnsi="Courier New" w:cs="Courier New" w:hint="default"/>
      </w:rPr>
    </w:lvl>
    <w:lvl w:ilvl="8" w:tplc="0C090005" w:tentative="1">
      <w:start w:val="1"/>
      <w:numFmt w:val="bullet"/>
      <w:lvlText w:val=""/>
      <w:lvlJc w:val="left"/>
      <w:pPr>
        <w:ind w:left="6389" w:hanging="360"/>
      </w:pPr>
      <w:rPr>
        <w:rFonts w:ascii="Wingdings" w:hAnsi="Wingdings" w:hint="default"/>
      </w:rPr>
    </w:lvl>
  </w:abstractNum>
  <w:abstractNum w:abstractNumId="15" w15:restartNumberingAfterBreak="0">
    <w:nsid w:val="6C4557FB"/>
    <w:multiLevelType w:val="hybridMultilevel"/>
    <w:tmpl w:val="1BDC5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7DC7DE7"/>
    <w:multiLevelType w:val="hybridMultilevel"/>
    <w:tmpl w:val="B17C5FF8"/>
    <w:lvl w:ilvl="0" w:tplc="E37EDAAE">
      <w:numFmt w:val="bullet"/>
      <w:lvlText w:val="-"/>
      <w:lvlJc w:val="left"/>
      <w:pPr>
        <w:ind w:left="720" w:hanging="360"/>
      </w:pPr>
      <w:rPr>
        <w:rFonts w:ascii="Calibri" w:eastAsia="Calibri" w:hAnsi="Calibri" w:cs="Calibri" w:hint="default"/>
        <w:color w:val="495965"/>
        <w:w w:val="99"/>
        <w:sz w:val="15"/>
        <w:szCs w:val="15"/>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EA97134"/>
    <w:multiLevelType w:val="hybridMultilevel"/>
    <w:tmpl w:val="62DE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8"/>
  </w:num>
  <w:num w:numId="4">
    <w:abstractNumId w:val="12"/>
  </w:num>
  <w:num w:numId="5">
    <w:abstractNumId w:val="13"/>
  </w:num>
  <w:num w:numId="6">
    <w:abstractNumId w:val="8"/>
  </w:num>
  <w:num w:numId="7">
    <w:abstractNumId w:val="0"/>
  </w:num>
  <w:num w:numId="8">
    <w:abstractNumId w:val="4"/>
  </w:num>
  <w:num w:numId="9">
    <w:abstractNumId w:val="18"/>
  </w:num>
  <w:num w:numId="10">
    <w:abstractNumId w:val="10"/>
  </w:num>
  <w:num w:numId="11">
    <w:abstractNumId w:val="14"/>
  </w:num>
  <w:num w:numId="12">
    <w:abstractNumId w:val="19"/>
  </w:num>
  <w:num w:numId="13">
    <w:abstractNumId w:val="15"/>
  </w:num>
  <w:num w:numId="14">
    <w:abstractNumId w:val="19"/>
  </w:num>
  <w:num w:numId="15">
    <w:abstractNumId w:val="2"/>
  </w:num>
  <w:num w:numId="16">
    <w:abstractNumId w:val="1"/>
  </w:num>
  <w:num w:numId="17">
    <w:abstractNumId w:val="10"/>
  </w:num>
  <w:num w:numId="18">
    <w:abstractNumId w:val="10"/>
  </w:num>
  <w:num w:numId="19">
    <w:abstractNumId w:val="9"/>
  </w:num>
  <w:num w:numId="20">
    <w:abstractNumId w:val="6"/>
  </w:num>
  <w:num w:numId="21">
    <w:abstractNumId w:val="5"/>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6693"/>
    <w:rsid w:val="00010006"/>
    <w:rsid w:val="00011235"/>
    <w:rsid w:val="00011B0A"/>
    <w:rsid w:val="00011CA2"/>
    <w:rsid w:val="00012B30"/>
    <w:rsid w:val="0001348C"/>
    <w:rsid w:val="0001477A"/>
    <w:rsid w:val="00015AB7"/>
    <w:rsid w:val="000167C5"/>
    <w:rsid w:val="0002080A"/>
    <w:rsid w:val="0002782F"/>
    <w:rsid w:val="00031486"/>
    <w:rsid w:val="000314BA"/>
    <w:rsid w:val="00035BBF"/>
    <w:rsid w:val="00035CBC"/>
    <w:rsid w:val="000377BA"/>
    <w:rsid w:val="000417C3"/>
    <w:rsid w:val="00041BA2"/>
    <w:rsid w:val="0004433D"/>
    <w:rsid w:val="000444F3"/>
    <w:rsid w:val="00045AAF"/>
    <w:rsid w:val="00050806"/>
    <w:rsid w:val="000546D9"/>
    <w:rsid w:val="00054E4D"/>
    <w:rsid w:val="0005564F"/>
    <w:rsid w:val="00055880"/>
    <w:rsid w:val="00056F24"/>
    <w:rsid w:val="00060073"/>
    <w:rsid w:val="000616C6"/>
    <w:rsid w:val="0007095A"/>
    <w:rsid w:val="00082296"/>
    <w:rsid w:val="000822AD"/>
    <w:rsid w:val="000854FD"/>
    <w:rsid w:val="00086A9C"/>
    <w:rsid w:val="0009435E"/>
    <w:rsid w:val="000A407E"/>
    <w:rsid w:val="000A5FA0"/>
    <w:rsid w:val="000B37F5"/>
    <w:rsid w:val="000B5DA7"/>
    <w:rsid w:val="000B78E6"/>
    <w:rsid w:val="000C3A4C"/>
    <w:rsid w:val="000C4411"/>
    <w:rsid w:val="000D0D71"/>
    <w:rsid w:val="000D2896"/>
    <w:rsid w:val="000D66D6"/>
    <w:rsid w:val="000E0BDA"/>
    <w:rsid w:val="000E0E38"/>
    <w:rsid w:val="000E41CD"/>
    <w:rsid w:val="000E58BF"/>
    <w:rsid w:val="000E6C44"/>
    <w:rsid w:val="000F1DA6"/>
    <w:rsid w:val="000F2600"/>
    <w:rsid w:val="000F2FBA"/>
    <w:rsid w:val="000F3813"/>
    <w:rsid w:val="000F4229"/>
    <w:rsid w:val="000F5072"/>
    <w:rsid w:val="000F65CF"/>
    <w:rsid w:val="000F717C"/>
    <w:rsid w:val="000F78C9"/>
    <w:rsid w:val="00110955"/>
    <w:rsid w:val="0011286E"/>
    <w:rsid w:val="00113288"/>
    <w:rsid w:val="00116DEC"/>
    <w:rsid w:val="00117634"/>
    <w:rsid w:val="001203E8"/>
    <w:rsid w:val="001214BE"/>
    <w:rsid w:val="0012165D"/>
    <w:rsid w:val="00121DDD"/>
    <w:rsid w:val="001227F1"/>
    <w:rsid w:val="0013101C"/>
    <w:rsid w:val="00131597"/>
    <w:rsid w:val="0013385F"/>
    <w:rsid w:val="00135556"/>
    <w:rsid w:val="00137F4E"/>
    <w:rsid w:val="00143653"/>
    <w:rsid w:val="001461D6"/>
    <w:rsid w:val="00146E07"/>
    <w:rsid w:val="001472CA"/>
    <w:rsid w:val="001541EA"/>
    <w:rsid w:val="0016223D"/>
    <w:rsid w:val="00162C14"/>
    <w:rsid w:val="00166032"/>
    <w:rsid w:val="001662F8"/>
    <w:rsid w:val="00176BCD"/>
    <w:rsid w:val="001841C8"/>
    <w:rsid w:val="001851E6"/>
    <w:rsid w:val="00186B4B"/>
    <w:rsid w:val="00190888"/>
    <w:rsid w:val="00190F37"/>
    <w:rsid w:val="00192F09"/>
    <w:rsid w:val="00193C49"/>
    <w:rsid w:val="00193D8D"/>
    <w:rsid w:val="001A1061"/>
    <w:rsid w:val="001A51EE"/>
    <w:rsid w:val="001A63EB"/>
    <w:rsid w:val="001A7815"/>
    <w:rsid w:val="001B02AB"/>
    <w:rsid w:val="001B139F"/>
    <w:rsid w:val="001B359C"/>
    <w:rsid w:val="001B78DA"/>
    <w:rsid w:val="001C14F4"/>
    <w:rsid w:val="001C1F11"/>
    <w:rsid w:val="001C483F"/>
    <w:rsid w:val="001C4C63"/>
    <w:rsid w:val="001C56C7"/>
    <w:rsid w:val="001D1A8F"/>
    <w:rsid w:val="001D22CB"/>
    <w:rsid w:val="001D37BC"/>
    <w:rsid w:val="001D3C98"/>
    <w:rsid w:val="001D3DDD"/>
    <w:rsid w:val="001D4091"/>
    <w:rsid w:val="001D43B2"/>
    <w:rsid w:val="001D663E"/>
    <w:rsid w:val="001E03BE"/>
    <w:rsid w:val="001E1DC0"/>
    <w:rsid w:val="001E52DE"/>
    <w:rsid w:val="001E563B"/>
    <w:rsid w:val="001E6D20"/>
    <w:rsid w:val="001F16E7"/>
    <w:rsid w:val="001F3517"/>
    <w:rsid w:val="001F5C33"/>
    <w:rsid w:val="001F7405"/>
    <w:rsid w:val="001F7A8B"/>
    <w:rsid w:val="001F7F4D"/>
    <w:rsid w:val="00201491"/>
    <w:rsid w:val="00201594"/>
    <w:rsid w:val="0020290D"/>
    <w:rsid w:val="00212D33"/>
    <w:rsid w:val="00216C55"/>
    <w:rsid w:val="002231BD"/>
    <w:rsid w:val="002270F7"/>
    <w:rsid w:val="00227CE3"/>
    <w:rsid w:val="00230B58"/>
    <w:rsid w:val="00233DEC"/>
    <w:rsid w:val="00236E78"/>
    <w:rsid w:val="00237212"/>
    <w:rsid w:val="002375DC"/>
    <w:rsid w:val="002404E8"/>
    <w:rsid w:val="00244229"/>
    <w:rsid w:val="002462D8"/>
    <w:rsid w:val="00247365"/>
    <w:rsid w:val="0025209C"/>
    <w:rsid w:val="002530B0"/>
    <w:rsid w:val="00255F45"/>
    <w:rsid w:val="002600AD"/>
    <w:rsid w:val="00261565"/>
    <w:rsid w:val="002625A4"/>
    <w:rsid w:val="00263E37"/>
    <w:rsid w:val="00266DED"/>
    <w:rsid w:val="00270C70"/>
    <w:rsid w:val="002721B5"/>
    <w:rsid w:val="00280045"/>
    <w:rsid w:val="00281DD9"/>
    <w:rsid w:val="0028602A"/>
    <w:rsid w:val="002945C4"/>
    <w:rsid w:val="0029663F"/>
    <w:rsid w:val="00297258"/>
    <w:rsid w:val="00297FD1"/>
    <w:rsid w:val="002B3381"/>
    <w:rsid w:val="002B5E10"/>
    <w:rsid w:val="002C0CD2"/>
    <w:rsid w:val="002C1CD6"/>
    <w:rsid w:val="002C793D"/>
    <w:rsid w:val="002D35C9"/>
    <w:rsid w:val="002D3F9E"/>
    <w:rsid w:val="002D4108"/>
    <w:rsid w:val="002D430F"/>
    <w:rsid w:val="002D58FC"/>
    <w:rsid w:val="002D5B25"/>
    <w:rsid w:val="002D65B7"/>
    <w:rsid w:val="002D6BA1"/>
    <w:rsid w:val="002E2AF4"/>
    <w:rsid w:val="002E38B2"/>
    <w:rsid w:val="002E4379"/>
    <w:rsid w:val="002E500A"/>
    <w:rsid w:val="002E7627"/>
    <w:rsid w:val="002F03FB"/>
    <w:rsid w:val="002F4F2B"/>
    <w:rsid w:val="003002C0"/>
    <w:rsid w:val="00301144"/>
    <w:rsid w:val="003031C6"/>
    <w:rsid w:val="0030497E"/>
    <w:rsid w:val="00304984"/>
    <w:rsid w:val="00304F1F"/>
    <w:rsid w:val="00311946"/>
    <w:rsid w:val="00312BF8"/>
    <w:rsid w:val="003141CA"/>
    <w:rsid w:val="003148B7"/>
    <w:rsid w:val="0031571B"/>
    <w:rsid w:val="003158C3"/>
    <w:rsid w:val="0031733C"/>
    <w:rsid w:val="00323792"/>
    <w:rsid w:val="003274CD"/>
    <w:rsid w:val="00331AF2"/>
    <w:rsid w:val="00333501"/>
    <w:rsid w:val="0033585D"/>
    <w:rsid w:val="00337423"/>
    <w:rsid w:val="003406AF"/>
    <w:rsid w:val="003457C4"/>
    <w:rsid w:val="0035119D"/>
    <w:rsid w:val="003535F8"/>
    <w:rsid w:val="00354641"/>
    <w:rsid w:val="00356871"/>
    <w:rsid w:val="003622C1"/>
    <w:rsid w:val="00363A9F"/>
    <w:rsid w:val="00363EC6"/>
    <w:rsid w:val="00364A9E"/>
    <w:rsid w:val="00364BB2"/>
    <w:rsid w:val="00365C77"/>
    <w:rsid w:val="003664FE"/>
    <w:rsid w:val="00367D9B"/>
    <w:rsid w:val="00375D23"/>
    <w:rsid w:val="003765AF"/>
    <w:rsid w:val="00376C28"/>
    <w:rsid w:val="003806FE"/>
    <w:rsid w:val="00382CE7"/>
    <w:rsid w:val="00385115"/>
    <w:rsid w:val="00387EC8"/>
    <w:rsid w:val="0039215F"/>
    <w:rsid w:val="003931DF"/>
    <w:rsid w:val="0039344A"/>
    <w:rsid w:val="00394C7B"/>
    <w:rsid w:val="00397086"/>
    <w:rsid w:val="003A26BF"/>
    <w:rsid w:val="003A3DC9"/>
    <w:rsid w:val="003B3091"/>
    <w:rsid w:val="003B4F12"/>
    <w:rsid w:val="003C16C1"/>
    <w:rsid w:val="003C6C4F"/>
    <w:rsid w:val="003C7D0E"/>
    <w:rsid w:val="003D1253"/>
    <w:rsid w:val="003D41D3"/>
    <w:rsid w:val="003E24BA"/>
    <w:rsid w:val="003E2E50"/>
    <w:rsid w:val="003E76FD"/>
    <w:rsid w:val="003F2041"/>
    <w:rsid w:val="003F7336"/>
    <w:rsid w:val="003F7D26"/>
    <w:rsid w:val="004007ED"/>
    <w:rsid w:val="00400D50"/>
    <w:rsid w:val="00402ACC"/>
    <w:rsid w:val="00403FD8"/>
    <w:rsid w:val="00404443"/>
    <w:rsid w:val="00404602"/>
    <w:rsid w:val="0040660B"/>
    <w:rsid w:val="00411F2E"/>
    <w:rsid w:val="004120EC"/>
    <w:rsid w:val="0041267F"/>
    <w:rsid w:val="00414B89"/>
    <w:rsid w:val="00423DE0"/>
    <w:rsid w:val="00423F31"/>
    <w:rsid w:val="0042526D"/>
    <w:rsid w:val="00426340"/>
    <w:rsid w:val="004303AA"/>
    <w:rsid w:val="004306B6"/>
    <w:rsid w:val="00431899"/>
    <w:rsid w:val="004346B4"/>
    <w:rsid w:val="004422BD"/>
    <w:rsid w:val="00450381"/>
    <w:rsid w:val="00450E4B"/>
    <w:rsid w:val="004529F1"/>
    <w:rsid w:val="00453B1A"/>
    <w:rsid w:val="00461F78"/>
    <w:rsid w:val="004624C8"/>
    <w:rsid w:val="00462A57"/>
    <w:rsid w:val="00465CD5"/>
    <w:rsid w:val="004703F9"/>
    <w:rsid w:val="00471469"/>
    <w:rsid w:val="004728DD"/>
    <w:rsid w:val="00473F2D"/>
    <w:rsid w:val="00473F39"/>
    <w:rsid w:val="00474037"/>
    <w:rsid w:val="00475782"/>
    <w:rsid w:val="00475EEA"/>
    <w:rsid w:val="00482AE8"/>
    <w:rsid w:val="004842DA"/>
    <w:rsid w:val="004866C0"/>
    <w:rsid w:val="00486804"/>
    <w:rsid w:val="00487495"/>
    <w:rsid w:val="00487549"/>
    <w:rsid w:val="00490DA7"/>
    <w:rsid w:val="00494242"/>
    <w:rsid w:val="004956DC"/>
    <w:rsid w:val="00496E93"/>
    <w:rsid w:val="00496FF7"/>
    <w:rsid w:val="004A41B8"/>
    <w:rsid w:val="004B3775"/>
    <w:rsid w:val="004C0250"/>
    <w:rsid w:val="004C49D5"/>
    <w:rsid w:val="004C5A8C"/>
    <w:rsid w:val="004D0BA0"/>
    <w:rsid w:val="004D25B0"/>
    <w:rsid w:val="004D42A8"/>
    <w:rsid w:val="004D7F36"/>
    <w:rsid w:val="004E03EE"/>
    <w:rsid w:val="004E058F"/>
    <w:rsid w:val="004E0D6A"/>
    <w:rsid w:val="004E3B87"/>
    <w:rsid w:val="004E549D"/>
    <w:rsid w:val="004E5E04"/>
    <w:rsid w:val="004F5615"/>
    <w:rsid w:val="00500579"/>
    <w:rsid w:val="00501007"/>
    <w:rsid w:val="00502041"/>
    <w:rsid w:val="00503EB4"/>
    <w:rsid w:val="00504C98"/>
    <w:rsid w:val="0050592F"/>
    <w:rsid w:val="005079EF"/>
    <w:rsid w:val="00510921"/>
    <w:rsid w:val="00510AD3"/>
    <w:rsid w:val="00512623"/>
    <w:rsid w:val="00513348"/>
    <w:rsid w:val="00513AD8"/>
    <w:rsid w:val="0051559A"/>
    <w:rsid w:val="0051572A"/>
    <w:rsid w:val="00517DD0"/>
    <w:rsid w:val="005204D2"/>
    <w:rsid w:val="00520FF6"/>
    <w:rsid w:val="00522396"/>
    <w:rsid w:val="00523046"/>
    <w:rsid w:val="00524378"/>
    <w:rsid w:val="005269F2"/>
    <w:rsid w:val="00527AD8"/>
    <w:rsid w:val="00530C44"/>
    <w:rsid w:val="0053159D"/>
    <w:rsid w:val="00531B69"/>
    <w:rsid w:val="00533B5D"/>
    <w:rsid w:val="0053444C"/>
    <w:rsid w:val="00534D96"/>
    <w:rsid w:val="00536343"/>
    <w:rsid w:val="00536BAB"/>
    <w:rsid w:val="00540A22"/>
    <w:rsid w:val="0054163A"/>
    <w:rsid w:val="005474FC"/>
    <w:rsid w:val="00553079"/>
    <w:rsid w:val="005607B5"/>
    <w:rsid w:val="00560E83"/>
    <w:rsid w:val="00563946"/>
    <w:rsid w:val="00563C9A"/>
    <w:rsid w:val="005736BB"/>
    <w:rsid w:val="00576FA3"/>
    <w:rsid w:val="00577415"/>
    <w:rsid w:val="00577815"/>
    <w:rsid w:val="00581FEC"/>
    <w:rsid w:val="005822D6"/>
    <w:rsid w:val="0058501E"/>
    <w:rsid w:val="00590E09"/>
    <w:rsid w:val="00596528"/>
    <w:rsid w:val="005A0507"/>
    <w:rsid w:val="005A20F6"/>
    <w:rsid w:val="005B7666"/>
    <w:rsid w:val="005C2EC9"/>
    <w:rsid w:val="005C532B"/>
    <w:rsid w:val="005D3655"/>
    <w:rsid w:val="005D5489"/>
    <w:rsid w:val="005E0058"/>
    <w:rsid w:val="005E05D7"/>
    <w:rsid w:val="005E35E7"/>
    <w:rsid w:val="005E4830"/>
    <w:rsid w:val="005E5524"/>
    <w:rsid w:val="005E73CC"/>
    <w:rsid w:val="005F2F66"/>
    <w:rsid w:val="005F43CB"/>
    <w:rsid w:val="005F58A2"/>
    <w:rsid w:val="00600898"/>
    <w:rsid w:val="0060260B"/>
    <w:rsid w:val="006031AC"/>
    <w:rsid w:val="00603321"/>
    <w:rsid w:val="0061536F"/>
    <w:rsid w:val="00616A58"/>
    <w:rsid w:val="00620A3D"/>
    <w:rsid w:val="00621B46"/>
    <w:rsid w:val="00622B86"/>
    <w:rsid w:val="00623BA1"/>
    <w:rsid w:val="006275D8"/>
    <w:rsid w:val="00630092"/>
    <w:rsid w:val="00630836"/>
    <w:rsid w:val="006346BC"/>
    <w:rsid w:val="006362FF"/>
    <w:rsid w:val="006378FE"/>
    <w:rsid w:val="006408FF"/>
    <w:rsid w:val="00643230"/>
    <w:rsid w:val="006453BD"/>
    <w:rsid w:val="00651796"/>
    <w:rsid w:val="006547BD"/>
    <w:rsid w:val="006552C1"/>
    <w:rsid w:val="0065649B"/>
    <w:rsid w:val="0066203A"/>
    <w:rsid w:val="006621E9"/>
    <w:rsid w:val="0066652A"/>
    <w:rsid w:val="006719C3"/>
    <w:rsid w:val="006745FC"/>
    <w:rsid w:val="006750D9"/>
    <w:rsid w:val="0067616B"/>
    <w:rsid w:val="00680115"/>
    <w:rsid w:val="00680522"/>
    <w:rsid w:val="00681633"/>
    <w:rsid w:val="00682167"/>
    <w:rsid w:val="00683AF7"/>
    <w:rsid w:val="00684B82"/>
    <w:rsid w:val="00684FC7"/>
    <w:rsid w:val="006901DE"/>
    <w:rsid w:val="00690AE1"/>
    <w:rsid w:val="00693A0F"/>
    <w:rsid w:val="00693BF1"/>
    <w:rsid w:val="00696FBF"/>
    <w:rsid w:val="006A367D"/>
    <w:rsid w:val="006A4B43"/>
    <w:rsid w:val="006A50C9"/>
    <w:rsid w:val="006A65B4"/>
    <w:rsid w:val="006A6F52"/>
    <w:rsid w:val="006A791A"/>
    <w:rsid w:val="006B0064"/>
    <w:rsid w:val="006B01E5"/>
    <w:rsid w:val="006B1047"/>
    <w:rsid w:val="006B26B8"/>
    <w:rsid w:val="006B3771"/>
    <w:rsid w:val="006B3E95"/>
    <w:rsid w:val="006B51B2"/>
    <w:rsid w:val="006B6F6D"/>
    <w:rsid w:val="006B7B26"/>
    <w:rsid w:val="006C0B06"/>
    <w:rsid w:val="006C1F44"/>
    <w:rsid w:val="006C3BBD"/>
    <w:rsid w:val="006C4007"/>
    <w:rsid w:val="006C42AF"/>
    <w:rsid w:val="006C565B"/>
    <w:rsid w:val="006C580D"/>
    <w:rsid w:val="006C5EA3"/>
    <w:rsid w:val="006C6498"/>
    <w:rsid w:val="006C6AB3"/>
    <w:rsid w:val="006D0A1B"/>
    <w:rsid w:val="006D15F1"/>
    <w:rsid w:val="006D2A69"/>
    <w:rsid w:val="006D4192"/>
    <w:rsid w:val="006D5A56"/>
    <w:rsid w:val="006D68A9"/>
    <w:rsid w:val="006E30DC"/>
    <w:rsid w:val="006E4323"/>
    <w:rsid w:val="006E49F2"/>
    <w:rsid w:val="006E75CA"/>
    <w:rsid w:val="006F226F"/>
    <w:rsid w:val="006F3B2E"/>
    <w:rsid w:val="006F4913"/>
    <w:rsid w:val="006F6BA7"/>
    <w:rsid w:val="0070239D"/>
    <w:rsid w:val="007040FB"/>
    <w:rsid w:val="007075DF"/>
    <w:rsid w:val="00711D8E"/>
    <w:rsid w:val="00712672"/>
    <w:rsid w:val="0071378E"/>
    <w:rsid w:val="007178C4"/>
    <w:rsid w:val="00731DFF"/>
    <w:rsid w:val="0073418D"/>
    <w:rsid w:val="00734E3F"/>
    <w:rsid w:val="00736985"/>
    <w:rsid w:val="0073704E"/>
    <w:rsid w:val="0074409E"/>
    <w:rsid w:val="00745DF5"/>
    <w:rsid w:val="007503BB"/>
    <w:rsid w:val="00751718"/>
    <w:rsid w:val="00753C8E"/>
    <w:rsid w:val="00755898"/>
    <w:rsid w:val="0076250F"/>
    <w:rsid w:val="00763E73"/>
    <w:rsid w:val="007657B9"/>
    <w:rsid w:val="007723B2"/>
    <w:rsid w:val="0077324F"/>
    <w:rsid w:val="007733DC"/>
    <w:rsid w:val="00774992"/>
    <w:rsid w:val="00780FA5"/>
    <w:rsid w:val="00781BA0"/>
    <w:rsid w:val="00781E28"/>
    <w:rsid w:val="00793C94"/>
    <w:rsid w:val="00794D79"/>
    <w:rsid w:val="00794D99"/>
    <w:rsid w:val="00796F1C"/>
    <w:rsid w:val="007A4493"/>
    <w:rsid w:val="007A6164"/>
    <w:rsid w:val="007B53F9"/>
    <w:rsid w:val="007B6200"/>
    <w:rsid w:val="007C19B3"/>
    <w:rsid w:val="007C735B"/>
    <w:rsid w:val="007D3BD0"/>
    <w:rsid w:val="007E39A6"/>
    <w:rsid w:val="007E5361"/>
    <w:rsid w:val="007E556D"/>
    <w:rsid w:val="007E7BC7"/>
    <w:rsid w:val="007F1180"/>
    <w:rsid w:val="007F19D0"/>
    <w:rsid w:val="007F3395"/>
    <w:rsid w:val="007F3C3D"/>
    <w:rsid w:val="007F5C0B"/>
    <w:rsid w:val="007F646C"/>
    <w:rsid w:val="00800682"/>
    <w:rsid w:val="00801B9F"/>
    <w:rsid w:val="0080204D"/>
    <w:rsid w:val="008153D9"/>
    <w:rsid w:val="0082053C"/>
    <w:rsid w:val="00822F43"/>
    <w:rsid w:val="0083099E"/>
    <w:rsid w:val="00836CB7"/>
    <w:rsid w:val="00837023"/>
    <w:rsid w:val="0084004A"/>
    <w:rsid w:val="008401C7"/>
    <w:rsid w:val="0084191E"/>
    <w:rsid w:val="00841CBA"/>
    <w:rsid w:val="00843B76"/>
    <w:rsid w:val="00844702"/>
    <w:rsid w:val="00844737"/>
    <w:rsid w:val="008475F0"/>
    <w:rsid w:val="008515AF"/>
    <w:rsid w:val="00852C32"/>
    <w:rsid w:val="00854F69"/>
    <w:rsid w:val="008556E2"/>
    <w:rsid w:val="008557A7"/>
    <w:rsid w:val="00855833"/>
    <w:rsid w:val="00856BFE"/>
    <w:rsid w:val="00857312"/>
    <w:rsid w:val="008645D3"/>
    <w:rsid w:val="00865356"/>
    <w:rsid w:val="00867F4D"/>
    <w:rsid w:val="00870928"/>
    <w:rsid w:val="0087222D"/>
    <w:rsid w:val="00877620"/>
    <w:rsid w:val="00877A49"/>
    <w:rsid w:val="00881605"/>
    <w:rsid w:val="00884DBE"/>
    <w:rsid w:val="00887404"/>
    <w:rsid w:val="0089405C"/>
    <w:rsid w:val="008949B9"/>
    <w:rsid w:val="00895F13"/>
    <w:rsid w:val="00897FA2"/>
    <w:rsid w:val="008A1503"/>
    <w:rsid w:val="008A5AFE"/>
    <w:rsid w:val="008A5C97"/>
    <w:rsid w:val="008A6BB7"/>
    <w:rsid w:val="008A7B6F"/>
    <w:rsid w:val="008B1B54"/>
    <w:rsid w:val="008B2601"/>
    <w:rsid w:val="008B6C9E"/>
    <w:rsid w:val="008C1F60"/>
    <w:rsid w:val="008C33E0"/>
    <w:rsid w:val="008C478C"/>
    <w:rsid w:val="008C5A0E"/>
    <w:rsid w:val="008C6149"/>
    <w:rsid w:val="008C708C"/>
    <w:rsid w:val="008C745F"/>
    <w:rsid w:val="008D58F4"/>
    <w:rsid w:val="008E0945"/>
    <w:rsid w:val="008E4B49"/>
    <w:rsid w:val="008F0679"/>
    <w:rsid w:val="008F6625"/>
    <w:rsid w:val="008F7CA4"/>
    <w:rsid w:val="0090070F"/>
    <w:rsid w:val="009131E9"/>
    <w:rsid w:val="00916582"/>
    <w:rsid w:val="00917A7A"/>
    <w:rsid w:val="00920854"/>
    <w:rsid w:val="00922EF9"/>
    <w:rsid w:val="0093173D"/>
    <w:rsid w:val="00937866"/>
    <w:rsid w:val="00943730"/>
    <w:rsid w:val="00943B3A"/>
    <w:rsid w:val="00950D65"/>
    <w:rsid w:val="00952815"/>
    <w:rsid w:val="009551C7"/>
    <w:rsid w:val="00961180"/>
    <w:rsid w:val="00963080"/>
    <w:rsid w:val="009720FB"/>
    <w:rsid w:val="00972B5B"/>
    <w:rsid w:val="00975CA5"/>
    <w:rsid w:val="009774B4"/>
    <w:rsid w:val="00980FFC"/>
    <w:rsid w:val="00984C28"/>
    <w:rsid w:val="00986590"/>
    <w:rsid w:val="00991579"/>
    <w:rsid w:val="00992C76"/>
    <w:rsid w:val="00993A61"/>
    <w:rsid w:val="009969D6"/>
    <w:rsid w:val="009A112B"/>
    <w:rsid w:val="009A18E3"/>
    <w:rsid w:val="009A2619"/>
    <w:rsid w:val="009A50E3"/>
    <w:rsid w:val="009A58FC"/>
    <w:rsid w:val="009A5B88"/>
    <w:rsid w:val="009A7D11"/>
    <w:rsid w:val="009B03F1"/>
    <w:rsid w:val="009B394F"/>
    <w:rsid w:val="009B4D3B"/>
    <w:rsid w:val="009B54F8"/>
    <w:rsid w:val="009C07DB"/>
    <w:rsid w:val="009C18DB"/>
    <w:rsid w:val="009D0E05"/>
    <w:rsid w:val="009D3438"/>
    <w:rsid w:val="009D3447"/>
    <w:rsid w:val="009D7407"/>
    <w:rsid w:val="009E0866"/>
    <w:rsid w:val="009E273C"/>
    <w:rsid w:val="009E646C"/>
    <w:rsid w:val="009F1350"/>
    <w:rsid w:val="009F6423"/>
    <w:rsid w:val="00A01F13"/>
    <w:rsid w:val="00A03F38"/>
    <w:rsid w:val="00A06311"/>
    <w:rsid w:val="00A07A86"/>
    <w:rsid w:val="00A107B9"/>
    <w:rsid w:val="00A12B40"/>
    <w:rsid w:val="00A16262"/>
    <w:rsid w:val="00A166C2"/>
    <w:rsid w:val="00A24A62"/>
    <w:rsid w:val="00A31C9F"/>
    <w:rsid w:val="00A32B32"/>
    <w:rsid w:val="00A40127"/>
    <w:rsid w:val="00A4144F"/>
    <w:rsid w:val="00A46B28"/>
    <w:rsid w:val="00A47135"/>
    <w:rsid w:val="00A50501"/>
    <w:rsid w:val="00A531DD"/>
    <w:rsid w:val="00A55C71"/>
    <w:rsid w:val="00A61B4D"/>
    <w:rsid w:val="00A70B73"/>
    <w:rsid w:val="00A71167"/>
    <w:rsid w:val="00A71760"/>
    <w:rsid w:val="00A72201"/>
    <w:rsid w:val="00A74192"/>
    <w:rsid w:val="00A75B84"/>
    <w:rsid w:val="00A80123"/>
    <w:rsid w:val="00A80305"/>
    <w:rsid w:val="00A80F95"/>
    <w:rsid w:val="00A85B43"/>
    <w:rsid w:val="00A868CB"/>
    <w:rsid w:val="00A90F3C"/>
    <w:rsid w:val="00A95E1B"/>
    <w:rsid w:val="00A96364"/>
    <w:rsid w:val="00A97244"/>
    <w:rsid w:val="00A97BF1"/>
    <w:rsid w:val="00AA298A"/>
    <w:rsid w:val="00AA3147"/>
    <w:rsid w:val="00AA3AA8"/>
    <w:rsid w:val="00AB34F2"/>
    <w:rsid w:val="00AB4795"/>
    <w:rsid w:val="00AB4E61"/>
    <w:rsid w:val="00AB6748"/>
    <w:rsid w:val="00AB6BD2"/>
    <w:rsid w:val="00AC107C"/>
    <w:rsid w:val="00AC164A"/>
    <w:rsid w:val="00AC3944"/>
    <w:rsid w:val="00AC551D"/>
    <w:rsid w:val="00AD19F7"/>
    <w:rsid w:val="00AD28CC"/>
    <w:rsid w:val="00AD2C2E"/>
    <w:rsid w:val="00AD561E"/>
    <w:rsid w:val="00AD696E"/>
    <w:rsid w:val="00AE1DFF"/>
    <w:rsid w:val="00AE2B7B"/>
    <w:rsid w:val="00AE327A"/>
    <w:rsid w:val="00AE448A"/>
    <w:rsid w:val="00AE4CF3"/>
    <w:rsid w:val="00AE74DA"/>
    <w:rsid w:val="00AF18F4"/>
    <w:rsid w:val="00AF2050"/>
    <w:rsid w:val="00AF7ECC"/>
    <w:rsid w:val="00B00BF4"/>
    <w:rsid w:val="00B02B2A"/>
    <w:rsid w:val="00B02CDE"/>
    <w:rsid w:val="00B02E28"/>
    <w:rsid w:val="00B03CA8"/>
    <w:rsid w:val="00B05B87"/>
    <w:rsid w:val="00B16EF6"/>
    <w:rsid w:val="00B17BC4"/>
    <w:rsid w:val="00B20C06"/>
    <w:rsid w:val="00B21F78"/>
    <w:rsid w:val="00B22F0E"/>
    <w:rsid w:val="00B249EC"/>
    <w:rsid w:val="00B32F5A"/>
    <w:rsid w:val="00B33C0A"/>
    <w:rsid w:val="00B34763"/>
    <w:rsid w:val="00B36132"/>
    <w:rsid w:val="00B401AF"/>
    <w:rsid w:val="00B424BA"/>
    <w:rsid w:val="00B50ED0"/>
    <w:rsid w:val="00B51C2F"/>
    <w:rsid w:val="00B5283B"/>
    <w:rsid w:val="00B539C1"/>
    <w:rsid w:val="00B55284"/>
    <w:rsid w:val="00B55E19"/>
    <w:rsid w:val="00B56E71"/>
    <w:rsid w:val="00B575C6"/>
    <w:rsid w:val="00B579A6"/>
    <w:rsid w:val="00B677A6"/>
    <w:rsid w:val="00B71AD8"/>
    <w:rsid w:val="00B71FD1"/>
    <w:rsid w:val="00B7614B"/>
    <w:rsid w:val="00B80A33"/>
    <w:rsid w:val="00B80F1E"/>
    <w:rsid w:val="00B8438C"/>
    <w:rsid w:val="00B84B3C"/>
    <w:rsid w:val="00B857E1"/>
    <w:rsid w:val="00B8599B"/>
    <w:rsid w:val="00B86990"/>
    <w:rsid w:val="00B91FE7"/>
    <w:rsid w:val="00B929BE"/>
    <w:rsid w:val="00B9447F"/>
    <w:rsid w:val="00B94758"/>
    <w:rsid w:val="00B94815"/>
    <w:rsid w:val="00BA079E"/>
    <w:rsid w:val="00BA1B89"/>
    <w:rsid w:val="00BA4B6D"/>
    <w:rsid w:val="00BB26C5"/>
    <w:rsid w:val="00BB2F84"/>
    <w:rsid w:val="00BB3FD0"/>
    <w:rsid w:val="00BB57B8"/>
    <w:rsid w:val="00BB5C62"/>
    <w:rsid w:val="00BC1FED"/>
    <w:rsid w:val="00BC47FC"/>
    <w:rsid w:val="00BC659F"/>
    <w:rsid w:val="00BC7FFE"/>
    <w:rsid w:val="00BD0C26"/>
    <w:rsid w:val="00BD6304"/>
    <w:rsid w:val="00BD710C"/>
    <w:rsid w:val="00BE12B6"/>
    <w:rsid w:val="00BF1579"/>
    <w:rsid w:val="00BF4DE6"/>
    <w:rsid w:val="00BF6703"/>
    <w:rsid w:val="00C029B5"/>
    <w:rsid w:val="00C046F2"/>
    <w:rsid w:val="00C06B13"/>
    <w:rsid w:val="00C1085B"/>
    <w:rsid w:val="00C16A47"/>
    <w:rsid w:val="00C27D25"/>
    <w:rsid w:val="00C35791"/>
    <w:rsid w:val="00C37697"/>
    <w:rsid w:val="00C400E6"/>
    <w:rsid w:val="00C40255"/>
    <w:rsid w:val="00C40BD3"/>
    <w:rsid w:val="00C42541"/>
    <w:rsid w:val="00C42A76"/>
    <w:rsid w:val="00C42CDE"/>
    <w:rsid w:val="00C45941"/>
    <w:rsid w:val="00C50B58"/>
    <w:rsid w:val="00C5182A"/>
    <w:rsid w:val="00C52463"/>
    <w:rsid w:val="00C52B3D"/>
    <w:rsid w:val="00C54E78"/>
    <w:rsid w:val="00C55983"/>
    <w:rsid w:val="00C57777"/>
    <w:rsid w:val="00C61649"/>
    <w:rsid w:val="00C63EE9"/>
    <w:rsid w:val="00C710F5"/>
    <w:rsid w:val="00C74D7C"/>
    <w:rsid w:val="00C76DAE"/>
    <w:rsid w:val="00C80F99"/>
    <w:rsid w:val="00C83F4E"/>
    <w:rsid w:val="00C84C30"/>
    <w:rsid w:val="00C87B9B"/>
    <w:rsid w:val="00C908C7"/>
    <w:rsid w:val="00C92432"/>
    <w:rsid w:val="00C9269F"/>
    <w:rsid w:val="00C92805"/>
    <w:rsid w:val="00C96EA6"/>
    <w:rsid w:val="00CA16F3"/>
    <w:rsid w:val="00CA3403"/>
    <w:rsid w:val="00CA37B1"/>
    <w:rsid w:val="00CA3FD8"/>
    <w:rsid w:val="00CA410A"/>
    <w:rsid w:val="00CA4115"/>
    <w:rsid w:val="00CA4FEE"/>
    <w:rsid w:val="00CA5021"/>
    <w:rsid w:val="00CB1488"/>
    <w:rsid w:val="00CB1959"/>
    <w:rsid w:val="00CB245A"/>
    <w:rsid w:val="00CB3403"/>
    <w:rsid w:val="00CB40BD"/>
    <w:rsid w:val="00CB79BA"/>
    <w:rsid w:val="00CC02A9"/>
    <w:rsid w:val="00CC1D45"/>
    <w:rsid w:val="00CC741B"/>
    <w:rsid w:val="00CD0E4B"/>
    <w:rsid w:val="00CD3F5D"/>
    <w:rsid w:val="00CD4AD4"/>
    <w:rsid w:val="00CD7F38"/>
    <w:rsid w:val="00CE2F7E"/>
    <w:rsid w:val="00CE47CA"/>
    <w:rsid w:val="00CE4C89"/>
    <w:rsid w:val="00CE6AD3"/>
    <w:rsid w:val="00CF07BA"/>
    <w:rsid w:val="00CF21A3"/>
    <w:rsid w:val="00CF3FD0"/>
    <w:rsid w:val="00CF439C"/>
    <w:rsid w:val="00CF6DFD"/>
    <w:rsid w:val="00D0296C"/>
    <w:rsid w:val="00D05E55"/>
    <w:rsid w:val="00D1231A"/>
    <w:rsid w:val="00D12B9F"/>
    <w:rsid w:val="00D15A10"/>
    <w:rsid w:val="00D20A30"/>
    <w:rsid w:val="00D20BC7"/>
    <w:rsid w:val="00D220EC"/>
    <w:rsid w:val="00D22211"/>
    <w:rsid w:val="00D2641E"/>
    <w:rsid w:val="00D3170B"/>
    <w:rsid w:val="00D32D6F"/>
    <w:rsid w:val="00D34D5D"/>
    <w:rsid w:val="00D36C7E"/>
    <w:rsid w:val="00D37B04"/>
    <w:rsid w:val="00D41952"/>
    <w:rsid w:val="00D45555"/>
    <w:rsid w:val="00D4628C"/>
    <w:rsid w:val="00D47031"/>
    <w:rsid w:val="00D479B5"/>
    <w:rsid w:val="00D540C6"/>
    <w:rsid w:val="00D5418C"/>
    <w:rsid w:val="00D603B4"/>
    <w:rsid w:val="00D604D4"/>
    <w:rsid w:val="00D64BD1"/>
    <w:rsid w:val="00D71A33"/>
    <w:rsid w:val="00D71F34"/>
    <w:rsid w:val="00D7310B"/>
    <w:rsid w:val="00D75D7F"/>
    <w:rsid w:val="00D75F05"/>
    <w:rsid w:val="00D85F0B"/>
    <w:rsid w:val="00D8628C"/>
    <w:rsid w:val="00D90B37"/>
    <w:rsid w:val="00D91C6D"/>
    <w:rsid w:val="00D92254"/>
    <w:rsid w:val="00D924D3"/>
    <w:rsid w:val="00DA056D"/>
    <w:rsid w:val="00DA1B52"/>
    <w:rsid w:val="00DB05BB"/>
    <w:rsid w:val="00DB1DAD"/>
    <w:rsid w:val="00DB27AB"/>
    <w:rsid w:val="00DB7A27"/>
    <w:rsid w:val="00DC03E7"/>
    <w:rsid w:val="00DC0996"/>
    <w:rsid w:val="00DC238C"/>
    <w:rsid w:val="00DC6D78"/>
    <w:rsid w:val="00DD3E88"/>
    <w:rsid w:val="00DD74EA"/>
    <w:rsid w:val="00DD794D"/>
    <w:rsid w:val="00DE084C"/>
    <w:rsid w:val="00DE0AC5"/>
    <w:rsid w:val="00DF2254"/>
    <w:rsid w:val="00DF45BE"/>
    <w:rsid w:val="00DF68CF"/>
    <w:rsid w:val="00E02C43"/>
    <w:rsid w:val="00E0497E"/>
    <w:rsid w:val="00E055AB"/>
    <w:rsid w:val="00E1081D"/>
    <w:rsid w:val="00E14F51"/>
    <w:rsid w:val="00E15A6C"/>
    <w:rsid w:val="00E1666D"/>
    <w:rsid w:val="00E221FA"/>
    <w:rsid w:val="00E266B6"/>
    <w:rsid w:val="00E3076E"/>
    <w:rsid w:val="00E31E64"/>
    <w:rsid w:val="00E33E62"/>
    <w:rsid w:val="00E357B7"/>
    <w:rsid w:val="00E410F8"/>
    <w:rsid w:val="00E42990"/>
    <w:rsid w:val="00E42E50"/>
    <w:rsid w:val="00E4584F"/>
    <w:rsid w:val="00E5012A"/>
    <w:rsid w:val="00E50726"/>
    <w:rsid w:val="00E532A8"/>
    <w:rsid w:val="00E53800"/>
    <w:rsid w:val="00E6081F"/>
    <w:rsid w:val="00E614AA"/>
    <w:rsid w:val="00E624EC"/>
    <w:rsid w:val="00E6462A"/>
    <w:rsid w:val="00E65CE7"/>
    <w:rsid w:val="00E70C37"/>
    <w:rsid w:val="00E72B02"/>
    <w:rsid w:val="00E74A87"/>
    <w:rsid w:val="00E8296D"/>
    <w:rsid w:val="00E8457B"/>
    <w:rsid w:val="00E92E99"/>
    <w:rsid w:val="00E944AA"/>
    <w:rsid w:val="00E967FD"/>
    <w:rsid w:val="00EA04B2"/>
    <w:rsid w:val="00EA20F3"/>
    <w:rsid w:val="00EA36D9"/>
    <w:rsid w:val="00EA640B"/>
    <w:rsid w:val="00EC2942"/>
    <w:rsid w:val="00EC608A"/>
    <w:rsid w:val="00EC6D38"/>
    <w:rsid w:val="00ED02F9"/>
    <w:rsid w:val="00ED2831"/>
    <w:rsid w:val="00ED3B2D"/>
    <w:rsid w:val="00ED43D1"/>
    <w:rsid w:val="00EE0466"/>
    <w:rsid w:val="00EE1CFF"/>
    <w:rsid w:val="00EE2367"/>
    <w:rsid w:val="00EE275D"/>
    <w:rsid w:val="00EE4EE1"/>
    <w:rsid w:val="00EE6F10"/>
    <w:rsid w:val="00EF4574"/>
    <w:rsid w:val="00EF79C0"/>
    <w:rsid w:val="00F01921"/>
    <w:rsid w:val="00F04E7A"/>
    <w:rsid w:val="00F06DB5"/>
    <w:rsid w:val="00F13373"/>
    <w:rsid w:val="00F15DEB"/>
    <w:rsid w:val="00F1645D"/>
    <w:rsid w:val="00F16F8E"/>
    <w:rsid w:val="00F21C4C"/>
    <w:rsid w:val="00F24680"/>
    <w:rsid w:val="00F258BF"/>
    <w:rsid w:val="00F25A93"/>
    <w:rsid w:val="00F2684E"/>
    <w:rsid w:val="00F27235"/>
    <w:rsid w:val="00F309FC"/>
    <w:rsid w:val="00F32F70"/>
    <w:rsid w:val="00F4465B"/>
    <w:rsid w:val="00F45486"/>
    <w:rsid w:val="00F4570E"/>
    <w:rsid w:val="00F47942"/>
    <w:rsid w:val="00F53309"/>
    <w:rsid w:val="00F53E91"/>
    <w:rsid w:val="00F5404C"/>
    <w:rsid w:val="00F54F78"/>
    <w:rsid w:val="00F55791"/>
    <w:rsid w:val="00F57A9F"/>
    <w:rsid w:val="00F602A4"/>
    <w:rsid w:val="00F63408"/>
    <w:rsid w:val="00F63871"/>
    <w:rsid w:val="00F639D4"/>
    <w:rsid w:val="00F650C7"/>
    <w:rsid w:val="00F67C6A"/>
    <w:rsid w:val="00F70504"/>
    <w:rsid w:val="00F7298D"/>
    <w:rsid w:val="00F729EF"/>
    <w:rsid w:val="00F746B7"/>
    <w:rsid w:val="00F760AE"/>
    <w:rsid w:val="00F77CAE"/>
    <w:rsid w:val="00F77D64"/>
    <w:rsid w:val="00F82271"/>
    <w:rsid w:val="00F8320A"/>
    <w:rsid w:val="00F83428"/>
    <w:rsid w:val="00F866EB"/>
    <w:rsid w:val="00F875A8"/>
    <w:rsid w:val="00F90B17"/>
    <w:rsid w:val="00F96BB9"/>
    <w:rsid w:val="00FA34E5"/>
    <w:rsid w:val="00FA379E"/>
    <w:rsid w:val="00FA4D1A"/>
    <w:rsid w:val="00FA5EFD"/>
    <w:rsid w:val="00FA753B"/>
    <w:rsid w:val="00FB289D"/>
    <w:rsid w:val="00FB3CCA"/>
    <w:rsid w:val="00FB54B4"/>
    <w:rsid w:val="00FC1216"/>
    <w:rsid w:val="00FC4FBF"/>
    <w:rsid w:val="00FC5150"/>
    <w:rsid w:val="00FC5365"/>
    <w:rsid w:val="00FC5C6D"/>
    <w:rsid w:val="00FC7BF6"/>
    <w:rsid w:val="00FD08F3"/>
    <w:rsid w:val="00FD0C11"/>
    <w:rsid w:val="00FD1850"/>
    <w:rsid w:val="00FD38D1"/>
    <w:rsid w:val="00FD55AE"/>
    <w:rsid w:val="00FD710F"/>
    <w:rsid w:val="00FE4A70"/>
    <w:rsid w:val="00FE6D51"/>
    <w:rsid w:val="00FE6F2A"/>
    <w:rsid w:val="00FF011C"/>
    <w:rsid w:val="00FF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C33E0"/>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B32F5A"/>
    <w:pPr>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C33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B32F5A"/>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51572A"/>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02848993">
      <w:bodyDiv w:val="1"/>
      <w:marLeft w:val="0"/>
      <w:marRight w:val="0"/>
      <w:marTop w:val="0"/>
      <w:marBottom w:val="0"/>
      <w:divBdr>
        <w:top w:val="none" w:sz="0" w:space="0" w:color="auto"/>
        <w:left w:val="none" w:sz="0" w:space="0" w:color="auto"/>
        <w:bottom w:val="none" w:sz="0" w:space="0" w:color="auto"/>
        <w:right w:val="none" w:sz="0" w:space="0" w:color="auto"/>
      </w:divBdr>
    </w:div>
    <w:div w:id="295913950">
      <w:bodyDiv w:val="1"/>
      <w:marLeft w:val="0"/>
      <w:marRight w:val="0"/>
      <w:marTop w:val="0"/>
      <w:marBottom w:val="0"/>
      <w:divBdr>
        <w:top w:val="none" w:sz="0" w:space="0" w:color="auto"/>
        <w:left w:val="none" w:sz="0" w:space="0" w:color="auto"/>
        <w:bottom w:val="none" w:sz="0" w:space="0" w:color="auto"/>
        <w:right w:val="none" w:sz="0" w:space="0" w:color="auto"/>
      </w:divBdr>
    </w:div>
    <w:div w:id="498615128">
      <w:bodyDiv w:val="1"/>
      <w:marLeft w:val="0"/>
      <w:marRight w:val="0"/>
      <w:marTop w:val="0"/>
      <w:marBottom w:val="0"/>
      <w:divBdr>
        <w:top w:val="none" w:sz="0" w:space="0" w:color="auto"/>
        <w:left w:val="none" w:sz="0" w:space="0" w:color="auto"/>
        <w:bottom w:val="none" w:sz="0" w:space="0" w:color="auto"/>
        <w:right w:val="none" w:sz="0" w:space="0" w:color="auto"/>
      </w:divBdr>
    </w:div>
    <w:div w:id="498741025">
      <w:bodyDiv w:val="1"/>
      <w:marLeft w:val="0"/>
      <w:marRight w:val="0"/>
      <w:marTop w:val="0"/>
      <w:marBottom w:val="0"/>
      <w:divBdr>
        <w:top w:val="none" w:sz="0" w:space="0" w:color="auto"/>
        <w:left w:val="none" w:sz="0" w:space="0" w:color="auto"/>
        <w:bottom w:val="none" w:sz="0" w:space="0" w:color="auto"/>
        <w:right w:val="none" w:sz="0" w:space="0" w:color="auto"/>
      </w:divBdr>
    </w:div>
    <w:div w:id="732191590">
      <w:bodyDiv w:val="1"/>
      <w:marLeft w:val="0"/>
      <w:marRight w:val="0"/>
      <w:marTop w:val="0"/>
      <w:marBottom w:val="0"/>
      <w:divBdr>
        <w:top w:val="none" w:sz="0" w:space="0" w:color="auto"/>
        <w:left w:val="none" w:sz="0" w:space="0" w:color="auto"/>
        <w:bottom w:val="none" w:sz="0" w:space="0" w:color="auto"/>
        <w:right w:val="none" w:sz="0" w:space="0" w:color="auto"/>
      </w:divBdr>
    </w:div>
    <w:div w:id="944074529">
      <w:bodyDiv w:val="1"/>
      <w:marLeft w:val="0"/>
      <w:marRight w:val="0"/>
      <w:marTop w:val="0"/>
      <w:marBottom w:val="0"/>
      <w:divBdr>
        <w:top w:val="none" w:sz="0" w:space="0" w:color="auto"/>
        <w:left w:val="none" w:sz="0" w:space="0" w:color="auto"/>
        <w:bottom w:val="none" w:sz="0" w:space="0" w:color="auto"/>
        <w:right w:val="none" w:sz="0" w:space="0" w:color="auto"/>
      </w:divBdr>
    </w:div>
    <w:div w:id="1001157927">
      <w:bodyDiv w:val="1"/>
      <w:marLeft w:val="0"/>
      <w:marRight w:val="0"/>
      <w:marTop w:val="0"/>
      <w:marBottom w:val="0"/>
      <w:divBdr>
        <w:top w:val="none" w:sz="0" w:space="0" w:color="auto"/>
        <w:left w:val="none" w:sz="0" w:space="0" w:color="auto"/>
        <w:bottom w:val="none" w:sz="0" w:space="0" w:color="auto"/>
        <w:right w:val="none" w:sz="0" w:space="0" w:color="auto"/>
      </w:divBdr>
    </w:div>
    <w:div w:id="1018892232">
      <w:bodyDiv w:val="1"/>
      <w:marLeft w:val="0"/>
      <w:marRight w:val="0"/>
      <w:marTop w:val="0"/>
      <w:marBottom w:val="0"/>
      <w:divBdr>
        <w:top w:val="none" w:sz="0" w:space="0" w:color="auto"/>
        <w:left w:val="none" w:sz="0" w:space="0" w:color="auto"/>
        <w:bottom w:val="none" w:sz="0" w:space="0" w:color="auto"/>
        <w:right w:val="none" w:sz="0" w:space="0" w:color="auto"/>
      </w:divBdr>
    </w:div>
    <w:div w:id="1079710456">
      <w:bodyDiv w:val="1"/>
      <w:marLeft w:val="0"/>
      <w:marRight w:val="0"/>
      <w:marTop w:val="0"/>
      <w:marBottom w:val="0"/>
      <w:divBdr>
        <w:top w:val="none" w:sz="0" w:space="0" w:color="auto"/>
        <w:left w:val="none" w:sz="0" w:space="0" w:color="auto"/>
        <w:bottom w:val="none" w:sz="0" w:space="0" w:color="auto"/>
        <w:right w:val="none" w:sz="0" w:space="0" w:color="auto"/>
      </w:divBdr>
    </w:div>
    <w:div w:id="1082143044">
      <w:bodyDiv w:val="1"/>
      <w:marLeft w:val="0"/>
      <w:marRight w:val="0"/>
      <w:marTop w:val="0"/>
      <w:marBottom w:val="0"/>
      <w:divBdr>
        <w:top w:val="none" w:sz="0" w:space="0" w:color="auto"/>
        <w:left w:val="none" w:sz="0" w:space="0" w:color="auto"/>
        <w:bottom w:val="none" w:sz="0" w:space="0" w:color="auto"/>
        <w:right w:val="none" w:sz="0" w:space="0" w:color="auto"/>
      </w:divBdr>
    </w:div>
    <w:div w:id="1166362504">
      <w:bodyDiv w:val="1"/>
      <w:marLeft w:val="0"/>
      <w:marRight w:val="0"/>
      <w:marTop w:val="0"/>
      <w:marBottom w:val="0"/>
      <w:divBdr>
        <w:top w:val="none" w:sz="0" w:space="0" w:color="auto"/>
        <w:left w:val="none" w:sz="0" w:space="0" w:color="auto"/>
        <w:bottom w:val="none" w:sz="0" w:space="0" w:color="auto"/>
        <w:right w:val="none" w:sz="0" w:space="0" w:color="auto"/>
      </w:divBdr>
    </w:div>
    <w:div w:id="1312752294">
      <w:bodyDiv w:val="1"/>
      <w:marLeft w:val="0"/>
      <w:marRight w:val="0"/>
      <w:marTop w:val="0"/>
      <w:marBottom w:val="0"/>
      <w:divBdr>
        <w:top w:val="none" w:sz="0" w:space="0" w:color="auto"/>
        <w:left w:val="none" w:sz="0" w:space="0" w:color="auto"/>
        <w:bottom w:val="none" w:sz="0" w:space="0" w:color="auto"/>
        <w:right w:val="none" w:sz="0" w:space="0" w:color="auto"/>
      </w:divBdr>
    </w:div>
    <w:div w:id="1324968531">
      <w:bodyDiv w:val="1"/>
      <w:marLeft w:val="0"/>
      <w:marRight w:val="0"/>
      <w:marTop w:val="0"/>
      <w:marBottom w:val="0"/>
      <w:divBdr>
        <w:top w:val="none" w:sz="0" w:space="0" w:color="auto"/>
        <w:left w:val="none" w:sz="0" w:space="0" w:color="auto"/>
        <w:bottom w:val="none" w:sz="0" w:space="0" w:color="auto"/>
        <w:right w:val="none" w:sz="0" w:space="0" w:color="auto"/>
      </w:divBdr>
    </w:div>
    <w:div w:id="1349403125">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74056403">
      <w:bodyDiv w:val="1"/>
      <w:marLeft w:val="0"/>
      <w:marRight w:val="0"/>
      <w:marTop w:val="0"/>
      <w:marBottom w:val="0"/>
      <w:divBdr>
        <w:top w:val="none" w:sz="0" w:space="0" w:color="auto"/>
        <w:left w:val="none" w:sz="0" w:space="0" w:color="auto"/>
        <w:bottom w:val="none" w:sz="0" w:space="0" w:color="auto"/>
        <w:right w:val="none" w:sz="0" w:space="0" w:color="auto"/>
      </w:divBdr>
    </w:div>
    <w:div w:id="162280766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88231223">
      <w:bodyDiv w:val="1"/>
      <w:marLeft w:val="0"/>
      <w:marRight w:val="0"/>
      <w:marTop w:val="0"/>
      <w:marBottom w:val="0"/>
      <w:divBdr>
        <w:top w:val="none" w:sz="0" w:space="0" w:color="auto"/>
        <w:left w:val="none" w:sz="0" w:space="0" w:color="auto"/>
        <w:bottom w:val="none" w:sz="0" w:space="0" w:color="auto"/>
        <w:right w:val="none" w:sz="0" w:space="0" w:color="auto"/>
      </w:divBdr>
    </w:div>
    <w:div w:id="1800537010">
      <w:bodyDiv w:val="1"/>
      <w:marLeft w:val="0"/>
      <w:marRight w:val="0"/>
      <w:marTop w:val="0"/>
      <w:marBottom w:val="0"/>
      <w:divBdr>
        <w:top w:val="none" w:sz="0" w:space="0" w:color="auto"/>
        <w:left w:val="none" w:sz="0" w:space="0" w:color="auto"/>
        <w:bottom w:val="none" w:sz="0" w:space="0" w:color="auto"/>
        <w:right w:val="none" w:sz="0" w:space="0" w:color="auto"/>
      </w:divBdr>
    </w:div>
    <w:div w:id="1821268491">
      <w:bodyDiv w:val="1"/>
      <w:marLeft w:val="0"/>
      <w:marRight w:val="0"/>
      <w:marTop w:val="0"/>
      <w:marBottom w:val="0"/>
      <w:divBdr>
        <w:top w:val="none" w:sz="0" w:space="0" w:color="auto"/>
        <w:left w:val="none" w:sz="0" w:space="0" w:color="auto"/>
        <w:bottom w:val="none" w:sz="0" w:space="0" w:color="auto"/>
        <w:right w:val="none" w:sz="0" w:space="0" w:color="auto"/>
      </w:divBdr>
    </w:div>
    <w:div w:id="1836801870">
      <w:bodyDiv w:val="1"/>
      <w:marLeft w:val="0"/>
      <w:marRight w:val="0"/>
      <w:marTop w:val="0"/>
      <w:marBottom w:val="0"/>
      <w:divBdr>
        <w:top w:val="none" w:sz="0" w:space="0" w:color="auto"/>
        <w:left w:val="none" w:sz="0" w:space="0" w:color="auto"/>
        <w:bottom w:val="none" w:sz="0" w:space="0" w:color="auto"/>
        <w:right w:val="none" w:sz="0" w:space="0" w:color="auto"/>
      </w:divBdr>
    </w:div>
    <w:div w:id="1838184434">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14579165">
      <w:bodyDiv w:val="1"/>
      <w:marLeft w:val="0"/>
      <w:marRight w:val="0"/>
      <w:marTop w:val="0"/>
      <w:marBottom w:val="0"/>
      <w:divBdr>
        <w:top w:val="none" w:sz="0" w:space="0" w:color="auto"/>
        <w:left w:val="none" w:sz="0" w:space="0" w:color="auto"/>
        <w:bottom w:val="none" w:sz="0" w:space="0" w:color="auto"/>
        <w:right w:val="none" w:sz="0" w:space="0" w:color="auto"/>
      </w:divBdr>
    </w:div>
    <w:div w:id="2012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2837</Words>
  <Characters>17093</Characters>
  <Application>Microsoft Office Word</Application>
  <DocSecurity>0</DocSecurity>
  <Lines>318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Cambodia Development Program Progress Report</dc:title>
  <dc:subject/>
  <dc:creator/>
  <cp:keywords/>
  <cp:lastModifiedBy/>
  <cp:revision>1</cp:revision>
  <dcterms:created xsi:type="dcterms:W3CDTF">2021-11-24T05:05:00Z</dcterms:created>
  <dcterms:modified xsi:type="dcterms:W3CDTF">2021-11-24T05:05:00Z</dcterms:modified>
  <cp:category/>
</cp:coreProperties>
</file>