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AC" w:rsidRPr="003756BD" w:rsidRDefault="00F51DAC" w:rsidP="003756BD">
      <w:pPr>
        <w:pStyle w:val="TPHeading1"/>
        <w:ind w:left="0"/>
        <w:jc w:val="center"/>
        <w:rPr>
          <w:rFonts w:ascii="Garamond" w:hAnsi="Garamond"/>
        </w:rPr>
      </w:pPr>
      <w:bookmarkStart w:id="0" w:name="_Toc23559331"/>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084EF4" w:rsidRDefault="00084EF4" w:rsidP="003756BD">
      <w:pPr>
        <w:pStyle w:val="TPHeading1"/>
        <w:ind w:left="0"/>
        <w:jc w:val="center"/>
        <w:rPr>
          <w:rFonts w:ascii="Garamond" w:hAnsi="Garamond"/>
          <w:b w:val="0"/>
          <w:caps w:val="0"/>
          <w:sz w:val="56"/>
          <w:szCs w:val="56"/>
        </w:rPr>
      </w:pPr>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2A70ED">
        <w:rPr>
          <w:rFonts w:ascii="Garamond" w:hAnsi="Garamond"/>
          <w:b w:val="0"/>
          <w:caps w:val="0"/>
          <w:sz w:val="56"/>
          <w:szCs w:val="56"/>
        </w:rPr>
        <w:t>5</w:t>
      </w:r>
      <w:r w:rsidR="00A1234B" w:rsidRPr="00084EF4">
        <w:rPr>
          <w:rFonts w:ascii="Garamond" w:hAnsi="Garamond"/>
          <w:b w:val="0"/>
          <w:caps w:val="0"/>
          <w:sz w:val="56"/>
          <w:szCs w:val="56"/>
        </w:rPr>
        <w:t>-1</w:t>
      </w:r>
      <w:r w:rsidR="002A70ED">
        <w:rPr>
          <w:rFonts w:ascii="Garamond" w:hAnsi="Garamond"/>
          <w:b w:val="0"/>
          <w:caps w:val="0"/>
          <w:sz w:val="56"/>
          <w:szCs w:val="56"/>
        </w:rPr>
        <w:t>6</w:t>
      </w: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711504" w:rsidP="003756BD">
      <w:pPr>
        <w:pStyle w:val="TPHeading2"/>
        <w:ind w:left="0"/>
        <w:jc w:val="center"/>
        <w:rPr>
          <w:rFonts w:ascii="Garamond" w:hAnsi="Garamond"/>
          <w:caps w:val="0"/>
        </w:rPr>
      </w:pPr>
      <w:r>
        <w:rPr>
          <w:rFonts w:ascii="Garamond" w:hAnsi="Garamond"/>
          <w:caps w:val="0"/>
        </w:rPr>
        <w:t>Foreign Affairs and Trade</w:t>
      </w:r>
      <w:r w:rsidR="00084EF4">
        <w:rPr>
          <w:rFonts w:ascii="Garamond" w:hAnsi="Garamond"/>
          <w:caps w:val="0"/>
        </w:rPr>
        <w:t xml:space="preserve"> </w:t>
      </w:r>
      <w:r w:rsidR="00F51DAC" w:rsidRPr="00084EF4">
        <w:rPr>
          <w:rFonts w:ascii="Garamond" w:hAnsi="Garamond"/>
          <w:caps w:val="0"/>
        </w:rPr>
        <w:t>P</w:t>
      </w:r>
      <w:r w:rsidR="00084EF4">
        <w:rPr>
          <w:rFonts w:ascii="Garamond" w:hAnsi="Garamond"/>
          <w:caps w:val="0"/>
        </w:rPr>
        <w:t>ortfolio</w:t>
      </w: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3"/>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2A70ED">
        <w:rPr>
          <w:rFonts w:ascii="Garamond" w:hAnsi="Garamond"/>
          <w:caps w:val="0"/>
        </w:rPr>
        <w:t>5</w:t>
      </w:r>
      <w:r w:rsidR="00A1234B" w:rsidRPr="00084EF4">
        <w:rPr>
          <w:rFonts w:ascii="Garamond" w:hAnsi="Garamond"/>
          <w:caps w:val="0"/>
        </w:rPr>
        <w:t>-1</w:t>
      </w:r>
      <w:r w:rsidR="002A70ED">
        <w:rPr>
          <w:rFonts w:ascii="Garamond" w:hAnsi="Garamond"/>
          <w:caps w:val="0"/>
        </w:rPr>
        <w:t>6</w:t>
      </w:r>
    </w:p>
    <w:p w:rsidR="00F51DAC" w:rsidRPr="00084EF4" w:rsidRDefault="00F51DAC" w:rsidP="003756BD">
      <w:pPr>
        <w:jc w:val="center"/>
        <w:rPr>
          <w:snapToGrid w:val="0"/>
        </w:rPr>
      </w:pPr>
    </w:p>
    <w:p w:rsidR="00F51DAC" w:rsidRDefault="00F51DAC" w:rsidP="00F51DAC">
      <w:pPr>
        <w:pStyle w:val="OverviewParagraph"/>
        <w:rPr>
          <w:rFonts w:ascii="Arial" w:hAnsi="Arial"/>
        </w:rPr>
        <w:sectPr w:rsidR="00F51DAC" w:rsidSect="00664A11">
          <w:headerReference w:type="even" r:id="rId15"/>
          <w:headerReference w:type="default" r:id="rId16"/>
          <w:footerReference w:type="even" r:id="rId17"/>
          <w:footerReference w:type="default" r:id="rId18"/>
          <w:pgSz w:w="11907" w:h="16840" w:code="9"/>
          <w:pgMar w:top="2466" w:right="2098" w:bottom="2466" w:left="2098" w:header="1899" w:footer="1899" w:gutter="0"/>
          <w:pgNumType w:fmt="lowerRoman" w:start="1"/>
          <w:cols w:space="720"/>
          <w:titlePg/>
          <w:docGrid w:linePitch="272"/>
        </w:sectPr>
      </w:pPr>
      <w:bookmarkStart w:id="1" w:name="_Toc491014608"/>
      <w:bookmarkStart w:id="2" w:name="_Toc491014750"/>
      <w:bookmarkStart w:id="3" w:name="_Toc491031921"/>
    </w:p>
    <w:p w:rsidR="003E5422" w:rsidRDefault="003E5422" w:rsidP="003E5422">
      <w:r>
        <w:lastRenderedPageBreak/>
        <w:t xml:space="preserve">© Commonwealth of </w:t>
      </w:r>
      <w:r w:rsidRPr="00711504">
        <w:t xml:space="preserve">Australia </w:t>
      </w:r>
      <w:r w:rsidR="00147274" w:rsidRPr="00711504">
        <w:t>201</w:t>
      </w:r>
      <w:r w:rsidR="00B808E9" w:rsidRPr="00711504">
        <w:t>6</w:t>
      </w:r>
    </w:p>
    <w:p w:rsidR="003E5422" w:rsidRDefault="003E5422" w:rsidP="003E5422">
      <w:r>
        <w:t xml:space="preserve">ISBN </w:t>
      </w:r>
      <w:r w:rsidR="00BF5857">
        <w:t>978-1-74322-293-5</w:t>
      </w:r>
    </w:p>
    <w:p w:rsidR="003E5422" w:rsidRPr="00DB3B0D" w:rsidRDefault="003E5422" w:rsidP="003E5422">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9"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711504">
        <w:t xml:space="preserve">Department of Foreign Affairs and Trade </w:t>
      </w:r>
      <w:r>
        <w:t>logo, photographs, images, signa</w:t>
      </w:r>
      <w:r w:rsidR="00A069B5">
        <w:t>tures and where otherwise stated</w:t>
      </w:r>
      <w:r>
        <w:t>. The full licence terms are available from</w:t>
      </w:r>
      <w:r w:rsidRPr="00DB3B0D">
        <w:rPr>
          <w:rStyle w:val="A5"/>
          <w:rFonts w:ascii="Calibri" w:hAnsi="Calibri" w:cs="Calibri"/>
          <w:sz w:val="24"/>
          <w:szCs w:val="24"/>
        </w:rPr>
        <w:t xml:space="preserve"> </w:t>
      </w:r>
      <w:hyperlink r:id="rId20" w:history="1">
        <w:r>
          <w:rPr>
            <w:rStyle w:val="Hyperlink"/>
          </w:rPr>
          <w:t>http://creativecommons.org/licenses/by/3.0/au/legalcode</w:t>
        </w:r>
      </w:hyperlink>
      <w:r>
        <w:rPr>
          <w:rStyle w:val="Hyperlink"/>
        </w:rPr>
        <w:t>.</w:t>
      </w:r>
      <w:r>
        <w:rPr>
          <w:color w:val="000000"/>
          <w:sz w:val="24"/>
          <w:szCs w:val="24"/>
        </w:rPr>
        <w:t xml:space="preserve"> </w:t>
      </w:r>
    </w:p>
    <w:p w:rsidR="003E5422" w:rsidRPr="00DB3B0D" w:rsidRDefault="008C3D0D" w:rsidP="003E5422">
      <w:pPr>
        <w:tabs>
          <w:tab w:val="left" w:pos="1650"/>
        </w:tabs>
        <w:spacing w:before="100" w:beforeAutospacing="1" w:after="100" w:afterAutospacing="1" w:line="240" w:lineRule="auto"/>
        <w:rPr>
          <w:rFonts w:cs="Calibri"/>
        </w:rPr>
      </w:pPr>
      <w:r>
        <w:rPr>
          <w:rFonts w:cs="Calibri"/>
          <w:noProof/>
          <w:color w:val="000000"/>
          <w:sz w:val="24"/>
          <w:szCs w:val="24"/>
          <w:lang w:eastAsia="zh-CN"/>
        </w:rPr>
        <w:drawing>
          <wp:inline distT="0" distB="0" distL="0" distR="0">
            <wp:extent cx="809625" cy="285750"/>
            <wp:effectExtent l="0" t="0" r="9525" b="0"/>
            <wp:docPr id="326"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3E5422" w:rsidRPr="00DB3B0D" w:rsidRDefault="003E5422" w:rsidP="003E5422">
      <w:pPr>
        <w:tabs>
          <w:tab w:val="left" w:pos="1650"/>
        </w:tabs>
        <w:spacing w:before="100" w:beforeAutospacing="1" w:after="100" w:afterAutospacing="1"/>
        <w:rPr>
          <w:sz w:val="22"/>
          <w:szCs w:val="22"/>
        </w:rPr>
      </w:pPr>
      <w:r>
        <w:t xml:space="preserve">Use of </w:t>
      </w:r>
      <w:r w:rsidR="00A069B5">
        <w:t xml:space="preserve">Foreign Affairs and Trade Portfolio </w:t>
      </w:r>
      <w:r>
        <w:t>material under a</w:t>
      </w:r>
      <w:r w:rsidRPr="00DB3B0D">
        <w:rPr>
          <w:rFonts w:cs="Calibri"/>
          <w:color w:val="000000"/>
          <w:sz w:val="24"/>
          <w:szCs w:val="24"/>
        </w:rPr>
        <w:t xml:space="preserve"> </w:t>
      </w:r>
      <w:hyperlink r:id="rId22" w:history="1">
        <w:r>
          <w:rPr>
            <w:rStyle w:val="Hyperlink"/>
          </w:rPr>
          <w:t>Creative Commons BY Attribution 3.0 Australia</w:t>
        </w:r>
      </w:hyperlink>
      <w:r w:rsidRPr="00F07784">
        <w:rPr>
          <w:rStyle w:val="Hyperlink"/>
          <w:u w:val="none"/>
        </w:rPr>
        <w:t xml:space="preserve"> </w:t>
      </w:r>
      <w:r>
        <w:t xml:space="preserve">licence requires you to attribute the work (but not in any way that suggests that the </w:t>
      </w:r>
      <w:r w:rsidR="00A069B5">
        <w:t xml:space="preserve">Foreign Affairs and Trade Portfolio </w:t>
      </w:r>
      <w:r>
        <w:t xml:space="preserve">endorses you or your use of the work). </w:t>
      </w:r>
    </w:p>
    <w:p w:rsidR="003E5422" w:rsidRDefault="00A069B5" w:rsidP="003E5422">
      <w:pPr>
        <w:rPr>
          <w:i/>
        </w:rPr>
      </w:pPr>
      <w:r w:rsidRPr="00A069B5">
        <w:rPr>
          <w:i/>
        </w:rPr>
        <w:t>Foreign Affairs and Trade Portfolio</w:t>
      </w:r>
      <w:r w:rsidR="003E5422">
        <w:rPr>
          <w:i/>
        </w:rPr>
        <w:t xml:space="preserve"> material used 'as supplied'</w:t>
      </w:r>
    </w:p>
    <w:p w:rsidR="003E5422" w:rsidRDefault="003E5422" w:rsidP="003E5422">
      <w:r>
        <w:t xml:space="preserve">Provided you have not modified or transformed </w:t>
      </w:r>
      <w:r w:rsidR="00A069B5">
        <w:t>Foreign Affairs and Trade Portfolio</w:t>
      </w:r>
      <w:r w:rsidR="00A069B5">
        <w:rPr>
          <w:i/>
        </w:rPr>
        <w:t xml:space="preserve"> </w:t>
      </w:r>
      <w:r>
        <w:t xml:space="preserve">material in any way including, for example, by changing the text; calculating percentage changes; graphing or charting data; or deriving new statistics from published statistics – then </w:t>
      </w:r>
      <w:r w:rsidR="00A069B5">
        <w:t>the Foreign Affairs and Trade Portfolio</w:t>
      </w:r>
      <w:r w:rsidR="00A069B5">
        <w:rPr>
          <w:i/>
        </w:rPr>
        <w:t xml:space="preserve"> </w:t>
      </w:r>
      <w:r>
        <w:t xml:space="preserve">prefers the following attribution: </w:t>
      </w:r>
    </w:p>
    <w:p w:rsidR="003E5422" w:rsidRDefault="003E5422" w:rsidP="003E5422">
      <w:pPr>
        <w:ind w:firstLine="720"/>
      </w:pPr>
      <w:r>
        <w:rPr>
          <w:i/>
        </w:rPr>
        <w:t xml:space="preserve">Source: The </w:t>
      </w:r>
      <w:r>
        <w:rPr>
          <w:i/>
          <w:iCs/>
        </w:rPr>
        <w:t>Australian Government </w:t>
      </w:r>
      <w:r w:rsidR="00A069B5" w:rsidRPr="00A069B5">
        <w:rPr>
          <w:i/>
        </w:rPr>
        <w:t>Foreign Affairs and Trade Portfolio</w:t>
      </w:r>
      <w:r>
        <w:rPr>
          <w:i/>
          <w:iCs/>
        </w:rPr>
        <w:t xml:space="preserve"> </w:t>
      </w:r>
    </w:p>
    <w:p w:rsidR="003E5422" w:rsidRDefault="003E5422" w:rsidP="003E5422">
      <w:r>
        <w:t>Derivative material</w:t>
      </w:r>
    </w:p>
    <w:p w:rsidR="003E5422" w:rsidRDefault="003E5422" w:rsidP="003E5422">
      <w:r>
        <w:t xml:space="preserve">If you have modified or transformed </w:t>
      </w:r>
      <w:r w:rsidR="00A34FE1">
        <w:t>Foreign Affairs and Trade Portfolio</w:t>
      </w:r>
      <w:r>
        <w:t xml:space="preserve"> material, or derived new material from those of the </w:t>
      </w:r>
      <w:r w:rsidR="00A34FE1">
        <w:t>Foreign Affairs and Trade Portfolio</w:t>
      </w:r>
      <w:r>
        <w:t xml:space="preserve"> in any way, then </w:t>
      </w:r>
      <w:r w:rsidR="00A34FE1">
        <w:t>the Foreign Affairs and Trade Portfolio</w:t>
      </w:r>
      <w:r>
        <w:t xml:space="preserve"> prefers the following attribution: </w:t>
      </w:r>
    </w:p>
    <w:p w:rsidR="003E5422" w:rsidRDefault="003E5422" w:rsidP="003E5422">
      <w:pPr>
        <w:ind w:firstLine="720"/>
      </w:pPr>
      <w:r>
        <w:rPr>
          <w:i/>
        </w:rPr>
        <w:t xml:space="preserve">Based on The Australian </w:t>
      </w:r>
      <w:r w:rsidRPr="00A34FE1">
        <w:rPr>
          <w:i/>
        </w:rPr>
        <w:t xml:space="preserve">Government </w:t>
      </w:r>
      <w:r w:rsidR="00A34FE1" w:rsidRPr="00A34FE1">
        <w:rPr>
          <w:i/>
        </w:rPr>
        <w:t>Foreign Affairs and Trade Portfolio</w:t>
      </w:r>
      <w:r>
        <w:rPr>
          <w:i/>
        </w:rPr>
        <w:t xml:space="preserve"> data</w:t>
      </w:r>
      <w:r>
        <w:t xml:space="preserve"> </w:t>
      </w:r>
    </w:p>
    <w:p w:rsidR="003E5422" w:rsidRDefault="003E5422" w:rsidP="003E5422">
      <w:pPr>
        <w:spacing w:after="40"/>
        <w:rPr>
          <w:b/>
        </w:rPr>
      </w:pPr>
      <w:r>
        <w:rPr>
          <w:b/>
        </w:rPr>
        <w:t>Use of the Coat of Arms</w:t>
      </w:r>
    </w:p>
    <w:p w:rsidR="003E5422" w:rsidRDefault="003E5422" w:rsidP="003E5422">
      <w:r>
        <w:t xml:space="preserve">The terms under which the Coat of Arms can be used are set out on the It’s an Honour website (see </w:t>
      </w:r>
      <w:hyperlink r:id="rId23" w:history="1">
        <w:r>
          <w:rPr>
            <w:rStyle w:val="Hyperlink"/>
          </w:rPr>
          <w:t>www.itsanhonour.gov.au</w:t>
        </w:r>
      </w:hyperlink>
      <w:r>
        <w:t>)</w:t>
      </w:r>
      <w:r w:rsidR="00AB0D64">
        <w:t>.</w:t>
      </w:r>
    </w:p>
    <w:p w:rsidR="003E5422" w:rsidRDefault="003E5422" w:rsidP="003E5422">
      <w:pPr>
        <w:spacing w:after="40"/>
        <w:rPr>
          <w:b/>
        </w:rPr>
      </w:pPr>
      <w:r>
        <w:rPr>
          <w:b/>
        </w:rPr>
        <w:t>Other Uses</w:t>
      </w:r>
    </w:p>
    <w:p w:rsidR="0073762B" w:rsidRDefault="003E5422" w:rsidP="007A29F8">
      <w:pPr>
        <w:jc w:val="left"/>
      </w:pPr>
      <w:r>
        <w:t>Inquiries regarding this licence and any other use of this document are welcome at:</w:t>
      </w:r>
      <w:r w:rsidR="00945975">
        <w:t xml:space="preserve"> </w:t>
      </w:r>
      <w:r w:rsidR="00AC5077">
        <w:t xml:space="preserve"> </w:t>
      </w:r>
      <w:r w:rsidR="00945975">
        <w:t xml:space="preserve">Mr </w:t>
      </w:r>
      <w:r w:rsidR="00A15CBD">
        <w:t xml:space="preserve">Paul Wood, Chief </w:t>
      </w:r>
      <w:r w:rsidR="009A6716">
        <w:t>Financial</w:t>
      </w:r>
      <w:r w:rsidR="00A15CBD">
        <w:t xml:space="preserve"> Officer, Department of Foreign Affairs and Trade. </w:t>
      </w:r>
      <w:r>
        <w:br w:type="page"/>
      </w:r>
    </w:p>
    <w:p w:rsidR="00F51DAC" w:rsidRPr="006C7515" w:rsidRDefault="00F51DAC" w:rsidP="00F51DAC">
      <w:pPr>
        <w:pStyle w:val="Area"/>
      </w:pPr>
      <w:r w:rsidRPr="006C7515">
        <w:lastRenderedPageBreak/>
        <w:t>MINISTER</w:t>
      </w:r>
    </w:p>
    <w:p w:rsidR="00F51DAC" w:rsidRPr="00A13F7B" w:rsidRDefault="00F51DAC" w:rsidP="00F51DAC">
      <w:pPr>
        <w:pStyle w:val="ParliamentHouse"/>
      </w:pPr>
      <w:r w:rsidRPr="00A13F7B">
        <w:t>PARLIAMENT HOUSE</w:t>
      </w:r>
      <w:r>
        <w:br/>
      </w:r>
      <w:r w:rsidRPr="00A13F7B">
        <w:t>CANBERRA  2600</w:t>
      </w:r>
    </w:p>
    <w:p w:rsidR="00F51DAC" w:rsidRDefault="00F51DAC" w:rsidP="00F51DAC">
      <w:pPr>
        <w:pStyle w:val="SinglePara"/>
      </w:pPr>
      <w:r>
        <w:t>President of the Senate</w:t>
      </w:r>
    </w:p>
    <w:p w:rsidR="00F51DAC" w:rsidRDefault="00F51DAC" w:rsidP="00F51DAC">
      <w:pPr>
        <w:pStyle w:val="SinglePara"/>
      </w:pPr>
      <w:r>
        <w:t>Australian Senate</w:t>
      </w:r>
    </w:p>
    <w:p w:rsidR="00F51DAC" w:rsidRDefault="00F51DAC" w:rsidP="00F51DAC">
      <w:pPr>
        <w:pStyle w:val="SinglePara"/>
      </w:pPr>
      <w:r>
        <w:t>Parliament House</w:t>
      </w:r>
    </w:p>
    <w:p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rsidR="00F51DAC" w:rsidRDefault="00F51DAC" w:rsidP="00F51DAC"/>
    <w:p w:rsidR="00F51DAC" w:rsidRDefault="00F51DAC" w:rsidP="00F51DAC">
      <w:pPr>
        <w:pStyle w:val="SinglePara"/>
        <w:rPr>
          <w:rFonts w:ascii="Garamond" w:hAnsi="Garamond"/>
          <w:sz w:val="22"/>
        </w:rPr>
      </w:pPr>
      <w:r>
        <w:rPr>
          <w:rFonts w:ascii="Garamond" w:hAnsi="Garamond"/>
          <w:sz w:val="22"/>
        </w:rPr>
        <w:t>Speaker</w:t>
      </w:r>
    </w:p>
    <w:p w:rsidR="00F51DAC" w:rsidRDefault="00F51DAC" w:rsidP="00F51DAC">
      <w:pPr>
        <w:pStyle w:val="SinglePara"/>
      </w:pPr>
      <w:r>
        <w:t>House of Representatives</w:t>
      </w:r>
    </w:p>
    <w:p w:rsidR="00F51DAC" w:rsidRDefault="00F51DAC" w:rsidP="00F51DAC">
      <w:pPr>
        <w:pStyle w:val="SinglePara"/>
      </w:pPr>
      <w:r>
        <w:t>Parliament House</w:t>
      </w:r>
    </w:p>
    <w:p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rsidR="00F51DAC" w:rsidRDefault="00F51DAC" w:rsidP="00F51DAC"/>
    <w:p w:rsidR="00F51DAC" w:rsidRDefault="00F51DAC" w:rsidP="00F51DAC">
      <w:pPr>
        <w:pStyle w:val="SinglePara"/>
      </w:pPr>
      <w:r>
        <w:t>Dear Mr President</w:t>
      </w:r>
    </w:p>
    <w:p w:rsidR="00F51DAC" w:rsidRDefault="00F51DAC" w:rsidP="00F51DAC">
      <w:pPr>
        <w:pStyle w:val="SinglePara"/>
        <w:rPr>
          <w:rFonts w:ascii="Garamond" w:hAnsi="Garamond"/>
          <w:sz w:val="22"/>
        </w:rPr>
      </w:pPr>
      <w:r>
        <w:t>Dear Mr Speaker</w:t>
      </w:r>
    </w:p>
    <w:p w:rsidR="00F51DAC" w:rsidRDefault="00F51DAC" w:rsidP="00F51DAC"/>
    <w:p w:rsidR="00F51DAC" w:rsidRDefault="00A34FE1" w:rsidP="00F51DAC">
      <w:r>
        <w:t>We</w:t>
      </w:r>
      <w:r w:rsidR="00F51DAC">
        <w:t xml:space="preserve"> hereby submit Portfolio Additional Estimates Statements in support of the</w:t>
      </w:r>
      <w:r w:rsidR="00F51DAC">
        <w:br/>
      </w:r>
      <w:r w:rsidR="00A1234B">
        <w:t>201</w:t>
      </w:r>
      <w:r w:rsidR="00B94BE6">
        <w:t>5</w:t>
      </w:r>
      <w:r w:rsidR="00A1234B">
        <w:t>-1</w:t>
      </w:r>
      <w:r w:rsidR="00B94BE6">
        <w:t>6</w:t>
      </w:r>
      <w:r w:rsidR="00F51DAC">
        <w:t xml:space="preserve"> Additional Estimates for the </w:t>
      </w:r>
      <w:r>
        <w:t xml:space="preserve">Foreign Affairs and Trade </w:t>
      </w:r>
      <w:r w:rsidR="00F51DAC">
        <w:t>Portfolio.</w:t>
      </w:r>
    </w:p>
    <w:p w:rsidR="00F51DAC" w:rsidRDefault="00F51DAC" w:rsidP="00F51DAC">
      <w:r>
        <w:t>These statements have been developed, and are submitted to the Parliament, as a statement on the funding requirements being sought for the Portfolio.</w:t>
      </w:r>
    </w:p>
    <w:p w:rsidR="00F51DAC" w:rsidRDefault="00A34FE1" w:rsidP="00F51DAC">
      <w:r>
        <w:t>We</w:t>
      </w:r>
      <w:r w:rsidR="00F51DAC">
        <w:t xml:space="preserve"> present these statements by virtue of </w:t>
      </w:r>
      <w:r w:rsidR="00BD66F7">
        <w:t>our</w:t>
      </w:r>
      <w:r w:rsidR="00F51DAC">
        <w:t xml:space="preserve"> ministerial responsibility for accountability to the Parliament and, through it, the public.</w:t>
      </w:r>
    </w:p>
    <w:p w:rsidR="00F51DAC" w:rsidRDefault="00F51DAC" w:rsidP="00F51DAC">
      <w:r>
        <w:t>Yours sincerely</w:t>
      </w:r>
    </w:p>
    <w:p w:rsidR="00F51DAC" w:rsidRDefault="00C56AD2" w:rsidP="00C56AD2">
      <w:pPr>
        <w:tabs>
          <w:tab w:val="left" w:pos="5610"/>
        </w:tabs>
      </w:pPr>
      <w:r>
        <w:tab/>
      </w:r>
    </w:p>
    <w:p w:rsidR="00F51DAC" w:rsidRDefault="00F51DAC" w:rsidP="00F51DAC"/>
    <w:p w:rsidR="00A15CBD" w:rsidRDefault="00A15CBD" w:rsidP="00F51DAC"/>
    <w:p w:rsidR="00A34FE1" w:rsidRDefault="00A34FE1" w:rsidP="00A34FE1">
      <w:pPr>
        <w:pStyle w:val="Exampletext0"/>
        <w:spacing w:after="0" w:line="240" w:lineRule="auto"/>
        <w:rPr>
          <w:i w:val="0"/>
          <w:color w:val="auto"/>
          <w:lang w:val="en-AU"/>
        </w:rPr>
      </w:pPr>
      <w:r>
        <w:rPr>
          <w:i w:val="0"/>
          <w:color w:val="auto"/>
          <w:lang w:val="en-AU"/>
        </w:rPr>
        <w:t>The Hon Julie Bishop MP</w:t>
      </w:r>
      <w:r>
        <w:rPr>
          <w:i w:val="0"/>
          <w:color w:val="auto"/>
          <w:lang w:val="en-AU"/>
        </w:rPr>
        <w:tab/>
      </w:r>
      <w:r>
        <w:rPr>
          <w:i w:val="0"/>
          <w:color w:val="auto"/>
          <w:lang w:val="en-AU"/>
        </w:rPr>
        <w:tab/>
      </w:r>
      <w:r>
        <w:rPr>
          <w:i w:val="0"/>
          <w:color w:val="auto"/>
          <w:lang w:val="en-AU"/>
        </w:rPr>
        <w:tab/>
        <w:t>The Hon Andrew Robb AO MP</w:t>
      </w:r>
      <w:r w:rsidR="00C56AD2" w:rsidRPr="00C56AD2">
        <w:t xml:space="preserve"> </w:t>
      </w:r>
    </w:p>
    <w:p w:rsidR="00A34FE1" w:rsidRPr="004F0AD2" w:rsidRDefault="00A34FE1" w:rsidP="00A34FE1">
      <w:pPr>
        <w:pStyle w:val="Exampletext0"/>
        <w:spacing w:after="0" w:line="240" w:lineRule="auto"/>
        <w:rPr>
          <w:lang w:val="en-AU"/>
        </w:rPr>
      </w:pPr>
      <w:r>
        <w:rPr>
          <w:i w:val="0"/>
          <w:color w:val="auto"/>
          <w:lang w:val="en-AU"/>
        </w:rPr>
        <w:t>Minister for Foreign Affairs</w:t>
      </w:r>
      <w:r>
        <w:rPr>
          <w:i w:val="0"/>
          <w:color w:val="auto"/>
          <w:lang w:val="en-AU"/>
        </w:rPr>
        <w:tab/>
      </w:r>
      <w:r>
        <w:rPr>
          <w:i w:val="0"/>
          <w:color w:val="auto"/>
          <w:lang w:val="en-AU"/>
        </w:rPr>
        <w:tab/>
      </w:r>
      <w:r>
        <w:rPr>
          <w:i w:val="0"/>
          <w:color w:val="auto"/>
          <w:lang w:val="en-AU"/>
        </w:rPr>
        <w:tab/>
        <w:t>Minister for Trade and Investment</w:t>
      </w:r>
    </w:p>
    <w:p w:rsidR="00F51DAC" w:rsidRDefault="00F51DAC" w:rsidP="00F51DAC"/>
    <w:p w:rsidR="00F51DAC" w:rsidRDefault="00F51DAC" w:rsidP="00F51DAC"/>
    <w:p w:rsidR="00F51DAC" w:rsidRDefault="00F51DAC" w:rsidP="00F51DAC">
      <w:pPr>
        <w:sectPr w:rsidR="00F51DAC" w:rsidSect="004C04CB">
          <w:headerReference w:type="even" r:id="rId24"/>
          <w:headerReference w:type="default" r:id="rId25"/>
          <w:headerReference w:type="first" r:id="rId26"/>
          <w:footerReference w:type="first" r:id="rId27"/>
          <w:pgSz w:w="11907" w:h="16840" w:code="9"/>
          <w:pgMar w:top="2466" w:right="2098" w:bottom="2466" w:left="2098" w:header="1899" w:footer="1899" w:gutter="0"/>
          <w:pgNumType w:fmt="lowerRoman"/>
          <w:cols w:space="720"/>
          <w:titlePg/>
        </w:sectPr>
      </w:pPr>
      <w:bookmarkStart w:id="4" w:name="_GoBack"/>
      <w:bookmarkEnd w:id="1"/>
      <w:bookmarkEnd w:id="2"/>
      <w:bookmarkEnd w:id="3"/>
      <w:bookmarkEnd w:id="4"/>
    </w:p>
    <w:p w:rsidR="00F51DAC" w:rsidRPr="00447D46" w:rsidRDefault="00F51DAC" w:rsidP="00F53464">
      <w:pPr>
        <w:pStyle w:val="Heading1"/>
      </w:pPr>
      <w:r>
        <w:lastRenderedPageBreak/>
        <w:t>Abbreviations and</w:t>
      </w:r>
      <w:r w:rsidRPr="00447D46">
        <w:t xml:space="preserve"> conventions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w:t>
      </w:r>
      <w:proofErr w:type="spellStart"/>
      <w:r>
        <w:t>nec</w:t>
      </w:r>
      <w:proofErr w:type="spellEnd"/>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F51DAC" w:rsidRDefault="00F51DAC" w:rsidP="00F51DAC">
      <w:pPr>
        <w:tabs>
          <w:tab w:val="left" w:pos="567"/>
          <w:tab w:val="left" w:pos="1701"/>
        </w:tabs>
        <w:spacing w:after="60"/>
        <w:ind w:left="567"/>
      </w:pPr>
      <w:proofErr w:type="spellStart"/>
      <w:r>
        <w:t>na</w:t>
      </w:r>
      <w:proofErr w:type="spellEnd"/>
      <w:r>
        <w:tab/>
        <w:t>not applicable (unless otherwise specified)</w:t>
      </w:r>
    </w:p>
    <w:p w:rsidR="00F51DAC" w:rsidRDefault="00F51DAC" w:rsidP="00F51DAC">
      <w:pPr>
        <w:tabs>
          <w:tab w:val="left" w:pos="567"/>
          <w:tab w:val="left" w:pos="1701"/>
        </w:tabs>
        <w:spacing w:after="60"/>
        <w:ind w:left="567"/>
      </w:pPr>
      <w:proofErr w:type="spellStart"/>
      <w:r>
        <w:t>nfp</w:t>
      </w:r>
      <w:proofErr w:type="spellEnd"/>
      <w:r>
        <w:tab/>
        <w:t>not for publication</w:t>
      </w:r>
    </w:p>
    <w:p w:rsidR="00F51DAC" w:rsidRDefault="00F51DAC" w:rsidP="00F51DAC">
      <w:pPr>
        <w:tabs>
          <w:tab w:val="left" w:pos="567"/>
          <w:tab w:val="left" w:pos="1701"/>
        </w:tabs>
        <w:spacing w:after="60"/>
        <w:ind w:left="567"/>
      </w:pPr>
      <w:r>
        <w:t>$m</w:t>
      </w:r>
      <w:r>
        <w:tab/>
        <w:t>$ million</w:t>
      </w: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Default="00F51DAC" w:rsidP="00F53464">
      <w:pPr>
        <w:pStyle w:val="Heading2"/>
      </w:pPr>
      <w:bookmarkStart w:id="5" w:name="_Toc210646442"/>
      <w:bookmarkStart w:id="6" w:name="_Toc210698421"/>
      <w:bookmarkStart w:id="7" w:name="_Toc210700992"/>
      <w:bookmarkStart w:id="8" w:name="_Toc210703165"/>
      <w:bookmarkStart w:id="9" w:name="_Toc210703206"/>
      <w:r>
        <w:t>Enquiries</w:t>
      </w:r>
      <w:bookmarkEnd w:id="5"/>
      <w:bookmarkEnd w:id="6"/>
      <w:bookmarkEnd w:id="7"/>
      <w:bookmarkEnd w:id="8"/>
      <w:bookmarkEnd w:id="9"/>
    </w:p>
    <w:p w:rsidR="00F51DAC" w:rsidRDefault="00F51DAC" w:rsidP="00F51DAC">
      <w:r>
        <w:t>Should you have any enquiries regarding this publication please contact</w:t>
      </w:r>
      <w:r w:rsidR="00A34FE1">
        <w:t xml:space="preserve"> </w:t>
      </w:r>
      <w:r w:rsidR="0054206A">
        <w:br/>
      </w:r>
      <w:r w:rsidR="00A34FE1">
        <w:t>Mr Paul Wood, C</w:t>
      </w:r>
      <w:r w:rsidR="00726A60">
        <w:t xml:space="preserve">hief </w:t>
      </w:r>
      <w:r w:rsidR="001555E8">
        <w:t>Financial</w:t>
      </w:r>
      <w:r>
        <w:t xml:space="preserve"> Officer in the Department of </w:t>
      </w:r>
      <w:r w:rsidR="00A34FE1">
        <w:t xml:space="preserve">Foreign Affairs and Trade </w:t>
      </w:r>
      <w:r>
        <w:t>on (02)</w:t>
      </w:r>
      <w:r w:rsidR="00591700">
        <w:t xml:space="preserve"> 6261 1240.</w:t>
      </w:r>
    </w:p>
    <w:p w:rsidR="00F51DAC" w:rsidRDefault="0051350D" w:rsidP="00F51DAC">
      <w:r>
        <w:t>Links to Portfolio Budget Statements (including Portfolio Additional Estimates Statements and Portfolio Supplementary Additional Estimates Statements) can be located on the Australian Government Budget website at www.budget.gov.au.</w:t>
      </w:r>
    </w:p>
    <w:p w:rsidR="00F51DAC" w:rsidRDefault="00F51DAC" w:rsidP="00F51DAC">
      <w:pPr>
        <w:pStyle w:val="ContentsHeading"/>
        <w:rPr>
          <w:snapToGrid w:val="0"/>
        </w:rPr>
        <w:sectPr w:rsidR="00F51DAC" w:rsidSect="004C04CB">
          <w:headerReference w:type="even" r:id="rId28"/>
          <w:headerReference w:type="default" r:id="rId29"/>
          <w:footerReference w:type="even" r:id="rId30"/>
          <w:footerReference w:type="default" r:id="rId31"/>
          <w:headerReference w:type="first" r:id="rId32"/>
          <w:footerReference w:type="first" r:id="rId33"/>
          <w:pgSz w:w="11907" w:h="16840" w:code="9"/>
          <w:pgMar w:top="2466" w:right="2098" w:bottom="2466" w:left="2098" w:header="1899" w:footer="1899" w:gutter="0"/>
          <w:pgNumType w:fmt="lowerRoman"/>
          <w:cols w:space="720"/>
          <w:titlePg/>
        </w:sectPr>
      </w:pPr>
    </w:p>
    <w:p w:rsidR="00F51DAC" w:rsidRDefault="00F51DAC" w:rsidP="00F51DAC">
      <w:pPr>
        <w:pStyle w:val="PartHeading"/>
      </w:pPr>
      <w:bookmarkStart w:id="10" w:name="_Toc112211948"/>
      <w:bookmarkStart w:id="11" w:name="_Toc112212042"/>
      <w:bookmarkStart w:id="12" w:name="_Toc112137860"/>
      <w:bookmarkStart w:id="13" w:name="_Toc112224367"/>
      <w:bookmarkStart w:id="14" w:name="_Toc210646443"/>
      <w:bookmarkStart w:id="15" w:name="_Toc210698422"/>
    </w:p>
    <w:p w:rsidR="00F51DAC" w:rsidRDefault="00F51DAC" w:rsidP="00F51DAC">
      <w:pPr>
        <w:pStyle w:val="PartHeading"/>
        <w:rPr>
          <w:rFonts w:ascii="Book Antiqua" w:hAnsi="Book Antiqua"/>
        </w:rPr>
      </w:pPr>
    </w:p>
    <w:p w:rsidR="00F51DAC" w:rsidRDefault="00F51DAC" w:rsidP="00F51DAC">
      <w:pPr>
        <w:pStyle w:val="PartHeading"/>
        <w:rPr>
          <w:rFonts w:ascii="Book Antiqua" w:hAnsi="Book Antiqua"/>
        </w:rPr>
      </w:pPr>
    </w:p>
    <w:p w:rsidR="00F51DAC" w:rsidRDefault="00F51DAC" w:rsidP="00F51DAC">
      <w:pPr>
        <w:pStyle w:val="PartHeading"/>
        <w:rPr>
          <w:rFonts w:ascii="Book Antiqua" w:hAnsi="Book Antiqua"/>
        </w:rPr>
      </w:pPr>
    </w:p>
    <w:p w:rsidR="00F51DAC" w:rsidRPr="005F4216" w:rsidRDefault="00F51DAC" w:rsidP="00084EF4">
      <w:pPr>
        <w:pStyle w:val="PartHeading"/>
      </w:pPr>
      <w:r w:rsidRPr="005F4216">
        <w:t xml:space="preserve">User </w:t>
      </w:r>
      <w:r w:rsidR="00C10DE5" w:rsidRPr="005F4216">
        <w:t>guide</w:t>
      </w:r>
      <w:r>
        <w:br/>
      </w:r>
      <w:r w:rsidRPr="00084EF4">
        <w:t>to</w:t>
      </w:r>
      <w:r w:rsidRPr="005F4216">
        <w:t xml:space="preserve"> the</w:t>
      </w:r>
      <w:r>
        <w:br/>
      </w:r>
      <w:r w:rsidRPr="005F4216">
        <w:t>Portfolio Additional</w:t>
      </w:r>
      <w:r>
        <w:br/>
      </w:r>
      <w:r w:rsidRPr="005F4216">
        <w:t>Estimate Statements</w:t>
      </w:r>
    </w:p>
    <w:p w:rsidR="00F51DAC" w:rsidRDefault="00F51DAC" w:rsidP="00F51DAC">
      <w:pPr>
        <w:pStyle w:val="Heading1"/>
        <w:rPr>
          <w:kern w:val="0"/>
          <w:lang w:val="en-US"/>
        </w:rPr>
        <w:sectPr w:rsidR="00F51DAC" w:rsidSect="004C04CB">
          <w:headerReference w:type="even" r:id="rId34"/>
          <w:headerReference w:type="default" r:id="rId35"/>
          <w:footerReference w:type="default" r:id="rId36"/>
          <w:headerReference w:type="first" r:id="rId37"/>
          <w:footerReference w:type="first" r:id="rId38"/>
          <w:pgSz w:w="11907" w:h="16840" w:code="9"/>
          <w:pgMar w:top="2466" w:right="2098" w:bottom="2466" w:left="2098" w:header="1899" w:footer="1899" w:gutter="0"/>
          <w:pgNumType w:fmt="lowerRoman"/>
          <w:cols w:space="720"/>
          <w:titlePg/>
        </w:sectPr>
      </w:pPr>
    </w:p>
    <w:p w:rsidR="00F51DAC" w:rsidRDefault="00F51DAC" w:rsidP="00F51DAC">
      <w:pPr>
        <w:pStyle w:val="Heading1"/>
        <w:rPr>
          <w:kern w:val="0"/>
          <w:lang w:val="en-US"/>
        </w:rPr>
      </w:pPr>
      <w:r>
        <w:rPr>
          <w:kern w:val="0"/>
          <w:lang w:val="en-US"/>
        </w:rPr>
        <w:lastRenderedPageBreak/>
        <w:t>User Guide</w:t>
      </w:r>
      <w:bookmarkEnd w:id="10"/>
      <w:bookmarkEnd w:id="11"/>
      <w:bookmarkEnd w:id="12"/>
      <w:bookmarkEnd w:id="13"/>
      <w:bookmarkEnd w:id="14"/>
      <w:bookmarkEnd w:id="15"/>
    </w:p>
    <w:p w:rsidR="00F51DAC" w:rsidRDefault="00F51DAC" w:rsidP="00F51DAC">
      <w:pPr>
        <w:tabs>
          <w:tab w:val="right" w:pos="7088"/>
        </w:tabs>
      </w:pPr>
      <w:r>
        <w:t xml:space="preserve">The purpose of the </w:t>
      </w:r>
      <w:r w:rsidR="003962BF">
        <w:t xml:space="preserve">2015-16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rsidR="00C34E4C">
        <w:t xml:space="preserve"> within the P</w:t>
      </w:r>
      <w:r>
        <w:t>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D4B20">
        <w:t>programmes</w:t>
      </w:r>
      <w:r>
        <w:t xml:space="preserve"> supporting those outcomes.</w:t>
      </w:r>
    </w:p>
    <w:p w:rsidR="00F51DAC" w:rsidRDefault="00F51DAC" w:rsidP="00F51DAC">
      <w:pPr>
        <w:tabs>
          <w:tab w:val="right" w:pos="7088"/>
        </w:tabs>
      </w:pPr>
      <w:r>
        <w:t xml:space="preserve">The PAES facilitate understanding of the proposed appropriations </w:t>
      </w:r>
      <w:r w:rsidRPr="00BD66F7">
        <w:t>in</w:t>
      </w:r>
      <w:r w:rsidRPr="00BD66F7">
        <w:rPr>
          <w:i/>
        </w:rPr>
        <w:t xml:space="preserve"> Appropriation Bills (</w:t>
      </w:r>
      <w:r w:rsidR="00A1234B" w:rsidRPr="00BD66F7">
        <w:rPr>
          <w:i/>
        </w:rPr>
        <w:t xml:space="preserve">Nos. 3 </w:t>
      </w:r>
      <w:r w:rsidR="001A1C55" w:rsidRPr="00AB0D64">
        <w:t>and</w:t>
      </w:r>
      <w:r w:rsidR="00A1234B" w:rsidRPr="00BD66F7">
        <w:rPr>
          <w:i/>
        </w:rPr>
        <w:t xml:space="preserve"> 4</w:t>
      </w:r>
      <w:r w:rsidRPr="00BD66F7">
        <w:rPr>
          <w:i/>
        </w:rPr>
        <w:t xml:space="preserve">) </w:t>
      </w:r>
      <w:r w:rsidR="00A1234B" w:rsidRPr="00BD66F7">
        <w:rPr>
          <w:i/>
        </w:rPr>
        <w:t>201</w:t>
      </w:r>
      <w:r w:rsidR="00B94BE6" w:rsidRPr="00BD66F7">
        <w:rPr>
          <w:i/>
        </w:rPr>
        <w:t>5</w:t>
      </w:r>
      <w:r w:rsidR="00A1234B" w:rsidRPr="00BD66F7">
        <w:rPr>
          <w:i/>
        </w:rPr>
        <w:t>-1</w:t>
      </w:r>
      <w:r w:rsidR="00B94BE6" w:rsidRPr="00BD66F7">
        <w:rPr>
          <w:i/>
        </w:rPr>
        <w:t>6</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201</w:t>
      </w:r>
      <w:r w:rsidR="00B94BE6">
        <w:rPr>
          <w:i/>
        </w:rPr>
        <w:t>5</w:t>
      </w:r>
      <w:r w:rsidR="003962BF">
        <w:rPr>
          <w:i/>
        </w:rPr>
        <w:t>-16</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rsidR="00C34E4C">
        <w:t xml:space="preserve"> within the P</w:t>
      </w:r>
      <w:r>
        <w:t>ortfolio.</w:t>
      </w:r>
    </w:p>
    <w:p w:rsidR="00F51DAC" w:rsidRDefault="00F51DAC" w:rsidP="0090206F">
      <w:pPr>
        <w:pStyle w:val="Heading2"/>
      </w:pPr>
      <w:r>
        <w:br w:type="page"/>
      </w:r>
      <w:bookmarkStart w:id="16" w:name="_Toc450201413"/>
      <w:bookmarkStart w:id="17" w:name="_Toc492796965"/>
      <w:bookmarkStart w:id="18" w:name="_Toc492797089"/>
      <w:bookmarkStart w:id="19" w:name="_Toc492799505"/>
      <w:bookmarkStart w:id="20" w:name="_Toc492799660"/>
      <w:bookmarkStart w:id="21" w:name="_Toc533505720"/>
      <w:bookmarkStart w:id="22" w:name="_Toc533505944"/>
      <w:bookmarkStart w:id="23" w:name="_Toc77997684"/>
      <w:bookmarkStart w:id="24" w:name="_Toc77998670"/>
      <w:bookmarkStart w:id="25" w:name="_Toc78339819"/>
      <w:bookmarkStart w:id="26" w:name="_Toc79405325"/>
      <w:bookmarkStart w:id="27" w:name="_Toc79405368"/>
      <w:bookmarkStart w:id="28" w:name="_Toc112045573"/>
      <w:bookmarkStart w:id="29" w:name="_Toc112211950"/>
      <w:bookmarkStart w:id="30" w:name="_Toc112212044"/>
      <w:bookmarkStart w:id="31" w:name="_Toc112137862"/>
      <w:bookmarkStart w:id="32" w:name="_Toc112137887"/>
      <w:bookmarkStart w:id="33" w:name="_Toc112224369"/>
      <w:bookmarkStart w:id="34" w:name="_Toc210611950"/>
      <w:bookmarkStart w:id="35" w:name="_Toc210646444"/>
      <w:bookmarkStart w:id="36" w:name="_Toc210698423"/>
      <w:bookmarkStart w:id="37" w:name="_Toc210700993"/>
      <w:bookmarkStart w:id="38" w:name="_Toc210703166"/>
      <w:bookmarkStart w:id="39" w:name="_Toc210703207"/>
      <w:r>
        <w:lastRenderedPageBreak/>
        <w:t xml:space="preserve">Structure of the </w:t>
      </w:r>
      <w:r w:rsidRPr="00A64635">
        <w:t>Portfolio</w:t>
      </w:r>
      <w:r>
        <w:t xml:space="preserve"> Additional Estimates Statements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rsidTr="004C04CB">
        <w:trPr>
          <w:cantSplit/>
          <w:jc w:val="center"/>
        </w:trPr>
        <w:tc>
          <w:tcPr>
            <w:tcW w:w="7711" w:type="dxa"/>
            <w:gridSpan w:val="2"/>
            <w:shd w:val="clear" w:color="auto" w:fill="E6E6E6"/>
          </w:tcPr>
          <w:p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rsidTr="004C04CB">
        <w:trPr>
          <w:cantSplit/>
          <w:jc w:val="center"/>
        </w:trPr>
        <w:tc>
          <w:tcPr>
            <w:tcW w:w="7711" w:type="dxa"/>
            <w:gridSpan w:val="2"/>
          </w:tcPr>
          <w:p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rsidTr="004C04CB">
        <w:trPr>
          <w:cantSplit/>
          <w:jc w:val="center"/>
        </w:trPr>
        <w:tc>
          <w:tcPr>
            <w:tcW w:w="2268" w:type="dxa"/>
            <w:shd w:val="clear" w:color="auto" w:fill="E6E6E6"/>
          </w:tcPr>
          <w:p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rsidR="00F51DAC" w:rsidRPr="009D4B20" w:rsidRDefault="00F51DAC" w:rsidP="004C04CB"/>
        </w:tc>
      </w:tr>
      <w:tr w:rsidR="00F51DAC" w:rsidTr="004C04CB">
        <w:trPr>
          <w:cantSplit/>
          <w:jc w:val="center"/>
        </w:trPr>
        <w:tc>
          <w:tcPr>
            <w:tcW w:w="7711" w:type="dxa"/>
            <w:gridSpan w:val="2"/>
          </w:tcPr>
          <w:p w:rsidR="00F51DAC" w:rsidRPr="009D4B20" w:rsidRDefault="00C34E4C" w:rsidP="004C04CB">
            <w:pPr>
              <w:pStyle w:val="Tabletextjustified"/>
              <w:rPr>
                <w:rFonts w:ascii="Book Antiqua" w:hAnsi="Book Antiqua"/>
              </w:rPr>
            </w:pPr>
            <w:r>
              <w:rPr>
                <w:rFonts w:ascii="Book Antiqua" w:hAnsi="Book Antiqua"/>
              </w:rPr>
              <w:t>Provides an overview of the P</w:t>
            </w:r>
            <w:r w:rsidR="00F51DAC" w:rsidRPr="009D4B20">
              <w:rPr>
                <w:rFonts w:ascii="Book Antiqua" w:hAnsi="Book Antiqua"/>
              </w:rPr>
              <w:t xml:space="preserve">ortfolio, including a chart that outlines the outcomes for </w:t>
            </w:r>
            <w:r w:rsidR="00726A60" w:rsidRPr="009D4B20">
              <w:rPr>
                <w:rFonts w:ascii="Book Antiqua" w:hAnsi="Book Antiqua"/>
              </w:rPr>
              <w:t>entities</w:t>
            </w:r>
            <w:r>
              <w:rPr>
                <w:rFonts w:ascii="Book Antiqua" w:hAnsi="Book Antiqua"/>
              </w:rPr>
              <w:t xml:space="preserve"> in the P</w:t>
            </w:r>
            <w:r w:rsidR="00F51DAC" w:rsidRPr="009D4B20">
              <w:rPr>
                <w:rFonts w:ascii="Book Antiqua" w:hAnsi="Book Antiqua"/>
              </w:rPr>
              <w:t>ortfolio.</w:t>
            </w:r>
          </w:p>
        </w:tc>
      </w:tr>
      <w:tr w:rsidR="00F51DAC" w:rsidTr="004C04CB">
        <w:trPr>
          <w:cantSplit/>
          <w:jc w:val="center"/>
        </w:trPr>
        <w:tc>
          <w:tcPr>
            <w:tcW w:w="7711" w:type="dxa"/>
            <w:gridSpan w:val="2"/>
            <w:shd w:val="clear" w:color="auto" w:fill="E6E6E6"/>
          </w:tcPr>
          <w:p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rsidTr="004C04CB">
        <w:trPr>
          <w:cantSplit/>
          <w:jc w:val="center"/>
        </w:trPr>
        <w:tc>
          <w:tcPr>
            <w:tcW w:w="7711" w:type="dxa"/>
            <w:gridSpan w:val="2"/>
            <w:tcBorders>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737722">
              <w:rPr>
                <w:rFonts w:ascii="Book Antiqua" w:hAnsi="Book Antiqua"/>
                <w:i/>
              </w:rPr>
              <w:t xml:space="preserve">Appropriation Bills </w:t>
            </w:r>
            <w:r w:rsidR="00A1234B" w:rsidRPr="00737722">
              <w:rPr>
                <w:rFonts w:ascii="Book Antiqua" w:hAnsi="Book Antiqua"/>
                <w:i/>
              </w:rPr>
              <w:t>Nos. 3</w:t>
            </w:r>
            <w:r w:rsidR="00A1234B" w:rsidRPr="00B94BE6">
              <w:rPr>
                <w:rFonts w:ascii="Book Antiqua" w:hAnsi="Book Antiqua"/>
              </w:rPr>
              <w:t xml:space="preserve"> </w:t>
            </w:r>
            <w:r w:rsidR="001A1C55" w:rsidRPr="00B94BE6">
              <w:rPr>
                <w:rFonts w:ascii="Book Antiqua" w:hAnsi="Book Antiqua"/>
              </w:rPr>
              <w:t>and</w:t>
            </w:r>
            <w:r w:rsidR="00A1234B" w:rsidRPr="00B94BE6">
              <w:rPr>
                <w:rFonts w:ascii="Book Antiqua" w:hAnsi="Book Antiqua"/>
              </w:rPr>
              <w:t xml:space="preserve"> </w:t>
            </w:r>
            <w:r w:rsidR="00A1234B" w:rsidRPr="00737722">
              <w:rPr>
                <w:rFonts w:ascii="Book Antiqua" w:hAnsi="Book Antiqua"/>
                <w:i/>
              </w:rPr>
              <w:t>4</w:t>
            </w:r>
            <w:r w:rsidRPr="009D4B20">
              <w:rPr>
                <w:rFonts w:ascii="Book Antiqua" w:hAnsi="Book Antiqua"/>
              </w:rPr>
              <w:t>.</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F3116B" w:rsidP="00523531">
            <w:pPr>
              <w:pStyle w:val="TableSideHeading"/>
              <w:rPr>
                <w:rFonts w:ascii="Book Antiqua" w:hAnsi="Book Antiqua"/>
              </w:rPr>
            </w:pPr>
            <w:r>
              <w:rPr>
                <w:rFonts w:ascii="Book Antiqua" w:hAnsi="Book Antiqua"/>
              </w:rPr>
              <w:t>S</w:t>
            </w:r>
            <w:r w:rsidR="00BD66F7">
              <w:rPr>
                <w:rFonts w:ascii="Book Antiqua" w:hAnsi="Book Antiqua"/>
              </w:rPr>
              <w:t>ection 2: 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D4B20" w:rsidRPr="009D4B20">
              <w:rPr>
                <w:rFonts w:ascii="Book Antiqua" w:hAnsi="Book Antiqua"/>
              </w:rPr>
              <w:t>programmes</w:t>
            </w:r>
            <w:r w:rsidRPr="009D4B20">
              <w:rPr>
                <w:rFonts w:ascii="Book Antiqua" w:hAnsi="Book Antiqua"/>
              </w:rPr>
              <w:t>.</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F51DAC" w:rsidP="00523531">
            <w:pPr>
              <w:pStyle w:val="TableSideHeading"/>
              <w:rPr>
                <w:rFonts w:ascii="Book Antiqua" w:hAnsi="Book Antiqua"/>
              </w:rPr>
            </w:pPr>
            <w:r w:rsidRPr="009D4B20">
              <w:rPr>
                <w:rFonts w:ascii="Book Antiqua" w:hAnsi="Book Antiqua"/>
              </w:rPr>
              <w:t xml:space="preserve">Section 3: Explanatory </w:t>
            </w:r>
            <w:r w:rsidR="00C10DE5" w:rsidRPr="009D4B20">
              <w:rPr>
                <w:rFonts w:ascii="Book Antiqua" w:hAnsi="Book Antiqua"/>
              </w:rPr>
              <w:t xml:space="preserve">tables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C10DE5" w:rsidP="00C10DE5">
            <w:pPr>
              <w:pStyle w:val="TableSideHeading"/>
              <w:rPr>
                <w:rFonts w:ascii="Book Antiqua" w:hAnsi="Book Antiqua"/>
              </w:rPr>
            </w:pPr>
            <w:r>
              <w:rPr>
                <w:rFonts w:ascii="Book Antiqua" w:hAnsi="Book Antiqua"/>
              </w:rPr>
              <w:t>Portfolio g</w:t>
            </w:r>
            <w:r w:rsidR="00F51DAC" w:rsidRPr="009D4B20">
              <w:rPr>
                <w:rFonts w:ascii="Book Antiqua" w:hAnsi="Book Antiqua"/>
              </w:rPr>
              <w:t>lossary</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Expl</w:t>
            </w:r>
            <w:r w:rsidR="00C34E4C">
              <w:rPr>
                <w:rFonts w:ascii="Book Antiqua" w:hAnsi="Book Antiqua"/>
              </w:rPr>
              <w:t>ains key terms relevant to the P</w:t>
            </w:r>
            <w:r w:rsidRPr="009D4B20">
              <w:rPr>
                <w:rFonts w:ascii="Book Antiqua" w:hAnsi="Book Antiqua"/>
              </w:rPr>
              <w:t>ortfolio.</w:t>
            </w:r>
          </w:p>
        </w:tc>
      </w:tr>
    </w:tbl>
    <w:p w:rsidR="00F51DAC" w:rsidRDefault="00F51DAC" w:rsidP="00F51DAC">
      <w:pPr>
        <w:pStyle w:val="ContentsHeading"/>
        <w:rPr>
          <w:snapToGrid w:val="0"/>
        </w:rPr>
      </w:pPr>
      <w:bookmarkStart w:id="40" w:name="_Toc450201414"/>
      <w:bookmarkStart w:id="41" w:name="_Toc492796966"/>
      <w:bookmarkStart w:id="42" w:name="_Toc492797090"/>
      <w:bookmarkStart w:id="43" w:name="_Toc492799506"/>
      <w:bookmarkStart w:id="44" w:name="_Toc492799661"/>
      <w:bookmarkStart w:id="45" w:name="_Toc533505725"/>
      <w:bookmarkStart w:id="46" w:name="_Toc533505945"/>
      <w:bookmarkStart w:id="47" w:name="_Toc77997685"/>
      <w:bookmarkStart w:id="48" w:name="_Toc77998671"/>
      <w:bookmarkStart w:id="49" w:name="_Toc78339820"/>
      <w:bookmarkStart w:id="50" w:name="_Toc79405326"/>
      <w:bookmarkStart w:id="51" w:name="_Toc79405369"/>
      <w:bookmarkStart w:id="52" w:name="_Toc112045574"/>
      <w:r>
        <w:br w:type="page"/>
      </w:r>
      <w:bookmarkEnd w:id="40"/>
      <w:bookmarkEnd w:id="41"/>
      <w:bookmarkEnd w:id="42"/>
      <w:bookmarkEnd w:id="43"/>
      <w:bookmarkEnd w:id="44"/>
      <w:bookmarkEnd w:id="45"/>
      <w:bookmarkEnd w:id="46"/>
      <w:bookmarkEnd w:id="47"/>
      <w:bookmarkEnd w:id="48"/>
      <w:bookmarkEnd w:id="49"/>
      <w:bookmarkEnd w:id="50"/>
      <w:bookmarkEnd w:id="51"/>
      <w:bookmarkEnd w:id="52"/>
      <w:r>
        <w:lastRenderedPageBreak/>
        <w:t>C</w:t>
      </w:r>
      <w:r>
        <w:rPr>
          <w:snapToGrid w:val="0"/>
        </w:rPr>
        <w:t>ontents</w:t>
      </w:r>
    </w:p>
    <w:p w:rsidR="00F51DAC" w:rsidRDefault="00F51DAC" w:rsidP="00F51DAC">
      <w:pPr>
        <w:pStyle w:val="TOC1"/>
      </w:pPr>
      <w:bookmarkStart w:id="53" w:name="_Toc97459627"/>
      <w:bookmarkStart w:id="54" w:name="_Toc97459713"/>
      <w:r>
        <w:t xml:space="preserve">Portfolio </w:t>
      </w:r>
      <w:r w:rsidR="00423500">
        <w:t>o</w:t>
      </w:r>
      <w:r w:rsidR="00AE6133">
        <w:t>verview</w:t>
      </w:r>
      <w:r>
        <w:tab/>
        <w:t>3</w:t>
      </w:r>
    </w:p>
    <w:bookmarkEnd w:id="53"/>
    <w:bookmarkEnd w:id="54"/>
    <w:p w:rsidR="00F51DAC" w:rsidRDefault="00423500" w:rsidP="00F51DAC">
      <w:pPr>
        <w:pStyle w:val="TOC1"/>
      </w:pPr>
      <w:r>
        <w:t>Entity additional estimates s</w:t>
      </w:r>
      <w:r w:rsidR="005814FA">
        <w:t>tatements</w:t>
      </w:r>
      <w:r w:rsidR="009C5C83">
        <w:tab/>
        <w:t>8</w:t>
      </w:r>
    </w:p>
    <w:p w:rsidR="00F51DAC" w:rsidRPr="00361120" w:rsidRDefault="005814FA" w:rsidP="00F51DAC">
      <w:pPr>
        <w:pStyle w:val="TOC2"/>
      </w:pPr>
      <w:r>
        <w:t>Department of Foreign Affairs and Trade (DFAT)</w:t>
      </w:r>
      <w:r w:rsidR="006C5EC4">
        <w:tab/>
        <w:t>9</w:t>
      </w:r>
    </w:p>
    <w:p w:rsidR="00F51DAC" w:rsidRPr="00361120" w:rsidRDefault="005814FA" w:rsidP="00F51DAC">
      <w:pPr>
        <w:pStyle w:val="TOC2"/>
      </w:pPr>
      <w:r>
        <w:t>Australian Trade Commission (Austrade)</w:t>
      </w:r>
      <w:r w:rsidR="006C5EC4">
        <w:tab/>
        <w:t>62</w:t>
      </w:r>
    </w:p>
    <w:p w:rsidR="00F51DAC" w:rsidRPr="00361120" w:rsidRDefault="005814FA" w:rsidP="00F51DAC">
      <w:pPr>
        <w:pStyle w:val="TOC2"/>
      </w:pPr>
      <w:r>
        <w:t>Tourism Australia</w:t>
      </w:r>
      <w:r w:rsidR="003A168A">
        <w:tab/>
        <w:t>89</w:t>
      </w:r>
    </w:p>
    <w:p w:rsidR="00F51DAC" w:rsidRDefault="00AE6133" w:rsidP="00F51DAC">
      <w:pPr>
        <w:pStyle w:val="TOC1"/>
      </w:pPr>
      <w:r>
        <w:t>Portfolio g</w:t>
      </w:r>
      <w:r w:rsidR="006C5EC4">
        <w:t>lossary</w:t>
      </w:r>
      <w:r w:rsidR="006C5EC4">
        <w:tab/>
        <w:t>109</w:t>
      </w:r>
    </w:p>
    <w:p w:rsidR="00F51DAC" w:rsidRDefault="00F51DAC" w:rsidP="00F51DAC"/>
    <w:p w:rsidR="00F51DAC" w:rsidRDefault="00F51DAC" w:rsidP="00F51DAC">
      <w:pPr>
        <w:jc w:val="center"/>
        <w:sectPr w:rsidR="00F51DAC" w:rsidSect="004C04CB">
          <w:footerReference w:type="first" r:id="rId39"/>
          <w:type w:val="oddPage"/>
          <w:pgSz w:w="11907" w:h="16840" w:code="9"/>
          <w:pgMar w:top="2466" w:right="2098" w:bottom="2466" w:left="2098" w:header="1899" w:footer="1899" w:gutter="0"/>
          <w:pgNumType w:fmt="lowerRoman"/>
          <w:cols w:space="720"/>
          <w:titlePg/>
        </w:sectPr>
      </w:pPr>
      <w:bookmarkStart w:id="55" w:name="_Toc449255752"/>
      <w:bookmarkStart w:id="56" w:name="_Toc460918631"/>
      <w:bookmarkStart w:id="57" w:name="_Toc490972395"/>
    </w:p>
    <w:bookmarkEnd w:id="55"/>
    <w:bookmarkEnd w:id="56"/>
    <w:bookmarkEnd w:id="57"/>
    <w:p w:rsidR="0084271E" w:rsidRDefault="0084271E" w:rsidP="00F51DAC">
      <w:pPr>
        <w:pStyle w:val="PartHeading"/>
      </w:pPr>
    </w:p>
    <w:p w:rsidR="00F51DAC" w:rsidRDefault="0084271E" w:rsidP="00F51DAC">
      <w:pPr>
        <w:pStyle w:val="PartHeading"/>
      </w:pPr>
      <w:r>
        <w:br w:type="page"/>
      </w:r>
      <w:r w:rsidR="00F51DAC" w:rsidRPr="005F4216">
        <w:lastRenderedPageBreak/>
        <w:t xml:space="preserve">Portfolio </w:t>
      </w:r>
      <w:r w:rsidR="005814FA">
        <w:t>o</w:t>
      </w:r>
      <w:r w:rsidR="00AE6133" w:rsidRPr="005F4216">
        <w:t>verview</w:t>
      </w:r>
      <w:bookmarkStart w:id="58" w:name="_Toc436626774"/>
      <w:bookmarkStart w:id="59" w:name="_Toc490972396"/>
      <w:bookmarkStart w:id="60" w:name="_Toc491014610"/>
      <w:bookmarkStart w:id="61" w:name="_Toc491014752"/>
      <w:bookmarkStart w:id="62" w:name="_Toc491014932"/>
      <w:bookmarkStart w:id="63" w:name="_Toc491015079"/>
      <w:bookmarkStart w:id="64" w:name="_Toc491029227"/>
      <w:bookmarkStart w:id="65" w:name="_Toc491030315"/>
      <w:bookmarkStart w:id="66" w:name="_Toc491030774"/>
      <w:bookmarkStart w:id="67" w:name="_Toc449255755"/>
      <w:bookmarkStart w:id="68" w:name="_Toc491031337"/>
      <w:bookmarkStart w:id="69" w:name="_Toc491031925"/>
      <w:bookmarkStart w:id="70" w:name="_Toc491032095"/>
      <w:bookmarkStart w:id="71" w:name="_Toc491032207"/>
      <w:bookmarkStart w:id="72" w:name="_Toc491032314"/>
      <w:bookmarkStart w:id="73" w:name="_Toc491771701"/>
      <w:bookmarkStart w:id="74" w:name="_Toc491773276"/>
      <w:bookmarkStart w:id="75" w:name="_Toc23559336"/>
      <w:bookmarkStart w:id="76" w:name="_Toc23559370"/>
      <w:bookmarkStart w:id="77" w:name="_Toc23559660"/>
      <w:bookmarkStart w:id="78" w:name="_Toc23560123"/>
      <w:bookmarkStart w:id="79" w:name="_Toc23563419"/>
      <w:bookmarkStart w:id="80" w:name="_Toc77998672"/>
      <w:bookmarkStart w:id="81" w:name="_Toc79399713"/>
      <w:bookmarkStart w:id="82" w:name="_Toc112211952"/>
      <w:bookmarkStart w:id="83" w:name="_Toc112212046"/>
      <w:bookmarkStart w:id="84" w:name="_Toc112137864"/>
      <w:bookmarkStart w:id="85" w:name="_Toc112224371"/>
      <w:bookmarkStart w:id="86" w:name="_Toc210646445"/>
      <w:bookmarkStart w:id="87" w:name="_Toc210698424"/>
    </w:p>
    <w:p w:rsidR="00F51DAC" w:rsidRDefault="00F51DAC" w:rsidP="00F51DAC">
      <w:pPr>
        <w:pStyle w:val="PartHeading"/>
        <w:sectPr w:rsidR="00F51DAC" w:rsidSect="004C04CB">
          <w:headerReference w:type="even" r:id="rId40"/>
          <w:headerReference w:type="default" r:id="rId41"/>
          <w:headerReference w:type="first" r:id="rId42"/>
          <w:footerReference w:type="first" r:id="rId43"/>
          <w:type w:val="oddPage"/>
          <w:pgSz w:w="11907" w:h="16840" w:code="9"/>
          <w:pgMar w:top="2466" w:right="2098" w:bottom="2466" w:left="2098" w:header="1899" w:footer="1899" w:gutter="0"/>
          <w:pgNumType w:start="1"/>
          <w:cols w:space="708"/>
          <w:vAlign w:val="center"/>
          <w:titlePg/>
          <w:docGrid w:linePitch="360"/>
        </w:sectPr>
      </w:pPr>
    </w:p>
    <w:p w:rsidR="00F51DAC" w:rsidRPr="00B351A2" w:rsidRDefault="00F51DAC" w:rsidP="00F51DAC">
      <w:pPr>
        <w:pStyle w:val="Heading1"/>
        <w:rPr>
          <w:rFonts w:ascii="Book Antiqua" w:hAnsi="Book Antiqua"/>
        </w:rPr>
      </w:pPr>
      <w:r>
        <w:lastRenderedPageBreak/>
        <w:t>Portfolio</w:t>
      </w:r>
      <w:bookmarkEnd w:id="58"/>
      <w:r>
        <w:t xml:space="preserve">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5814FA">
        <w:rPr>
          <w:lang w:val="en-AU"/>
        </w:rPr>
        <w:t>o</w:t>
      </w:r>
      <w:r w:rsidR="00EF416F">
        <w:rPr>
          <w:lang w:val="en-AU"/>
        </w:rPr>
        <w:t>verview</w:t>
      </w:r>
    </w:p>
    <w:p w:rsidR="005D233B" w:rsidRDefault="005D233B" w:rsidP="005D233B">
      <w:pPr>
        <w:pStyle w:val="ExampleText"/>
        <w:rPr>
          <w:i w:val="0"/>
          <w:color w:val="auto"/>
        </w:rPr>
      </w:pPr>
      <w:r>
        <w:rPr>
          <w:i w:val="0"/>
          <w:color w:val="auto"/>
        </w:rPr>
        <w:t xml:space="preserve">The four portfolio ministers are the Minister for Foreign Affairs, the Hon Julie Bishop MP, the Minister for Trade and Investment, the Hon Andrew Robb AO MP, the Minister for International Development and the Pacific, the Hon Steven </w:t>
      </w:r>
      <w:proofErr w:type="spellStart"/>
      <w:r>
        <w:rPr>
          <w:i w:val="0"/>
          <w:color w:val="auto"/>
        </w:rPr>
        <w:t>Ciobo</w:t>
      </w:r>
      <w:proofErr w:type="spellEnd"/>
      <w:r>
        <w:rPr>
          <w:i w:val="0"/>
          <w:color w:val="auto"/>
        </w:rPr>
        <w:t xml:space="preserve"> MP, and the Minister for Tourism and International Education and the Minister Assisting the Minister for Trade and Investment, Senator the Hon Richard </w:t>
      </w:r>
      <w:proofErr w:type="spellStart"/>
      <w:r>
        <w:rPr>
          <w:i w:val="0"/>
          <w:color w:val="auto"/>
        </w:rPr>
        <w:t>Colbeck</w:t>
      </w:r>
      <w:proofErr w:type="spellEnd"/>
      <w:r>
        <w:rPr>
          <w:i w:val="0"/>
          <w:color w:val="auto"/>
        </w:rPr>
        <w:t xml:space="preserve">. Mr </w:t>
      </w:r>
      <w:proofErr w:type="spellStart"/>
      <w:r>
        <w:rPr>
          <w:i w:val="0"/>
          <w:color w:val="auto"/>
        </w:rPr>
        <w:t>Ciobo</w:t>
      </w:r>
      <w:proofErr w:type="spellEnd"/>
      <w:r>
        <w:rPr>
          <w:i w:val="0"/>
          <w:color w:val="auto"/>
        </w:rPr>
        <w:t xml:space="preserve"> and Senator </w:t>
      </w:r>
      <w:proofErr w:type="spellStart"/>
      <w:r>
        <w:rPr>
          <w:i w:val="0"/>
          <w:color w:val="auto"/>
        </w:rPr>
        <w:t>Colbeck</w:t>
      </w:r>
      <w:proofErr w:type="spellEnd"/>
      <w:r>
        <w:rPr>
          <w:i w:val="0"/>
          <w:color w:val="auto"/>
        </w:rPr>
        <w:t xml:space="preserve"> were sworn in on 21 September 2015.</w:t>
      </w:r>
    </w:p>
    <w:p w:rsidR="005D233B" w:rsidRDefault="005D233B" w:rsidP="005D233B">
      <w:pPr>
        <w:pStyle w:val="ExampleText"/>
        <w:rPr>
          <w:i w:val="0"/>
          <w:color w:val="auto"/>
        </w:rPr>
      </w:pPr>
      <w:r>
        <w:rPr>
          <w:i w:val="0"/>
          <w:color w:val="auto"/>
        </w:rPr>
        <w:t xml:space="preserve">A full outline of the Foreign Affairs and Trade Portfolio Overview can be found in the </w:t>
      </w:r>
      <w:r>
        <w:rPr>
          <w:color w:val="auto"/>
        </w:rPr>
        <w:t>Portfolio Budget Statements 2015-</w:t>
      </w:r>
      <w:r w:rsidRPr="00DB7FD1">
        <w:rPr>
          <w:color w:val="auto"/>
        </w:rPr>
        <w:t>16</w:t>
      </w:r>
      <w:r>
        <w:rPr>
          <w:i w:val="0"/>
          <w:color w:val="auto"/>
        </w:rPr>
        <w:t>.</w:t>
      </w:r>
    </w:p>
    <w:p w:rsidR="00756547" w:rsidRDefault="00756547" w:rsidP="00756547">
      <w:pPr>
        <w:pStyle w:val="ExampleText"/>
        <w:rPr>
          <w:i w:val="0"/>
          <w:color w:val="auto"/>
        </w:rPr>
      </w:pPr>
      <w:r>
        <w:rPr>
          <w:i w:val="0"/>
          <w:color w:val="auto"/>
        </w:rPr>
        <w:t>ADDITIONAL ESTIMATES AND VARIATIONS – PORTFOLIO LEVEL</w:t>
      </w:r>
    </w:p>
    <w:p w:rsidR="0014715A" w:rsidRDefault="0014715A" w:rsidP="0014715A">
      <w:r>
        <w:t xml:space="preserve">The Portfolio is seeking a </w:t>
      </w:r>
      <w:r w:rsidRPr="00023FCB">
        <w:t xml:space="preserve">net increase </w:t>
      </w:r>
      <w:r w:rsidRPr="00CB31A8">
        <w:t>of $</w:t>
      </w:r>
      <w:r w:rsidR="00CB31A8" w:rsidRPr="00CB31A8">
        <w:t>61.6</w:t>
      </w:r>
      <w:r w:rsidRPr="00CB31A8">
        <w:rPr>
          <w:color w:val="FF0000"/>
        </w:rPr>
        <w:t xml:space="preserve"> </w:t>
      </w:r>
      <w:r w:rsidRPr="00CB31A8">
        <w:t xml:space="preserve">million in </w:t>
      </w:r>
      <w:r w:rsidRPr="00CB31A8">
        <w:rPr>
          <w:i/>
        </w:rPr>
        <w:t xml:space="preserve">Appropriation Bills No. 3 </w:t>
      </w:r>
      <w:r w:rsidRPr="00CB31A8">
        <w:t xml:space="preserve">and </w:t>
      </w:r>
      <w:r w:rsidRPr="00CB31A8">
        <w:rPr>
          <w:i/>
        </w:rPr>
        <w:t>No. 4</w:t>
      </w:r>
      <w:r w:rsidRPr="00CB31A8">
        <w:t xml:space="preserve"> for 2015-16.</w:t>
      </w:r>
    </w:p>
    <w:p w:rsidR="006C0464" w:rsidRPr="0034356C" w:rsidRDefault="006C0464" w:rsidP="006C0464">
      <w:pPr>
        <w:pStyle w:val="ExampleText"/>
        <w:rPr>
          <w:b/>
          <w:i w:val="0"/>
          <w:color w:val="auto"/>
        </w:rPr>
      </w:pPr>
      <w:r w:rsidRPr="0034356C">
        <w:rPr>
          <w:b/>
          <w:i w:val="0"/>
          <w:color w:val="auto"/>
        </w:rPr>
        <w:t>Department of Fore</w:t>
      </w:r>
      <w:r>
        <w:rPr>
          <w:b/>
          <w:i w:val="0"/>
          <w:color w:val="auto"/>
        </w:rPr>
        <w:t>ign Affairs and Trade (DFAT) $44.6</w:t>
      </w:r>
      <w:r w:rsidRPr="0034356C">
        <w:rPr>
          <w:b/>
          <w:i w:val="0"/>
          <w:color w:val="auto"/>
        </w:rPr>
        <w:t xml:space="preserve"> million</w:t>
      </w:r>
    </w:p>
    <w:p w:rsidR="006C0464" w:rsidRPr="0034356C" w:rsidRDefault="006C0464" w:rsidP="006C0464">
      <w:pPr>
        <w:pStyle w:val="ExampleText"/>
        <w:rPr>
          <w:i w:val="0"/>
          <w:color w:val="auto"/>
        </w:rPr>
      </w:pPr>
      <w:r w:rsidRPr="0034356C">
        <w:rPr>
          <w:i w:val="0"/>
          <w:color w:val="auto"/>
        </w:rPr>
        <w:t>Departmental items</w:t>
      </w:r>
    </w:p>
    <w:p w:rsidR="006C0464" w:rsidRPr="0034356C" w:rsidRDefault="006C0464" w:rsidP="0020615E">
      <w:pPr>
        <w:pStyle w:val="ExampleText"/>
        <w:numPr>
          <w:ilvl w:val="0"/>
          <w:numId w:val="5"/>
        </w:numPr>
        <w:rPr>
          <w:i w:val="0"/>
          <w:color w:val="auto"/>
        </w:rPr>
      </w:pPr>
      <w:r w:rsidRPr="0034356C">
        <w:rPr>
          <w:i w:val="0"/>
          <w:color w:val="auto"/>
        </w:rPr>
        <w:t>$1.3m fund</w:t>
      </w:r>
      <w:r w:rsidR="009565A1">
        <w:rPr>
          <w:i w:val="0"/>
          <w:color w:val="auto"/>
        </w:rPr>
        <w:t>ing for the D</w:t>
      </w:r>
      <w:r w:rsidRPr="0034356C">
        <w:rPr>
          <w:i w:val="0"/>
          <w:color w:val="auto"/>
        </w:rPr>
        <w:t>epartment’s engagement with the Asian Infrastructure Investment Bank;</w:t>
      </w:r>
    </w:p>
    <w:p w:rsidR="006C0464" w:rsidRPr="0034356C" w:rsidRDefault="006C0464" w:rsidP="0020615E">
      <w:pPr>
        <w:pStyle w:val="ExampleText"/>
        <w:numPr>
          <w:ilvl w:val="0"/>
          <w:numId w:val="5"/>
        </w:numPr>
        <w:rPr>
          <w:i w:val="0"/>
          <w:color w:val="auto"/>
        </w:rPr>
      </w:pPr>
      <w:r w:rsidRPr="0034356C">
        <w:rPr>
          <w:i w:val="0"/>
          <w:color w:val="auto"/>
        </w:rPr>
        <w:t xml:space="preserve">($0.3m) adjustment </w:t>
      </w:r>
      <w:r w:rsidRPr="00D244B6">
        <w:rPr>
          <w:i w:val="0"/>
          <w:color w:val="auto"/>
        </w:rPr>
        <w:t xml:space="preserve">for </w:t>
      </w:r>
      <w:r w:rsidR="00D244B6" w:rsidRPr="00D244B6">
        <w:rPr>
          <w:i w:val="0"/>
          <w:color w:val="auto"/>
        </w:rPr>
        <w:t>savings on Public Sector Superannuation accumulation plan (</w:t>
      </w:r>
      <w:proofErr w:type="spellStart"/>
      <w:r w:rsidR="00D244B6" w:rsidRPr="00D244B6">
        <w:rPr>
          <w:i w:val="0"/>
          <w:color w:val="auto"/>
        </w:rPr>
        <w:t>PSSap</w:t>
      </w:r>
      <w:proofErr w:type="spellEnd"/>
      <w:r w:rsidR="00D244B6" w:rsidRPr="00D244B6">
        <w:rPr>
          <w:i w:val="0"/>
          <w:color w:val="auto"/>
        </w:rPr>
        <w:t>) administration costs</w:t>
      </w:r>
      <w:r w:rsidRPr="00D244B6">
        <w:rPr>
          <w:i w:val="0"/>
          <w:color w:val="auto"/>
        </w:rPr>
        <w:t>;</w:t>
      </w:r>
    </w:p>
    <w:p w:rsidR="006C0464" w:rsidRPr="0034356C" w:rsidRDefault="006C0464" w:rsidP="0020615E">
      <w:pPr>
        <w:pStyle w:val="ExampleText"/>
        <w:numPr>
          <w:ilvl w:val="0"/>
          <w:numId w:val="5"/>
        </w:numPr>
        <w:rPr>
          <w:i w:val="0"/>
          <w:color w:val="auto"/>
        </w:rPr>
      </w:pPr>
      <w:r w:rsidRPr="0034356C">
        <w:rPr>
          <w:i w:val="0"/>
          <w:color w:val="auto"/>
        </w:rPr>
        <w:t>$0.</w:t>
      </w:r>
      <w:r>
        <w:rPr>
          <w:i w:val="0"/>
          <w:color w:val="auto"/>
        </w:rPr>
        <w:t>8</w:t>
      </w:r>
      <w:r w:rsidRPr="0034356C">
        <w:rPr>
          <w:i w:val="0"/>
          <w:color w:val="auto"/>
        </w:rPr>
        <w:t>m adjustment for overseas inflation;</w:t>
      </w:r>
    </w:p>
    <w:p w:rsidR="006C0464" w:rsidRPr="0034356C" w:rsidRDefault="006C0464" w:rsidP="0020615E">
      <w:pPr>
        <w:pStyle w:val="ExampleText"/>
        <w:numPr>
          <w:ilvl w:val="0"/>
          <w:numId w:val="5"/>
        </w:numPr>
        <w:rPr>
          <w:i w:val="0"/>
          <w:color w:val="auto"/>
        </w:rPr>
      </w:pPr>
      <w:r w:rsidRPr="0034356C">
        <w:rPr>
          <w:i w:val="0"/>
          <w:color w:val="auto"/>
        </w:rPr>
        <w:t>$</w:t>
      </w:r>
      <w:r w:rsidR="00607B29">
        <w:rPr>
          <w:i w:val="0"/>
          <w:color w:val="auto"/>
        </w:rPr>
        <w:t>2</w:t>
      </w:r>
      <w:r w:rsidR="00951960">
        <w:rPr>
          <w:i w:val="0"/>
          <w:color w:val="auto"/>
        </w:rPr>
        <w:t>7</w:t>
      </w:r>
      <w:r w:rsidRPr="0034356C">
        <w:rPr>
          <w:i w:val="0"/>
          <w:color w:val="auto"/>
        </w:rPr>
        <w:t>.</w:t>
      </w:r>
      <w:r w:rsidR="00607B29">
        <w:rPr>
          <w:i w:val="0"/>
          <w:color w:val="auto"/>
        </w:rPr>
        <w:t>1</w:t>
      </w:r>
      <w:r w:rsidRPr="0034356C">
        <w:rPr>
          <w:i w:val="0"/>
          <w:color w:val="auto"/>
        </w:rPr>
        <w:t xml:space="preserve">m adjustment for foreign exchange </w:t>
      </w:r>
      <w:r w:rsidR="00607B29">
        <w:rPr>
          <w:i w:val="0"/>
          <w:color w:val="auto"/>
        </w:rPr>
        <w:t>movements</w:t>
      </w:r>
      <w:r w:rsidRPr="0034356C">
        <w:rPr>
          <w:i w:val="0"/>
          <w:color w:val="auto"/>
        </w:rPr>
        <w:t>; and</w:t>
      </w:r>
    </w:p>
    <w:p w:rsidR="006C0464" w:rsidRPr="0034356C" w:rsidRDefault="006C0464" w:rsidP="0020615E">
      <w:pPr>
        <w:pStyle w:val="ExampleText"/>
        <w:numPr>
          <w:ilvl w:val="0"/>
          <w:numId w:val="5"/>
        </w:numPr>
        <w:rPr>
          <w:i w:val="0"/>
          <w:color w:val="auto"/>
        </w:rPr>
      </w:pPr>
      <w:r w:rsidRPr="0034356C">
        <w:rPr>
          <w:i w:val="0"/>
          <w:color w:val="auto"/>
        </w:rPr>
        <w:t>($</w:t>
      </w:r>
      <w:r>
        <w:rPr>
          <w:i w:val="0"/>
          <w:color w:val="auto"/>
        </w:rPr>
        <w:t>7.7</w:t>
      </w:r>
      <w:r w:rsidRPr="0034356C">
        <w:rPr>
          <w:i w:val="0"/>
          <w:color w:val="auto"/>
        </w:rPr>
        <w:t>m) adjustment for passport funding due to lower than expected passports issued in 2015-16.</w:t>
      </w:r>
    </w:p>
    <w:p w:rsidR="00D51E42" w:rsidRPr="0034356C" w:rsidRDefault="00D51E42" w:rsidP="00D51E42">
      <w:pPr>
        <w:pStyle w:val="ExampleText"/>
        <w:rPr>
          <w:i w:val="0"/>
          <w:color w:val="auto"/>
        </w:rPr>
      </w:pPr>
      <w:r w:rsidRPr="0034356C">
        <w:rPr>
          <w:i w:val="0"/>
          <w:color w:val="auto"/>
        </w:rPr>
        <w:t>Administered items</w:t>
      </w:r>
    </w:p>
    <w:p w:rsidR="00D51E42" w:rsidRDefault="00D51E42" w:rsidP="0020615E">
      <w:pPr>
        <w:pStyle w:val="ExampleText"/>
        <w:numPr>
          <w:ilvl w:val="0"/>
          <w:numId w:val="6"/>
        </w:numPr>
        <w:rPr>
          <w:i w:val="0"/>
          <w:color w:val="auto"/>
        </w:rPr>
      </w:pPr>
      <w:r w:rsidRPr="0034356C">
        <w:rPr>
          <w:i w:val="0"/>
          <w:color w:val="auto"/>
        </w:rPr>
        <w:t xml:space="preserve"> </w:t>
      </w:r>
      <w:r>
        <w:rPr>
          <w:i w:val="0"/>
          <w:color w:val="auto"/>
        </w:rPr>
        <w:t>$0.2m adjustment for foreign exchange movements;</w:t>
      </w:r>
    </w:p>
    <w:p w:rsidR="00D51E42" w:rsidRDefault="00D51E42" w:rsidP="0020615E">
      <w:pPr>
        <w:pStyle w:val="ExampleText"/>
        <w:numPr>
          <w:ilvl w:val="0"/>
          <w:numId w:val="6"/>
        </w:numPr>
        <w:rPr>
          <w:i w:val="0"/>
          <w:color w:val="auto"/>
        </w:rPr>
      </w:pPr>
      <w:r>
        <w:rPr>
          <w:i w:val="0"/>
          <w:color w:val="auto"/>
        </w:rPr>
        <w:t>$10.4m adjustment for contributions to UN Peacekeeping Operations;</w:t>
      </w:r>
    </w:p>
    <w:p w:rsidR="00D51E42" w:rsidRDefault="00D51E42" w:rsidP="0020615E">
      <w:pPr>
        <w:pStyle w:val="ExampleText"/>
        <w:numPr>
          <w:ilvl w:val="0"/>
          <w:numId w:val="6"/>
        </w:numPr>
        <w:rPr>
          <w:i w:val="0"/>
          <w:color w:val="auto"/>
        </w:rPr>
      </w:pPr>
      <w:r>
        <w:rPr>
          <w:i w:val="0"/>
          <w:color w:val="auto"/>
        </w:rPr>
        <w:t>$6.4m adjustment for contributions to International Organisations;</w:t>
      </w:r>
      <w:r w:rsidR="00D244B6">
        <w:rPr>
          <w:i w:val="0"/>
          <w:color w:val="auto"/>
        </w:rPr>
        <w:t xml:space="preserve"> and</w:t>
      </w:r>
    </w:p>
    <w:p w:rsidR="00D51E42" w:rsidRPr="00C62241" w:rsidRDefault="00D51E42" w:rsidP="0020615E">
      <w:pPr>
        <w:pStyle w:val="ExampleText"/>
        <w:numPr>
          <w:ilvl w:val="0"/>
          <w:numId w:val="6"/>
        </w:numPr>
        <w:rPr>
          <w:i w:val="0"/>
          <w:color w:val="auto"/>
        </w:rPr>
      </w:pPr>
      <w:r>
        <w:rPr>
          <w:i w:val="0"/>
          <w:color w:val="auto"/>
        </w:rPr>
        <w:t>$6.5m a</w:t>
      </w:r>
      <w:r w:rsidRPr="00C62241">
        <w:rPr>
          <w:i w:val="0"/>
          <w:color w:val="auto"/>
        </w:rPr>
        <w:t xml:space="preserve">djustment for contributions from Other Government Departments to the </w:t>
      </w:r>
      <w:r w:rsidR="00D42815" w:rsidRPr="002B1475">
        <w:rPr>
          <w:rFonts w:cs="Helvetica"/>
          <w:i w:val="0"/>
          <w:color w:val="auto"/>
        </w:rPr>
        <w:t>Official Development Assistance — reprioritised funding measure</w:t>
      </w:r>
      <w:r>
        <w:rPr>
          <w:i w:val="0"/>
          <w:color w:val="auto"/>
        </w:rPr>
        <w:t>.</w:t>
      </w:r>
    </w:p>
    <w:p w:rsidR="00D51E42" w:rsidRDefault="00D51E42" w:rsidP="002368F9">
      <w:pPr>
        <w:rPr>
          <w:b/>
        </w:rPr>
      </w:pPr>
    </w:p>
    <w:p w:rsidR="002368F9" w:rsidRPr="0034356C" w:rsidRDefault="002368F9" w:rsidP="002368F9">
      <w:pPr>
        <w:rPr>
          <w:b/>
        </w:rPr>
      </w:pPr>
      <w:r w:rsidRPr="0034356C">
        <w:rPr>
          <w:b/>
        </w:rPr>
        <w:lastRenderedPageBreak/>
        <w:t xml:space="preserve">Australian Trade Commission (Austrade) </w:t>
      </w:r>
      <w:r w:rsidRPr="00335FE6">
        <w:rPr>
          <w:b/>
        </w:rPr>
        <w:t>$</w:t>
      </w:r>
      <w:r w:rsidR="00E35AEB">
        <w:rPr>
          <w:b/>
        </w:rPr>
        <w:t>10.3</w:t>
      </w:r>
      <w:r w:rsidR="00522428" w:rsidRPr="00335FE6">
        <w:rPr>
          <w:b/>
        </w:rPr>
        <w:t xml:space="preserve"> million</w:t>
      </w:r>
    </w:p>
    <w:p w:rsidR="002368F9" w:rsidRPr="0034356C" w:rsidRDefault="0034356C" w:rsidP="002368F9">
      <w:r>
        <w:t>Departmental i</w:t>
      </w:r>
      <w:r w:rsidR="002368F9" w:rsidRPr="0034356C">
        <w:t>tems</w:t>
      </w:r>
    </w:p>
    <w:p w:rsidR="002368F9" w:rsidRPr="0034356C" w:rsidRDefault="002368F9" w:rsidP="0020615E">
      <w:pPr>
        <w:numPr>
          <w:ilvl w:val="0"/>
          <w:numId w:val="8"/>
        </w:numPr>
      </w:pPr>
      <w:r w:rsidRPr="0034356C">
        <w:t>$6.0m adjustment for a movement of funds for Free Trade Agreement Promotion;</w:t>
      </w:r>
    </w:p>
    <w:p w:rsidR="002368F9" w:rsidRPr="00E35AEB" w:rsidRDefault="00591700" w:rsidP="0020615E">
      <w:pPr>
        <w:numPr>
          <w:ilvl w:val="0"/>
          <w:numId w:val="8"/>
        </w:numPr>
      </w:pPr>
      <w:r w:rsidRPr="00E35AEB">
        <w:t>$</w:t>
      </w:r>
      <w:r w:rsidR="00E35AEB" w:rsidRPr="00E35AEB">
        <w:t>0.8</w:t>
      </w:r>
      <w:r w:rsidR="002368F9" w:rsidRPr="00E35AEB">
        <w:t>m adjustment for</w:t>
      </w:r>
      <w:r w:rsidR="00E35AEB">
        <w:t xml:space="preserve"> simpler land arrangements to support investment in the north</w:t>
      </w:r>
      <w:r w:rsidR="002368F9" w:rsidRPr="00E35AEB">
        <w:t>;</w:t>
      </w:r>
    </w:p>
    <w:p w:rsidR="002368F9" w:rsidRPr="00E35AEB" w:rsidRDefault="00FD28D2" w:rsidP="0020615E">
      <w:pPr>
        <w:numPr>
          <w:ilvl w:val="0"/>
          <w:numId w:val="8"/>
        </w:numPr>
      </w:pPr>
      <w:r w:rsidRPr="00E35AEB">
        <w:t>$</w:t>
      </w:r>
      <w:r w:rsidR="00E35AEB" w:rsidRPr="00E35AEB">
        <w:t>3.5</w:t>
      </w:r>
      <w:r w:rsidR="002368F9" w:rsidRPr="00E35AEB">
        <w:t xml:space="preserve">m adjustment for </w:t>
      </w:r>
      <w:r w:rsidR="0031455F" w:rsidRPr="00E35AEB">
        <w:t xml:space="preserve">foreign exchange </w:t>
      </w:r>
      <w:r w:rsidR="00607B29" w:rsidRPr="00E35AEB">
        <w:t>movements</w:t>
      </w:r>
      <w:r w:rsidR="002368F9" w:rsidRPr="00E35AEB">
        <w:t>; and</w:t>
      </w:r>
    </w:p>
    <w:p w:rsidR="002368F9" w:rsidRPr="0034356C" w:rsidRDefault="002368F9" w:rsidP="0020615E">
      <w:pPr>
        <w:numPr>
          <w:ilvl w:val="0"/>
          <w:numId w:val="8"/>
        </w:numPr>
      </w:pPr>
      <w:r w:rsidRPr="0034356C">
        <w:t>($0.04m) adjustment for savings on Public Sector Superannuation accumulation plan (</w:t>
      </w:r>
      <w:proofErr w:type="spellStart"/>
      <w:r w:rsidRPr="0034356C">
        <w:t>PSSap</w:t>
      </w:r>
      <w:proofErr w:type="spellEnd"/>
      <w:r w:rsidRPr="0034356C">
        <w:t>) administration costs.</w:t>
      </w:r>
    </w:p>
    <w:p w:rsidR="006B1397" w:rsidRDefault="006B1397" w:rsidP="001354A7">
      <w:pPr>
        <w:pStyle w:val="ExampleText"/>
        <w:rPr>
          <w:b/>
          <w:i w:val="0"/>
          <w:color w:val="auto"/>
        </w:rPr>
      </w:pPr>
    </w:p>
    <w:p w:rsidR="006B1397" w:rsidRDefault="006B1397" w:rsidP="006B1397">
      <w:pPr>
        <w:pStyle w:val="ExampleText"/>
        <w:rPr>
          <w:i w:val="0"/>
          <w:color w:val="auto"/>
        </w:rPr>
      </w:pPr>
      <w:r>
        <w:rPr>
          <w:b/>
          <w:i w:val="0"/>
          <w:color w:val="auto"/>
        </w:rPr>
        <w:t>Australian Centre for International Agricultural Research (ACIAR)</w:t>
      </w:r>
    </w:p>
    <w:p w:rsidR="006B1397" w:rsidRDefault="006B1397" w:rsidP="006B1397">
      <w:pPr>
        <w:pStyle w:val="ExampleText"/>
        <w:rPr>
          <w:i w:val="0"/>
          <w:color w:val="auto"/>
        </w:rPr>
      </w:pPr>
      <w:r>
        <w:rPr>
          <w:i w:val="0"/>
          <w:color w:val="auto"/>
        </w:rPr>
        <w:t>There are no additional measures or variations for ACIAR.</w:t>
      </w:r>
    </w:p>
    <w:p w:rsidR="006B1397" w:rsidRDefault="006B1397" w:rsidP="006B1397">
      <w:pPr>
        <w:pStyle w:val="ExampleText"/>
        <w:rPr>
          <w:b/>
          <w:i w:val="0"/>
          <w:color w:val="auto"/>
        </w:rPr>
      </w:pPr>
    </w:p>
    <w:p w:rsidR="006B1397" w:rsidRDefault="006B1397" w:rsidP="006B1397">
      <w:pPr>
        <w:pStyle w:val="ExampleText"/>
        <w:rPr>
          <w:i w:val="0"/>
          <w:color w:val="auto"/>
        </w:rPr>
      </w:pPr>
      <w:r>
        <w:rPr>
          <w:b/>
          <w:i w:val="0"/>
          <w:color w:val="auto"/>
        </w:rPr>
        <w:t xml:space="preserve">Australian Secret Intelligence </w:t>
      </w:r>
      <w:r w:rsidR="001D79CF">
        <w:rPr>
          <w:b/>
          <w:i w:val="0"/>
          <w:color w:val="auto"/>
        </w:rPr>
        <w:t>Service</w:t>
      </w:r>
      <w:r>
        <w:rPr>
          <w:b/>
          <w:i w:val="0"/>
          <w:color w:val="auto"/>
        </w:rPr>
        <w:t xml:space="preserve"> (ASIS)</w:t>
      </w:r>
    </w:p>
    <w:p w:rsidR="006B1397" w:rsidRDefault="006B1397" w:rsidP="006B1397">
      <w:pPr>
        <w:pStyle w:val="ExampleText"/>
        <w:rPr>
          <w:i w:val="0"/>
          <w:color w:val="auto"/>
        </w:rPr>
      </w:pPr>
      <w:r>
        <w:rPr>
          <w:i w:val="0"/>
          <w:color w:val="auto"/>
        </w:rPr>
        <w:t>There are no additional measures or variations for ASIS.</w:t>
      </w:r>
    </w:p>
    <w:p w:rsidR="006B1397" w:rsidRDefault="006B1397" w:rsidP="001354A7">
      <w:pPr>
        <w:pStyle w:val="ExampleText"/>
        <w:rPr>
          <w:b/>
          <w:i w:val="0"/>
          <w:color w:val="auto"/>
        </w:rPr>
      </w:pPr>
    </w:p>
    <w:p w:rsidR="009166EF" w:rsidRDefault="009166EF" w:rsidP="009166EF">
      <w:pPr>
        <w:pStyle w:val="ExampleText"/>
        <w:rPr>
          <w:i w:val="0"/>
          <w:color w:val="auto"/>
        </w:rPr>
      </w:pPr>
      <w:r>
        <w:rPr>
          <w:b/>
          <w:i w:val="0"/>
          <w:color w:val="auto"/>
        </w:rPr>
        <w:t>Export Finance and Insurance Corporation (EFIC)</w:t>
      </w:r>
    </w:p>
    <w:p w:rsidR="009166EF" w:rsidRDefault="00E623D1" w:rsidP="009166EF">
      <w:pPr>
        <w:pStyle w:val="ExampleText"/>
        <w:rPr>
          <w:i w:val="0"/>
          <w:color w:val="auto"/>
        </w:rPr>
      </w:pPr>
      <w:r>
        <w:rPr>
          <w:i w:val="0"/>
          <w:color w:val="auto"/>
        </w:rPr>
        <w:t xml:space="preserve">EFIC does not appear in </w:t>
      </w:r>
      <w:r w:rsidR="009E00E9">
        <w:rPr>
          <w:i w:val="0"/>
          <w:color w:val="auto"/>
        </w:rPr>
        <w:t xml:space="preserve">the </w:t>
      </w:r>
      <w:r>
        <w:rPr>
          <w:i w:val="0"/>
          <w:color w:val="auto"/>
        </w:rPr>
        <w:t xml:space="preserve">Portfolio Additional Estimates Statements as it is not part of the general government sector. </w:t>
      </w:r>
    </w:p>
    <w:p w:rsidR="00E623D1" w:rsidRDefault="00E623D1" w:rsidP="009166EF">
      <w:pPr>
        <w:pStyle w:val="ExampleText"/>
        <w:rPr>
          <w:i w:val="0"/>
          <w:color w:val="auto"/>
        </w:rPr>
      </w:pPr>
    </w:p>
    <w:p w:rsidR="001354A7" w:rsidRPr="0034356C" w:rsidRDefault="001354A7" w:rsidP="001354A7">
      <w:pPr>
        <w:pStyle w:val="ExampleText"/>
        <w:rPr>
          <w:b/>
          <w:i w:val="0"/>
          <w:color w:val="auto"/>
        </w:rPr>
      </w:pPr>
      <w:r w:rsidRPr="0034356C">
        <w:rPr>
          <w:b/>
          <w:i w:val="0"/>
          <w:color w:val="auto"/>
        </w:rPr>
        <w:t>Tourism Australia</w:t>
      </w:r>
      <w:r w:rsidR="00FE35EC" w:rsidRPr="0034356C">
        <w:rPr>
          <w:b/>
          <w:i w:val="0"/>
          <w:color w:val="auto"/>
        </w:rPr>
        <w:t xml:space="preserve"> $6.7 million</w:t>
      </w:r>
    </w:p>
    <w:p w:rsidR="00647C7D" w:rsidRPr="0034356C" w:rsidRDefault="00D23CB9" w:rsidP="00647C7D">
      <w:pPr>
        <w:pStyle w:val="ExampleText"/>
        <w:rPr>
          <w:i w:val="0"/>
          <w:color w:val="auto"/>
        </w:rPr>
      </w:pPr>
      <w:r w:rsidRPr="0034356C">
        <w:rPr>
          <w:i w:val="0"/>
          <w:color w:val="auto"/>
        </w:rPr>
        <w:t>Departmental i</w:t>
      </w:r>
      <w:r w:rsidR="00647C7D" w:rsidRPr="0034356C">
        <w:rPr>
          <w:i w:val="0"/>
          <w:color w:val="auto"/>
        </w:rPr>
        <w:t>tems</w:t>
      </w:r>
    </w:p>
    <w:p w:rsidR="00647C7D" w:rsidRPr="00647C7D" w:rsidRDefault="00647C7D" w:rsidP="0020615E">
      <w:pPr>
        <w:pStyle w:val="ExampleText"/>
        <w:numPr>
          <w:ilvl w:val="0"/>
          <w:numId w:val="5"/>
        </w:numPr>
        <w:rPr>
          <w:color w:val="auto"/>
        </w:rPr>
      </w:pPr>
      <w:r w:rsidRPr="0034356C">
        <w:rPr>
          <w:i w:val="0"/>
          <w:color w:val="auto"/>
        </w:rPr>
        <w:t xml:space="preserve">$6.7m adjustment for foreign exchange </w:t>
      </w:r>
      <w:r w:rsidR="00607B29">
        <w:rPr>
          <w:i w:val="0"/>
          <w:color w:val="auto"/>
        </w:rPr>
        <w:t>movements</w:t>
      </w:r>
      <w:r w:rsidRPr="0034356C">
        <w:rPr>
          <w:i w:val="0"/>
          <w:color w:val="auto"/>
        </w:rPr>
        <w:t xml:space="preserve"> </w:t>
      </w:r>
      <w:r w:rsidR="00806890">
        <w:rPr>
          <w:i w:val="0"/>
          <w:color w:val="auto"/>
        </w:rPr>
        <w:t xml:space="preserve">in </w:t>
      </w:r>
      <w:r w:rsidRPr="0034356C">
        <w:rPr>
          <w:i w:val="0"/>
          <w:color w:val="auto"/>
        </w:rPr>
        <w:t>2014</w:t>
      </w:r>
      <w:r w:rsidRPr="00647C7D">
        <w:rPr>
          <w:i w:val="0"/>
          <w:color w:val="auto"/>
        </w:rPr>
        <w:t>-15.</w:t>
      </w:r>
    </w:p>
    <w:p w:rsidR="00F51DAC" w:rsidRDefault="00F51DAC" w:rsidP="00F51DAC">
      <w:pPr>
        <w:pStyle w:val="FigureHeading"/>
      </w:pPr>
      <w:r>
        <w:br w:type="page"/>
      </w:r>
      <w:r>
        <w:lastRenderedPageBreak/>
        <w:t xml:space="preserve">Figure 1: </w:t>
      </w:r>
      <w:r w:rsidR="00756547">
        <w:t>Foreign Affairs and Trade portfolio structure and o</w:t>
      </w:r>
      <w:r w:rsidR="00737722">
        <w:t>utcomes</w:t>
      </w:r>
    </w:p>
    <w:p w:rsidR="00737722" w:rsidRPr="00737722" w:rsidRDefault="00737722" w:rsidP="00737722">
      <w:pPr>
        <w:pStyle w:val="ChartGraphic"/>
      </w:pPr>
    </w:p>
    <w:p w:rsidR="00F51DAC" w:rsidRDefault="008C3D0D" w:rsidP="00F51DAC">
      <w:pPr>
        <w:pStyle w:val="ChartGraphic"/>
      </w:pPr>
      <w:r>
        <w:rPr>
          <w:rFonts w:ascii="Book Antiqua" w:hAnsi="Book Antiqua"/>
          <w:i/>
          <w:noProof/>
          <w:lang w:eastAsia="zh-CN"/>
        </w:rPr>
        <w:drawing>
          <wp:inline distT="0" distB="0" distL="0" distR="0">
            <wp:extent cx="4581525" cy="6705600"/>
            <wp:effectExtent l="0" t="0" r="9525" b="0"/>
            <wp:docPr id="327" name="Picture 327" descr="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Be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81525" cy="6705600"/>
                    </a:xfrm>
                    <a:prstGeom prst="rect">
                      <a:avLst/>
                    </a:prstGeom>
                    <a:noFill/>
                    <a:ln>
                      <a:noFill/>
                    </a:ln>
                  </pic:spPr>
                </pic:pic>
              </a:graphicData>
            </a:graphic>
          </wp:inline>
        </w:drawing>
      </w:r>
    </w:p>
    <w:p w:rsidR="00737722" w:rsidRDefault="00737722" w:rsidP="00A64635">
      <w:pPr>
        <w:pStyle w:val="SingleParagraph"/>
      </w:pPr>
      <w:bookmarkStart w:id="88" w:name="_Toc97433671"/>
      <w:bookmarkStart w:id="89" w:name="_Toc97433760"/>
      <w:bookmarkStart w:id="90" w:name="_Toc97433860"/>
      <w:bookmarkStart w:id="91" w:name="_Toc97434209"/>
      <w:bookmarkStart w:id="92" w:name="_Toc97528986"/>
      <w:bookmarkStart w:id="93" w:name="_Toc97529025"/>
      <w:bookmarkStart w:id="94" w:name="_Toc112224373"/>
    </w:p>
    <w:p w:rsidR="00F51DAC" w:rsidRDefault="00F51DAC" w:rsidP="0090206F">
      <w:pPr>
        <w:pStyle w:val="Heading2"/>
      </w:pPr>
      <w:r>
        <w:br w:type="page"/>
      </w:r>
      <w:r>
        <w:lastRenderedPageBreak/>
        <w:t xml:space="preserve">Portfolio </w:t>
      </w:r>
      <w:r w:rsidR="00F8568F">
        <w:t>resources</w:t>
      </w:r>
    </w:p>
    <w:p w:rsidR="00F51DAC" w:rsidRDefault="00F51DAC" w:rsidP="00F51DAC">
      <w:r>
        <w:t xml:space="preserve">Table 1 shows </w:t>
      </w:r>
      <w:r w:rsidR="00C33583" w:rsidRPr="00C33583">
        <w:t xml:space="preserve">those </w:t>
      </w:r>
      <w:r w:rsidR="00726A60">
        <w:t>entities</w:t>
      </w:r>
      <w:r w:rsidR="00C33583" w:rsidRPr="00C33583">
        <w:t xml:space="preserve"> reporting in the </w:t>
      </w:r>
      <w:r w:rsidR="00B7550E">
        <w:t>PAES</w:t>
      </w:r>
      <w:r w:rsidR="00C33583" w:rsidRPr="00C33583">
        <w:t xml:space="preserve"> </w:t>
      </w:r>
      <w:r w:rsidR="003962BF">
        <w:t xml:space="preserve">and </w:t>
      </w:r>
      <w:r>
        <w:t xml:space="preserve">the </w:t>
      </w:r>
      <w:r w:rsidR="00FD351B">
        <w:t>additional</w:t>
      </w:r>
      <w:r>
        <w:t xml:space="preserve"> resources</w:t>
      </w:r>
      <w:r w:rsidR="00C33583">
        <w:t xml:space="preserve"> </w:t>
      </w:r>
      <w:r w:rsidR="00C34E4C">
        <w:t>provided to the P</w:t>
      </w:r>
      <w:r>
        <w:t xml:space="preserve">ortfolio in the </w:t>
      </w:r>
      <w:r w:rsidR="00A1234B">
        <w:t>201</w:t>
      </w:r>
      <w:r w:rsidR="00B94BE6">
        <w:t>5</w:t>
      </w:r>
      <w:r w:rsidR="00A1234B">
        <w:t>-1</w:t>
      </w:r>
      <w:r w:rsidR="00B94BE6">
        <w:t>6</w:t>
      </w:r>
      <w:r>
        <w:t xml:space="preserve"> budget year, by </w:t>
      </w:r>
      <w:r w:rsidR="00726A60">
        <w:t>entity</w:t>
      </w:r>
      <w:r>
        <w:t xml:space="preserve">. </w:t>
      </w:r>
    </w:p>
    <w:p w:rsidR="00F040E9" w:rsidRPr="00030BDE" w:rsidRDefault="00F51DAC" w:rsidP="00030BDE">
      <w:pPr>
        <w:pStyle w:val="TableHeading"/>
        <w:rPr>
          <w:lang w:val="en-AU"/>
        </w:rPr>
      </w:pPr>
      <w:r w:rsidRPr="001A1469">
        <w:t xml:space="preserve">Table 1: Portfolio </w:t>
      </w:r>
      <w:r w:rsidR="00755EB5">
        <w:t>R</w:t>
      </w:r>
      <w:r w:rsidRPr="001A1469">
        <w:t xml:space="preserve">esources </w:t>
      </w:r>
      <w:r w:rsidR="00AE6133">
        <w:rPr>
          <w:lang w:val="en-AU"/>
        </w:rPr>
        <w:t>(</w:t>
      </w:r>
      <w:r w:rsidR="00A1234B">
        <w:t>201</w:t>
      </w:r>
      <w:r w:rsidR="00F8568F">
        <w:rPr>
          <w:lang w:val="en-AU"/>
        </w:rPr>
        <w:t>5</w:t>
      </w:r>
      <w:r w:rsidR="00A1234B">
        <w:t>-1</w:t>
      </w:r>
      <w:r w:rsidR="00F8568F">
        <w:rPr>
          <w:lang w:val="en-AU"/>
        </w:rPr>
        <w:t>6</w:t>
      </w:r>
      <w:r w:rsidR="00AE6133">
        <w:rPr>
          <w:lang w:val="en-AU"/>
        </w:rPr>
        <w:t xml:space="preserve"> Additional Estimates)</w:t>
      </w:r>
      <w:r w:rsidR="00F95F5E">
        <w:rPr>
          <w:i/>
        </w:rPr>
        <w:fldChar w:fldCharType="begin"/>
      </w:r>
      <w:r w:rsidR="00F95F5E">
        <w:instrText xml:space="preserve"> LINK Excel.Sheet.8 "C:\\Users\\Radams2\\AppData\\Local\\Microsoft\\Windows\\Temporary Internet Files\\Content.Outlook\\Q4WG1A7J\\EM 2015-XX 2015-16 PAES Attachment D.xlsx!Table 1!R3C1:R22C6" "" \a \p </w:instrText>
      </w:r>
      <w:r w:rsidR="00F95F5E">
        <w:rPr>
          <w:i/>
        </w:rPr>
        <w:fldChar w:fldCharType="separate"/>
      </w:r>
    </w:p>
    <w:p w:rsidR="00F51DAC" w:rsidRDefault="00F95F5E" w:rsidP="00F51DAC">
      <w:pPr>
        <w:pStyle w:val="TableGraphic"/>
        <w:rPr>
          <w:i w:val="0"/>
        </w:rPr>
      </w:pPr>
      <w:r>
        <w:rPr>
          <w:i w:val="0"/>
        </w:rPr>
        <w:fldChar w:fldCharType="end"/>
      </w:r>
      <w:r w:rsidR="0054206A" w:rsidRPr="0054206A">
        <w:rPr>
          <w:noProof/>
          <w:lang w:eastAsia="zh-CN"/>
        </w:rPr>
        <w:drawing>
          <wp:inline distT="0" distB="0" distL="0" distR="0" wp14:anchorId="663BF399" wp14:editId="24FD21C1">
            <wp:extent cx="4896485" cy="2907584"/>
            <wp:effectExtent l="0" t="0" r="0" b="762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96485" cy="2907584"/>
                    </a:xfrm>
                    <a:prstGeom prst="rect">
                      <a:avLst/>
                    </a:prstGeom>
                    <a:noFill/>
                    <a:ln>
                      <a:noFill/>
                    </a:ln>
                  </pic:spPr>
                </pic:pic>
              </a:graphicData>
            </a:graphic>
          </wp:inline>
        </w:drawing>
      </w:r>
    </w:p>
    <w:p w:rsidR="00F040E9" w:rsidRPr="00F040E9" w:rsidRDefault="00F040E9" w:rsidP="00F040E9"/>
    <w:p w:rsidR="00F51DAC" w:rsidRDefault="00F51DAC" w:rsidP="00F51DAC"/>
    <w:p w:rsidR="00F51DAC" w:rsidRDefault="00F51DAC" w:rsidP="00F51DAC">
      <w:pPr>
        <w:pStyle w:val="PartHeading"/>
        <w:sectPr w:rsidR="00F51DAC" w:rsidSect="004C04CB">
          <w:headerReference w:type="even" r:id="rId46"/>
          <w:headerReference w:type="default" r:id="rId47"/>
          <w:headerReference w:type="first" r:id="rId48"/>
          <w:footerReference w:type="first" r:id="rId49"/>
          <w:type w:val="oddPage"/>
          <w:pgSz w:w="11907" w:h="16840" w:code="9"/>
          <w:pgMar w:top="2466" w:right="2098" w:bottom="2466" w:left="2098" w:header="1899" w:footer="1899" w:gutter="0"/>
          <w:cols w:space="720"/>
          <w:titlePg/>
        </w:sectPr>
      </w:pPr>
    </w:p>
    <w:p w:rsidR="00DD0C12" w:rsidRDefault="00DD0C12" w:rsidP="00F51DAC">
      <w:pPr>
        <w:pStyle w:val="PartHeading"/>
      </w:pPr>
    </w:p>
    <w:p w:rsidR="00F51DAC" w:rsidRDefault="00DD0C12" w:rsidP="00F51DAC">
      <w:pPr>
        <w:pStyle w:val="PartHeading"/>
      </w:pPr>
      <w:r>
        <w:br w:type="page"/>
      </w:r>
      <w:r w:rsidR="00726A60">
        <w:lastRenderedPageBreak/>
        <w:t>Entity</w:t>
      </w:r>
      <w:r w:rsidR="00F51DAC">
        <w:t xml:space="preserve"> </w:t>
      </w:r>
      <w:r w:rsidR="00F8568F">
        <w:t>additional estimates statements</w:t>
      </w:r>
      <w:bookmarkEnd w:id="88"/>
      <w:bookmarkEnd w:id="89"/>
      <w:bookmarkEnd w:id="90"/>
      <w:bookmarkEnd w:id="91"/>
      <w:bookmarkEnd w:id="92"/>
      <w:bookmarkEnd w:id="93"/>
      <w:bookmarkEnd w:id="94"/>
    </w:p>
    <w:p w:rsidR="00F51DAC" w:rsidRDefault="00F51DAC" w:rsidP="00F51DAC"/>
    <w:p w:rsidR="00F51DAC" w:rsidRDefault="00F51DAC" w:rsidP="00F51DAC">
      <w:pPr>
        <w:pStyle w:val="TOC1"/>
      </w:pPr>
      <w:r>
        <w:t xml:space="preserve">Department of </w:t>
      </w:r>
      <w:r w:rsidR="00270203">
        <w:t>Foreign Affairs and Trade</w:t>
      </w:r>
      <w:r w:rsidR="005814FA">
        <w:t xml:space="preserve"> (DFAT)</w:t>
      </w:r>
      <w:r w:rsidR="009926C7">
        <w:tab/>
        <w:t>9</w:t>
      </w:r>
    </w:p>
    <w:p w:rsidR="00F51DAC" w:rsidRPr="00361120" w:rsidRDefault="005814FA" w:rsidP="00F51DAC">
      <w:pPr>
        <w:pStyle w:val="TOC1"/>
      </w:pPr>
      <w:r>
        <w:t>Australian Trade Commission (Austrade)</w:t>
      </w:r>
      <w:r w:rsidR="000914E7">
        <w:tab/>
        <w:t>62</w:t>
      </w:r>
    </w:p>
    <w:p w:rsidR="00F51DAC" w:rsidRPr="00361120" w:rsidRDefault="005814FA" w:rsidP="00F51DAC">
      <w:pPr>
        <w:pStyle w:val="TOC1"/>
      </w:pPr>
      <w:r>
        <w:t>Tourism Australia</w:t>
      </w:r>
      <w:r w:rsidR="000914E7">
        <w:tab/>
        <w:t>89</w:t>
      </w:r>
    </w:p>
    <w:p w:rsidR="00F51DAC" w:rsidRDefault="00F51DAC" w:rsidP="00F51DAC">
      <w:pPr>
        <w:pStyle w:val="Heading1"/>
        <w:rPr>
          <w:i/>
        </w:rPr>
        <w:sectPr w:rsidR="00F51DAC" w:rsidSect="004C04CB">
          <w:headerReference w:type="even" r:id="rId50"/>
          <w:headerReference w:type="first" r:id="rId51"/>
          <w:footerReference w:type="first" r:id="rId52"/>
          <w:type w:val="oddPage"/>
          <w:pgSz w:w="11907" w:h="16840" w:code="9"/>
          <w:pgMar w:top="2466" w:right="2098" w:bottom="2466" w:left="2098" w:header="1899" w:footer="1899" w:gutter="0"/>
          <w:cols w:space="720"/>
          <w:titlePg/>
        </w:sectPr>
      </w:pPr>
      <w:bookmarkStart w:id="95" w:name="_Toc210646446"/>
      <w:bookmarkStart w:id="96" w:name="_Toc210698425"/>
    </w:p>
    <w:p w:rsidR="00F51DAC" w:rsidRPr="00AD19A8" w:rsidRDefault="00270203" w:rsidP="00F51DAC">
      <w:pPr>
        <w:pStyle w:val="Heading1"/>
        <w:rPr>
          <w:lang w:val="en-AU"/>
        </w:rPr>
      </w:pPr>
      <w:r>
        <w:rPr>
          <w:lang w:val="en-AU"/>
        </w:rPr>
        <w:lastRenderedPageBreak/>
        <w:t>Department of Foreign Affairs and Trade</w:t>
      </w:r>
      <w:bookmarkEnd w:id="95"/>
      <w:bookmarkEnd w:id="96"/>
    </w:p>
    <w:p w:rsidR="00F51DAC" w:rsidRPr="00D27592" w:rsidRDefault="00F51DAC" w:rsidP="00F51DAC">
      <w:pPr>
        <w:pStyle w:val="TOC1"/>
      </w:pPr>
      <w:bookmarkStart w:id="97" w:name="_Toc23559338"/>
      <w:bookmarkStart w:id="98" w:name="_Toc23559372"/>
      <w:bookmarkStart w:id="99" w:name="_Toc23559663"/>
      <w:bookmarkStart w:id="100" w:name="_Toc23560126"/>
      <w:bookmarkStart w:id="101" w:name="_Toc23563421"/>
      <w:bookmarkStart w:id="102" w:name="_Toc77998675"/>
      <w:bookmarkStart w:id="103" w:name="_Toc436624136"/>
      <w:bookmarkStart w:id="104" w:name="_Toc436625437"/>
      <w:bookmarkStart w:id="105" w:name="_Toc449255757"/>
      <w:r w:rsidRPr="00004343">
        <w:t>Section 1</w:t>
      </w:r>
      <w:r>
        <w:t xml:space="preserve">: </w:t>
      </w:r>
      <w:r w:rsidR="00726A60">
        <w:t>Entity</w:t>
      </w:r>
      <w:r w:rsidRPr="00004343">
        <w:t xml:space="preserve"> </w:t>
      </w:r>
      <w:r w:rsidR="00DE2037">
        <w:t>o</w:t>
      </w:r>
      <w:r w:rsidR="00DE2037" w:rsidRPr="00004343">
        <w:t xml:space="preserve">verview and </w:t>
      </w:r>
      <w:r w:rsidR="00DE2037">
        <w:t>r</w:t>
      </w:r>
      <w:r w:rsidR="00DE2037" w:rsidRPr="00004343">
        <w:t>esource</w:t>
      </w:r>
      <w:r w:rsidR="00DE2037">
        <w:t>s</w:t>
      </w:r>
      <w:r w:rsidRPr="00D27592">
        <w:tab/>
      </w:r>
      <w:r w:rsidR="00FF2DAE">
        <w:t>11</w:t>
      </w:r>
    </w:p>
    <w:p w:rsidR="00F51DAC" w:rsidRDefault="00F51DAC" w:rsidP="00F51DAC">
      <w:pPr>
        <w:pStyle w:val="TOC2"/>
      </w:pPr>
      <w:r>
        <w:t xml:space="preserve">1.1  </w:t>
      </w:r>
      <w:r w:rsidR="00960353" w:rsidRPr="00361120">
        <w:t>St</w:t>
      </w:r>
      <w:r w:rsidR="00960353">
        <w:t>rategic</w:t>
      </w:r>
      <w:r>
        <w:t xml:space="preserve"> </w:t>
      </w:r>
      <w:r w:rsidR="00DE2037">
        <w:t>direction statement</w:t>
      </w:r>
      <w:r w:rsidRPr="00361120">
        <w:tab/>
      </w:r>
      <w:r w:rsidR="00FF2DAE">
        <w:t>11</w:t>
      </w:r>
    </w:p>
    <w:p w:rsidR="00F51DAC" w:rsidRPr="00361120" w:rsidRDefault="00F51DAC" w:rsidP="00F51DAC">
      <w:pPr>
        <w:pStyle w:val="TOC2"/>
      </w:pPr>
      <w:r>
        <w:t xml:space="preserve">1.2  </w:t>
      </w:r>
      <w:r w:rsidR="00726A60">
        <w:t>Entity</w:t>
      </w:r>
      <w:r>
        <w:t xml:space="preserve"> </w:t>
      </w:r>
      <w:r w:rsidR="00DE2037">
        <w:t>resource statement</w:t>
      </w:r>
      <w:r w:rsidRPr="00361120">
        <w:tab/>
      </w:r>
      <w:r w:rsidR="00FF2DAE">
        <w:t>11</w:t>
      </w:r>
    </w:p>
    <w:p w:rsidR="00F51DAC" w:rsidRPr="00361120" w:rsidRDefault="00E15CF3" w:rsidP="00F51DAC">
      <w:pPr>
        <w:pStyle w:val="TOC2"/>
      </w:pPr>
      <w:r>
        <w:t xml:space="preserve">1.3  </w:t>
      </w:r>
      <w:r w:rsidR="00726A60">
        <w:t>Entity</w:t>
      </w:r>
      <w:r w:rsidR="00C41716">
        <w:t xml:space="preserve"> m</w:t>
      </w:r>
      <w:r w:rsidR="00755EB5">
        <w:t>easures</w:t>
      </w:r>
      <w:r w:rsidR="00F51DAC" w:rsidRPr="00361120">
        <w:tab/>
      </w:r>
      <w:r w:rsidR="00783D9C">
        <w:t>15</w:t>
      </w:r>
    </w:p>
    <w:p w:rsidR="00F51DAC" w:rsidRPr="00361120" w:rsidRDefault="00E15CF3" w:rsidP="00F51DAC">
      <w:pPr>
        <w:pStyle w:val="TOC2"/>
      </w:pPr>
      <w:r>
        <w:t xml:space="preserve">1.4  Additional </w:t>
      </w:r>
      <w:r w:rsidR="00DE2037">
        <w:t xml:space="preserve">estimates </w:t>
      </w:r>
      <w:r w:rsidR="00F51DAC">
        <w:t xml:space="preserve">and </w:t>
      </w:r>
      <w:r w:rsidR="00DE2037">
        <w:t>variations</w:t>
      </w:r>
      <w:r w:rsidR="00F51DAC" w:rsidRPr="00361120">
        <w:tab/>
      </w:r>
      <w:r w:rsidR="00783D9C">
        <w:t>17</w:t>
      </w:r>
    </w:p>
    <w:p w:rsidR="00F51DAC" w:rsidRDefault="00E15CF3" w:rsidP="00F51DAC">
      <w:pPr>
        <w:pStyle w:val="TOC2"/>
      </w:pPr>
      <w:r>
        <w:t xml:space="preserve">1.5  Breakdown of </w:t>
      </w:r>
      <w:r w:rsidR="00DE2037">
        <w:t xml:space="preserve">additional estimates </w:t>
      </w:r>
      <w:r w:rsidR="00F51DAC">
        <w:t xml:space="preserve">by </w:t>
      </w:r>
      <w:r w:rsidR="00DE2037">
        <w:t>appropriation bill</w:t>
      </w:r>
      <w:r w:rsidR="00F51DAC" w:rsidRPr="00361120">
        <w:tab/>
      </w:r>
      <w:r w:rsidR="00783D9C">
        <w:t>19</w:t>
      </w:r>
    </w:p>
    <w:p w:rsidR="00F51DAC" w:rsidRPr="00D27592" w:rsidRDefault="00F51DAC" w:rsidP="00F51DAC">
      <w:pPr>
        <w:pStyle w:val="TOC1"/>
      </w:pPr>
      <w:r w:rsidRPr="00004343">
        <w:t xml:space="preserve">Section </w:t>
      </w:r>
      <w:r>
        <w:t xml:space="preserve">2: Revisions to </w:t>
      </w:r>
      <w:r w:rsidR="00DE2037">
        <w:t xml:space="preserve">outcomes </w:t>
      </w:r>
      <w:r>
        <w:t xml:space="preserve">and </w:t>
      </w:r>
      <w:r w:rsidR="00DE2037">
        <w:t>planned performance</w:t>
      </w:r>
      <w:r w:rsidRPr="00D27592">
        <w:tab/>
      </w:r>
      <w:r w:rsidR="00783D9C">
        <w:t>22</w:t>
      </w:r>
    </w:p>
    <w:p w:rsidR="00F51DAC" w:rsidRDefault="00F51DAC" w:rsidP="00F51DAC">
      <w:pPr>
        <w:pStyle w:val="TOC2"/>
      </w:pPr>
      <w:r>
        <w:t xml:space="preserve">2.1  </w:t>
      </w:r>
      <w:r w:rsidR="00D72565">
        <w:t>Outcomes</w:t>
      </w:r>
      <w:r>
        <w:t xml:space="preserve"> and </w:t>
      </w:r>
      <w:r w:rsidR="00DE2037">
        <w:t>performance information</w:t>
      </w:r>
      <w:r w:rsidRPr="00361120">
        <w:tab/>
      </w:r>
      <w:r w:rsidR="00783D9C">
        <w:t>22</w:t>
      </w:r>
    </w:p>
    <w:p w:rsidR="00F51DAC" w:rsidRPr="00B4256D" w:rsidRDefault="00F51DAC" w:rsidP="00F51DAC">
      <w:pPr>
        <w:pStyle w:val="TOC1"/>
      </w:pPr>
      <w:r w:rsidRPr="00B4256D">
        <w:t>Section 3</w:t>
      </w:r>
      <w:r>
        <w:t xml:space="preserve">: </w:t>
      </w:r>
      <w:r w:rsidRPr="00B4256D">
        <w:t xml:space="preserve">Explanatory </w:t>
      </w:r>
      <w:r w:rsidR="00DE2037">
        <w:t>t</w:t>
      </w:r>
      <w:r w:rsidR="00DE2037" w:rsidRPr="00B4256D">
        <w:t xml:space="preserve">ables </w:t>
      </w:r>
      <w:r w:rsidRPr="00B4256D">
        <w:t xml:space="preserve">and </w:t>
      </w:r>
      <w:r w:rsidR="00DE2037">
        <w:t>b</w:t>
      </w:r>
      <w:r w:rsidR="00DE2037" w:rsidRPr="00B4256D">
        <w:t xml:space="preserve">udgeted </w:t>
      </w:r>
      <w:r w:rsidR="00DE2037">
        <w:t>f</w:t>
      </w:r>
      <w:r w:rsidR="00DE2037" w:rsidRPr="00B4256D">
        <w:t xml:space="preserve">inancial </w:t>
      </w:r>
      <w:r w:rsidR="00DE2037">
        <w:t>s</w:t>
      </w:r>
      <w:r w:rsidR="00DE2037" w:rsidRPr="00B4256D">
        <w:t>tatements</w:t>
      </w:r>
      <w:r w:rsidRPr="00B4256D">
        <w:tab/>
      </w:r>
      <w:r w:rsidR="00783D9C">
        <w:t>42</w:t>
      </w:r>
    </w:p>
    <w:p w:rsidR="00F51DAC" w:rsidRDefault="00F51DAC" w:rsidP="00F51DAC">
      <w:pPr>
        <w:pStyle w:val="TOC2"/>
      </w:pPr>
      <w:r>
        <w:t xml:space="preserve">3.1  Explanatory </w:t>
      </w:r>
      <w:r w:rsidR="00DE2037">
        <w:t>tables</w:t>
      </w:r>
      <w:r w:rsidRPr="00361120">
        <w:tab/>
      </w:r>
      <w:r w:rsidR="00783D9C">
        <w:t>42</w:t>
      </w:r>
    </w:p>
    <w:p w:rsidR="00F51DAC" w:rsidRDefault="00F51DAC" w:rsidP="00F51DAC">
      <w:pPr>
        <w:pStyle w:val="TOC2"/>
      </w:pPr>
      <w:r>
        <w:t xml:space="preserve">3.2  Budgeted </w:t>
      </w:r>
      <w:r w:rsidR="00DE2037">
        <w:t>financial statements</w:t>
      </w:r>
      <w:r w:rsidRPr="00361120">
        <w:tab/>
      </w:r>
      <w:r w:rsidR="00783D9C">
        <w:t>44</w:t>
      </w:r>
    </w:p>
    <w:p w:rsidR="00F51DAC" w:rsidRDefault="00F51DAC" w:rsidP="00F51DAC"/>
    <w:p w:rsidR="00DD283B" w:rsidRDefault="00DD283B" w:rsidP="00F51DAC"/>
    <w:p w:rsidR="00DD283B" w:rsidRDefault="000E17D8" w:rsidP="00F51DAC">
      <w:pPr>
        <w:sectPr w:rsidR="00DD283B" w:rsidSect="004C04CB">
          <w:headerReference w:type="first" r:id="rId53"/>
          <w:footerReference w:type="first" r:id="rId54"/>
          <w:type w:val="oddPage"/>
          <w:pgSz w:w="11907" w:h="16840" w:code="9"/>
          <w:pgMar w:top="2466" w:right="2098" w:bottom="2466" w:left="2098" w:header="1899" w:footer="1899" w:gutter="0"/>
          <w:cols w:space="720"/>
          <w:titlePg/>
        </w:sectPr>
      </w:pPr>
      <w:r>
        <w:br w:type="page"/>
      </w:r>
    </w:p>
    <w:p w:rsidR="00F51DAC" w:rsidRPr="009B3FDD" w:rsidRDefault="009B3FDD" w:rsidP="00F51DAC">
      <w:pPr>
        <w:pStyle w:val="Heading1"/>
        <w:rPr>
          <w:lang w:val="en-AU"/>
        </w:rPr>
      </w:pPr>
      <w:bookmarkStart w:id="106" w:name="_Toc210646447"/>
      <w:bookmarkStart w:id="107" w:name="_Toc210698426"/>
      <w:bookmarkStart w:id="108" w:name="OLE_LINK12"/>
      <w:bookmarkStart w:id="109" w:name="OLE_LINK13"/>
      <w:bookmarkEnd w:id="97"/>
      <w:bookmarkEnd w:id="98"/>
      <w:bookmarkEnd w:id="99"/>
      <w:bookmarkEnd w:id="100"/>
      <w:bookmarkEnd w:id="101"/>
      <w:bookmarkEnd w:id="102"/>
      <w:r>
        <w:rPr>
          <w:lang w:val="en-AU"/>
        </w:rPr>
        <w:lastRenderedPageBreak/>
        <w:t>Department of Foreign Affairs and Trade</w:t>
      </w:r>
      <w:bookmarkEnd w:id="106"/>
      <w:bookmarkEnd w:id="107"/>
    </w:p>
    <w:p w:rsidR="0090206F" w:rsidRPr="0090206F" w:rsidRDefault="0090206F" w:rsidP="0090206F">
      <w:pPr>
        <w:pStyle w:val="Heading2"/>
      </w:pPr>
      <w:bookmarkStart w:id="110" w:name="_Toc490972399"/>
      <w:bookmarkStart w:id="111" w:name="_Toc491014616"/>
      <w:bookmarkStart w:id="112" w:name="_Toc491014758"/>
      <w:bookmarkStart w:id="113" w:name="_Toc491014938"/>
      <w:bookmarkStart w:id="114" w:name="_Toc491015085"/>
      <w:bookmarkStart w:id="115" w:name="_Toc491029232"/>
      <w:bookmarkStart w:id="116" w:name="_Toc491030321"/>
      <w:bookmarkStart w:id="117" w:name="_Toc491030781"/>
      <w:bookmarkStart w:id="118" w:name="_Toc491031344"/>
      <w:bookmarkStart w:id="119" w:name="_Toc491031931"/>
      <w:bookmarkStart w:id="120" w:name="_Toc491032101"/>
      <w:bookmarkStart w:id="121" w:name="_Toc491032212"/>
      <w:bookmarkStart w:id="122" w:name="_Toc491032319"/>
      <w:bookmarkStart w:id="123" w:name="_Toc491771706"/>
      <w:bookmarkStart w:id="124" w:name="_Toc491773281"/>
      <w:bookmarkStart w:id="125" w:name="_Toc23559340"/>
      <w:bookmarkStart w:id="126" w:name="_Toc23559374"/>
      <w:bookmarkStart w:id="127" w:name="_Toc23559665"/>
      <w:bookmarkStart w:id="128" w:name="_Toc23560128"/>
      <w:bookmarkStart w:id="129" w:name="_Toc23563423"/>
      <w:bookmarkStart w:id="130" w:name="_Toc77998677"/>
      <w:bookmarkStart w:id="131" w:name="_Toc79399716"/>
      <w:bookmarkStart w:id="132" w:name="_Toc112211956"/>
      <w:bookmarkStart w:id="133" w:name="_Toc112212050"/>
      <w:bookmarkStart w:id="134" w:name="_Toc112137868"/>
      <w:bookmarkStart w:id="135" w:name="_Toc112137890"/>
      <w:bookmarkStart w:id="136" w:name="_Toc210646448"/>
      <w:bookmarkStart w:id="137" w:name="_Toc210698427"/>
      <w:bookmarkStart w:id="138" w:name="_Toc210703208"/>
      <w:bookmarkStart w:id="139" w:name="_Toc436624138"/>
      <w:bookmarkStart w:id="140" w:name="_Toc436625439"/>
      <w:bookmarkStart w:id="141" w:name="_Toc449255759"/>
      <w:bookmarkStart w:id="142" w:name="_Toc490972400"/>
      <w:bookmarkStart w:id="143" w:name="_Toc491014617"/>
      <w:bookmarkStart w:id="144" w:name="_Toc491014759"/>
      <w:bookmarkStart w:id="145" w:name="_Toc491014939"/>
      <w:bookmarkStart w:id="146" w:name="_Toc491015086"/>
      <w:bookmarkStart w:id="147" w:name="_Toc491029233"/>
      <w:bookmarkStart w:id="148" w:name="_Toc491030322"/>
      <w:bookmarkStart w:id="149" w:name="_Toc491030782"/>
      <w:bookmarkStart w:id="150" w:name="_Toc491031345"/>
      <w:bookmarkStart w:id="151" w:name="_Toc491031932"/>
      <w:bookmarkStart w:id="152" w:name="_Toc491032102"/>
      <w:bookmarkStart w:id="153" w:name="_Toc491032213"/>
      <w:bookmarkStart w:id="154" w:name="_Toc491032320"/>
      <w:bookmarkStart w:id="155" w:name="_Toc491771707"/>
      <w:bookmarkStart w:id="156" w:name="_Toc491773282"/>
      <w:bookmarkStart w:id="157" w:name="_Toc23559341"/>
      <w:bookmarkStart w:id="158" w:name="_Toc23559375"/>
      <w:bookmarkStart w:id="159" w:name="_Toc23559666"/>
      <w:bookmarkStart w:id="160" w:name="_Toc23560129"/>
      <w:bookmarkStart w:id="161" w:name="_Toc23563424"/>
      <w:bookmarkStart w:id="162" w:name="_Toc77998678"/>
      <w:bookmarkStart w:id="163" w:name="_Toc79406107"/>
      <w:bookmarkStart w:id="164" w:name="_Toc79467809"/>
      <w:bookmarkStart w:id="165" w:name="_Toc112211957"/>
      <w:bookmarkStart w:id="166" w:name="_Toc112212051"/>
      <w:bookmarkStart w:id="167" w:name="_Toc112137869"/>
      <w:bookmarkStart w:id="168" w:name="_Toc112137891"/>
      <w:bookmarkEnd w:id="103"/>
      <w:bookmarkEnd w:id="104"/>
      <w:bookmarkEnd w:id="105"/>
      <w:r w:rsidRPr="0090206F">
        <w:t xml:space="preserve">Section 1: </w:t>
      </w:r>
      <w:r w:rsidR="00726A60">
        <w:t>Entity</w:t>
      </w:r>
      <w:r w:rsidRPr="0090206F">
        <w:t xml:space="preserve"> </w:t>
      </w:r>
      <w:r w:rsidR="002322E9">
        <w:t>o</w:t>
      </w:r>
      <w:r w:rsidR="002322E9" w:rsidRPr="0090206F">
        <w:t xml:space="preserve">verview and </w:t>
      </w:r>
      <w:r w:rsidR="002322E9">
        <w:t>r</w:t>
      </w:r>
      <w:r w:rsidR="002322E9" w:rsidRPr="0090206F">
        <w:t>esources</w:t>
      </w:r>
    </w:p>
    <w:p w:rsidR="00F51DAC" w:rsidRPr="002322E9" w:rsidRDefault="00F51DAC" w:rsidP="00F51DAC">
      <w:pPr>
        <w:pStyle w:val="Heading3"/>
        <w:rPr>
          <w:lang w:val="en-AU"/>
        </w:rPr>
      </w:pPr>
      <w:bookmarkStart w:id="169" w:name="_Toc2107032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1.1</w:t>
      </w:r>
      <w:r>
        <w:tab/>
      </w:r>
      <w:bookmarkStart w:id="170" w:name="_Toc210646449"/>
      <w:bookmarkStart w:id="171" w:name="_Toc21069842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4928FF">
        <w:t xml:space="preserve">Strategic </w:t>
      </w:r>
      <w:r w:rsidR="002322E9" w:rsidRPr="004928FF">
        <w:t>direction</w:t>
      </w:r>
      <w:bookmarkEnd w:id="169"/>
      <w:bookmarkEnd w:id="170"/>
      <w:bookmarkEnd w:id="171"/>
      <w:r w:rsidR="002322E9">
        <w:rPr>
          <w:lang w:val="en-AU"/>
        </w:rPr>
        <w:t xml:space="preserve"> statement</w:t>
      </w:r>
    </w:p>
    <w:p w:rsidR="00876289" w:rsidRDefault="00876289" w:rsidP="00876289">
      <w:bookmarkStart w:id="172" w:name="_Toc210703210"/>
      <w:bookmarkStart w:id="173" w:name="_Toc436624139"/>
      <w:bookmarkStart w:id="174" w:name="_Toc436625440"/>
      <w:bookmarkStart w:id="175" w:name="_Toc449255760"/>
      <w:bookmarkEnd w:id="108"/>
      <w:bookmarkEnd w:id="109"/>
      <w:r>
        <w:t xml:space="preserve">To further progress the priorities outlined in the </w:t>
      </w:r>
      <w:r>
        <w:rPr>
          <w:i/>
        </w:rPr>
        <w:t>Portfolio Budget Statements 2015-16</w:t>
      </w:r>
      <w:r>
        <w:t>, the Government has allocated funds for Australia’s investment as a founding member of the Asian Infrastructu</w:t>
      </w:r>
      <w:r w:rsidR="009565A1">
        <w:t>re Investment Bank (AIIB). The D</w:t>
      </w:r>
      <w:r>
        <w:t xml:space="preserve">epartment and the Treasury are </w:t>
      </w:r>
      <w:r w:rsidRPr="00876289">
        <w:t>together engaging the AIIB, with staff assigned in Canberra and the deployment of a staff member to Beijing (China), to facilitate Australia’s participation as a member of the bank.</w:t>
      </w:r>
    </w:p>
    <w:p w:rsidR="00447CB3" w:rsidRDefault="00447CB3" w:rsidP="00447CB3">
      <w:r>
        <w:t xml:space="preserve">A full outline of DFAT’s Strategic Direction can be found in the </w:t>
      </w:r>
      <w:r>
        <w:rPr>
          <w:i/>
        </w:rPr>
        <w:t>Portfolio Budget Statements 2015-16</w:t>
      </w:r>
      <w:r w:rsidRPr="00507C41">
        <w:t>.</w:t>
      </w:r>
    </w:p>
    <w:p w:rsidR="00F51DAC" w:rsidRPr="004928FF" w:rsidRDefault="00F51DAC" w:rsidP="00F51DAC">
      <w:pPr>
        <w:pStyle w:val="Heading3"/>
      </w:pPr>
      <w:r>
        <w:t>1.2</w:t>
      </w:r>
      <w:bookmarkEnd w:id="172"/>
      <w:r>
        <w:tab/>
      </w:r>
      <w:bookmarkStart w:id="176" w:name="_Toc490972403"/>
      <w:bookmarkStart w:id="177" w:name="_Toc491014620"/>
      <w:bookmarkStart w:id="178" w:name="_Toc491014762"/>
      <w:bookmarkStart w:id="179" w:name="_Toc491014942"/>
      <w:bookmarkStart w:id="180" w:name="_Toc491015089"/>
      <w:bookmarkStart w:id="181" w:name="_Toc491032105"/>
      <w:bookmarkEnd w:id="173"/>
      <w:bookmarkEnd w:id="174"/>
      <w:bookmarkEnd w:id="175"/>
      <w:r w:rsidR="00726A60">
        <w:t>Entity</w:t>
      </w:r>
      <w:r>
        <w:t xml:space="preserve"> </w:t>
      </w:r>
      <w:r w:rsidR="002322E9">
        <w:t>resource statement</w:t>
      </w:r>
    </w:p>
    <w:p w:rsidR="00F51DAC" w:rsidRPr="00557CCF" w:rsidRDefault="00F51DAC" w:rsidP="00F51DAC">
      <w:r>
        <w:t xml:space="preserve">The </w:t>
      </w:r>
      <w:r w:rsidR="00726A60">
        <w:t>Entity</w:t>
      </w:r>
      <w:r>
        <w:t xml:space="preserve"> Resource Statement details the resourcing for </w:t>
      </w:r>
      <w:r w:rsidR="00FF7EB5">
        <w:t>DFAT</w:t>
      </w:r>
      <w:r>
        <w:t xml:space="preserve"> at Additional Estimates</w:t>
      </w:r>
      <w:r w:rsidR="00E15CF3">
        <w:t xml:space="preserve">. </w:t>
      </w:r>
      <w:r>
        <w:t xml:space="preserve">Table 1.1 outlines the total resourcing available from all sources for the </w:t>
      </w:r>
      <w:r w:rsidR="00A1234B">
        <w:t>201</w:t>
      </w:r>
      <w:r w:rsidR="00B94BE6">
        <w:t>5</w:t>
      </w:r>
      <w:r w:rsidR="00A1234B">
        <w:t>-1</w:t>
      </w:r>
      <w:r w:rsidR="00B94BE6">
        <w:t>6</w:t>
      </w:r>
      <w:r>
        <w:t xml:space="preserve"> Budget year, including variations through </w:t>
      </w:r>
      <w:r w:rsidRPr="00FF7EB5">
        <w:rPr>
          <w:i/>
        </w:rPr>
        <w:t>Appropriation Bill No</w:t>
      </w:r>
      <w:r w:rsidR="00B7550E" w:rsidRPr="00FF7EB5">
        <w:rPr>
          <w:i/>
        </w:rPr>
        <w:t>s</w:t>
      </w:r>
      <w:r w:rsidRPr="00FF7EB5">
        <w:rPr>
          <w:i/>
        </w:rPr>
        <w:t>.</w:t>
      </w:r>
      <w:r w:rsidR="00B7550E" w:rsidRPr="00FF7EB5">
        <w:rPr>
          <w:i/>
        </w:rPr>
        <w:t xml:space="preserve"> </w:t>
      </w:r>
      <w:r w:rsidRPr="00FF7EB5">
        <w:rPr>
          <w:i/>
        </w:rPr>
        <w:t>3</w:t>
      </w:r>
      <w:r w:rsidRPr="00B94BE6">
        <w:t xml:space="preserve"> </w:t>
      </w:r>
      <w:r w:rsidR="001A1C55" w:rsidRPr="00B94BE6">
        <w:t>and</w:t>
      </w:r>
      <w:r w:rsidR="00B7550E" w:rsidRPr="00B94BE6">
        <w:t xml:space="preserve"> </w:t>
      </w:r>
      <w:r w:rsidRPr="00FF7EB5">
        <w:rPr>
          <w:i/>
        </w:rPr>
        <w:t>No.</w:t>
      </w:r>
      <w:r w:rsidR="00B7550E" w:rsidRPr="00FF7EB5">
        <w:rPr>
          <w:i/>
        </w:rPr>
        <w:t xml:space="preserve"> </w:t>
      </w:r>
      <w:r w:rsidRPr="00FF7EB5">
        <w:rPr>
          <w:i/>
        </w:rPr>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rsidR="00DC46F5" w:rsidRPr="00564C0F" w:rsidRDefault="00F51DAC" w:rsidP="00FA4915">
      <w:pPr>
        <w:pStyle w:val="TableHeading"/>
      </w:pPr>
      <w:r>
        <w:br w:type="page"/>
      </w:r>
      <w:bookmarkStart w:id="182" w:name="OLE_LINK9"/>
      <w:r w:rsidRPr="00564C0F">
        <w:lastRenderedPageBreak/>
        <w:t xml:space="preserve">Table 1.1: </w:t>
      </w:r>
      <w:r w:rsidR="004951BE">
        <w:rPr>
          <w:lang w:val="en-AU"/>
        </w:rPr>
        <w:t>DFAT</w:t>
      </w:r>
      <w:r w:rsidRPr="00564C0F">
        <w:t xml:space="preserve"> </w:t>
      </w:r>
      <w:r w:rsidR="00090B4D">
        <w:rPr>
          <w:lang w:val="en-AU"/>
        </w:rPr>
        <w:t>resource s</w:t>
      </w:r>
      <w:r w:rsidR="009F0350">
        <w:rPr>
          <w:lang w:val="en-AU"/>
        </w:rPr>
        <w:t xml:space="preserve">tatement </w:t>
      </w:r>
      <w:r w:rsidR="00E15CF3" w:rsidRPr="00564C0F">
        <w:t xml:space="preserve">— </w:t>
      </w:r>
      <w:r w:rsidRPr="00564C0F">
        <w:t xml:space="preserve">Additional </w:t>
      </w:r>
      <w:r w:rsidR="00B7550E" w:rsidRPr="00564C0F">
        <w:t>E</w:t>
      </w:r>
      <w:r w:rsidRPr="00564C0F">
        <w:t xml:space="preserve">stimates for </w:t>
      </w:r>
      <w:r w:rsidRPr="00564C0F">
        <w:br/>
      </w:r>
      <w:r w:rsidR="003962BF" w:rsidRPr="00564C0F">
        <w:t>201</w:t>
      </w:r>
      <w:r w:rsidR="00B94BE6" w:rsidRPr="00564C0F">
        <w:rPr>
          <w:lang w:val="en-AU"/>
        </w:rPr>
        <w:t>5</w:t>
      </w:r>
      <w:r w:rsidR="003962BF" w:rsidRPr="00564C0F">
        <w:rPr>
          <w:lang w:val="en-AU"/>
        </w:rPr>
        <w:t>-</w:t>
      </w:r>
      <w:r w:rsidR="00B50972" w:rsidRPr="00564C0F">
        <w:t>1</w:t>
      </w:r>
      <w:r w:rsidR="00B94BE6" w:rsidRPr="00564C0F">
        <w:rPr>
          <w:lang w:val="en-AU"/>
        </w:rPr>
        <w:t>6</w:t>
      </w:r>
      <w:r w:rsidRPr="00564C0F">
        <w:t xml:space="preserve"> as at Additional Estimates </w:t>
      </w:r>
      <w:r w:rsidR="00195563" w:rsidRPr="00564C0F">
        <w:t>February</w:t>
      </w:r>
      <w:r w:rsidRPr="00564C0F">
        <w:t xml:space="preserve"> </w:t>
      </w:r>
      <w:bookmarkEnd w:id="182"/>
      <w:r w:rsidR="00B50972" w:rsidRPr="00564C0F">
        <w:t>201</w:t>
      </w:r>
      <w:r w:rsidR="009D4599" w:rsidRPr="00564C0F">
        <w:rPr>
          <w:lang w:val="en-AU"/>
        </w:rPr>
        <w:t>6</w:t>
      </w:r>
      <w:r w:rsidR="00FA4915" w:rsidRPr="00564C0F">
        <w:t xml:space="preserve"> </w:t>
      </w:r>
    </w:p>
    <w:p w:rsidR="003B40DF" w:rsidRDefault="0054206A" w:rsidP="003B40DF">
      <w:pPr>
        <w:pStyle w:val="TableGraphic"/>
      </w:pPr>
      <w:r w:rsidRPr="0054206A">
        <w:rPr>
          <w:noProof/>
          <w:lang w:eastAsia="zh-CN"/>
        </w:rPr>
        <w:drawing>
          <wp:inline distT="0" distB="0" distL="0" distR="0" wp14:anchorId="291B7F85" wp14:editId="1EF7E5B0">
            <wp:extent cx="4896485" cy="3993250"/>
            <wp:effectExtent l="0" t="0" r="0" b="762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96485" cy="3993250"/>
                    </a:xfrm>
                    <a:prstGeom prst="rect">
                      <a:avLst/>
                    </a:prstGeom>
                    <a:noFill/>
                    <a:ln>
                      <a:noFill/>
                    </a:ln>
                  </pic:spPr>
                </pic:pic>
              </a:graphicData>
            </a:graphic>
          </wp:inline>
        </w:drawing>
      </w:r>
    </w:p>
    <w:p w:rsidR="003B40DF" w:rsidRPr="00FF2DAE" w:rsidRDefault="003B40DF" w:rsidP="003B40DF">
      <w:pPr>
        <w:pStyle w:val="TableGraphic"/>
        <w:rPr>
          <w:color w:val="auto"/>
        </w:rPr>
      </w:pPr>
      <w:r w:rsidRPr="00FF2DAE">
        <w:rPr>
          <w:color w:val="auto"/>
        </w:rPr>
        <w:t>Table continued on the following page.</w:t>
      </w:r>
    </w:p>
    <w:p w:rsidR="00F51DAC" w:rsidRPr="00090B4D" w:rsidRDefault="00F51DAC" w:rsidP="00F8335C">
      <w:pPr>
        <w:pStyle w:val="TableGraphic"/>
        <w:rPr>
          <w:rFonts w:ascii="Arial" w:hAnsi="Arial" w:cs="Arial"/>
          <w:b/>
          <w:i w:val="0"/>
        </w:rPr>
      </w:pPr>
      <w:r w:rsidRPr="00090B4D">
        <w:rPr>
          <w:rFonts w:ascii="Arial" w:hAnsi="Arial" w:cs="Arial"/>
          <w:b/>
          <w:i w:val="0"/>
        </w:rPr>
        <w:br w:type="page"/>
      </w:r>
      <w:bookmarkStart w:id="183" w:name="OLE_LINK10"/>
      <w:bookmarkStart w:id="184" w:name="OLE_LINK11"/>
      <w:r w:rsidRPr="00090B4D">
        <w:rPr>
          <w:rFonts w:ascii="Arial" w:hAnsi="Arial" w:cs="Arial"/>
          <w:b/>
          <w:i w:val="0"/>
          <w:color w:val="auto"/>
        </w:rPr>
        <w:lastRenderedPageBreak/>
        <w:t xml:space="preserve">Table 1.1: </w:t>
      </w:r>
      <w:r w:rsidR="00F704C6" w:rsidRPr="00090B4D">
        <w:rPr>
          <w:rFonts w:ascii="Arial" w:hAnsi="Arial" w:cs="Arial"/>
          <w:b/>
          <w:i w:val="0"/>
          <w:color w:val="auto"/>
        </w:rPr>
        <w:t>DFAT</w:t>
      </w:r>
      <w:r w:rsidRPr="00090B4D">
        <w:rPr>
          <w:rFonts w:ascii="Arial" w:hAnsi="Arial" w:cs="Arial"/>
          <w:b/>
          <w:i w:val="0"/>
          <w:color w:val="auto"/>
        </w:rPr>
        <w:t xml:space="preserve"> </w:t>
      </w:r>
      <w:r w:rsidR="00090B4D">
        <w:rPr>
          <w:rFonts w:ascii="Arial" w:hAnsi="Arial" w:cs="Arial"/>
          <w:b/>
          <w:i w:val="0"/>
          <w:color w:val="auto"/>
        </w:rPr>
        <w:t>r</w:t>
      </w:r>
      <w:r w:rsidR="00584B6E" w:rsidRPr="00090B4D">
        <w:rPr>
          <w:rFonts w:ascii="Arial" w:hAnsi="Arial" w:cs="Arial"/>
          <w:b/>
          <w:i w:val="0"/>
          <w:color w:val="auto"/>
        </w:rPr>
        <w:t>esource</w:t>
      </w:r>
      <w:r w:rsidRPr="00090B4D">
        <w:rPr>
          <w:rFonts w:ascii="Arial" w:hAnsi="Arial" w:cs="Arial"/>
          <w:b/>
          <w:i w:val="0"/>
          <w:color w:val="auto"/>
        </w:rPr>
        <w:t xml:space="preserve"> </w:t>
      </w:r>
      <w:r w:rsidR="00090B4D">
        <w:rPr>
          <w:rFonts w:ascii="Arial" w:hAnsi="Arial" w:cs="Arial"/>
          <w:b/>
          <w:i w:val="0"/>
          <w:color w:val="auto"/>
        </w:rPr>
        <w:t>s</w:t>
      </w:r>
      <w:r w:rsidR="00584B6E" w:rsidRPr="00090B4D">
        <w:rPr>
          <w:rFonts w:ascii="Arial" w:hAnsi="Arial" w:cs="Arial"/>
          <w:b/>
          <w:i w:val="0"/>
          <w:color w:val="auto"/>
        </w:rPr>
        <w:t xml:space="preserve">tatement </w:t>
      </w:r>
      <w:r w:rsidR="00E15CF3" w:rsidRPr="00090B4D">
        <w:rPr>
          <w:rFonts w:ascii="Arial" w:hAnsi="Arial" w:cs="Arial"/>
          <w:b/>
          <w:i w:val="0"/>
          <w:color w:val="auto"/>
        </w:rPr>
        <w:t>—</w:t>
      </w:r>
      <w:r w:rsidRPr="00090B4D">
        <w:rPr>
          <w:rFonts w:ascii="Arial" w:hAnsi="Arial" w:cs="Arial"/>
          <w:b/>
          <w:i w:val="0"/>
          <w:color w:val="auto"/>
        </w:rPr>
        <w:t xml:space="preserve"> Additional </w:t>
      </w:r>
      <w:r w:rsidR="00B7550E" w:rsidRPr="00090B4D">
        <w:rPr>
          <w:rFonts w:ascii="Arial" w:hAnsi="Arial" w:cs="Arial"/>
          <w:b/>
          <w:i w:val="0"/>
          <w:color w:val="auto"/>
        </w:rPr>
        <w:t>E</w:t>
      </w:r>
      <w:r w:rsidR="00F8335C" w:rsidRPr="00090B4D">
        <w:rPr>
          <w:rFonts w:ascii="Arial" w:hAnsi="Arial" w:cs="Arial"/>
          <w:b/>
          <w:i w:val="0"/>
          <w:color w:val="auto"/>
        </w:rPr>
        <w:t xml:space="preserve">stimates for </w:t>
      </w:r>
      <w:r w:rsidR="00A1234B" w:rsidRPr="00090B4D">
        <w:rPr>
          <w:rFonts w:ascii="Arial" w:hAnsi="Arial" w:cs="Arial"/>
          <w:b/>
          <w:i w:val="0"/>
          <w:color w:val="auto"/>
        </w:rPr>
        <w:t>201</w:t>
      </w:r>
      <w:r w:rsidR="003962BF" w:rsidRPr="00090B4D">
        <w:rPr>
          <w:rFonts w:ascii="Arial" w:hAnsi="Arial" w:cs="Arial"/>
          <w:b/>
          <w:i w:val="0"/>
          <w:color w:val="auto"/>
        </w:rPr>
        <w:t>5</w:t>
      </w:r>
      <w:r w:rsidR="00A1234B" w:rsidRPr="00090B4D">
        <w:rPr>
          <w:rFonts w:ascii="Arial" w:hAnsi="Arial" w:cs="Arial"/>
          <w:b/>
          <w:i w:val="0"/>
          <w:color w:val="auto"/>
        </w:rPr>
        <w:t>-1</w:t>
      </w:r>
      <w:r w:rsidR="003962BF" w:rsidRPr="00090B4D">
        <w:rPr>
          <w:rFonts w:ascii="Arial" w:hAnsi="Arial" w:cs="Arial"/>
          <w:b/>
          <w:i w:val="0"/>
          <w:color w:val="auto"/>
        </w:rPr>
        <w:t>6</w:t>
      </w:r>
      <w:r w:rsidRPr="00090B4D">
        <w:rPr>
          <w:rFonts w:ascii="Arial" w:hAnsi="Arial" w:cs="Arial"/>
          <w:b/>
          <w:i w:val="0"/>
          <w:color w:val="auto"/>
        </w:rPr>
        <w:t xml:space="preserve"> as at Additional Estimates </w:t>
      </w:r>
      <w:r w:rsidR="00195563" w:rsidRPr="00090B4D">
        <w:rPr>
          <w:rFonts w:ascii="Arial" w:hAnsi="Arial" w:cs="Arial"/>
          <w:b/>
          <w:i w:val="0"/>
          <w:color w:val="auto"/>
        </w:rPr>
        <w:t>February</w:t>
      </w:r>
      <w:r w:rsidRPr="00090B4D">
        <w:rPr>
          <w:rFonts w:ascii="Arial" w:hAnsi="Arial" w:cs="Arial"/>
          <w:b/>
          <w:i w:val="0"/>
          <w:color w:val="auto"/>
        </w:rPr>
        <w:t xml:space="preserve"> </w:t>
      </w:r>
      <w:r w:rsidR="001A1C55" w:rsidRPr="00090B4D">
        <w:rPr>
          <w:rFonts w:ascii="Arial" w:hAnsi="Arial" w:cs="Arial"/>
          <w:b/>
          <w:i w:val="0"/>
          <w:color w:val="auto"/>
        </w:rPr>
        <w:t>201</w:t>
      </w:r>
      <w:r w:rsidR="009D4599" w:rsidRPr="00090B4D">
        <w:rPr>
          <w:rFonts w:ascii="Arial" w:hAnsi="Arial" w:cs="Arial"/>
          <w:b/>
          <w:i w:val="0"/>
          <w:color w:val="auto"/>
        </w:rPr>
        <w:t>6</w:t>
      </w:r>
      <w:r w:rsidR="000C0433" w:rsidRPr="00090B4D">
        <w:rPr>
          <w:rFonts w:ascii="Arial" w:hAnsi="Arial" w:cs="Arial"/>
          <w:b/>
          <w:i w:val="0"/>
          <w:color w:val="auto"/>
        </w:rPr>
        <w:t xml:space="preserve"> </w:t>
      </w:r>
      <w:r w:rsidRPr="00090B4D">
        <w:rPr>
          <w:rFonts w:ascii="Arial" w:hAnsi="Arial" w:cs="Arial"/>
          <w:b/>
          <w:i w:val="0"/>
          <w:color w:val="auto"/>
        </w:rPr>
        <w:t>(continued)</w:t>
      </w:r>
    </w:p>
    <w:p w:rsidR="0073762B" w:rsidRPr="001779AF" w:rsidRDefault="005D1BDD" w:rsidP="00BD3FDE">
      <w:pPr>
        <w:pStyle w:val="TableGraphic"/>
      </w:pPr>
      <w:r w:rsidRPr="005D1BDD">
        <w:rPr>
          <w:noProof/>
          <w:lang w:eastAsia="zh-CN"/>
        </w:rPr>
        <w:drawing>
          <wp:inline distT="0" distB="0" distL="0" distR="0" wp14:anchorId="67C463DE" wp14:editId="7438328F">
            <wp:extent cx="4896485" cy="4221436"/>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96485" cy="4221436"/>
                    </a:xfrm>
                    <a:prstGeom prst="rect">
                      <a:avLst/>
                    </a:prstGeom>
                    <a:noFill/>
                    <a:ln>
                      <a:noFill/>
                    </a:ln>
                  </pic:spPr>
                </pic:pic>
              </a:graphicData>
            </a:graphic>
          </wp:inline>
        </w:drawing>
      </w:r>
    </w:p>
    <w:p w:rsidR="003B5B95" w:rsidRPr="003B40DF" w:rsidRDefault="003B5B95" w:rsidP="003B5B95">
      <w:pPr>
        <w:pStyle w:val="ChartandTableFootnote"/>
        <w:numPr>
          <w:ilvl w:val="0"/>
          <w:numId w:val="9"/>
        </w:numPr>
        <w:ind w:left="284" w:hanging="284"/>
        <w:rPr>
          <w:i/>
        </w:rPr>
      </w:pPr>
      <w:r w:rsidRPr="003B40DF">
        <w:rPr>
          <w:i/>
        </w:rPr>
        <w:t xml:space="preserve">Appropriation Bill (No.1 </w:t>
      </w:r>
      <w:r w:rsidRPr="00860DD3">
        <w:t>and</w:t>
      </w:r>
      <w:r w:rsidRPr="003B40DF">
        <w:rPr>
          <w:i/>
        </w:rPr>
        <w:t xml:space="preserve"> No. 3) 2015-16.</w:t>
      </w:r>
    </w:p>
    <w:p w:rsidR="003B5B95" w:rsidRDefault="003B5B95" w:rsidP="003B5B95">
      <w:pPr>
        <w:pStyle w:val="ChartandTableFootnote"/>
        <w:numPr>
          <w:ilvl w:val="0"/>
          <w:numId w:val="9"/>
        </w:numPr>
        <w:ind w:left="284" w:hanging="284"/>
      </w:pPr>
      <w:r>
        <w:t>Estimated adjusted balance carried forward from previous year.</w:t>
      </w:r>
    </w:p>
    <w:p w:rsidR="003B5B95" w:rsidRDefault="003B5B95" w:rsidP="003B5B95">
      <w:pPr>
        <w:pStyle w:val="ChartandTableFootnote"/>
        <w:numPr>
          <w:ilvl w:val="0"/>
          <w:numId w:val="9"/>
        </w:numPr>
        <w:ind w:left="284" w:hanging="284"/>
      </w:pPr>
      <w:r>
        <w:t>Includes an amount of $52.171m in 2015-16 for the Departmental Capital Budget (refer to Table 3.2.5 for further details). For accounting purposes this amount has been designated as 'contributions by owners'.</w:t>
      </w:r>
    </w:p>
    <w:p w:rsidR="003B5B95" w:rsidRDefault="003B5B95" w:rsidP="003B5B95">
      <w:pPr>
        <w:pStyle w:val="ChartandTableFootnote"/>
        <w:numPr>
          <w:ilvl w:val="0"/>
          <w:numId w:val="9"/>
        </w:numPr>
        <w:ind w:left="284" w:hanging="284"/>
      </w:pPr>
      <w:r>
        <w:t xml:space="preserve">Estimated retained revenue receipts under section 74 of the </w:t>
      </w:r>
      <w:r w:rsidRPr="00EA7F56">
        <w:rPr>
          <w:i/>
        </w:rPr>
        <w:t>PGPA Act</w:t>
      </w:r>
      <w:r>
        <w:t>.</w:t>
      </w:r>
    </w:p>
    <w:p w:rsidR="003B5B95" w:rsidRDefault="003B5B95" w:rsidP="003B5B95">
      <w:pPr>
        <w:pStyle w:val="ChartandTableFootnote"/>
        <w:numPr>
          <w:ilvl w:val="0"/>
          <w:numId w:val="9"/>
        </w:numPr>
        <w:ind w:left="284" w:hanging="284"/>
      </w:pPr>
      <w:r>
        <w:t>Includes an amount of $2.325m in 2015-16 for the Administered Capital Budget (refer to Table 3.2.10 for further details). For accounting purposes this amount has been designated as 'contributions by owners'.</w:t>
      </w:r>
    </w:p>
    <w:p w:rsidR="003B5B95" w:rsidRDefault="003B5B95" w:rsidP="003B5B95">
      <w:pPr>
        <w:pStyle w:val="ChartandTableFootnote"/>
        <w:numPr>
          <w:ilvl w:val="0"/>
          <w:numId w:val="9"/>
        </w:numPr>
        <w:ind w:left="284" w:hanging="284"/>
      </w:pPr>
      <w:r>
        <w:t xml:space="preserve">'Corporate entities' are corporate Commonwealth entities and Commonwealth companies as defined under the </w:t>
      </w:r>
      <w:r w:rsidRPr="003B40DF">
        <w:rPr>
          <w:i/>
        </w:rPr>
        <w:t>PGPA Act 2013.</w:t>
      </w:r>
    </w:p>
    <w:p w:rsidR="003B5B95" w:rsidRPr="003B40DF" w:rsidRDefault="003B5B95" w:rsidP="003B5B95">
      <w:pPr>
        <w:pStyle w:val="ChartandTableFootnote"/>
        <w:numPr>
          <w:ilvl w:val="0"/>
          <w:numId w:val="9"/>
        </w:numPr>
        <w:ind w:left="284" w:hanging="284"/>
        <w:rPr>
          <w:i/>
        </w:rPr>
      </w:pPr>
      <w:r w:rsidRPr="003B40DF">
        <w:rPr>
          <w:i/>
        </w:rPr>
        <w:t xml:space="preserve">Appropriation Bills (No.2 </w:t>
      </w:r>
      <w:r w:rsidRPr="00860DD3">
        <w:t>and</w:t>
      </w:r>
      <w:r w:rsidRPr="003B40DF">
        <w:rPr>
          <w:i/>
        </w:rPr>
        <w:t xml:space="preserve"> No. 4) 2015-16.</w:t>
      </w:r>
    </w:p>
    <w:p w:rsidR="003B5B95" w:rsidRDefault="003B5B95" w:rsidP="003B5B95">
      <w:pPr>
        <w:pStyle w:val="ChartandTableFootnote"/>
        <w:numPr>
          <w:ilvl w:val="0"/>
          <w:numId w:val="9"/>
        </w:numPr>
        <w:ind w:left="284" w:hanging="284"/>
      </w:pPr>
      <w:r>
        <w:t xml:space="preserve">Repayments not provided for under other appropriations. Amounts received on or before 30 June 2014 were repaid under section 28 of the </w:t>
      </w:r>
      <w:r w:rsidRPr="003B40DF">
        <w:rPr>
          <w:i/>
        </w:rPr>
        <w:t>Financial Management and Accountability Act 1997.</w:t>
      </w:r>
    </w:p>
    <w:p w:rsidR="003B5B95" w:rsidRDefault="003B5B95" w:rsidP="003B5B95">
      <w:pPr>
        <w:pStyle w:val="ChartandTableFootnote"/>
        <w:numPr>
          <w:ilvl w:val="0"/>
          <w:numId w:val="9"/>
        </w:numPr>
        <w:ind w:left="284" w:hanging="284"/>
      </w:pPr>
      <w:r>
        <w:t xml:space="preserve">Estimated opening balance for special accounts (less ‘Special Public Money’ held in accounts like Other Trust Monies accounts (OTM), </w:t>
      </w:r>
      <w:r w:rsidRPr="003B40DF">
        <w:rPr>
          <w:i/>
        </w:rPr>
        <w:t>Services for other Government and Non-agency Bodies</w:t>
      </w:r>
      <w:r>
        <w:t xml:space="preserve">  accounts (SOG), or </w:t>
      </w:r>
      <w:r w:rsidRPr="00F8335C">
        <w:rPr>
          <w:i/>
        </w:rPr>
        <w:t>Services for Other Entities and Trust Moneys</w:t>
      </w:r>
      <w:r>
        <w:t xml:space="preserve"> accounts (SOETM)).</w:t>
      </w:r>
    </w:p>
    <w:p w:rsidR="003B5B95" w:rsidRDefault="003B5B95" w:rsidP="003B5B95">
      <w:pPr>
        <w:pStyle w:val="ChartandTableFootnote"/>
        <w:numPr>
          <w:ilvl w:val="0"/>
          <w:numId w:val="9"/>
        </w:numPr>
        <w:ind w:left="284" w:hanging="284"/>
      </w:pPr>
      <w:r>
        <w:t xml:space="preserve">For further information on </w:t>
      </w:r>
      <w:r w:rsidR="005D7698">
        <w:t>special accounts see Table 3.1.1</w:t>
      </w:r>
      <w:r>
        <w:t>.</w:t>
      </w:r>
    </w:p>
    <w:p w:rsidR="003B5B95" w:rsidRDefault="003B5B95" w:rsidP="003B5B95">
      <w:pPr>
        <w:pStyle w:val="ChartandTableFootnote"/>
        <w:numPr>
          <w:ilvl w:val="0"/>
          <w:numId w:val="9"/>
        </w:numPr>
        <w:ind w:left="284" w:hanging="284"/>
      </w:pPr>
      <w:r>
        <w:t>Appropriation receipts from DFAT annual and special appropriations for 2015-16 included above.</w:t>
      </w:r>
    </w:p>
    <w:p w:rsidR="003B5B95" w:rsidRPr="00564C0F" w:rsidRDefault="003B5B95" w:rsidP="003B5B95">
      <w:pPr>
        <w:pStyle w:val="ChartandTableFootnote"/>
        <w:numPr>
          <w:ilvl w:val="0"/>
          <w:numId w:val="9"/>
        </w:numPr>
        <w:ind w:left="284" w:hanging="284"/>
      </w:pPr>
      <w:r>
        <w:t>Appropriation receipts from other entities credited to DFAT's special accounts.</w:t>
      </w:r>
    </w:p>
    <w:p w:rsidR="003B5B95" w:rsidRDefault="003B5B95" w:rsidP="003B5B95">
      <w:pPr>
        <w:pStyle w:val="ChartandTableFootnote"/>
        <w:ind w:left="426" w:hanging="426"/>
      </w:pPr>
    </w:p>
    <w:p w:rsidR="003B5B95" w:rsidRDefault="003B5B95" w:rsidP="003B5B95">
      <w:pPr>
        <w:pStyle w:val="ChartandTableFootnote"/>
        <w:ind w:left="426" w:hanging="426"/>
      </w:pPr>
      <w:r w:rsidRPr="00564C0F">
        <w:t>Reader note: All figures are GST exclusive. These figures may not match figures in the cash flow statement.</w:t>
      </w:r>
    </w:p>
    <w:p w:rsidR="008C7F1F" w:rsidRPr="00FF2DAE" w:rsidRDefault="008C7F1F" w:rsidP="008C7F1F">
      <w:pPr>
        <w:pStyle w:val="TableGraphic"/>
        <w:rPr>
          <w:color w:val="auto"/>
        </w:rPr>
      </w:pPr>
      <w:r w:rsidRPr="00FF2DAE">
        <w:rPr>
          <w:color w:val="auto"/>
        </w:rPr>
        <w:t>Table continued on the following page.</w:t>
      </w:r>
    </w:p>
    <w:p w:rsidR="003B40DF" w:rsidRDefault="003B40DF">
      <w:pPr>
        <w:spacing w:after="0" w:line="240" w:lineRule="auto"/>
        <w:jc w:val="left"/>
        <w:rPr>
          <w:rFonts w:ascii="Arial" w:hAnsi="Arial"/>
          <w:b/>
          <w:lang w:val="x-none"/>
        </w:rPr>
      </w:pPr>
      <w:r>
        <w:br w:type="page"/>
      </w:r>
    </w:p>
    <w:p w:rsidR="00F8335C" w:rsidRPr="00090B4D" w:rsidRDefault="00090B4D" w:rsidP="00F8335C">
      <w:pPr>
        <w:pStyle w:val="TableGraphic"/>
        <w:rPr>
          <w:rFonts w:ascii="Arial" w:hAnsi="Arial" w:cs="Arial"/>
          <w:b/>
          <w:i w:val="0"/>
          <w:color w:val="auto"/>
        </w:rPr>
      </w:pPr>
      <w:r>
        <w:rPr>
          <w:rFonts w:ascii="Arial" w:hAnsi="Arial" w:cs="Arial"/>
          <w:b/>
          <w:i w:val="0"/>
          <w:color w:val="auto"/>
        </w:rPr>
        <w:lastRenderedPageBreak/>
        <w:t>Table 1.1: DFAT resource s</w:t>
      </w:r>
      <w:r w:rsidR="00F8335C" w:rsidRPr="00090B4D">
        <w:rPr>
          <w:rFonts w:ascii="Arial" w:hAnsi="Arial" w:cs="Arial"/>
          <w:b/>
          <w:i w:val="0"/>
          <w:color w:val="auto"/>
        </w:rPr>
        <w:t>tatement — Additional Estimates for 2015-16 as at Additional Estimates February 2016 (continued)</w:t>
      </w:r>
    </w:p>
    <w:p w:rsidR="00F51DAC" w:rsidRDefault="00F51DAC" w:rsidP="00F51DAC">
      <w:pPr>
        <w:pStyle w:val="TableHeading"/>
        <w:rPr>
          <w:lang w:val="en-AU"/>
        </w:rPr>
      </w:pPr>
      <w:r w:rsidRPr="001A1469">
        <w:t xml:space="preserve">Third </w:t>
      </w:r>
      <w:r w:rsidR="00643B7D" w:rsidRPr="001A1469">
        <w:t xml:space="preserve">party </w:t>
      </w:r>
      <w:r w:rsidR="00643B7D">
        <w:t>payments</w:t>
      </w:r>
      <w:r w:rsidR="00643B7D" w:rsidRPr="001A1469">
        <w:t xml:space="preserve"> </w:t>
      </w:r>
      <w:r w:rsidR="00755EB5">
        <w:t>f</w:t>
      </w:r>
      <w:r w:rsidRPr="001A1469">
        <w:t xml:space="preserve">rom and on </w:t>
      </w:r>
      <w:r w:rsidR="001D491D" w:rsidRPr="001A1469">
        <w:t>behalf</w:t>
      </w:r>
      <w:r w:rsidRPr="001A1469">
        <w:t xml:space="preserve"> of </w:t>
      </w:r>
      <w:r w:rsidR="001D491D">
        <w:t>o</w:t>
      </w:r>
      <w:r w:rsidRPr="001A1469">
        <w:t xml:space="preserve">ther </w:t>
      </w:r>
      <w:r w:rsidR="00726A60">
        <w:t>entities</w:t>
      </w:r>
    </w:p>
    <w:p w:rsidR="003B40DF" w:rsidRPr="003B40DF" w:rsidRDefault="0081629D" w:rsidP="003B40DF">
      <w:pPr>
        <w:pStyle w:val="TableGraphic"/>
      </w:pPr>
      <w:r w:rsidRPr="0081629D">
        <w:rPr>
          <w:noProof/>
          <w:lang w:eastAsia="zh-CN"/>
        </w:rPr>
        <w:drawing>
          <wp:inline distT="0" distB="0" distL="0" distR="0" wp14:anchorId="285D0301" wp14:editId="134914BC">
            <wp:extent cx="4896485" cy="1226498"/>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96485" cy="1226498"/>
                    </a:xfrm>
                    <a:prstGeom prst="rect">
                      <a:avLst/>
                    </a:prstGeom>
                    <a:noFill/>
                    <a:ln>
                      <a:noFill/>
                    </a:ln>
                  </pic:spPr>
                </pic:pic>
              </a:graphicData>
            </a:graphic>
          </wp:inline>
        </w:drawing>
      </w:r>
    </w:p>
    <w:p w:rsidR="00E15CF3" w:rsidRPr="00E15CF3" w:rsidRDefault="00E15CF3" w:rsidP="009F0350">
      <w:pPr>
        <w:pStyle w:val="TableGraphic"/>
      </w:pPr>
    </w:p>
    <w:p w:rsidR="00F51DAC" w:rsidRPr="00643B7D" w:rsidRDefault="00F51DAC" w:rsidP="00F51DAC">
      <w:pPr>
        <w:pStyle w:val="Heading3"/>
        <w:rPr>
          <w:lang w:val="en-AU"/>
        </w:rPr>
      </w:pPr>
      <w:r w:rsidRPr="006D6BD2">
        <w:br w:type="page"/>
      </w:r>
      <w:bookmarkStart w:id="185" w:name="OLE_LINK14"/>
      <w:bookmarkStart w:id="186" w:name="OLE_LINK15"/>
      <w:bookmarkEnd w:id="183"/>
      <w:bookmarkEnd w:id="184"/>
      <w:r w:rsidR="00E15CF3">
        <w:lastRenderedPageBreak/>
        <w:t>1.3</w:t>
      </w:r>
      <w:r w:rsidR="00E15CF3">
        <w:tab/>
      </w:r>
      <w:r w:rsidR="00726A60">
        <w:t>Entity</w:t>
      </w:r>
      <w:r w:rsidR="00643B7D">
        <w:t xml:space="preserve"> Measures</w:t>
      </w:r>
    </w:p>
    <w:p w:rsidR="00F51DAC" w:rsidRPr="00486E77" w:rsidRDefault="00F51DAC" w:rsidP="00F51DAC">
      <w:r>
        <w:t xml:space="preserve">Table 1.2 summarises new Government measures taken since the </w:t>
      </w:r>
      <w:r w:rsidR="001F766E">
        <w:t>201</w:t>
      </w:r>
      <w:r w:rsidR="000E33CD">
        <w:t>5</w:t>
      </w:r>
      <w:r w:rsidR="00A1234B">
        <w:t>-1</w:t>
      </w:r>
      <w:r w:rsidR="000E33CD">
        <w:t>6</w:t>
      </w:r>
      <w:r>
        <w:t xml:space="preserve"> Budget</w:t>
      </w:r>
      <w:r w:rsidR="00E15CF3">
        <w:t xml:space="preserve">. </w:t>
      </w:r>
      <w:r>
        <w:t xml:space="preserve">The table is split into revenue, expense and capital measures, with the affected </w:t>
      </w:r>
      <w:r w:rsidR="009D4B20">
        <w:t xml:space="preserve">programme </w:t>
      </w:r>
      <w:r w:rsidRPr="00486E77">
        <w:t>identified.</w:t>
      </w:r>
    </w:p>
    <w:p w:rsidR="00F51DAC" w:rsidRDefault="00F51DAC" w:rsidP="00F51DAC">
      <w:pPr>
        <w:pStyle w:val="TableHeading"/>
        <w:rPr>
          <w:lang w:val="en-AU"/>
        </w:rPr>
      </w:pPr>
      <w:r w:rsidRPr="00486E77">
        <w:t xml:space="preserve">Table 1.2: </w:t>
      </w:r>
      <w:r w:rsidR="00726A60">
        <w:t>Entity</w:t>
      </w:r>
      <w:r w:rsidRPr="00486E77">
        <w:t xml:space="preserve"> </w:t>
      </w:r>
      <w:r w:rsidR="001F766E">
        <w:t>201</w:t>
      </w:r>
      <w:r w:rsidR="000E33CD">
        <w:rPr>
          <w:lang w:val="en-AU"/>
        </w:rPr>
        <w:t>5</w:t>
      </w:r>
      <w:r w:rsidR="00A1234B">
        <w:t>-1</w:t>
      </w:r>
      <w:r w:rsidR="000E33CD">
        <w:rPr>
          <w:lang w:val="en-AU"/>
        </w:rPr>
        <w:t>6</w:t>
      </w:r>
      <w:r w:rsidRPr="00486E77">
        <w:t xml:space="preserve"> </w:t>
      </w:r>
      <w:r w:rsidR="00643B7D" w:rsidRPr="00486E77">
        <w:t xml:space="preserve">measures </w:t>
      </w:r>
      <w:r w:rsidRPr="00486E77">
        <w:t>since Budget</w:t>
      </w:r>
    </w:p>
    <w:p w:rsidR="00F8335C" w:rsidRDefault="0081629D" w:rsidP="00F8335C">
      <w:pPr>
        <w:pStyle w:val="TableGraphic"/>
      </w:pPr>
      <w:r w:rsidRPr="0081629D">
        <w:rPr>
          <w:noProof/>
          <w:lang w:eastAsia="zh-CN"/>
        </w:rPr>
        <w:drawing>
          <wp:inline distT="0" distB="0" distL="0" distR="0" wp14:anchorId="47238CD2" wp14:editId="39DE2B95">
            <wp:extent cx="4896485" cy="5622938"/>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6485" cy="5622938"/>
                    </a:xfrm>
                    <a:prstGeom prst="rect">
                      <a:avLst/>
                    </a:prstGeom>
                    <a:noFill/>
                    <a:ln>
                      <a:noFill/>
                    </a:ln>
                  </pic:spPr>
                </pic:pic>
              </a:graphicData>
            </a:graphic>
          </wp:inline>
        </w:drawing>
      </w:r>
    </w:p>
    <w:p w:rsidR="003D3793" w:rsidRPr="00FF2DAE" w:rsidRDefault="003D3793" w:rsidP="003D3793">
      <w:pPr>
        <w:pStyle w:val="TableGraphic"/>
        <w:rPr>
          <w:color w:val="auto"/>
        </w:rPr>
      </w:pPr>
      <w:r w:rsidRPr="00FF2DAE">
        <w:rPr>
          <w:color w:val="auto"/>
        </w:rPr>
        <w:t>Table continued on the following page.</w:t>
      </w:r>
    </w:p>
    <w:p w:rsidR="00457B07" w:rsidRDefault="00457B07">
      <w:pPr>
        <w:spacing w:after="0" w:line="240" w:lineRule="auto"/>
        <w:jc w:val="left"/>
      </w:pPr>
      <w:r>
        <w:br w:type="page"/>
      </w:r>
    </w:p>
    <w:p w:rsidR="00457B07" w:rsidRPr="00457B07" w:rsidRDefault="00457B07" w:rsidP="00457B07">
      <w:pPr>
        <w:pStyle w:val="TableHeading"/>
        <w:rPr>
          <w:lang w:val="en-AU"/>
        </w:rPr>
      </w:pPr>
      <w:r w:rsidRPr="00486E77">
        <w:lastRenderedPageBreak/>
        <w:t xml:space="preserve">Table 1.2: </w:t>
      </w:r>
      <w:r>
        <w:t>Entity</w:t>
      </w:r>
      <w:r w:rsidRPr="00486E77">
        <w:t xml:space="preserve"> </w:t>
      </w:r>
      <w:r>
        <w:t>201</w:t>
      </w:r>
      <w:r>
        <w:rPr>
          <w:lang w:val="en-AU"/>
        </w:rPr>
        <w:t>5</w:t>
      </w:r>
      <w:r>
        <w:t>-1</w:t>
      </w:r>
      <w:r>
        <w:rPr>
          <w:lang w:val="en-AU"/>
        </w:rPr>
        <w:t>6</w:t>
      </w:r>
      <w:r w:rsidRPr="00486E77">
        <w:t xml:space="preserve"> measures since Budget</w:t>
      </w:r>
      <w:r>
        <w:rPr>
          <w:lang w:val="en-AU"/>
        </w:rPr>
        <w:t xml:space="preserve"> (continued)</w:t>
      </w:r>
    </w:p>
    <w:p w:rsidR="00037677" w:rsidRDefault="0081629D" w:rsidP="0081629D">
      <w:pPr>
        <w:pStyle w:val="TableGraphic"/>
        <w:jc w:val="left"/>
        <w:rPr>
          <w:i w:val="0"/>
        </w:rPr>
      </w:pPr>
      <w:r w:rsidRPr="0081629D">
        <w:rPr>
          <w:noProof/>
          <w:lang w:eastAsia="zh-CN"/>
        </w:rPr>
        <w:drawing>
          <wp:inline distT="0" distB="0" distL="0" distR="0" wp14:anchorId="634FB441" wp14:editId="03C2FD2E">
            <wp:extent cx="4896485" cy="2273705"/>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96485" cy="2273705"/>
                    </a:xfrm>
                    <a:prstGeom prst="rect">
                      <a:avLst/>
                    </a:prstGeom>
                    <a:noFill/>
                    <a:ln>
                      <a:noFill/>
                    </a:ln>
                  </pic:spPr>
                </pic:pic>
              </a:graphicData>
            </a:graphic>
          </wp:inline>
        </w:drawing>
      </w:r>
    </w:p>
    <w:p w:rsidR="0073762B" w:rsidRPr="00643B7D" w:rsidRDefault="008846DB" w:rsidP="00BD3FDE">
      <w:pPr>
        <w:pStyle w:val="ChartandTableFootnoteAlpha"/>
        <w:spacing w:line="240" w:lineRule="auto"/>
        <w:jc w:val="left"/>
        <w:rPr>
          <w:b/>
        </w:rPr>
      </w:pPr>
      <w:r w:rsidRPr="00643B7D">
        <w:rPr>
          <w:b/>
        </w:rPr>
        <w:t>Prepared on a Government Financial Statistics (fiscal) basis</w:t>
      </w:r>
      <w:r w:rsidR="00393180">
        <w:rPr>
          <w:b/>
        </w:rPr>
        <w:t>.</w:t>
      </w:r>
    </w:p>
    <w:p w:rsidR="005F7A63" w:rsidRPr="005F7A63" w:rsidRDefault="005F7A63" w:rsidP="005F7A63">
      <w:pPr>
        <w:pStyle w:val="Heading3"/>
        <w:numPr>
          <w:ilvl w:val="0"/>
          <w:numId w:val="38"/>
        </w:numPr>
        <w:spacing w:before="0" w:after="0"/>
        <w:ind w:left="284" w:hanging="284"/>
        <w:rPr>
          <w:rFonts w:cs="Arial"/>
          <w:b w:val="0"/>
          <w:smallCaps w:val="0"/>
          <w:sz w:val="16"/>
          <w:lang w:val="en-AU"/>
        </w:rPr>
      </w:pPr>
      <w:r w:rsidRPr="005F7A63">
        <w:rPr>
          <w:rFonts w:cs="Arial"/>
          <w:b w:val="0"/>
          <w:smallCaps w:val="0"/>
          <w:sz w:val="16"/>
          <w:lang w:val="en-AU"/>
        </w:rPr>
        <w:t>The lead entity for Asian Infrastructure Investment Bank is Treasury. The full measure description and package details appe</w:t>
      </w:r>
      <w:r w:rsidR="00C34E4C">
        <w:rPr>
          <w:rFonts w:cs="Arial"/>
          <w:b w:val="0"/>
          <w:smallCaps w:val="0"/>
          <w:sz w:val="16"/>
          <w:lang w:val="en-AU"/>
        </w:rPr>
        <w:t>ar in MYEFO under the Treasury P</w:t>
      </w:r>
      <w:r w:rsidRPr="005F7A63">
        <w:rPr>
          <w:rFonts w:cs="Arial"/>
          <w:b w:val="0"/>
          <w:smallCaps w:val="0"/>
          <w:sz w:val="16"/>
          <w:lang w:val="en-AU"/>
        </w:rPr>
        <w:t>ortfolio.</w:t>
      </w:r>
    </w:p>
    <w:p w:rsidR="005F7A63" w:rsidRPr="005F7A63" w:rsidRDefault="005F7A63" w:rsidP="005F7A63">
      <w:pPr>
        <w:pStyle w:val="Heading3"/>
        <w:numPr>
          <w:ilvl w:val="0"/>
          <w:numId w:val="38"/>
        </w:numPr>
        <w:spacing w:before="0" w:after="0"/>
        <w:ind w:left="284" w:hanging="284"/>
        <w:rPr>
          <w:rFonts w:cs="Arial"/>
          <w:b w:val="0"/>
          <w:smallCaps w:val="0"/>
          <w:sz w:val="16"/>
          <w:lang w:val="en-AU"/>
        </w:rPr>
      </w:pPr>
      <w:r w:rsidRPr="005F7A63">
        <w:rPr>
          <w:rFonts w:cs="Arial"/>
          <w:b w:val="0"/>
          <w:smallCaps w:val="0"/>
          <w:sz w:val="16"/>
          <w:lang w:val="en-AU"/>
        </w:rPr>
        <w:t>The lead entity for Our North, Our Future - business, trade and investment gateway is the Department of Industry, Innovation and Science. The full measure description and package details appear in MYEFO under the In</w:t>
      </w:r>
      <w:r w:rsidR="00C34E4C">
        <w:rPr>
          <w:rFonts w:cs="Arial"/>
          <w:b w:val="0"/>
          <w:smallCaps w:val="0"/>
          <w:sz w:val="16"/>
          <w:lang w:val="en-AU"/>
        </w:rPr>
        <w:t>dustry, Innovation and Science P</w:t>
      </w:r>
      <w:r w:rsidRPr="005F7A63">
        <w:rPr>
          <w:rFonts w:cs="Arial"/>
          <w:b w:val="0"/>
          <w:smallCaps w:val="0"/>
          <w:sz w:val="16"/>
          <w:lang w:val="en-AU"/>
        </w:rPr>
        <w:t>ortfolio.</w:t>
      </w:r>
    </w:p>
    <w:p w:rsidR="005F7A63" w:rsidRPr="005F7A63" w:rsidRDefault="005F7A63" w:rsidP="005F7A63">
      <w:pPr>
        <w:pStyle w:val="Heading3"/>
        <w:numPr>
          <w:ilvl w:val="0"/>
          <w:numId w:val="38"/>
        </w:numPr>
        <w:spacing w:before="0" w:after="0"/>
        <w:ind w:left="284" w:hanging="284"/>
        <w:rPr>
          <w:rFonts w:cs="Arial"/>
          <w:b w:val="0"/>
          <w:smallCaps w:val="0"/>
          <w:sz w:val="16"/>
          <w:lang w:val="en-AU"/>
        </w:rPr>
      </w:pPr>
      <w:r w:rsidRPr="005F7A63">
        <w:rPr>
          <w:rFonts w:cs="Arial"/>
          <w:b w:val="0"/>
          <w:smallCaps w:val="0"/>
          <w:sz w:val="16"/>
          <w:lang w:val="en-AU"/>
        </w:rPr>
        <w:t>The lead entity for Our North, Our Future — workforce for growth is the Department of Immigration and Border Protection. The full measure description and package details appear in MYEFO under the Imm</w:t>
      </w:r>
      <w:r w:rsidR="00C34E4C">
        <w:rPr>
          <w:rFonts w:cs="Arial"/>
          <w:b w:val="0"/>
          <w:smallCaps w:val="0"/>
          <w:sz w:val="16"/>
          <w:lang w:val="en-AU"/>
        </w:rPr>
        <w:t>igration and Border Protection P</w:t>
      </w:r>
      <w:r w:rsidRPr="005F7A63">
        <w:rPr>
          <w:rFonts w:cs="Arial"/>
          <w:b w:val="0"/>
          <w:smallCaps w:val="0"/>
          <w:sz w:val="16"/>
          <w:lang w:val="en-AU"/>
        </w:rPr>
        <w:t>ortfolio.</w:t>
      </w:r>
    </w:p>
    <w:p w:rsidR="005F7A63" w:rsidRPr="005F7A63" w:rsidRDefault="005F7A63" w:rsidP="005F7A63">
      <w:pPr>
        <w:pStyle w:val="Heading3"/>
        <w:numPr>
          <w:ilvl w:val="0"/>
          <w:numId w:val="38"/>
        </w:numPr>
        <w:spacing w:before="0" w:after="0"/>
        <w:ind w:left="284" w:hanging="284"/>
        <w:rPr>
          <w:rFonts w:cs="Arial"/>
          <w:b w:val="0"/>
          <w:smallCaps w:val="0"/>
          <w:sz w:val="16"/>
          <w:lang w:val="en-AU"/>
        </w:rPr>
      </w:pPr>
      <w:r w:rsidRPr="005F7A63">
        <w:rPr>
          <w:rFonts w:cs="Arial"/>
          <w:b w:val="0"/>
          <w:smallCaps w:val="0"/>
          <w:sz w:val="16"/>
          <w:lang w:val="en-AU"/>
        </w:rPr>
        <w:t>Public Sector Superannuation accumulation plan administration fees is a cross portfolio measure lead by the Department of Finance. The full measure description appears in 2014-15 MYEFO unde</w:t>
      </w:r>
      <w:r w:rsidR="00C34E4C">
        <w:rPr>
          <w:rFonts w:cs="Arial"/>
          <w:b w:val="0"/>
          <w:smallCaps w:val="0"/>
          <w:sz w:val="16"/>
          <w:lang w:val="en-AU"/>
        </w:rPr>
        <w:t>r cross p</w:t>
      </w:r>
      <w:r w:rsidRPr="005F7A63">
        <w:rPr>
          <w:rFonts w:cs="Arial"/>
          <w:b w:val="0"/>
          <w:smallCaps w:val="0"/>
          <w:sz w:val="16"/>
          <w:lang w:val="en-AU"/>
        </w:rPr>
        <w:t>ortfolio measures. Savings for this measure were included as a 'decision taken but not yet announced' in the 2014</w:t>
      </w:r>
      <w:r w:rsidRPr="005F7A63">
        <w:rPr>
          <w:rFonts w:ascii="MS Mincho" w:eastAsia="MS Mincho" w:hAnsi="MS Mincho" w:cs="Arial" w:hint="eastAsia"/>
          <w:b w:val="0"/>
          <w:smallCaps w:val="0"/>
          <w:sz w:val="16"/>
          <w:lang w:val="en-AU"/>
        </w:rPr>
        <w:t>‑</w:t>
      </w:r>
      <w:r w:rsidRPr="005F7A63">
        <w:rPr>
          <w:rFonts w:cs="Arial"/>
          <w:b w:val="0"/>
          <w:smallCaps w:val="0"/>
          <w:sz w:val="16"/>
          <w:lang w:val="en-AU"/>
        </w:rPr>
        <w:t>15 Budget.</w:t>
      </w:r>
    </w:p>
    <w:p w:rsidR="005F7A63" w:rsidRDefault="005F7A63" w:rsidP="005F7A63">
      <w:pPr>
        <w:pStyle w:val="Heading3"/>
        <w:numPr>
          <w:ilvl w:val="0"/>
          <w:numId w:val="38"/>
        </w:numPr>
        <w:spacing w:before="0" w:after="0"/>
        <w:ind w:left="284" w:hanging="284"/>
        <w:rPr>
          <w:rFonts w:cs="Arial"/>
          <w:b w:val="0"/>
          <w:smallCaps w:val="0"/>
          <w:sz w:val="16"/>
          <w:lang w:val="en-AU"/>
        </w:rPr>
      </w:pPr>
      <w:r w:rsidRPr="005F7A63">
        <w:rPr>
          <w:rFonts w:cs="Arial"/>
          <w:b w:val="0"/>
          <w:smallCaps w:val="0"/>
          <w:sz w:val="16"/>
          <w:lang w:val="en-AU"/>
        </w:rPr>
        <w:t>Public Sector savings - Enterprise Resource Planning is a cross portfolio measure lead by the Department of Finance. The full measure description and package appear in the 2015-16 Budget under cross portfolio measures.</w:t>
      </w:r>
    </w:p>
    <w:p w:rsidR="008A62CD" w:rsidRPr="008A62CD" w:rsidRDefault="008A62CD" w:rsidP="008A62CD"/>
    <w:p w:rsidR="00F51DAC" w:rsidRPr="008A62CD" w:rsidRDefault="00F51DAC" w:rsidP="008A62CD">
      <w:pPr>
        <w:pStyle w:val="Heading3"/>
        <w:rPr>
          <w:lang w:val="en-AU"/>
        </w:rPr>
      </w:pPr>
      <w:r>
        <w:br w:type="page"/>
      </w:r>
      <w:r w:rsidR="008A62CD">
        <w:lastRenderedPageBreak/>
        <w:t>1.4</w:t>
      </w:r>
      <w:r w:rsidR="008A62CD">
        <w:tab/>
        <w:t>Additional Estimates and v</w:t>
      </w:r>
      <w:r w:rsidR="008A62CD" w:rsidRPr="00597122">
        <w:t>ariations</w:t>
      </w:r>
    </w:p>
    <w:p w:rsidR="00F51DAC" w:rsidRPr="001A75A9" w:rsidRDefault="00F51DAC" w:rsidP="00F51DAC">
      <w:r>
        <w:t xml:space="preserve">The following tables detail the changes to the resourcing for </w:t>
      </w:r>
      <w:r w:rsidR="005457F9">
        <w:t>DFAT</w:t>
      </w:r>
      <w:r>
        <w:t xml:space="preserve"> at Additional Estimates, by outcome</w:t>
      </w:r>
      <w:r w:rsidR="00E15CF3">
        <w:t xml:space="preserve">. </w:t>
      </w:r>
      <w:r>
        <w:t xml:space="preserve">Table 1.3 details the Additional Estimates and variations resulting from new measures since the </w:t>
      </w:r>
      <w:r w:rsidR="00A1234B">
        <w:t>201</w:t>
      </w:r>
      <w:r w:rsidR="000E33CD">
        <w:t>5</w:t>
      </w:r>
      <w:r w:rsidR="00A1234B">
        <w:t>-1</w:t>
      </w:r>
      <w:r w:rsidR="000E33CD">
        <w:t>6</w:t>
      </w:r>
      <w:r>
        <w:t xml:space="preserve"> Budget in </w:t>
      </w:r>
      <w:r w:rsidRPr="009F0350">
        <w:rPr>
          <w:i/>
        </w:rPr>
        <w:t>Appropriation Bills No</w:t>
      </w:r>
      <w:r w:rsidR="00BF696F" w:rsidRPr="009F0350">
        <w:rPr>
          <w:i/>
        </w:rPr>
        <w:t>s</w:t>
      </w:r>
      <w:r w:rsidRPr="009F0350">
        <w:rPr>
          <w:i/>
        </w:rPr>
        <w:t>.</w:t>
      </w:r>
      <w:r w:rsidR="00BF696F" w:rsidRPr="009F0350">
        <w:rPr>
          <w:i/>
        </w:rPr>
        <w:t xml:space="preserve"> </w:t>
      </w:r>
      <w:r w:rsidRPr="009F0350">
        <w:rPr>
          <w:i/>
        </w:rPr>
        <w:t xml:space="preserve">3 </w:t>
      </w:r>
      <w:r w:rsidR="001A1C55" w:rsidRPr="000953FA">
        <w:t>and</w:t>
      </w:r>
      <w:r w:rsidR="0095283F" w:rsidRPr="009F0350">
        <w:rPr>
          <w:i/>
        </w:rPr>
        <w:t> </w:t>
      </w:r>
      <w:r w:rsidRPr="009F0350">
        <w:rPr>
          <w:i/>
        </w:rPr>
        <w:t>4</w:t>
      </w:r>
      <w:r w:rsidR="00E15CF3">
        <w:t xml:space="preserve">. </w:t>
      </w:r>
      <w:r>
        <w:t xml:space="preserve">Table 1.4 details Additional Estimates or variations through other factors, such </w:t>
      </w:r>
      <w:r w:rsidR="000953FA">
        <w:t xml:space="preserve">as </w:t>
      </w:r>
      <w:r>
        <w:t>parameter adjustments.</w:t>
      </w:r>
    </w:p>
    <w:p w:rsidR="00F51DAC" w:rsidRDefault="00F51DAC" w:rsidP="00F51DAC">
      <w:pPr>
        <w:pStyle w:val="TableHeading"/>
        <w:rPr>
          <w:lang w:val="en-AU"/>
        </w:rPr>
      </w:pPr>
      <w:r w:rsidRPr="001A75A9">
        <w:t>Table 1.</w:t>
      </w:r>
      <w:r>
        <w:t xml:space="preserve">3: </w:t>
      </w:r>
      <w:r w:rsidRPr="001A75A9">
        <w:t xml:space="preserve">Additional </w:t>
      </w:r>
      <w:r w:rsidR="00447FEF">
        <w:t>e</w:t>
      </w:r>
      <w:r w:rsidR="00447FEF" w:rsidRPr="001A75A9">
        <w:t xml:space="preserve">stimates </w:t>
      </w:r>
      <w:r w:rsidRPr="001A75A9">
        <w:t xml:space="preserve">and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from </w:t>
      </w:r>
      <w:r w:rsidR="00447FEF">
        <w:t>m</w:t>
      </w:r>
      <w:r w:rsidR="00447FEF" w:rsidRPr="001A75A9">
        <w:t xml:space="preserve">easures </w:t>
      </w:r>
      <w:r w:rsidRPr="001A75A9">
        <w:t xml:space="preserve">since </w:t>
      </w:r>
      <w:r w:rsidR="00A1234B">
        <w:t>201</w:t>
      </w:r>
      <w:r w:rsidR="000E33CD">
        <w:rPr>
          <w:lang w:val="en-AU"/>
        </w:rPr>
        <w:t>5</w:t>
      </w:r>
      <w:r w:rsidR="00A1234B">
        <w:t>-1</w:t>
      </w:r>
      <w:r w:rsidR="000E33CD">
        <w:rPr>
          <w:lang w:val="en-AU"/>
        </w:rPr>
        <w:t>6</w:t>
      </w:r>
      <w:r w:rsidRPr="001A75A9">
        <w:t xml:space="preserve"> Budget</w:t>
      </w:r>
    </w:p>
    <w:p w:rsidR="005728A1" w:rsidRPr="005728A1" w:rsidRDefault="005728A1" w:rsidP="005728A1">
      <w:pPr>
        <w:pStyle w:val="TableGraphic"/>
      </w:pPr>
      <w:r w:rsidRPr="005728A1">
        <w:rPr>
          <w:noProof/>
          <w:lang w:eastAsia="zh-CN"/>
        </w:rPr>
        <w:drawing>
          <wp:inline distT="0" distB="0" distL="0" distR="0" wp14:anchorId="4BBD91DA" wp14:editId="4291345B">
            <wp:extent cx="4896485" cy="2605329"/>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96485" cy="2605329"/>
                    </a:xfrm>
                    <a:prstGeom prst="rect">
                      <a:avLst/>
                    </a:prstGeom>
                    <a:noFill/>
                    <a:ln>
                      <a:noFill/>
                    </a:ln>
                  </pic:spPr>
                </pic:pic>
              </a:graphicData>
            </a:graphic>
          </wp:inline>
        </w:drawing>
      </w:r>
    </w:p>
    <w:p w:rsidR="0073762B" w:rsidRDefault="0073762B">
      <w:pPr>
        <w:pStyle w:val="TableGraphic"/>
      </w:pPr>
    </w:p>
    <w:bookmarkEnd w:id="176"/>
    <w:bookmarkEnd w:id="177"/>
    <w:bookmarkEnd w:id="178"/>
    <w:bookmarkEnd w:id="179"/>
    <w:bookmarkEnd w:id="180"/>
    <w:bookmarkEnd w:id="181"/>
    <w:bookmarkEnd w:id="185"/>
    <w:bookmarkEnd w:id="186"/>
    <w:p w:rsidR="001779AF" w:rsidRDefault="001779AF">
      <w:pPr>
        <w:spacing w:after="0" w:line="240" w:lineRule="auto"/>
        <w:jc w:val="left"/>
      </w:pPr>
      <w:r>
        <w:rPr>
          <w:b/>
        </w:rPr>
        <w:br w:type="page"/>
      </w:r>
    </w:p>
    <w:p w:rsidR="00F51DAC" w:rsidRDefault="00F51DAC" w:rsidP="00F51DAC">
      <w:pPr>
        <w:pStyle w:val="TableHeading"/>
        <w:rPr>
          <w:lang w:val="en-AU"/>
        </w:rPr>
      </w:pPr>
      <w:r w:rsidRPr="000B1F3F">
        <w:lastRenderedPageBreak/>
        <w:t xml:space="preserve">Table 1.4: Additional </w:t>
      </w:r>
      <w:r w:rsidR="000D06B5">
        <w:t>e</w:t>
      </w:r>
      <w:r w:rsidR="000D06B5" w:rsidRPr="000B1F3F">
        <w:t xml:space="preserve">stimates and </w:t>
      </w:r>
      <w:r w:rsidR="000D06B5">
        <w:t>v</w:t>
      </w:r>
      <w:r w:rsidR="000D06B5" w:rsidRPr="000B1F3F">
        <w:t xml:space="preserve">ariations to </w:t>
      </w:r>
      <w:r w:rsidR="000D06B5">
        <w:t>o</w:t>
      </w:r>
      <w:r w:rsidR="000D06B5" w:rsidRPr="000B1F3F">
        <w:t xml:space="preserve">utcomes from </w:t>
      </w:r>
      <w:r w:rsidR="000D06B5">
        <w:t>o</w:t>
      </w:r>
      <w:r w:rsidR="000D06B5" w:rsidRPr="000B1F3F">
        <w:t xml:space="preserve">ther </w:t>
      </w:r>
      <w:r w:rsidR="000D06B5">
        <w:t>v</w:t>
      </w:r>
      <w:r w:rsidR="000D06B5" w:rsidRPr="000B1F3F">
        <w:t>ariations</w:t>
      </w:r>
    </w:p>
    <w:p w:rsidR="005728A1" w:rsidRPr="005728A1" w:rsidRDefault="0081629D" w:rsidP="005728A1">
      <w:pPr>
        <w:pStyle w:val="TableGraphic"/>
      </w:pPr>
      <w:r w:rsidRPr="0081629D">
        <w:rPr>
          <w:noProof/>
          <w:lang w:eastAsia="zh-CN"/>
        </w:rPr>
        <w:drawing>
          <wp:inline distT="0" distB="0" distL="0" distR="0" wp14:anchorId="3F1A6B2A" wp14:editId="738E0A8A">
            <wp:extent cx="4896485" cy="7311579"/>
            <wp:effectExtent l="0" t="0" r="0" b="381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96485" cy="7311579"/>
                    </a:xfrm>
                    <a:prstGeom prst="rect">
                      <a:avLst/>
                    </a:prstGeom>
                    <a:noFill/>
                    <a:ln>
                      <a:noFill/>
                    </a:ln>
                  </pic:spPr>
                </pic:pic>
              </a:graphicData>
            </a:graphic>
          </wp:inline>
        </w:drawing>
      </w:r>
    </w:p>
    <w:p w:rsidR="00F51DAC" w:rsidRPr="00564C0F" w:rsidRDefault="00F51DAC" w:rsidP="00F51DAC">
      <w:pPr>
        <w:pStyle w:val="Heading3"/>
      </w:pPr>
      <w:bookmarkStart w:id="187" w:name="_Toc490972407"/>
      <w:bookmarkStart w:id="188" w:name="_Toc491014627"/>
      <w:bookmarkStart w:id="189" w:name="_Toc491014769"/>
      <w:bookmarkStart w:id="190" w:name="_Toc491014949"/>
      <w:bookmarkStart w:id="191" w:name="_Toc491015096"/>
      <w:bookmarkStart w:id="192" w:name="_Toc491029237"/>
      <w:bookmarkStart w:id="193" w:name="_Toc491030326"/>
      <w:bookmarkStart w:id="194" w:name="_Toc491030786"/>
      <w:bookmarkStart w:id="195" w:name="_Toc491031349"/>
      <w:bookmarkStart w:id="196" w:name="_Toc491031936"/>
      <w:bookmarkStart w:id="197" w:name="_Toc491032108"/>
      <w:bookmarkStart w:id="198" w:name="_Toc491032217"/>
      <w:bookmarkStart w:id="199" w:name="_Toc491032324"/>
      <w:bookmarkStart w:id="200" w:name="_Toc491771712"/>
      <w:bookmarkStart w:id="201" w:name="_Toc491773287"/>
      <w:bookmarkStart w:id="202" w:name="_Toc23559345"/>
      <w:bookmarkStart w:id="203" w:name="_Toc23559379"/>
      <w:bookmarkStart w:id="204" w:name="_Toc23559670"/>
      <w:bookmarkStart w:id="205" w:name="_Toc23560134"/>
      <w:bookmarkStart w:id="206" w:name="_Toc23563428"/>
      <w:bookmarkStart w:id="207" w:name="_Toc77998681"/>
      <w:bookmarkStart w:id="208" w:name="_Toc79406110"/>
      <w:bookmarkStart w:id="209" w:name="_Toc79467812"/>
      <w:bookmarkStart w:id="210" w:name="_Toc112211960"/>
      <w:bookmarkStart w:id="211" w:name="_Toc112212054"/>
      <w:bookmarkStart w:id="212" w:name="_Toc112137872"/>
      <w:bookmarkStart w:id="213" w:name="_Toc112137894"/>
      <w:r>
        <w:br w:type="page"/>
      </w:r>
      <w:bookmarkStart w:id="214" w:name="_Toc210703212"/>
      <w:r>
        <w:lastRenderedPageBreak/>
        <w:t>1.</w:t>
      </w:r>
      <w:bookmarkEnd w:id="214"/>
      <w:r>
        <w:t>5</w:t>
      </w:r>
      <w:r>
        <w:tab/>
      </w:r>
      <w:bookmarkStart w:id="215" w:name="_Toc210646451"/>
      <w:bookmarkStart w:id="216" w:name="_Toc210698430"/>
      <w:bookmarkStart w:id="217" w:name="_Toc210703213"/>
      <w:r w:rsidRPr="00564C0F">
        <w:t>Breakdown of additional estimates by appropriation bill</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bookmarkEnd w:id="217"/>
    </w:p>
    <w:p w:rsidR="00F51DAC" w:rsidRPr="00564C0F" w:rsidRDefault="00F51DAC" w:rsidP="00F51DAC">
      <w:r w:rsidRPr="00564C0F">
        <w:t xml:space="preserve">The following tables detail the Additional Estimates sought for </w:t>
      </w:r>
      <w:r w:rsidR="004D11B6">
        <w:t>DFAT</w:t>
      </w:r>
      <w:r w:rsidRPr="00564C0F">
        <w:t xml:space="preserve"> through </w:t>
      </w:r>
      <w:r w:rsidRPr="00564C0F">
        <w:rPr>
          <w:i/>
        </w:rPr>
        <w:t>Appropriation Bills No</w:t>
      </w:r>
      <w:r w:rsidR="00BF696F" w:rsidRPr="00564C0F">
        <w:rPr>
          <w:i/>
        </w:rPr>
        <w:t>s</w:t>
      </w:r>
      <w:r w:rsidRPr="00564C0F">
        <w:rPr>
          <w:i/>
        </w:rPr>
        <w:t>.</w:t>
      </w:r>
      <w:r w:rsidR="00BF696F" w:rsidRPr="00564C0F">
        <w:rPr>
          <w:i/>
        </w:rPr>
        <w:t xml:space="preserve"> </w:t>
      </w:r>
      <w:r w:rsidRPr="00564C0F">
        <w:rPr>
          <w:i/>
        </w:rPr>
        <w:t>3</w:t>
      </w:r>
      <w:r w:rsidRPr="00564C0F">
        <w:t xml:space="preserve"> </w:t>
      </w:r>
      <w:r w:rsidR="001A1C55" w:rsidRPr="00564C0F">
        <w:t>and</w:t>
      </w:r>
      <w:r w:rsidR="00BF696F" w:rsidRPr="00564C0F">
        <w:t xml:space="preserve"> </w:t>
      </w:r>
      <w:r w:rsidRPr="00564C0F">
        <w:rPr>
          <w:i/>
        </w:rPr>
        <w:t>4</w:t>
      </w:r>
      <w:r w:rsidRPr="00564C0F">
        <w:t>.</w:t>
      </w:r>
    </w:p>
    <w:p w:rsidR="00F51DAC" w:rsidRDefault="00F51DAC" w:rsidP="00F51DAC">
      <w:pPr>
        <w:pStyle w:val="TableHeading"/>
        <w:rPr>
          <w:lang w:val="en-AU"/>
        </w:rPr>
      </w:pPr>
      <w:bookmarkStart w:id="218" w:name="_Toc491771713"/>
      <w:bookmarkStart w:id="219" w:name="_Toc491773288"/>
      <w:bookmarkStart w:id="220" w:name="_Toc23559346"/>
      <w:bookmarkStart w:id="221" w:name="_Toc23559380"/>
      <w:bookmarkStart w:id="222" w:name="_Toc23560135"/>
      <w:bookmarkStart w:id="223" w:name="_Toc23563429"/>
      <w:r w:rsidRPr="00564C0F">
        <w:t xml:space="preserve">Table 1.5: Appropriation Bill (No. 3) </w:t>
      </w:r>
      <w:bookmarkEnd w:id="218"/>
      <w:bookmarkEnd w:id="219"/>
      <w:bookmarkEnd w:id="220"/>
      <w:bookmarkEnd w:id="221"/>
      <w:bookmarkEnd w:id="222"/>
      <w:bookmarkEnd w:id="223"/>
      <w:r w:rsidR="00A1234B" w:rsidRPr="00564C0F">
        <w:t>201</w:t>
      </w:r>
      <w:r w:rsidR="000E33CD" w:rsidRPr="00564C0F">
        <w:rPr>
          <w:lang w:val="en-AU"/>
        </w:rPr>
        <w:t>5</w:t>
      </w:r>
      <w:r w:rsidR="00A1234B" w:rsidRPr="00564C0F">
        <w:t>-1</w:t>
      </w:r>
      <w:r w:rsidR="000E33CD" w:rsidRPr="00564C0F">
        <w:rPr>
          <w:lang w:val="en-AU"/>
        </w:rPr>
        <w:t>6</w:t>
      </w:r>
    </w:p>
    <w:p w:rsidR="005728A1" w:rsidRDefault="0081629D" w:rsidP="005728A1">
      <w:pPr>
        <w:pStyle w:val="TableGraphic"/>
      </w:pPr>
      <w:r w:rsidRPr="0081629D">
        <w:rPr>
          <w:noProof/>
          <w:lang w:eastAsia="zh-CN"/>
        </w:rPr>
        <w:drawing>
          <wp:inline distT="0" distB="0" distL="0" distR="0">
            <wp:extent cx="4686300" cy="215265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86300" cy="2152650"/>
                    </a:xfrm>
                    <a:prstGeom prst="rect">
                      <a:avLst/>
                    </a:prstGeom>
                    <a:noFill/>
                    <a:ln>
                      <a:noFill/>
                    </a:ln>
                  </pic:spPr>
                </pic:pic>
              </a:graphicData>
            </a:graphic>
          </wp:inline>
        </w:drawing>
      </w:r>
    </w:p>
    <w:p w:rsidR="00B9466C" w:rsidRPr="00FF2DAE" w:rsidRDefault="00B9466C" w:rsidP="00B9466C">
      <w:pPr>
        <w:pStyle w:val="TableGraphic"/>
        <w:rPr>
          <w:color w:val="auto"/>
        </w:rPr>
      </w:pPr>
      <w:r w:rsidRPr="00FF2DAE">
        <w:rPr>
          <w:color w:val="auto"/>
        </w:rPr>
        <w:t>Table continued on the following page.</w:t>
      </w:r>
    </w:p>
    <w:p w:rsidR="00DA25BD" w:rsidRDefault="00DA25BD">
      <w:pPr>
        <w:spacing w:after="0" w:line="240" w:lineRule="auto"/>
        <w:jc w:val="left"/>
      </w:pPr>
      <w:r>
        <w:br w:type="page"/>
      </w:r>
    </w:p>
    <w:p w:rsidR="00DA25BD" w:rsidRPr="00B9466C" w:rsidRDefault="00DA25BD" w:rsidP="00DA25BD">
      <w:pPr>
        <w:pStyle w:val="TableHeading"/>
        <w:rPr>
          <w:rFonts w:cs="Arial"/>
          <w:lang w:val="en-AU"/>
        </w:rPr>
      </w:pPr>
      <w:r w:rsidRPr="00B9466C">
        <w:rPr>
          <w:rFonts w:cs="Arial"/>
        </w:rPr>
        <w:lastRenderedPageBreak/>
        <w:t>Table 1.5: Appropriation Bill (No. 3) 201</w:t>
      </w:r>
      <w:r w:rsidRPr="00B9466C">
        <w:rPr>
          <w:rFonts w:cs="Arial"/>
          <w:lang w:val="en-AU"/>
        </w:rPr>
        <w:t>5</w:t>
      </w:r>
      <w:r w:rsidRPr="00B9466C">
        <w:rPr>
          <w:rFonts w:cs="Arial"/>
        </w:rPr>
        <w:t>-1</w:t>
      </w:r>
      <w:r w:rsidRPr="00B9466C">
        <w:rPr>
          <w:rFonts w:cs="Arial"/>
          <w:lang w:val="en-AU"/>
        </w:rPr>
        <w:t>6 (continued)</w:t>
      </w:r>
    </w:p>
    <w:p w:rsidR="00F51DAC" w:rsidRDefault="0081629D" w:rsidP="00314BA6">
      <w:pPr>
        <w:pStyle w:val="TableGraphic"/>
      </w:pPr>
      <w:r w:rsidRPr="0081629D">
        <w:rPr>
          <w:noProof/>
          <w:lang w:eastAsia="zh-CN"/>
        </w:rPr>
        <w:drawing>
          <wp:inline distT="0" distB="0" distL="0" distR="0">
            <wp:extent cx="4686300" cy="5267325"/>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86300" cy="5267325"/>
                    </a:xfrm>
                    <a:prstGeom prst="rect">
                      <a:avLst/>
                    </a:prstGeom>
                    <a:noFill/>
                    <a:ln>
                      <a:noFill/>
                    </a:ln>
                  </pic:spPr>
                </pic:pic>
              </a:graphicData>
            </a:graphic>
          </wp:inline>
        </w:drawing>
      </w:r>
    </w:p>
    <w:p w:rsidR="00F51DAC" w:rsidRPr="00564C0F" w:rsidRDefault="00F51DAC" w:rsidP="00F51DAC">
      <w:pPr>
        <w:pStyle w:val="TableHeading"/>
        <w:rPr>
          <w:lang w:val="en-AU"/>
        </w:rPr>
      </w:pPr>
      <w:r w:rsidRPr="00213A28">
        <w:rPr>
          <w:highlight w:val="cyan"/>
          <w:lang w:val="en-GB"/>
        </w:rPr>
        <w:br w:type="page"/>
      </w:r>
      <w:bookmarkStart w:id="224" w:name="_Toc491771714"/>
      <w:bookmarkStart w:id="225" w:name="_Toc491773289"/>
      <w:bookmarkStart w:id="226" w:name="_Toc23559347"/>
      <w:bookmarkStart w:id="227" w:name="_Toc23559381"/>
      <w:bookmarkStart w:id="228" w:name="_Toc23560136"/>
      <w:bookmarkStart w:id="229" w:name="_Toc23563430"/>
      <w:r w:rsidRPr="00564C0F">
        <w:lastRenderedPageBreak/>
        <w:t xml:space="preserve">Table 1.6: Appropriation Bill (No. 4) </w:t>
      </w:r>
      <w:bookmarkEnd w:id="224"/>
      <w:bookmarkEnd w:id="225"/>
      <w:bookmarkEnd w:id="226"/>
      <w:bookmarkEnd w:id="227"/>
      <w:bookmarkEnd w:id="228"/>
      <w:bookmarkEnd w:id="229"/>
      <w:r w:rsidR="00A1234B" w:rsidRPr="00564C0F">
        <w:t>201</w:t>
      </w:r>
      <w:r w:rsidR="000E33CD" w:rsidRPr="00564C0F">
        <w:rPr>
          <w:lang w:val="en-AU"/>
        </w:rPr>
        <w:t>5</w:t>
      </w:r>
      <w:r w:rsidR="00A1234B" w:rsidRPr="00564C0F">
        <w:t>-1</w:t>
      </w:r>
      <w:r w:rsidR="000E33CD" w:rsidRPr="00564C0F">
        <w:rPr>
          <w:lang w:val="en-AU"/>
        </w:rPr>
        <w:t>6</w:t>
      </w:r>
    </w:p>
    <w:p w:rsidR="00BF696F" w:rsidRPr="006202C1" w:rsidRDefault="00BF696F" w:rsidP="00BD3FDE">
      <w:pPr>
        <w:pStyle w:val="TableGraphic"/>
        <w:rPr>
          <w:color w:val="auto"/>
        </w:rPr>
      </w:pPr>
    </w:p>
    <w:p w:rsidR="006202C1" w:rsidRPr="00030772" w:rsidRDefault="006202C1" w:rsidP="006202C1">
      <w:pPr>
        <w:rPr>
          <w:iCs/>
        </w:rPr>
      </w:pPr>
      <w:r w:rsidRPr="006202C1">
        <w:rPr>
          <w:iCs/>
          <w:lang w:val="x-none"/>
        </w:rPr>
        <w:t xml:space="preserve">There is no </w:t>
      </w:r>
      <w:r w:rsidRPr="006202C1">
        <w:rPr>
          <w:iCs/>
        </w:rPr>
        <w:t xml:space="preserve">change to DFAT information supplied in the </w:t>
      </w:r>
      <w:r w:rsidRPr="006202C1">
        <w:rPr>
          <w:i/>
          <w:iCs/>
        </w:rPr>
        <w:t>Portfolio Budget</w:t>
      </w:r>
      <w:r w:rsidRPr="006202C1">
        <w:rPr>
          <w:iCs/>
        </w:rPr>
        <w:t xml:space="preserve"> </w:t>
      </w:r>
      <w:r w:rsidRPr="006202C1">
        <w:rPr>
          <w:i/>
          <w:iCs/>
          <w:lang w:val="x-none"/>
        </w:rPr>
        <w:t>Statements 201</w:t>
      </w:r>
      <w:r w:rsidRPr="006202C1">
        <w:rPr>
          <w:i/>
          <w:iCs/>
        </w:rPr>
        <w:t>5</w:t>
      </w:r>
      <w:r>
        <w:rPr>
          <w:i/>
          <w:iCs/>
        </w:rPr>
        <w:t>-16</w:t>
      </w:r>
      <w:r w:rsidRPr="00030772">
        <w:rPr>
          <w:iCs/>
          <w:lang w:val="x-none"/>
        </w:rPr>
        <w:t xml:space="preserve">. </w:t>
      </w:r>
    </w:p>
    <w:p w:rsidR="00F51DAC" w:rsidRPr="00735019" w:rsidRDefault="00F51DAC" w:rsidP="0090206F">
      <w:pPr>
        <w:pStyle w:val="Heading2"/>
        <w:rPr>
          <w:i/>
          <w:iCs/>
          <w:color w:val="FF0000"/>
        </w:rPr>
      </w:pPr>
      <w:bookmarkStart w:id="230" w:name="_Toc491029238"/>
      <w:bookmarkStart w:id="231" w:name="_Toc491030327"/>
      <w:bookmarkStart w:id="232" w:name="_Toc491030787"/>
      <w:bookmarkStart w:id="233" w:name="_Toc491031350"/>
      <w:bookmarkStart w:id="234" w:name="_Toc491031937"/>
      <w:bookmarkStart w:id="235" w:name="_Toc491032109"/>
      <w:bookmarkStart w:id="236" w:name="_Toc491032218"/>
      <w:bookmarkStart w:id="237" w:name="_Toc491032325"/>
      <w:bookmarkStart w:id="238" w:name="_Toc491771715"/>
      <w:bookmarkStart w:id="239" w:name="_Toc491773290"/>
      <w:bookmarkStart w:id="240" w:name="_Toc23559348"/>
      <w:bookmarkStart w:id="241" w:name="_Toc23559382"/>
      <w:bookmarkStart w:id="242" w:name="_Toc23559671"/>
      <w:bookmarkStart w:id="243" w:name="_Toc23560137"/>
      <w:bookmarkStart w:id="244" w:name="_Toc23563431"/>
      <w:bookmarkStart w:id="245" w:name="_Toc77998682"/>
      <w:bookmarkStart w:id="246" w:name="_Toc79406111"/>
      <w:bookmarkStart w:id="247" w:name="_Toc79467813"/>
      <w:bookmarkStart w:id="248" w:name="_Toc112211961"/>
      <w:bookmarkStart w:id="249" w:name="_Toc112212055"/>
      <w:bookmarkStart w:id="250" w:name="_Toc112137873"/>
      <w:bookmarkStart w:id="251" w:name="_Toc112137895"/>
      <w:r>
        <w:br w:type="page"/>
      </w:r>
      <w:bookmarkStart w:id="252" w:name="_Toc436624143"/>
      <w:bookmarkStart w:id="253" w:name="_Toc436625444"/>
      <w:bookmarkStart w:id="254" w:name="_Toc446237032"/>
      <w:bookmarkStart w:id="255" w:name="_Toc449255764"/>
      <w:bookmarkStart w:id="256" w:name="_Toc490972409"/>
      <w:bookmarkStart w:id="257" w:name="_Toc491014629"/>
      <w:bookmarkStart w:id="258" w:name="_Toc491014771"/>
      <w:bookmarkStart w:id="259" w:name="_Toc491014951"/>
      <w:bookmarkStart w:id="260" w:name="_Toc491015098"/>
      <w:bookmarkStart w:id="261" w:name="_Toc491029242"/>
      <w:bookmarkStart w:id="262" w:name="_Toc491030331"/>
      <w:bookmarkStart w:id="263" w:name="_Toc491030790"/>
      <w:bookmarkStart w:id="264" w:name="_Toc491031353"/>
      <w:bookmarkStart w:id="265" w:name="_Toc491031940"/>
      <w:bookmarkStart w:id="266" w:name="_Toc491032113"/>
      <w:bookmarkStart w:id="267" w:name="_Toc491032221"/>
      <w:bookmarkStart w:id="268" w:name="_Toc491032328"/>
      <w:bookmarkStart w:id="269" w:name="_Toc491771720"/>
      <w:bookmarkStart w:id="270" w:name="_Toc491773295"/>
      <w:bookmarkStart w:id="271" w:name="_Toc23559353"/>
      <w:bookmarkStart w:id="272" w:name="_Toc23559387"/>
      <w:bookmarkStart w:id="273" w:name="_Toc23559674"/>
      <w:bookmarkStart w:id="274" w:name="_Toc23560142"/>
      <w:bookmarkStart w:id="275" w:name="_Toc23563436"/>
      <w:bookmarkStart w:id="276" w:name="_Toc77998688"/>
      <w:bookmarkStart w:id="277" w:name="_Toc79399717"/>
      <w:bookmarkStart w:id="278" w:name="_Toc112211966"/>
      <w:bookmarkStart w:id="279" w:name="_Toc112212060"/>
      <w:bookmarkStart w:id="280" w:name="_Toc112137878"/>
      <w:bookmarkStart w:id="281" w:name="_Toc112137900"/>
      <w:bookmarkStart w:id="282" w:name="_Toc210646453"/>
      <w:bookmarkStart w:id="283" w:name="_Toc210698432"/>
      <w:bookmarkStart w:id="284" w:name="_Toc21070321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735019">
        <w:lastRenderedPageBreak/>
        <w:t>Section 2</w:t>
      </w:r>
      <w:bookmarkEnd w:id="252"/>
      <w:bookmarkEnd w:id="253"/>
      <w:bookmarkEnd w:id="254"/>
      <w:bookmarkEnd w:id="255"/>
      <w:r>
        <w:t xml:space="preserve">: </w:t>
      </w:r>
      <w:bookmarkStart w:id="285" w:name="_Toc436624144"/>
      <w:bookmarkStart w:id="286" w:name="_Toc436625445"/>
      <w:bookmarkStart w:id="287" w:name="_Toc436626790"/>
      <w:bookmarkStart w:id="288" w:name="_Toc446237033"/>
      <w:bookmarkStart w:id="289" w:name="_Toc449255765"/>
      <w:r w:rsidRPr="00735019">
        <w:t xml:space="preserve">Revisions to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5"/>
      <w:bookmarkEnd w:id="286"/>
      <w:bookmarkEnd w:id="287"/>
      <w:bookmarkEnd w:id="288"/>
      <w:bookmarkEnd w:id="289"/>
      <w:r w:rsidR="001436E5">
        <w:rPr>
          <w:lang w:val="en-AU"/>
        </w:rPr>
        <w:t>outcomes</w:t>
      </w:r>
      <w:r w:rsidRPr="00735019">
        <w:t xml:space="preserve"> and </w:t>
      </w:r>
      <w:r w:rsidR="001436E5">
        <w:t>p</w:t>
      </w:r>
      <w:r w:rsidR="001436E5" w:rsidRPr="00735019">
        <w:t xml:space="preserve">lanned </w:t>
      </w:r>
      <w:r w:rsidR="001436E5">
        <w:t>p</w:t>
      </w:r>
      <w:r w:rsidR="001436E5" w:rsidRPr="00735019">
        <w:t>erformance</w:t>
      </w:r>
      <w:bookmarkEnd w:id="283"/>
      <w:bookmarkEnd w:id="284"/>
    </w:p>
    <w:p w:rsidR="00F51DAC" w:rsidRPr="004928FF" w:rsidRDefault="00F51DAC" w:rsidP="00F51DAC">
      <w:pPr>
        <w:pStyle w:val="Heading3"/>
      </w:pPr>
      <w:bookmarkStart w:id="290" w:name="_Toc436624145"/>
      <w:bookmarkStart w:id="291" w:name="_Toc436625446"/>
      <w:bookmarkStart w:id="292" w:name="_Toc449255766"/>
      <w:bookmarkStart w:id="293" w:name="_Toc490972410"/>
      <w:bookmarkStart w:id="294" w:name="_Toc491014630"/>
      <w:bookmarkStart w:id="295" w:name="_Toc491014772"/>
      <w:bookmarkStart w:id="296" w:name="_Toc491014952"/>
      <w:bookmarkStart w:id="297" w:name="_Toc491015099"/>
      <w:bookmarkStart w:id="298" w:name="_Toc491029243"/>
      <w:bookmarkStart w:id="299" w:name="_Toc491030332"/>
      <w:bookmarkStart w:id="300" w:name="_Toc491030791"/>
      <w:bookmarkStart w:id="301" w:name="_Toc491031354"/>
      <w:bookmarkStart w:id="302" w:name="_Toc491031941"/>
      <w:bookmarkStart w:id="303" w:name="_Toc491032114"/>
      <w:bookmarkStart w:id="304" w:name="_Toc491032222"/>
      <w:bookmarkStart w:id="305" w:name="_Toc491032329"/>
      <w:bookmarkStart w:id="306" w:name="_Toc491771721"/>
      <w:bookmarkStart w:id="307" w:name="_Toc491773296"/>
      <w:bookmarkStart w:id="308" w:name="_Toc23559354"/>
      <w:bookmarkStart w:id="309" w:name="_Toc23559388"/>
      <w:bookmarkStart w:id="310" w:name="_Toc23559675"/>
      <w:bookmarkStart w:id="311" w:name="_Toc23560143"/>
      <w:bookmarkStart w:id="312" w:name="_Toc23563437"/>
      <w:bookmarkStart w:id="313" w:name="_Toc77998689"/>
      <w:bookmarkStart w:id="314" w:name="_Toc79406118"/>
      <w:bookmarkStart w:id="315" w:name="_Toc79467820"/>
      <w:bookmarkStart w:id="316" w:name="_Toc112211967"/>
      <w:bookmarkStart w:id="317" w:name="_Toc112212061"/>
      <w:bookmarkStart w:id="318" w:name="_Toc112137879"/>
      <w:bookmarkStart w:id="319" w:name="_Toc112137901"/>
      <w:bookmarkStart w:id="320" w:name="_Toc210646454"/>
      <w:bookmarkStart w:id="321" w:name="_Toc210698433"/>
      <w:bookmarkStart w:id="322" w:name="_Toc210703215"/>
      <w:r>
        <w:t>2.1</w:t>
      </w:r>
      <w:r>
        <w:tab/>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00327424">
        <w:rPr>
          <w:lang w:val="en-AU"/>
        </w:rPr>
        <w:t>outcomes</w:t>
      </w:r>
      <w:r>
        <w:t xml:space="preserve"> and performance information</w:t>
      </w:r>
    </w:p>
    <w:p w:rsidR="0067461D" w:rsidRPr="0067461D" w:rsidRDefault="00F82BA7" w:rsidP="0067461D">
      <w:pPr>
        <w:pStyle w:val="Outcomeheading"/>
        <w:jc w:val="both"/>
        <w:rPr>
          <w:rFonts w:ascii="Book Antiqua" w:hAnsi="Book Antiqua"/>
          <w:lang w:val="en-AU"/>
        </w:rPr>
      </w:pPr>
      <w:bookmarkStart w:id="323" w:name="_Toc490972411"/>
      <w:bookmarkStart w:id="324" w:name="_Toc491014631"/>
      <w:bookmarkStart w:id="325" w:name="_Toc491014773"/>
      <w:bookmarkStart w:id="326" w:name="_Toc491014953"/>
      <w:bookmarkStart w:id="327" w:name="_Toc491015100"/>
      <w:bookmarkStart w:id="328" w:name="_Toc210701000"/>
      <w:bookmarkStart w:id="329" w:name="_Toc210703216"/>
      <w:r>
        <w:rPr>
          <w:rFonts w:ascii="Book Antiqua" w:hAnsi="Book Antiqua"/>
          <w:b w:val="0"/>
          <w:smallCaps w:val="0"/>
          <w:sz w:val="20"/>
          <w:lang w:val="en-AU"/>
        </w:rPr>
        <w:t>There is no change to DFAT’s outcomes and performance i</w:t>
      </w:r>
      <w:r w:rsidR="0067461D" w:rsidRPr="0067461D">
        <w:rPr>
          <w:rFonts w:ascii="Book Antiqua" w:hAnsi="Book Antiqua"/>
          <w:b w:val="0"/>
          <w:smallCaps w:val="0"/>
          <w:sz w:val="20"/>
          <w:lang w:val="en-AU"/>
        </w:rPr>
        <w:t xml:space="preserve">nformation as expressed in the </w:t>
      </w:r>
      <w:r w:rsidR="0067461D">
        <w:rPr>
          <w:rFonts w:ascii="Book Antiqua" w:hAnsi="Book Antiqua"/>
          <w:b w:val="0"/>
          <w:i/>
          <w:smallCaps w:val="0"/>
          <w:sz w:val="20"/>
          <w:lang w:val="en-AU"/>
        </w:rPr>
        <w:t>Portfolio Budget Statements 2015-16</w:t>
      </w:r>
      <w:r w:rsidR="0067461D" w:rsidRPr="0067461D">
        <w:rPr>
          <w:rFonts w:ascii="Book Antiqua" w:hAnsi="Book Antiqua"/>
          <w:b w:val="0"/>
          <w:i/>
          <w:smallCaps w:val="0"/>
          <w:sz w:val="20"/>
          <w:lang w:val="en-AU"/>
        </w:rPr>
        <w:t xml:space="preserve">. </w:t>
      </w:r>
      <w:r w:rsidR="0067461D" w:rsidRPr="0067461D">
        <w:rPr>
          <w:rFonts w:ascii="Book Antiqua" w:hAnsi="Book Antiqua"/>
          <w:b w:val="0"/>
          <w:smallCaps w:val="0"/>
          <w:sz w:val="20"/>
          <w:lang w:val="en-AU"/>
        </w:rPr>
        <w:t xml:space="preserve"> </w:t>
      </w:r>
      <w:r w:rsidR="0067461D" w:rsidRPr="0067461D">
        <w:rPr>
          <w:rFonts w:ascii="Book Antiqua" w:hAnsi="Book Antiqua"/>
          <w:lang w:val="en-AU"/>
        </w:rPr>
        <w:t xml:space="preserve"> </w:t>
      </w:r>
    </w:p>
    <w:p w:rsidR="00F51DAC" w:rsidRPr="0067461D" w:rsidRDefault="00F51DAC" w:rsidP="00E15CF3">
      <w:pPr>
        <w:pStyle w:val="Outcomeheading"/>
        <w:rPr>
          <w:lang w:val="en-AU"/>
        </w:rPr>
      </w:pPr>
      <w:r w:rsidRPr="004928FF">
        <w:t>Outcome 1</w:t>
      </w:r>
      <w:bookmarkEnd w:id="323"/>
      <w:bookmarkEnd w:id="324"/>
      <w:bookmarkEnd w:id="325"/>
      <w:bookmarkEnd w:id="326"/>
      <w:bookmarkEnd w:id="327"/>
      <w:bookmarkEnd w:id="328"/>
      <w:bookmarkEnd w:id="329"/>
      <w:r w:rsidR="0067461D">
        <w:rPr>
          <w:lang w:val="en-AU"/>
        </w:rPr>
        <w:t>: The advancement of Australia’s international strategic, security and economic interests including through bilateral, regional and multilateral engagement on Australian Government foreign, trade and international development policy priorities</w:t>
      </w:r>
    </w:p>
    <w:p w:rsidR="00F51DAC" w:rsidRPr="00D93D96" w:rsidRDefault="00E15CF3" w:rsidP="000B5844">
      <w:pPr>
        <w:pStyle w:val="Heading4"/>
      </w:pPr>
      <w:r>
        <w:t xml:space="preserve">Outcome 1 </w:t>
      </w:r>
      <w:r w:rsidR="00701B3C">
        <w:t>s</w:t>
      </w:r>
      <w:r w:rsidR="00701B3C" w:rsidRPr="00D93D96">
        <w:t>trategy</w:t>
      </w:r>
    </w:p>
    <w:p w:rsidR="0067461D" w:rsidRPr="001E7035" w:rsidRDefault="0067461D" w:rsidP="0067461D">
      <w:pPr>
        <w:pStyle w:val="ExampleText"/>
        <w:jc w:val="both"/>
        <w:rPr>
          <w:color w:val="auto"/>
        </w:rPr>
      </w:pPr>
      <w:r w:rsidRPr="001E7035">
        <w:rPr>
          <w:i w:val="0"/>
          <w:color w:val="auto"/>
        </w:rPr>
        <w:t xml:space="preserve">There is no change to the Department’s Outcome Strategy as expressed in the </w:t>
      </w:r>
      <w:r w:rsidRPr="001E7035">
        <w:rPr>
          <w:color w:val="auto"/>
        </w:rPr>
        <w:t>Portfolio Budget Statements 2015-16.</w:t>
      </w:r>
    </w:p>
    <w:p w:rsidR="0067461D" w:rsidRPr="001E7035" w:rsidRDefault="0067461D" w:rsidP="0067461D">
      <w:pPr>
        <w:pStyle w:val="ExampleText"/>
        <w:jc w:val="both"/>
        <w:rPr>
          <w:i w:val="0"/>
          <w:color w:val="auto"/>
        </w:rPr>
      </w:pPr>
      <w:r w:rsidRPr="001E7035">
        <w:rPr>
          <w:i w:val="0"/>
          <w:color w:val="auto"/>
        </w:rPr>
        <w:t>Measures being funded through Additional Estimates reflect the Government’s foreign, trade, international development and security policy priorities through Australia’s bilateral, regional and multilateral relationships.</w:t>
      </w:r>
    </w:p>
    <w:p w:rsidR="00243797" w:rsidRPr="001E7035" w:rsidRDefault="0081640E" w:rsidP="00243797">
      <w:pPr>
        <w:rPr>
          <w:i/>
        </w:rPr>
      </w:pPr>
      <w:r w:rsidRPr="001E7035">
        <w:t xml:space="preserve">As part of the Mid-Year Economic and Fiscal Outlook (MYEFO), the Government allocated funds </w:t>
      </w:r>
      <w:r w:rsidR="00243797" w:rsidRPr="001E7035">
        <w:t>to support Australia’s founding membership of the Asian Infrastructure Investment Bank (AIIB).</w:t>
      </w:r>
    </w:p>
    <w:p w:rsidR="0081640E" w:rsidRPr="0081640E" w:rsidRDefault="0081640E" w:rsidP="0067461D">
      <w:pPr>
        <w:pStyle w:val="ExampleText"/>
        <w:jc w:val="both"/>
        <w:rPr>
          <w:i w:val="0"/>
          <w:color w:val="365F91" w:themeColor="accent1" w:themeShade="BF"/>
        </w:rPr>
      </w:pPr>
    </w:p>
    <w:p w:rsidR="00F51DAC" w:rsidRPr="001436E5" w:rsidRDefault="00314BA6" w:rsidP="00F51DAC">
      <w:pPr>
        <w:pStyle w:val="TableHeading"/>
        <w:rPr>
          <w:highlight w:val="yellow"/>
          <w:lang w:val="en-AU"/>
        </w:rPr>
      </w:pPr>
      <w:r>
        <w:br w:type="page"/>
      </w:r>
      <w:r w:rsidR="00F51DAC" w:rsidRPr="00D93D96">
        <w:lastRenderedPageBreak/>
        <w:t>Table 2.1</w:t>
      </w:r>
      <w:r w:rsidR="00DB71B0">
        <w:rPr>
          <w:lang w:val="en-AU"/>
        </w:rPr>
        <w:t>.1</w:t>
      </w:r>
      <w:r w:rsidR="00F51DAC" w:rsidRPr="00D93D96">
        <w:t xml:space="preserve"> Budgeted </w:t>
      </w:r>
      <w:r w:rsidR="00701B3C" w:rsidRPr="00D93D96">
        <w:t>expenses</w:t>
      </w:r>
      <w:r w:rsidR="00701B3C">
        <w:rPr>
          <w:lang w:val="en-AU"/>
        </w:rPr>
        <w:t xml:space="preserve"> for</w:t>
      </w:r>
      <w:r w:rsidR="00F51DAC" w:rsidRPr="00D93D96">
        <w:t xml:space="preserve"> Outcome </w:t>
      </w:r>
      <w:r w:rsidR="0067461D">
        <w:rPr>
          <w:lang w:val="en-AU"/>
        </w:rPr>
        <w:t>1</w:t>
      </w:r>
    </w:p>
    <w:p w:rsidR="008C114C" w:rsidRDefault="0081629D" w:rsidP="00D815DE">
      <w:pPr>
        <w:pStyle w:val="Heading5"/>
        <w:rPr>
          <w:lang w:val="en-AU"/>
        </w:rPr>
      </w:pPr>
      <w:r w:rsidRPr="0081629D">
        <w:rPr>
          <w:noProof/>
          <w:lang w:val="en-AU" w:eastAsia="zh-CN"/>
        </w:rPr>
        <w:drawing>
          <wp:inline distT="0" distB="0" distL="0" distR="0" wp14:anchorId="10A0A466" wp14:editId="7DCF8CA2">
            <wp:extent cx="4896485" cy="6043071"/>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96485" cy="6043071"/>
                    </a:xfrm>
                    <a:prstGeom prst="rect">
                      <a:avLst/>
                    </a:prstGeom>
                    <a:noFill/>
                    <a:ln>
                      <a:noFill/>
                    </a:ln>
                  </pic:spPr>
                </pic:pic>
              </a:graphicData>
            </a:graphic>
          </wp:inline>
        </w:drawing>
      </w:r>
    </w:p>
    <w:p w:rsidR="00BD4AAE" w:rsidRPr="00FF2DAE" w:rsidRDefault="00BD4AAE" w:rsidP="00BD4AAE">
      <w:pPr>
        <w:pStyle w:val="TableGraphic"/>
        <w:rPr>
          <w:color w:val="auto"/>
        </w:rPr>
      </w:pPr>
      <w:r w:rsidRPr="00FF2DAE">
        <w:rPr>
          <w:color w:val="auto"/>
        </w:rPr>
        <w:t>Table continued on the following page.</w:t>
      </w:r>
    </w:p>
    <w:p w:rsidR="008C114C" w:rsidRDefault="008C114C">
      <w:pPr>
        <w:spacing w:after="0" w:line="240" w:lineRule="auto"/>
        <w:jc w:val="left"/>
        <w:rPr>
          <w:rFonts w:ascii="Times New Roman" w:hAnsi="Times New Roman"/>
          <w:bCs/>
          <w:i/>
          <w:iCs/>
          <w:szCs w:val="26"/>
        </w:rPr>
      </w:pPr>
      <w:r>
        <w:rPr>
          <w:rFonts w:ascii="Times New Roman" w:hAnsi="Times New Roman"/>
          <w:b/>
          <w:i/>
        </w:rPr>
        <w:br w:type="page"/>
      </w:r>
    </w:p>
    <w:p w:rsidR="008C114C" w:rsidRPr="00426060" w:rsidRDefault="008C114C" w:rsidP="00457B07">
      <w:pPr>
        <w:pStyle w:val="Heading5"/>
        <w:spacing w:after="0"/>
        <w:rPr>
          <w:rFonts w:cs="Arial"/>
          <w:szCs w:val="20"/>
          <w:lang w:val="en-AU"/>
        </w:rPr>
      </w:pPr>
      <w:r w:rsidRPr="00426060">
        <w:rPr>
          <w:rFonts w:cs="Arial"/>
          <w:szCs w:val="20"/>
          <w:lang w:val="en-AU"/>
        </w:rPr>
        <w:lastRenderedPageBreak/>
        <w:t>Table 2.1.1 Budgeted expenses for Outcome 1 (continued)</w:t>
      </w:r>
    </w:p>
    <w:p w:rsidR="008C114C" w:rsidRDefault="0081629D" w:rsidP="00D815DE">
      <w:pPr>
        <w:pStyle w:val="Heading5"/>
        <w:rPr>
          <w:lang w:val="en-AU"/>
        </w:rPr>
      </w:pPr>
      <w:r w:rsidRPr="0081629D">
        <w:rPr>
          <w:noProof/>
          <w:lang w:val="en-AU" w:eastAsia="zh-CN"/>
        </w:rPr>
        <w:drawing>
          <wp:inline distT="0" distB="0" distL="0" distR="0" wp14:anchorId="720EAC56" wp14:editId="37F6448C">
            <wp:extent cx="4896485" cy="7123869"/>
            <wp:effectExtent l="0" t="0" r="0" b="127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6485" cy="7123869"/>
                    </a:xfrm>
                    <a:prstGeom prst="rect">
                      <a:avLst/>
                    </a:prstGeom>
                    <a:noFill/>
                    <a:ln>
                      <a:noFill/>
                    </a:ln>
                  </pic:spPr>
                </pic:pic>
              </a:graphicData>
            </a:graphic>
          </wp:inline>
        </w:drawing>
      </w:r>
    </w:p>
    <w:p w:rsidR="00426060" w:rsidRPr="00FF2DAE" w:rsidRDefault="00426060" w:rsidP="00426060">
      <w:pPr>
        <w:pStyle w:val="TableGraphic"/>
        <w:rPr>
          <w:color w:val="auto"/>
        </w:rPr>
      </w:pPr>
      <w:r w:rsidRPr="00FF2DAE">
        <w:rPr>
          <w:color w:val="auto"/>
        </w:rPr>
        <w:t>Table continued on the following page.</w:t>
      </w:r>
    </w:p>
    <w:p w:rsidR="008C114C" w:rsidRPr="00426060" w:rsidRDefault="008C114C" w:rsidP="00457B07">
      <w:pPr>
        <w:spacing w:after="0"/>
        <w:rPr>
          <w:rFonts w:ascii="Arial" w:hAnsi="Arial" w:cs="Arial"/>
          <w:b/>
          <w:bCs/>
          <w:iCs/>
        </w:rPr>
      </w:pPr>
      <w:r w:rsidRPr="00426060">
        <w:rPr>
          <w:rFonts w:ascii="Arial" w:hAnsi="Arial" w:cs="Arial"/>
          <w:b/>
          <w:bCs/>
          <w:iCs/>
        </w:rPr>
        <w:lastRenderedPageBreak/>
        <w:t>Table 2.1.1 Budgeted expenses for Outcome 1 (continued)</w:t>
      </w:r>
    </w:p>
    <w:p w:rsidR="008C114C" w:rsidRDefault="00374745" w:rsidP="00631AC1">
      <w:pPr>
        <w:pStyle w:val="Heading5"/>
        <w:spacing w:after="0"/>
        <w:rPr>
          <w:lang w:val="en-AU"/>
        </w:rPr>
      </w:pPr>
      <w:r w:rsidRPr="00374745">
        <w:rPr>
          <w:noProof/>
          <w:lang w:val="en-AU" w:eastAsia="zh-CN"/>
        </w:rPr>
        <w:drawing>
          <wp:inline distT="0" distB="0" distL="0" distR="0" wp14:anchorId="478F139F" wp14:editId="56F0A396">
            <wp:extent cx="4896485" cy="34867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6485" cy="3486748"/>
                    </a:xfrm>
                    <a:prstGeom prst="rect">
                      <a:avLst/>
                    </a:prstGeom>
                    <a:noFill/>
                    <a:ln>
                      <a:noFill/>
                    </a:ln>
                  </pic:spPr>
                </pic:pic>
              </a:graphicData>
            </a:graphic>
          </wp:inline>
        </w:drawing>
      </w:r>
    </w:p>
    <w:p w:rsidR="003B5B95" w:rsidRPr="003B5B95" w:rsidRDefault="003B5B95" w:rsidP="003B5B95">
      <w:pPr>
        <w:keepNext/>
        <w:numPr>
          <w:ilvl w:val="0"/>
          <w:numId w:val="11"/>
        </w:numPr>
        <w:spacing w:after="0" w:line="240" w:lineRule="auto"/>
        <w:ind w:left="284" w:hanging="284"/>
        <w:jc w:val="left"/>
        <w:outlineLvl w:val="4"/>
        <w:rPr>
          <w:rFonts w:ascii="Arial" w:hAnsi="Arial"/>
          <w:bCs/>
          <w:iCs/>
          <w:sz w:val="16"/>
          <w:szCs w:val="26"/>
        </w:rPr>
      </w:pPr>
      <w:r w:rsidRPr="003B5B95">
        <w:rPr>
          <w:rFonts w:ascii="Arial" w:hAnsi="Arial"/>
          <w:bCs/>
          <w:iCs/>
          <w:sz w:val="16"/>
          <w:szCs w:val="26"/>
        </w:rPr>
        <w:t>Includes payments for the Debt-to-Health Swap with the Government of Indonesia of $12.0 million in 2014-15 and $13.4 million in 2015-16.</w:t>
      </w:r>
    </w:p>
    <w:p w:rsidR="003B5B95" w:rsidRPr="003B5B95" w:rsidRDefault="003B5B95" w:rsidP="003B5B95">
      <w:pPr>
        <w:keepNext/>
        <w:numPr>
          <w:ilvl w:val="0"/>
          <w:numId w:val="11"/>
        </w:numPr>
        <w:spacing w:after="0" w:line="240" w:lineRule="auto"/>
        <w:ind w:left="284" w:hanging="284"/>
        <w:jc w:val="left"/>
        <w:outlineLvl w:val="4"/>
        <w:rPr>
          <w:rFonts w:ascii="Arial" w:hAnsi="Arial"/>
          <w:bCs/>
          <w:iCs/>
          <w:sz w:val="16"/>
          <w:szCs w:val="26"/>
        </w:rPr>
      </w:pPr>
      <w:r w:rsidRPr="003B5B95">
        <w:rPr>
          <w:rFonts w:ascii="Arial" w:hAnsi="Arial"/>
          <w:bCs/>
          <w:iCs/>
          <w:sz w:val="16"/>
          <w:szCs w:val="26"/>
        </w:rPr>
        <w:t>This reflects the amount of funding to be disbursed on a cash basis, not an expense basis.</w:t>
      </w:r>
    </w:p>
    <w:p w:rsidR="003B5B95" w:rsidRPr="003B5B95" w:rsidRDefault="003B5B95" w:rsidP="003B5B95">
      <w:pPr>
        <w:keepNext/>
        <w:numPr>
          <w:ilvl w:val="0"/>
          <w:numId w:val="11"/>
        </w:numPr>
        <w:spacing w:after="0" w:line="240" w:lineRule="auto"/>
        <w:ind w:left="284" w:hanging="284"/>
        <w:jc w:val="left"/>
        <w:outlineLvl w:val="4"/>
        <w:rPr>
          <w:rFonts w:ascii="Arial" w:hAnsi="Arial"/>
          <w:bCs/>
          <w:iCs/>
          <w:sz w:val="16"/>
          <w:szCs w:val="26"/>
        </w:rPr>
      </w:pPr>
      <w:r w:rsidRPr="003B5B95">
        <w:rPr>
          <w:rFonts w:ascii="Arial" w:hAnsi="Arial"/>
          <w:bCs/>
          <w:iCs/>
          <w:sz w:val="16"/>
          <w:szCs w:val="26"/>
        </w:rPr>
        <w:t>Departmental appropriation combines 'Ordinary annual services (</w:t>
      </w:r>
      <w:r w:rsidRPr="0056424E">
        <w:rPr>
          <w:rFonts w:ascii="Arial" w:hAnsi="Arial"/>
          <w:bCs/>
          <w:i/>
          <w:iCs/>
          <w:sz w:val="16"/>
          <w:szCs w:val="26"/>
        </w:rPr>
        <w:t>Appropriation Bill No. 1</w:t>
      </w:r>
      <w:r w:rsidRPr="003B5B95">
        <w:rPr>
          <w:rFonts w:ascii="Arial" w:hAnsi="Arial"/>
          <w:bCs/>
          <w:iCs/>
          <w:sz w:val="16"/>
          <w:szCs w:val="26"/>
        </w:rPr>
        <w:t>)' and 'Revenue from independent sources (s 74)'.</w:t>
      </w:r>
    </w:p>
    <w:p w:rsidR="003B5B95" w:rsidRPr="003B5B95" w:rsidRDefault="003B5B95" w:rsidP="003B5B95">
      <w:pPr>
        <w:keepNext/>
        <w:numPr>
          <w:ilvl w:val="0"/>
          <w:numId w:val="11"/>
        </w:numPr>
        <w:spacing w:after="0" w:line="240" w:lineRule="auto"/>
        <w:ind w:left="284" w:hanging="284"/>
        <w:jc w:val="left"/>
        <w:outlineLvl w:val="4"/>
        <w:rPr>
          <w:rFonts w:ascii="Arial" w:hAnsi="Arial"/>
          <w:bCs/>
          <w:iCs/>
          <w:sz w:val="16"/>
          <w:szCs w:val="26"/>
        </w:rPr>
      </w:pPr>
      <w:r w:rsidRPr="003B5B95">
        <w:rPr>
          <w:rFonts w:ascii="Arial" w:hAnsi="Arial"/>
          <w:bCs/>
          <w:iCs/>
          <w:sz w:val="16"/>
          <w:szCs w:val="26"/>
        </w:rPr>
        <w:t>Expenses not requiring appropriation in the Budget year are made up of depreciation expenses, amortisation expenses, make good expenses, audit fees.</w:t>
      </w:r>
    </w:p>
    <w:p w:rsidR="003B5B95" w:rsidRPr="003B5B95" w:rsidRDefault="003B5B95" w:rsidP="003B5B95">
      <w:pPr>
        <w:keepNext/>
        <w:numPr>
          <w:ilvl w:val="0"/>
          <w:numId w:val="11"/>
        </w:numPr>
        <w:spacing w:after="0" w:line="240" w:lineRule="auto"/>
        <w:ind w:left="284" w:hanging="284"/>
        <w:jc w:val="left"/>
        <w:outlineLvl w:val="4"/>
        <w:rPr>
          <w:rFonts w:ascii="Arial" w:hAnsi="Arial"/>
          <w:bCs/>
          <w:iCs/>
          <w:sz w:val="16"/>
          <w:szCs w:val="26"/>
        </w:rPr>
      </w:pPr>
      <w:r w:rsidRPr="003B5B95">
        <w:rPr>
          <w:rFonts w:ascii="Arial" w:hAnsi="Arial"/>
          <w:bCs/>
          <w:iCs/>
          <w:sz w:val="16"/>
          <w:szCs w:val="26"/>
        </w:rPr>
        <w:t xml:space="preserve">Expenses not requiring appropriation in the Budget year relates to the concessional investment discount for the discounting of the investment component for the International Development Association and Asian Development Fund. </w:t>
      </w:r>
    </w:p>
    <w:p w:rsidR="003B5B95" w:rsidRPr="003B5B95" w:rsidRDefault="003B5B95" w:rsidP="003B5B95">
      <w:pPr>
        <w:keepNext/>
        <w:numPr>
          <w:ilvl w:val="0"/>
          <w:numId w:val="11"/>
        </w:numPr>
        <w:spacing w:after="0" w:line="240" w:lineRule="auto"/>
        <w:ind w:left="284" w:hanging="284"/>
        <w:jc w:val="left"/>
        <w:outlineLvl w:val="4"/>
        <w:rPr>
          <w:rFonts w:ascii="Arial" w:hAnsi="Arial"/>
          <w:bCs/>
          <w:iCs/>
          <w:sz w:val="16"/>
          <w:szCs w:val="26"/>
        </w:rPr>
      </w:pPr>
      <w:r w:rsidRPr="003B5B95">
        <w:rPr>
          <w:rFonts w:ascii="Arial" w:hAnsi="Arial"/>
          <w:bCs/>
          <w:iCs/>
          <w:sz w:val="16"/>
          <w:szCs w:val="26"/>
        </w:rPr>
        <w:t>A new programme (Programme 1.2: Official Development Assistance) h</w:t>
      </w:r>
      <w:r w:rsidR="00144CE4">
        <w:rPr>
          <w:rFonts w:ascii="Arial" w:hAnsi="Arial"/>
          <w:bCs/>
          <w:iCs/>
          <w:sz w:val="16"/>
          <w:szCs w:val="26"/>
        </w:rPr>
        <w:t xml:space="preserve">as been created effective from   </w:t>
      </w:r>
      <w:r w:rsidRPr="003B5B95">
        <w:rPr>
          <w:rFonts w:ascii="Arial" w:hAnsi="Arial"/>
          <w:bCs/>
          <w:iCs/>
          <w:sz w:val="16"/>
          <w:szCs w:val="26"/>
        </w:rPr>
        <w:t>1 July 2015 which combines the forward estimates of these programmes.</w:t>
      </w:r>
    </w:p>
    <w:p w:rsidR="003B5B95" w:rsidRPr="003B5B95" w:rsidRDefault="003B5B95" w:rsidP="003B5B95">
      <w:pPr>
        <w:keepNext/>
        <w:numPr>
          <w:ilvl w:val="0"/>
          <w:numId w:val="11"/>
        </w:numPr>
        <w:spacing w:after="0" w:line="240" w:lineRule="auto"/>
        <w:ind w:left="284" w:hanging="284"/>
        <w:jc w:val="left"/>
        <w:outlineLvl w:val="4"/>
        <w:rPr>
          <w:rFonts w:ascii="Arial" w:hAnsi="Arial" w:cs="Arial"/>
          <w:bCs/>
          <w:iCs/>
          <w:sz w:val="16"/>
          <w:szCs w:val="26"/>
        </w:rPr>
      </w:pPr>
      <w:r w:rsidRPr="003B5B95">
        <w:rPr>
          <w:rFonts w:ascii="Arial" w:hAnsi="Arial" w:cs="Arial"/>
          <w:bCs/>
          <w:iCs/>
          <w:sz w:val="16"/>
          <w:szCs w:val="26"/>
        </w:rPr>
        <w:t>Average Staffing Levels (ASL) figures are estimates only. ASL allocated to Outcome 1 may also, at times, contribute to Outcome 2 and Outcome 3.</w:t>
      </w:r>
    </w:p>
    <w:p w:rsidR="008C114C" w:rsidRPr="00631AC1" w:rsidRDefault="003B5B95" w:rsidP="003B5B95">
      <w:pPr>
        <w:pStyle w:val="Heading5"/>
        <w:rPr>
          <w:b w:val="0"/>
          <w:lang w:val="en-AU"/>
        </w:rPr>
      </w:pPr>
      <w:r w:rsidRPr="003B5B95">
        <w:rPr>
          <w:rFonts w:cs="Arial"/>
          <w:b w:val="0"/>
          <w:bCs w:val="0"/>
          <w:iCs w:val="0"/>
          <w:sz w:val="16"/>
          <w:szCs w:val="20"/>
          <w:lang w:val="en-AU"/>
        </w:rPr>
        <w:t xml:space="preserve">Note: Departmental appropriation splits and totals are indicative estimates and may change in the course of the budget year as </w:t>
      </w:r>
      <w:r w:rsidR="003C0470">
        <w:rPr>
          <w:rFonts w:cs="Arial"/>
          <w:b w:val="0"/>
          <w:bCs w:val="0"/>
          <w:iCs w:val="0"/>
          <w:sz w:val="16"/>
          <w:szCs w:val="20"/>
          <w:lang w:val="en-AU"/>
        </w:rPr>
        <w:t>G</w:t>
      </w:r>
      <w:r w:rsidRPr="003B5B95">
        <w:rPr>
          <w:rFonts w:cs="Arial"/>
          <w:b w:val="0"/>
          <w:bCs w:val="0"/>
          <w:iCs w:val="0"/>
          <w:sz w:val="16"/>
          <w:szCs w:val="20"/>
          <w:lang w:val="en-AU"/>
        </w:rPr>
        <w:t>overnment priorities change.</w:t>
      </w:r>
      <w:r w:rsidR="0081640E" w:rsidRPr="00631AC1">
        <w:rPr>
          <w:b w:val="0"/>
        </w:rPr>
        <w:br w:type="page"/>
      </w:r>
    </w:p>
    <w:p w:rsidR="00D815DE" w:rsidRDefault="00D815DE" w:rsidP="00D815DE">
      <w:pPr>
        <w:pStyle w:val="Heading5"/>
        <w:rPr>
          <w:lang w:val="en-AU"/>
        </w:rPr>
      </w:pPr>
      <w:r>
        <w:rPr>
          <w:lang w:val="en-AU"/>
        </w:rPr>
        <w:lastRenderedPageBreak/>
        <w:t>Programme 1.1: Foreign Affairs and Trade Operations</w:t>
      </w:r>
    </w:p>
    <w:p w:rsidR="00D815DE" w:rsidRPr="000816D2" w:rsidRDefault="00D815DE" w:rsidP="00D815DE">
      <w:pPr>
        <w:pStyle w:val="Heading5"/>
        <w:rPr>
          <w:lang w:val="en-AU"/>
        </w:rPr>
      </w:pPr>
      <w:r>
        <w:t xml:space="preserve">Programme </w:t>
      </w:r>
      <w:r>
        <w:rPr>
          <w:lang w:val="en-AU"/>
        </w:rPr>
        <w:t xml:space="preserve">objective 1.1 </w:t>
      </w:r>
    </w:p>
    <w:p w:rsidR="00D815DE" w:rsidRPr="000816D2" w:rsidRDefault="00D815DE" w:rsidP="00D815DE">
      <w:pPr>
        <w:pStyle w:val="ExampleText"/>
        <w:jc w:val="both"/>
        <w:rPr>
          <w:i w:val="0"/>
          <w:color w:val="auto"/>
          <w:lang w:val="en-GB"/>
        </w:rPr>
      </w:pPr>
      <w:r>
        <w:rPr>
          <w:i w:val="0"/>
          <w:iCs/>
          <w:color w:val="auto"/>
        </w:rPr>
        <w:t xml:space="preserve">There is no change to the objective for Programme 1.1 as expressed in the </w:t>
      </w:r>
      <w:r>
        <w:rPr>
          <w:iCs/>
          <w:color w:val="auto"/>
        </w:rPr>
        <w:t>Portfolio Budget Statements 2015-16</w:t>
      </w:r>
      <w:r>
        <w:rPr>
          <w:i w:val="0"/>
          <w:iCs/>
          <w:color w:val="auto"/>
        </w:rPr>
        <w:t>.</w:t>
      </w:r>
    </w:p>
    <w:p w:rsidR="00575B11" w:rsidRPr="007A2311" w:rsidRDefault="00575B11" w:rsidP="00575B11">
      <w:pPr>
        <w:pStyle w:val="Heading5"/>
        <w:rPr>
          <w:lang w:val="en-AU"/>
        </w:rPr>
      </w:pPr>
      <w:r>
        <w:t xml:space="preserve">Programme expenses </w:t>
      </w:r>
      <w:r>
        <w:rPr>
          <w:lang w:val="en-AU"/>
        </w:rPr>
        <w:t>1</w:t>
      </w:r>
      <w:r>
        <w:t>.</w:t>
      </w:r>
      <w:r>
        <w:rPr>
          <w:lang w:val="en-AU"/>
        </w:rPr>
        <w:t>1</w:t>
      </w:r>
    </w:p>
    <w:p w:rsidR="00631AC1" w:rsidRDefault="0081629D" w:rsidP="00631AC1">
      <w:pPr>
        <w:pStyle w:val="Heading5"/>
        <w:rPr>
          <w:lang w:val="en-AU"/>
        </w:rPr>
      </w:pPr>
      <w:r w:rsidRPr="0081629D">
        <w:rPr>
          <w:noProof/>
          <w:lang w:val="en-AU" w:eastAsia="zh-CN"/>
        </w:rPr>
        <w:drawing>
          <wp:inline distT="0" distB="0" distL="0" distR="0" wp14:anchorId="31D1B866" wp14:editId="559BF353">
            <wp:extent cx="4896485" cy="4390921"/>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96485" cy="4390921"/>
                    </a:xfrm>
                    <a:prstGeom prst="rect">
                      <a:avLst/>
                    </a:prstGeom>
                    <a:noFill/>
                    <a:ln>
                      <a:noFill/>
                    </a:ln>
                  </pic:spPr>
                </pic:pic>
              </a:graphicData>
            </a:graphic>
          </wp:inline>
        </w:drawing>
      </w:r>
    </w:p>
    <w:p w:rsidR="003B5B95" w:rsidRPr="004F2D66" w:rsidRDefault="003B5B95" w:rsidP="003B5B95">
      <w:pPr>
        <w:pStyle w:val="Heading5"/>
        <w:numPr>
          <w:ilvl w:val="0"/>
          <w:numId w:val="12"/>
        </w:numPr>
        <w:spacing w:after="0"/>
        <w:ind w:left="284" w:hanging="284"/>
        <w:rPr>
          <w:b w:val="0"/>
          <w:i/>
          <w:sz w:val="16"/>
        </w:rPr>
      </w:pPr>
      <w:r w:rsidRPr="00631AC1">
        <w:rPr>
          <w:b w:val="0"/>
          <w:sz w:val="16"/>
        </w:rPr>
        <w:t>Includes Programme 1.4: International Climate Change Engagement Programme pub</w:t>
      </w:r>
      <w:r w:rsidR="000A5A99">
        <w:rPr>
          <w:b w:val="0"/>
          <w:sz w:val="16"/>
        </w:rPr>
        <w:t xml:space="preserve">lished in </w:t>
      </w:r>
      <w:r w:rsidR="000A5A99" w:rsidRPr="004F2D66">
        <w:rPr>
          <w:b w:val="0"/>
          <w:i/>
          <w:sz w:val="16"/>
        </w:rPr>
        <w:t xml:space="preserve">Portfolio Additional </w:t>
      </w:r>
      <w:r w:rsidR="000A5A99" w:rsidRPr="004F2D66">
        <w:rPr>
          <w:b w:val="0"/>
          <w:i/>
          <w:sz w:val="16"/>
          <w:lang w:val="en-AU"/>
        </w:rPr>
        <w:t>E</w:t>
      </w:r>
      <w:r w:rsidR="00CE396F" w:rsidRPr="004F2D66">
        <w:rPr>
          <w:b w:val="0"/>
          <w:i/>
          <w:sz w:val="16"/>
          <w:lang w:val="en-AU"/>
        </w:rPr>
        <w:t>stimates</w:t>
      </w:r>
      <w:r w:rsidRPr="004F2D66">
        <w:rPr>
          <w:b w:val="0"/>
          <w:i/>
          <w:sz w:val="16"/>
        </w:rPr>
        <w:t xml:space="preserve"> Statements 2014-15</w:t>
      </w:r>
      <w:r w:rsidR="004F2D66">
        <w:rPr>
          <w:b w:val="0"/>
          <w:i/>
          <w:sz w:val="16"/>
          <w:lang w:val="en-AU"/>
        </w:rPr>
        <w:t>.</w:t>
      </w:r>
    </w:p>
    <w:p w:rsidR="003B5B95" w:rsidRDefault="003B5B95" w:rsidP="003B5B95">
      <w:pPr>
        <w:pStyle w:val="SingleParagraph"/>
        <w:numPr>
          <w:ilvl w:val="0"/>
          <w:numId w:val="12"/>
        </w:numPr>
        <w:spacing w:line="240" w:lineRule="auto"/>
        <w:ind w:left="284" w:hanging="284"/>
        <w:rPr>
          <w:rFonts w:ascii="Arial" w:hAnsi="Arial" w:cs="Arial"/>
          <w:sz w:val="16"/>
        </w:rPr>
      </w:pPr>
      <w:r w:rsidRPr="00631AC1">
        <w:rPr>
          <w:rFonts w:ascii="Arial" w:hAnsi="Arial" w:cs="Arial"/>
          <w:sz w:val="16"/>
        </w:rPr>
        <w:t>Expenses not requiring appropriation in the Budget year are made up of depreciation expenses, amortisation expenses, make good expenses, audit fees.</w:t>
      </w:r>
    </w:p>
    <w:p w:rsidR="00631AC1" w:rsidRPr="00631AC1" w:rsidRDefault="00631AC1" w:rsidP="00631AC1">
      <w:pPr>
        <w:pStyle w:val="SingleParagraph"/>
        <w:spacing w:line="240" w:lineRule="auto"/>
        <w:rPr>
          <w:rFonts w:ascii="Arial" w:hAnsi="Arial" w:cs="Arial"/>
          <w:lang w:val="en-GB"/>
        </w:rPr>
      </w:pPr>
    </w:p>
    <w:p w:rsidR="00F51DAC" w:rsidRPr="00821375" w:rsidRDefault="009D4B20" w:rsidP="00E15CF3">
      <w:pPr>
        <w:pStyle w:val="Heading5"/>
      </w:pPr>
      <w:r w:rsidRPr="00821375">
        <w:t xml:space="preserve">Programme </w:t>
      </w:r>
      <w:r w:rsidR="00701B3C" w:rsidRPr="00821375">
        <w:t xml:space="preserve">deliverables </w:t>
      </w:r>
      <w:r w:rsidR="00D815DE" w:rsidRPr="00821375">
        <w:rPr>
          <w:lang w:val="en-AU"/>
        </w:rPr>
        <w:t>1</w:t>
      </w:r>
      <w:r w:rsidR="00D815DE" w:rsidRPr="00821375">
        <w:t>.1</w:t>
      </w:r>
    </w:p>
    <w:p w:rsidR="00D815DE" w:rsidRPr="00821375" w:rsidRDefault="00D815DE" w:rsidP="00D815DE">
      <w:pPr>
        <w:pStyle w:val="TableGraphic"/>
        <w:rPr>
          <w:color w:val="auto"/>
          <w:lang w:val="en-GB"/>
        </w:rPr>
      </w:pPr>
      <w:r w:rsidRPr="00821375">
        <w:rPr>
          <w:i w:val="0"/>
          <w:iCs/>
          <w:color w:val="auto"/>
        </w:rPr>
        <w:t xml:space="preserve">There is no change to the deliverables for Programme 1.1 as expressed in the </w:t>
      </w:r>
      <w:r w:rsidRPr="00821375">
        <w:rPr>
          <w:iCs/>
          <w:color w:val="auto"/>
        </w:rPr>
        <w:t>Portfolio Budget Statements 2015-16</w:t>
      </w:r>
      <w:r w:rsidRPr="00821375">
        <w:rPr>
          <w:i w:val="0"/>
          <w:iCs/>
          <w:color w:val="auto"/>
        </w:rPr>
        <w:t>.</w:t>
      </w:r>
    </w:p>
    <w:p w:rsidR="00F51DAC" w:rsidRPr="00564C0F" w:rsidRDefault="00F51DAC" w:rsidP="00F51DAC">
      <w:pPr>
        <w:pStyle w:val="SingleParagraph"/>
        <w:rPr>
          <w:lang w:val="en-GB"/>
        </w:rPr>
      </w:pPr>
    </w:p>
    <w:p w:rsidR="00F51DAC" w:rsidRPr="00D815DE" w:rsidRDefault="009D4B20" w:rsidP="00E15CF3">
      <w:pPr>
        <w:pStyle w:val="Heading5"/>
        <w:rPr>
          <w:lang w:val="en-AU"/>
        </w:rPr>
      </w:pPr>
      <w:r w:rsidRPr="00564C0F">
        <w:t xml:space="preserve">Programme </w:t>
      </w:r>
      <w:r w:rsidR="00701B3C" w:rsidRPr="00564C0F">
        <w:t>key performance indicators</w:t>
      </w:r>
      <w:r w:rsidR="00D815DE">
        <w:rPr>
          <w:lang w:val="en-AU"/>
        </w:rPr>
        <w:t xml:space="preserve"> 1</w:t>
      </w:r>
      <w:r w:rsidR="00D815DE">
        <w:t>.1</w:t>
      </w:r>
    </w:p>
    <w:p w:rsidR="00F51DAC" w:rsidRPr="00631AC1" w:rsidRDefault="00D815DE" w:rsidP="00F51DAC">
      <w:pPr>
        <w:pStyle w:val="SingleParagraph"/>
        <w:rPr>
          <w:iCs/>
        </w:rPr>
      </w:pPr>
      <w:bookmarkStart w:id="330" w:name="_Toc112137880"/>
      <w:bookmarkStart w:id="331" w:name="_Toc112137902"/>
      <w:bookmarkStart w:id="332" w:name="_Toc210646455"/>
      <w:bookmarkStart w:id="333" w:name="_Toc210698434"/>
      <w:bookmarkStart w:id="334" w:name="_Toc210703217"/>
      <w:bookmarkStart w:id="335" w:name="_Toc492800629"/>
      <w:bookmarkStart w:id="336" w:name="_Toc436624160"/>
      <w:bookmarkStart w:id="337" w:name="_Toc436625461"/>
      <w:bookmarkStart w:id="338" w:name="_Toc449255783"/>
      <w:bookmarkStart w:id="339" w:name="_Toc490972415"/>
      <w:bookmarkStart w:id="340" w:name="_Toc491014635"/>
      <w:bookmarkStart w:id="341" w:name="_Toc491014777"/>
      <w:bookmarkStart w:id="342" w:name="_Toc491014957"/>
      <w:bookmarkStart w:id="343" w:name="_Toc491015104"/>
      <w:bookmarkStart w:id="344" w:name="_Toc491029247"/>
      <w:bookmarkStart w:id="345" w:name="_Toc491030336"/>
      <w:bookmarkStart w:id="346" w:name="_Toc491030795"/>
      <w:bookmarkStart w:id="347" w:name="_Toc491031358"/>
      <w:bookmarkStart w:id="348" w:name="_Toc491031945"/>
      <w:bookmarkStart w:id="349" w:name="_Toc491032124"/>
      <w:bookmarkStart w:id="350" w:name="_Toc491032226"/>
      <w:bookmarkStart w:id="351" w:name="_Toc491032333"/>
      <w:bookmarkStart w:id="352" w:name="_Toc491771728"/>
      <w:bookmarkStart w:id="353" w:name="_Toc491773303"/>
      <w:bookmarkStart w:id="354" w:name="_Toc23559358"/>
      <w:bookmarkStart w:id="355" w:name="_Toc23559392"/>
      <w:bookmarkStart w:id="356" w:name="_Toc23559679"/>
      <w:bookmarkStart w:id="357" w:name="_Toc23560148"/>
      <w:bookmarkStart w:id="358" w:name="_Toc23563441"/>
      <w:r w:rsidRPr="000816D2">
        <w:rPr>
          <w:iCs/>
        </w:rPr>
        <w:t xml:space="preserve">There is no change to the </w:t>
      </w:r>
      <w:r>
        <w:rPr>
          <w:iCs/>
        </w:rPr>
        <w:t>key performance indicators</w:t>
      </w:r>
      <w:r w:rsidRPr="000816D2">
        <w:rPr>
          <w:iCs/>
        </w:rPr>
        <w:t xml:space="preserve"> for Programme 1.1 as expressed in the </w:t>
      </w:r>
      <w:r w:rsidRPr="000816D2">
        <w:rPr>
          <w:i/>
          <w:iCs/>
        </w:rPr>
        <w:t xml:space="preserve">Portfolio Budget Statements </w:t>
      </w:r>
      <w:r w:rsidRPr="001D5109">
        <w:rPr>
          <w:i/>
          <w:iCs/>
        </w:rPr>
        <w:t>2015-16</w:t>
      </w:r>
      <w:r w:rsidRPr="000816D2">
        <w:rPr>
          <w:iCs/>
        </w:rPr>
        <w:t>.</w:t>
      </w:r>
    </w:p>
    <w:p w:rsidR="00D815DE" w:rsidRDefault="00D815DE" w:rsidP="00D815DE">
      <w:pPr>
        <w:pStyle w:val="Heading5"/>
        <w:rPr>
          <w:lang w:val="en-AU"/>
        </w:rPr>
      </w:pPr>
      <w:r>
        <w:br w:type="page"/>
      </w:r>
      <w:r>
        <w:rPr>
          <w:lang w:val="en-AU"/>
        </w:rPr>
        <w:lastRenderedPageBreak/>
        <w:t xml:space="preserve">Programme 1.2: </w:t>
      </w:r>
      <w:r w:rsidR="005247CB">
        <w:rPr>
          <w:lang w:val="en-AU"/>
        </w:rPr>
        <w:t>Official Development Assistance</w:t>
      </w:r>
    </w:p>
    <w:p w:rsidR="00D815DE" w:rsidRPr="000816D2" w:rsidRDefault="00D815DE" w:rsidP="00D815DE">
      <w:pPr>
        <w:pStyle w:val="Heading5"/>
        <w:rPr>
          <w:lang w:val="en-AU"/>
        </w:rPr>
      </w:pPr>
      <w:r>
        <w:t xml:space="preserve">Programme </w:t>
      </w:r>
      <w:r>
        <w:rPr>
          <w:lang w:val="en-AU"/>
        </w:rPr>
        <w:t xml:space="preserve">objective 1.2 </w:t>
      </w:r>
    </w:p>
    <w:p w:rsidR="00D815DE" w:rsidRPr="000816D2" w:rsidRDefault="00D815DE" w:rsidP="00D815DE">
      <w:pPr>
        <w:pStyle w:val="ExampleText"/>
        <w:jc w:val="both"/>
        <w:rPr>
          <w:i w:val="0"/>
          <w:color w:val="auto"/>
          <w:lang w:val="en-GB"/>
        </w:rPr>
      </w:pPr>
      <w:r>
        <w:rPr>
          <w:i w:val="0"/>
          <w:iCs/>
          <w:color w:val="auto"/>
        </w:rPr>
        <w:t xml:space="preserve">There is no change to the objective for Programme 1.2 as expressed in the </w:t>
      </w:r>
      <w:r w:rsidR="00821375">
        <w:rPr>
          <w:iCs/>
          <w:color w:val="auto"/>
        </w:rPr>
        <w:t>Portfolio Budget Statements 2015-16</w:t>
      </w:r>
      <w:r>
        <w:rPr>
          <w:i w:val="0"/>
          <w:iCs/>
          <w:color w:val="auto"/>
        </w:rPr>
        <w:t>.</w:t>
      </w:r>
    </w:p>
    <w:p w:rsidR="00575B11" w:rsidRPr="007A2311" w:rsidRDefault="00575B11" w:rsidP="00575B11">
      <w:pPr>
        <w:pStyle w:val="Heading5"/>
        <w:rPr>
          <w:lang w:val="en-AU"/>
        </w:rPr>
      </w:pPr>
      <w:r>
        <w:t xml:space="preserve">Programme expenses </w:t>
      </w:r>
      <w:r>
        <w:rPr>
          <w:lang w:val="en-AU"/>
        </w:rPr>
        <w:t>1</w:t>
      </w:r>
      <w:r>
        <w:t>.</w:t>
      </w:r>
      <w:r>
        <w:rPr>
          <w:lang w:val="en-AU"/>
        </w:rPr>
        <w:t>2</w:t>
      </w:r>
    </w:p>
    <w:p w:rsidR="00631AC1" w:rsidRPr="00631AC1" w:rsidRDefault="0081629D" w:rsidP="00631AC1">
      <w:pPr>
        <w:pStyle w:val="Heading5"/>
        <w:rPr>
          <w:lang w:val="en-AU"/>
        </w:rPr>
      </w:pPr>
      <w:r w:rsidRPr="0081629D">
        <w:rPr>
          <w:noProof/>
          <w:lang w:val="en-AU" w:eastAsia="zh-CN"/>
        </w:rPr>
        <w:drawing>
          <wp:inline distT="0" distB="0" distL="0" distR="0" wp14:anchorId="6186D7A0" wp14:editId="0D0B0C7D">
            <wp:extent cx="4896485" cy="1582229"/>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6485" cy="1582229"/>
                    </a:xfrm>
                    <a:prstGeom prst="rect">
                      <a:avLst/>
                    </a:prstGeom>
                    <a:noFill/>
                    <a:ln>
                      <a:noFill/>
                    </a:ln>
                  </pic:spPr>
                </pic:pic>
              </a:graphicData>
            </a:graphic>
          </wp:inline>
        </w:drawing>
      </w:r>
      <w:r w:rsidR="00631AC1">
        <w:fldChar w:fldCharType="begin"/>
      </w:r>
      <w:r w:rsidR="00631AC1">
        <w:instrText xml:space="preserve"> LINK Excel.Sheet.12 "C:\\Users\\cbalmain\\AppData\\Local\\Microsoft\\Windows\\Temporary Internet Files\\Content.Outlook\\8KCKUOEQ\\2015-16 PAES Draft V16 14012016.xlsx" "Table 2.2 Prog exp outcome 1!R27C1:R34C6" \a \f 5 \h  \* MERGEFORMAT </w:instrText>
      </w:r>
      <w:r w:rsidR="00631AC1">
        <w:fldChar w:fldCharType="separate"/>
      </w:r>
    </w:p>
    <w:p w:rsidR="00D44B7B" w:rsidRPr="00D44B7B" w:rsidRDefault="00631AC1" w:rsidP="00D44B7B">
      <w:pPr>
        <w:pStyle w:val="ListParagraph"/>
        <w:numPr>
          <w:ilvl w:val="0"/>
          <w:numId w:val="34"/>
        </w:numPr>
        <w:ind w:left="284" w:hanging="284"/>
        <w:rPr>
          <w:rFonts w:ascii="Arial" w:hAnsi="Arial" w:cs="Arial"/>
          <w:sz w:val="16"/>
        </w:rPr>
      </w:pPr>
      <w:r>
        <w:fldChar w:fldCharType="end"/>
      </w:r>
      <w:r w:rsidR="00D44B7B" w:rsidRPr="00D44B7B">
        <w:rPr>
          <w:rFonts w:ascii="Arial" w:hAnsi="Arial" w:cs="Arial"/>
          <w:sz w:val="16"/>
        </w:rPr>
        <w:t xml:space="preserve">Expenses not requiring appropriation in the Budget year are made up of depreciation expenses, amortisation </w:t>
      </w:r>
      <w:proofErr w:type="gramStart"/>
      <w:r w:rsidR="00D44B7B" w:rsidRPr="00D44B7B">
        <w:rPr>
          <w:rFonts w:ascii="Arial" w:hAnsi="Arial" w:cs="Arial"/>
          <w:sz w:val="16"/>
        </w:rPr>
        <w:t>expenses,</w:t>
      </w:r>
      <w:proofErr w:type="gramEnd"/>
      <w:r w:rsidR="00D44B7B" w:rsidRPr="00D44B7B">
        <w:rPr>
          <w:rFonts w:ascii="Arial" w:hAnsi="Arial" w:cs="Arial"/>
          <w:sz w:val="16"/>
        </w:rPr>
        <w:t xml:space="preserve"> make good expenses, audit fees.</w:t>
      </w:r>
    </w:p>
    <w:p w:rsidR="007A1C30" w:rsidRPr="00564C0F" w:rsidRDefault="007A1C30" w:rsidP="007A1C30">
      <w:pPr>
        <w:pStyle w:val="SingleParagraph"/>
        <w:ind w:left="360"/>
        <w:rPr>
          <w:lang w:val="en-GB"/>
        </w:rPr>
      </w:pPr>
    </w:p>
    <w:p w:rsidR="00D815DE" w:rsidRPr="00E9493C" w:rsidRDefault="00D815DE" w:rsidP="00D44B7B">
      <w:pPr>
        <w:spacing w:line="240" w:lineRule="auto"/>
        <w:rPr>
          <w:rFonts w:ascii="Arial" w:hAnsi="Arial" w:cs="Arial"/>
          <w:b/>
        </w:rPr>
      </w:pPr>
      <w:r w:rsidRPr="00E9493C">
        <w:rPr>
          <w:rFonts w:ascii="Arial" w:hAnsi="Arial" w:cs="Arial"/>
          <w:b/>
        </w:rPr>
        <w:t>Programme deliverables 1.2</w:t>
      </w:r>
    </w:p>
    <w:p w:rsidR="00D815DE" w:rsidRPr="00821375" w:rsidRDefault="00D815DE" w:rsidP="00D815DE">
      <w:pPr>
        <w:pStyle w:val="TableGraphic"/>
        <w:rPr>
          <w:color w:val="auto"/>
          <w:lang w:val="en-GB"/>
        </w:rPr>
      </w:pPr>
      <w:r w:rsidRPr="00821375">
        <w:rPr>
          <w:i w:val="0"/>
          <w:iCs/>
          <w:color w:val="auto"/>
        </w:rPr>
        <w:t xml:space="preserve">There is no change to the deliverables for Programme 1.2 as expressed in the </w:t>
      </w:r>
      <w:r w:rsidRPr="00821375">
        <w:rPr>
          <w:iCs/>
          <w:color w:val="auto"/>
        </w:rPr>
        <w:t>Portfolio Budget Statements 2015-16</w:t>
      </w:r>
      <w:r w:rsidRPr="00821375">
        <w:rPr>
          <w:i w:val="0"/>
          <w:iCs/>
          <w:color w:val="auto"/>
        </w:rPr>
        <w:t>.</w:t>
      </w:r>
    </w:p>
    <w:p w:rsidR="00D815DE" w:rsidRPr="00564C0F" w:rsidRDefault="00D815DE" w:rsidP="00D815DE">
      <w:pPr>
        <w:pStyle w:val="SingleParagraph"/>
        <w:rPr>
          <w:lang w:val="en-GB"/>
        </w:rPr>
      </w:pPr>
    </w:p>
    <w:p w:rsidR="00D815DE" w:rsidRPr="00D815DE" w:rsidRDefault="00D815DE" w:rsidP="00D815DE">
      <w:pPr>
        <w:pStyle w:val="Heading5"/>
        <w:rPr>
          <w:lang w:val="en-AU"/>
        </w:rPr>
      </w:pPr>
      <w:r w:rsidRPr="00564C0F">
        <w:t>Programme key performance indicators</w:t>
      </w:r>
      <w:r>
        <w:rPr>
          <w:lang w:val="en-AU"/>
        </w:rPr>
        <w:t xml:space="preserve"> 1</w:t>
      </w:r>
      <w:r>
        <w:t>.</w:t>
      </w:r>
      <w:r>
        <w:rPr>
          <w:lang w:val="en-AU"/>
        </w:rPr>
        <w:t>2</w:t>
      </w:r>
    </w:p>
    <w:p w:rsidR="00D815DE" w:rsidRDefault="00D815DE" w:rsidP="00D815DE">
      <w:pPr>
        <w:pStyle w:val="SingleParagraph"/>
        <w:rPr>
          <w:iCs/>
        </w:rPr>
      </w:pPr>
      <w:r w:rsidRPr="000816D2">
        <w:rPr>
          <w:iCs/>
        </w:rPr>
        <w:t xml:space="preserve">There is no change to the </w:t>
      </w:r>
      <w:r>
        <w:rPr>
          <w:iCs/>
        </w:rPr>
        <w:t>key performance indicators for Programme 1.2</w:t>
      </w:r>
      <w:r w:rsidRPr="000816D2">
        <w:rPr>
          <w:iCs/>
        </w:rPr>
        <w:t xml:space="preserve"> as expressed in the </w:t>
      </w:r>
      <w:r w:rsidRPr="000816D2">
        <w:rPr>
          <w:i/>
          <w:iCs/>
        </w:rPr>
        <w:t xml:space="preserve">Portfolio Budget Statements </w:t>
      </w:r>
      <w:r w:rsidR="001D5109" w:rsidRPr="001D5109">
        <w:rPr>
          <w:i/>
          <w:iCs/>
        </w:rPr>
        <w:t>2015-16</w:t>
      </w:r>
      <w:r w:rsidRPr="000816D2">
        <w:rPr>
          <w:iCs/>
        </w:rPr>
        <w:t>.</w:t>
      </w:r>
    </w:p>
    <w:p w:rsidR="00D815DE" w:rsidRPr="00D815DE" w:rsidRDefault="00D815DE" w:rsidP="00F51DAC">
      <w:pPr>
        <w:pStyle w:val="SingleParagraph"/>
      </w:pPr>
    </w:p>
    <w:p w:rsidR="00D815DE" w:rsidRDefault="00D815DE" w:rsidP="00D815DE">
      <w:pPr>
        <w:pStyle w:val="Heading5"/>
        <w:rPr>
          <w:lang w:val="en-AU"/>
        </w:rPr>
      </w:pPr>
      <w:r>
        <w:br w:type="page"/>
      </w:r>
      <w:r>
        <w:rPr>
          <w:lang w:val="en-AU"/>
        </w:rPr>
        <w:lastRenderedPageBreak/>
        <w:t xml:space="preserve">Programme 1.3: </w:t>
      </w:r>
      <w:r w:rsidR="005247CB">
        <w:rPr>
          <w:lang w:val="en-AU"/>
        </w:rPr>
        <w:t>Official Development Assistance – Multilateral Replenishments</w:t>
      </w:r>
    </w:p>
    <w:p w:rsidR="00D815DE" w:rsidRPr="000816D2" w:rsidRDefault="00D815DE" w:rsidP="00D815DE">
      <w:pPr>
        <w:pStyle w:val="Heading5"/>
        <w:rPr>
          <w:lang w:val="en-AU"/>
        </w:rPr>
      </w:pPr>
      <w:r>
        <w:t xml:space="preserve">Programme </w:t>
      </w:r>
      <w:r>
        <w:rPr>
          <w:lang w:val="en-AU"/>
        </w:rPr>
        <w:t xml:space="preserve">objective 1.3 </w:t>
      </w:r>
    </w:p>
    <w:p w:rsidR="00D815DE" w:rsidRPr="000816D2" w:rsidRDefault="00D815DE" w:rsidP="00D815DE">
      <w:pPr>
        <w:pStyle w:val="ExampleText"/>
        <w:jc w:val="both"/>
        <w:rPr>
          <w:i w:val="0"/>
          <w:color w:val="auto"/>
          <w:lang w:val="en-GB"/>
        </w:rPr>
      </w:pPr>
      <w:r>
        <w:rPr>
          <w:i w:val="0"/>
          <w:iCs/>
          <w:color w:val="auto"/>
        </w:rPr>
        <w:t>There is no change to the o</w:t>
      </w:r>
      <w:r w:rsidR="005247CB">
        <w:rPr>
          <w:i w:val="0"/>
          <w:iCs/>
          <w:color w:val="auto"/>
        </w:rPr>
        <w:t>bjective for Programme 1.3</w:t>
      </w:r>
      <w:r>
        <w:rPr>
          <w:i w:val="0"/>
          <w:iCs/>
          <w:color w:val="auto"/>
        </w:rPr>
        <w:t xml:space="preserve"> as expressed in the </w:t>
      </w:r>
      <w:r w:rsidR="00361B35">
        <w:rPr>
          <w:iCs/>
          <w:color w:val="auto"/>
        </w:rPr>
        <w:t>Portfolio Budget Statements 2015-16</w:t>
      </w:r>
      <w:r>
        <w:rPr>
          <w:i w:val="0"/>
          <w:iCs/>
          <w:color w:val="auto"/>
        </w:rPr>
        <w:t>.</w:t>
      </w:r>
    </w:p>
    <w:p w:rsidR="00631AC1" w:rsidRPr="007A2311" w:rsidRDefault="00D815DE" w:rsidP="007A2311">
      <w:pPr>
        <w:pStyle w:val="Heading5"/>
        <w:rPr>
          <w:lang w:val="en-AU"/>
        </w:rPr>
      </w:pPr>
      <w:r>
        <w:t xml:space="preserve">Programme expenses </w:t>
      </w:r>
      <w:r>
        <w:rPr>
          <w:lang w:val="en-AU"/>
        </w:rPr>
        <w:t>1</w:t>
      </w:r>
      <w:r>
        <w:t>.</w:t>
      </w:r>
      <w:r w:rsidR="005247CB">
        <w:rPr>
          <w:lang w:val="en-AU"/>
        </w:rPr>
        <w:t>3</w:t>
      </w:r>
    </w:p>
    <w:p w:rsidR="007A2311" w:rsidRDefault="0081629D" w:rsidP="00D815DE">
      <w:pPr>
        <w:pStyle w:val="Heading5"/>
        <w:rPr>
          <w:lang w:val="en-AU"/>
        </w:rPr>
      </w:pPr>
      <w:r w:rsidRPr="0081629D">
        <w:rPr>
          <w:noProof/>
          <w:lang w:val="en-AU" w:eastAsia="zh-CN"/>
        </w:rPr>
        <w:drawing>
          <wp:inline distT="0" distB="0" distL="0" distR="0" wp14:anchorId="21906841" wp14:editId="3BFC514B">
            <wp:extent cx="4896485" cy="1863098"/>
            <wp:effectExtent l="0" t="0" r="0" b="381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96485" cy="1863098"/>
                    </a:xfrm>
                    <a:prstGeom prst="rect">
                      <a:avLst/>
                    </a:prstGeom>
                    <a:noFill/>
                    <a:ln>
                      <a:noFill/>
                    </a:ln>
                  </pic:spPr>
                </pic:pic>
              </a:graphicData>
            </a:graphic>
          </wp:inline>
        </w:drawing>
      </w:r>
    </w:p>
    <w:p w:rsidR="00D44B7B" w:rsidRDefault="00D44B7B" w:rsidP="00D44B7B">
      <w:pPr>
        <w:pStyle w:val="ListParagraph"/>
        <w:numPr>
          <w:ilvl w:val="0"/>
          <w:numId w:val="35"/>
        </w:numPr>
        <w:ind w:left="284" w:hanging="284"/>
        <w:rPr>
          <w:rFonts w:ascii="Arial" w:hAnsi="Arial" w:cs="Arial"/>
          <w:sz w:val="16"/>
        </w:rPr>
      </w:pPr>
      <w:r w:rsidRPr="00D44B7B">
        <w:rPr>
          <w:rFonts w:ascii="Arial" w:hAnsi="Arial" w:cs="Arial"/>
          <w:sz w:val="16"/>
        </w:rPr>
        <w:t>Expenses not requiring appropriation in the Budget year relate to the concessional investment discount for the discounting of the investment components for International Development Association and Asian Development Fund.</w:t>
      </w:r>
    </w:p>
    <w:p w:rsidR="00DC3A29" w:rsidRPr="00D44B7B" w:rsidRDefault="00DC3A29" w:rsidP="00DC3A29">
      <w:pPr>
        <w:pStyle w:val="ListParagraph"/>
        <w:ind w:left="284"/>
        <w:rPr>
          <w:rFonts w:ascii="Arial" w:hAnsi="Arial" w:cs="Arial"/>
          <w:sz w:val="16"/>
        </w:rPr>
      </w:pPr>
    </w:p>
    <w:p w:rsidR="00D815DE" w:rsidRPr="005247CB" w:rsidRDefault="00D815DE" w:rsidP="00D815DE">
      <w:pPr>
        <w:pStyle w:val="Heading5"/>
      </w:pPr>
      <w:r w:rsidRPr="005247CB">
        <w:t xml:space="preserve">Programme deliverables </w:t>
      </w:r>
      <w:r w:rsidRPr="005247CB">
        <w:rPr>
          <w:lang w:val="en-AU"/>
        </w:rPr>
        <w:t>1</w:t>
      </w:r>
      <w:r w:rsidRPr="005247CB">
        <w:t>.</w:t>
      </w:r>
      <w:r w:rsidR="005247CB">
        <w:rPr>
          <w:lang w:val="en-AU"/>
        </w:rPr>
        <w:t>3</w:t>
      </w:r>
    </w:p>
    <w:p w:rsidR="00D815DE" w:rsidRPr="005247CB" w:rsidRDefault="00D815DE" w:rsidP="00D815DE">
      <w:pPr>
        <w:pStyle w:val="TableGraphic"/>
        <w:rPr>
          <w:color w:val="auto"/>
          <w:lang w:val="en-GB"/>
        </w:rPr>
      </w:pPr>
      <w:r w:rsidRPr="005247CB">
        <w:rPr>
          <w:i w:val="0"/>
          <w:iCs/>
          <w:color w:val="auto"/>
        </w:rPr>
        <w:t>There is no change to the deliverables for Programme 1.</w:t>
      </w:r>
      <w:r w:rsidR="005247CB" w:rsidRPr="005247CB">
        <w:rPr>
          <w:i w:val="0"/>
          <w:iCs/>
          <w:color w:val="auto"/>
        </w:rPr>
        <w:t>3</w:t>
      </w:r>
      <w:r w:rsidRPr="005247CB">
        <w:rPr>
          <w:i w:val="0"/>
          <w:iCs/>
          <w:color w:val="auto"/>
        </w:rPr>
        <w:t xml:space="preserve"> as expressed in the </w:t>
      </w:r>
      <w:r w:rsidRPr="005247CB">
        <w:rPr>
          <w:iCs/>
          <w:color w:val="auto"/>
        </w:rPr>
        <w:t>Portfolio Budget Statements 2015-16</w:t>
      </w:r>
      <w:r w:rsidRPr="005247CB">
        <w:rPr>
          <w:i w:val="0"/>
          <w:iCs/>
          <w:color w:val="auto"/>
        </w:rPr>
        <w:t>.</w:t>
      </w:r>
    </w:p>
    <w:p w:rsidR="00D815DE" w:rsidRPr="00564C0F" w:rsidRDefault="00D815DE" w:rsidP="00D815DE">
      <w:pPr>
        <w:pStyle w:val="SingleParagraph"/>
        <w:rPr>
          <w:lang w:val="en-GB"/>
        </w:rPr>
      </w:pPr>
    </w:p>
    <w:p w:rsidR="00D815DE" w:rsidRPr="00D815DE" w:rsidRDefault="00D815DE" w:rsidP="00D815DE">
      <w:pPr>
        <w:pStyle w:val="Heading5"/>
        <w:rPr>
          <w:lang w:val="en-AU"/>
        </w:rPr>
      </w:pPr>
      <w:r w:rsidRPr="00564C0F">
        <w:t>Programme key performance indicators</w:t>
      </w:r>
      <w:r>
        <w:rPr>
          <w:lang w:val="en-AU"/>
        </w:rPr>
        <w:t xml:space="preserve"> 1</w:t>
      </w:r>
      <w:r>
        <w:t>.</w:t>
      </w:r>
      <w:r w:rsidR="005247CB">
        <w:rPr>
          <w:lang w:val="en-AU"/>
        </w:rPr>
        <w:t>3</w:t>
      </w:r>
    </w:p>
    <w:p w:rsidR="00D815DE" w:rsidRDefault="00D815DE" w:rsidP="00D815DE">
      <w:pPr>
        <w:pStyle w:val="SingleParagraph"/>
        <w:rPr>
          <w:iCs/>
        </w:rPr>
      </w:pPr>
      <w:r w:rsidRPr="000816D2">
        <w:rPr>
          <w:iCs/>
        </w:rPr>
        <w:t xml:space="preserve">There is no change to the </w:t>
      </w:r>
      <w:r>
        <w:rPr>
          <w:iCs/>
        </w:rPr>
        <w:t>key performance indicators for Programme 1.</w:t>
      </w:r>
      <w:r w:rsidR="005247CB">
        <w:rPr>
          <w:iCs/>
        </w:rPr>
        <w:t>3</w:t>
      </w:r>
      <w:r w:rsidRPr="000816D2">
        <w:rPr>
          <w:iCs/>
        </w:rPr>
        <w:t xml:space="preserve"> as expressed in the </w:t>
      </w:r>
      <w:r w:rsidRPr="000816D2">
        <w:rPr>
          <w:i/>
          <w:iCs/>
        </w:rPr>
        <w:t xml:space="preserve">Portfolio Budget Statements </w:t>
      </w:r>
      <w:r w:rsidR="001D5109" w:rsidRPr="001D5109">
        <w:rPr>
          <w:i/>
          <w:iCs/>
        </w:rPr>
        <w:t>2015-16</w:t>
      </w:r>
      <w:r w:rsidRPr="000816D2">
        <w:rPr>
          <w:iCs/>
        </w:rPr>
        <w:t>.</w:t>
      </w:r>
    </w:p>
    <w:p w:rsidR="00D815DE" w:rsidRPr="00D815DE" w:rsidRDefault="00D815DE" w:rsidP="00D815DE">
      <w:pPr>
        <w:pStyle w:val="SingleParagraph"/>
      </w:pPr>
    </w:p>
    <w:p w:rsidR="00821375" w:rsidRDefault="00821375" w:rsidP="00821375">
      <w:pPr>
        <w:pStyle w:val="Heading5"/>
        <w:rPr>
          <w:lang w:val="en-AU"/>
        </w:rPr>
      </w:pPr>
      <w:r>
        <w:br w:type="page"/>
      </w:r>
      <w:r>
        <w:rPr>
          <w:lang w:val="en-AU"/>
        </w:rPr>
        <w:lastRenderedPageBreak/>
        <w:t>Programme 1.4: Official Development Assistance – East Asia AIPRD</w:t>
      </w:r>
    </w:p>
    <w:p w:rsidR="00821375" w:rsidRPr="000816D2" w:rsidRDefault="00821375" w:rsidP="00821375">
      <w:pPr>
        <w:pStyle w:val="Heading5"/>
        <w:rPr>
          <w:lang w:val="en-AU"/>
        </w:rPr>
      </w:pPr>
      <w:r>
        <w:t xml:space="preserve">Programme </w:t>
      </w:r>
      <w:r>
        <w:rPr>
          <w:lang w:val="en-AU"/>
        </w:rPr>
        <w:t xml:space="preserve">objective 1.4 </w:t>
      </w:r>
    </w:p>
    <w:p w:rsidR="00821375" w:rsidRPr="000816D2" w:rsidRDefault="00821375" w:rsidP="00821375">
      <w:pPr>
        <w:pStyle w:val="ExampleText"/>
        <w:jc w:val="both"/>
        <w:rPr>
          <w:i w:val="0"/>
          <w:color w:val="auto"/>
          <w:lang w:val="en-GB"/>
        </w:rPr>
      </w:pPr>
      <w:r>
        <w:rPr>
          <w:i w:val="0"/>
          <w:iCs/>
          <w:color w:val="auto"/>
        </w:rPr>
        <w:t>There is no change to the objective for Programme 1.</w:t>
      </w:r>
      <w:r w:rsidR="00547308">
        <w:rPr>
          <w:i w:val="0"/>
          <w:iCs/>
          <w:color w:val="auto"/>
        </w:rPr>
        <w:t>4</w:t>
      </w:r>
      <w:r>
        <w:rPr>
          <w:i w:val="0"/>
          <w:iCs/>
          <w:color w:val="auto"/>
        </w:rPr>
        <w:t xml:space="preserve"> as expressed in the </w:t>
      </w:r>
      <w:r>
        <w:rPr>
          <w:iCs/>
          <w:color w:val="auto"/>
        </w:rPr>
        <w:t>Portfolio Budget Statements 2015-16</w:t>
      </w:r>
      <w:r>
        <w:rPr>
          <w:i w:val="0"/>
          <w:iCs/>
          <w:color w:val="auto"/>
        </w:rPr>
        <w:t>.</w:t>
      </w:r>
    </w:p>
    <w:p w:rsidR="00821375" w:rsidRPr="007A2311" w:rsidRDefault="00821375" w:rsidP="007A2311">
      <w:pPr>
        <w:pStyle w:val="Heading5"/>
        <w:rPr>
          <w:lang w:val="en-AU"/>
        </w:rPr>
      </w:pPr>
      <w:r>
        <w:t xml:space="preserve">Programme expenses </w:t>
      </w:r>
      <w:r>
        <w:rPr>
          <w:lang w:val="en-AU"/>
        </w:rPr>
        <w:t>1</w:t>
      </w:r>
      <w:r>
        <w:t>.</w:t>
      </w:r>
      <w:r w:rsidR="00547308">
        <w:rPr>
          <w:lang w:val="en-AU"/>
        </w:rPr>
        <w:t>4</w:t>
      </w:r>
    </w:p>
    <w:p w:rsidR="007A2311" w:rsidRDefault="0081629D" w:rsidP="00821375">
      <w:pPr>
        <w:pStyle w:val="Heading5"/>
        <w:rPr>
          <w:lang w:val="en-AU"/>
        </w:rPr>
      </w:pPr>
      <w:r w:rsidRPr="0081629D">
        <w:rPr>
          <w:noProof/>
          <w:lang w:val="en-AU" w:eastAsia="zh-CN"/>
        </w:rPr>
        <w:drawing>
          <wp:inline distT="0" distB="0" distL="0" distR="0" wp14:anchorId="5468A663" wp14:editId="4DC4170E">
            <wp:extent cx="4896485" cy="1582229"/>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6485" cy="1582229"/>
                    </a:xfrm>
                    <a:prstGeom prst="rect">
                      <a:avLst/>
                    </a:prstGeom>
                    <a:noFill/>
                    <a:ln>
                      <a:noFill/>
                    </a:ln>
                  </pic:spPr>
                </pic:pic>
              </a:graphicData>
            </a:graphic>
          </wp:inline>
        </w:drawing>
      </w:r>
    </w:p>
    <w:p w:rsidR="00D44B7B" w:rsidRPr="007A2311" w:rsidRDefault="00D44B7B" w:rsidP="00D44B7B">
      <w:pPr>
        <w:pStyle w:val="Heading5"/>
        <w:numPr>
          <w:ilvl w:val="0"/>
          <w:numId w:val="13"/>
        </w:numPr>
        <w:spacing w:after="0"/>
        <w:ind w:left="284" w:hanging="284"/>
        <w:rPr>
          <w:b w:val="0"/>
          <w:sz w:val="16"/>
          <w:lang w:val="en-AU"/>
        </w:rPr>
      </w:pPr>
      <w:r w:rsidRPr="007A2311">
        <w:rPr>
          <w:b w:val="0"/>
          <w:sz w:val="16"/>
          <w:lang w:val="en-AU"/>
        </w:rPr>
        <w:t>This reflects the amount of funding to be disbursed on a cash basis, not an expense basis.</w:t>
      </w:r>
    </w:p>
    <w:p w:rsidR="00D44B7B" w:rsidRDefault="00D44B7B" w:rsidP="00D44B7B">
      <w:pPr>
        <w:pStyle w:val="Heading5"/>
        <w:numPr>
          <w:ilvl w:val="0"/>
          <w:numId w:val="13"/>
        </w:numPr>
        <w:spacing w:after="0"/>
        <w:ind w:left="284" w:hanging="284"/>
        <w:rPr>
          <w:b w:val="0"/>
          <w:sz w:val="16"/>
          <w:lang w:val="en-AU"/>
        </w:rPr>
      </w:pPr>
      <w:r w:rsidRPr="007A2311">
        <w:rPr>
          <w:b w:val="0"/>
          <w:sz w:val="16"/>
          <w:lang w:val="en-AU"/>
        </w:rPr>
        <w:t xml:space="preserve">Expenses not requiring appropriation year </w:t>
      </w:r>
      <w:r>
        <w:rPr>
          <w:b w:val="0"/>
          <w:sz w:val="16"/>
          <w:lang w:val="en-AU"/>
        </w:rPr>
        <w:t>relates to the concessional discounting of the loan</w:t>
      </w:r>
      <w:r w:rsidRPr="007A2311">
        <w:rPr>
          <w:b w:val="0"/>
          <w:sz w:val="16"/>
          <w:lang w:val="en-AU"/>
        </w:rPr>
        <w:t>.</w:t>
      </w:r>
    </w:p>
    <w:p w:rsidR="007A2311" w:rsidRPr="007A2311" w:rsidRDefault="007A2311" w:rsidP="007A2311"/>
    <w:p w:rsidR="00821375" w:rsidRPr="005247CB" w:rsidRDefault="00821375" w:rsidP="00821375">
      <w:pPr>
        <w:pStyle w:val="Heading5"/>
      </w:pPr>
      <w:r w:rsidRPr="005247CB">
        <w:t xml:space="preserve">Programme deliverables </w:t>
      </w:r>
      <w:r w:rsidRPr="005247CB">
        <w:rPr>
          <w:lang w:val="en-AU"/>
        </w:rPr>
        <w:t>1</w:t>
      </w:r>
      <w:r w:rsidRPr="005247CB">
        <w:t>.</w:t>
      </w:r>
      <w:r w:rsidR="00547308">
        <w:rPr>
          <w:lang w:val="en-AU"/>
        </w:rPr>
        <w:t>4</w:t>
      </w:r>
    </w:p>
    <w:p w:rsidR="00821375" w:rsidRPr="005247CB" w:rsidRDefault="00821375" w:rsidP="00821375">
      <w:pPr>
        <w:pStyle w:val="TableGraphic"/>
        <w:rPr>
          <w:color w:val="auto"/>
          <w:lang w:val="en-GB"/>
        </w:rPr>
      </w:pPr>
      <w:r w:rsidRPr="005247CB">
        <w:rPr>
          <w:i w:val="0"/>
          <w:iCs/>
          <w:color w:val="auto"/>
        </w:rPr>
        <w:t>There is no change to the deliverables for Programme 1.</w:t>
      </w:r>
      <w:r w:rsidR="00547308">
        <w:rPr>
          <w:i w:val="0"/>
          <w:iCs/>
          <w:color w:val="auto"/>
        </w:rPr>
        <w:t>4</w:t>
      </w:r>
      <w:r w:rsidRPr="005247CB">
        <w:rPr>
          <w:i w:val="0"/>
          <w:iCs/>
          <w:color w:val="auto"/>
        </w:rPr>
        <w:t xml:space="preserve"> as expressed in the </w:t>
      </w:r>
      <w:r w:rsidRPr="005247CB">
        <w:rPr>
          <w:iCs/>
          <w:color w:val="auto"/>
        </w:rPr>
        <w:t>Portfolio Budget Statements 2015-16</w:t>
      </w:r>
      <w:r w:rsidRPr="005247CB">
        <w:rPr>
          <w:i w:val="0"/>
          <w:iCs/>
          <w:color w:val="auto"/>
        </w:rPr>
        <w:t>.</w:t>
      </w:r>
    </w:p>
    <w:p w:rsidR="00821375" w:rsidRPr="00564C0F" w:rsidRDefault="00821375" w:rsidP="00821375">
      <w:pPr>
        <w:pStyle w:val="SingleParagraph"/>
        <w:rPr>
          <w:lang w:val="en-GB"/>
        </w:rPr>
      </w:pPr>
    </w:p>
    <w:p w:rsidR="00821375" w:rsidRPr="00D815DE" w:rsidRDefault="00821375" w:rsidP="00821375">
      <w:pPr>
        <w:pStyle w:val="Heading5"/>
        <w:rPr>
          <w:lang w:val="en-AU"/>
        </w:rPr>
      </w:pPr>
      <w:r w:rsidRPr="00564C0F">
        <w:t>Programme key performance indicators</w:t>
      </w:r>
      <w:r>
        <w:rPr>
          <w:lang w:val="en-AU"/>
        </w:rPr>
        <w:t xml:space="preserve"> 1</w:t>
      </w:r>
      <w:r>
        <w:t>.</w:t>
      </w:r>
      <w:r w:rsidR="00547308">
        <w:rPr>
          <w:lang w:val="en-AU"/>
        </w:rPr>
        <w:t>4</w:t>
      </w:r>
    </w:p>
    <w:p w:rsidR="00821375" w:rsidRDefault="00821375" w:rsidP="00821375">
      <w:pPr>
        <w:pStyle w:val="SingleParagraph"/>
        <w:rPr>
          <w:iCs/>
        </w:rPr>
      </w:pPr>
      <w:r w:rsidRPr="000816D2">
        <w:rPr>
          <w:iCs/>
        </w:rPr>
        <w:t xml:space="preserve">There is no change to the </w:t>
      </w:r>
      <w:r>
        <w:rPr>
          <w:iCs/>
        </w:rPr>
        <w:t>key performance indicators for Programme 1.</w:t>
      </w:r>
      <w:r w:rsidR="00547308">
        <w:rPr>
          <w:iCs/>
        </w:rPr>
        <w:t>4</w:t>
      </w:r>
      <w:r w:rsidRPr="000816D2">
        <w:rPr>
          <w:iCs/>
        </w:rPr>
        <w:t xml:space="preserve"> as expressed in the </w:t>
      </w:r>
      <w:r w:rsidRPr="000816D2">
        <w:rPr>
          <w:i/>
          <w:iCs/>
        </w:rPr>
        <w:t xml:space="preserve">Portfolio Budget Statements </w:t>
      </w:r>
      <w:r w:rsidR="001D5109" w:rsidRPr="001D5109">
        <w:rPr>
          <w:i/>
          <w:iCs/>
        </w:rPr>
        <w:t>2015-16</w:t>
      </w:r>
      <w:r w:rsidRPr="000816D2">
        <w:rPr>
          <w:iCs/>
        </w:rPr>
        <w:t>.</w:t>
      </w:r>
    </w:p>
    <w:p w:rsidR="00821375" w:rsidRPr="00D815DE" w:rsidRDefault="00821375" w:rsidP="00821375">
      <w:pPr>
        <w:pStyle w:val="SingleParagraph"/>
      </w:pPr>
    </w:p>
    <w:p w:rsidR="00547308" w:rsidRDefault="00547308" w:rsidP="00547308">
      <w:pPr>
        <w:pStyle w:val="Heading5"/>
        <w:rPr>
          <w:lang w:val="en-AU"/>
        </w:rPr>
      </w:pPr>
      <w:r>
        <w:br w:type="page"/>
      </w:r>
      <w:r>
        <w:rPr>
          <w:lang w:val="en-AU"/>
        </w:rPr>
        <w:lastRenderedPageBreak/>
        <w:t>Programme 1.5: Payments to International Organisations</w:t>
      </w:r>
    </w:p>
    <w:p w:rsidR="00547308" w:rsidRPr="000816D2" w:rsidRDefault="00547308" w:rsidP="00547308">
      <w:pPr>
        <w:pStyle w:val="Heading5"/>
        <w:rPr>
          <w:lang w:val="en-AU"/>
        </w:rPr>
      </w:pPr>
      <w:r>
        <w:t xml:space="preserve">Programme </w:t>
      </w:r>
      <w:r>
        <w:rPr>
          <w:lang w:val="en-AU"/>
        </w:rPr>
        <w:t>objective 1.5</w:t>
      </w:r>
    </w:p>
    <w:p w:rsidR="00547308" w:rsidRPr="000816D2" w:rsidRDefault="00547308" w:rsidP="00547308">
      <w:pPr>
        <w:pStyle w:val="ExampleText"/>
        <w:jc w:val="both"/>
        <w:rPr>
          <w:i w:val="0"/>
          <w:color w:val="auto"/>
          <w:lang w:val="en-GB"/>
        </w:rPr>
      </w:pPr>
      <w:r>
        <w:rPr>
          <w:i w:val="0"/>
          <w:iCs/>
          <w:color w:val="auto"/>
        </w:rPr>
        <w:t xml:space="preserve">There is no change to the objective for Programme 1.5 as expressed in the </w:t>
      </w:r>
      <w:r>
        <w:rPr>
          <w:iCs/>
          <w:color w:val="auto"/>
        </w:rPr>
        <w:t>Portfolio Budget Statements 2015-16</w:t>
      </w:r>
      <w:r>
        <w:rPr>
          <w:i w:val="0"/>
          <w:iCs/>
          <w:color w:val="auto"/>
        </w:rPr>
        <w:t>.</w:t>
      </w:r>
    </w:p>
    <w:p w:rsidR="00547308" w:rsidRPr="00D815DE" w:rsidRDefault="00547308" w:rsidP="00547308">
      <w:pPr>
        <w:pStyle w:val="Heading5"/>
        <w:rPr>
          <w:lang w:val="en-AU"/>
        </w:rPr>
      </w:pPr>
      <w:r>
        <w:t xml:space="preserve">Programme expenses </w:t>
      </w:r>
      <w:r>
        <w:rPr>
          <w:lang w:val="en-AU"/>
        </w:rPr>
        <w:t>1</w:t>
      </w:r>
      <w:r>
        <w:t>.</w:t>
      </w:r>
      <w:r>
        <w:rPr>
          <w:lang w:val="en-AU"/>
        </w:rPr>
        <w:t>5</w:t>
      </w:r>
    </w:p>
    <w:p w:rsidR="007A2311" w:rsidRDefault="0081629D" w:rsidP="00547308">
      <w:pPr>
        <w:pStyle w:val="Heading5"/>
        <w:rPr>
          <w:lang w:val="en-AU"/>
        </w:rPr>
      </w:pPr>
      <w:r w:rsidRPr="0081629D">
        <w:rPr>
          <w:noProof/>
          <w:lang w:val="en-AU" w:eastAsia="zh-CN"/>
        </w:rPr>
        <w:drawing>
          <wp:inline distT="0" distB="0" distL="0" distR="0" wp14:anchorId="4328A4A9" wp14:editId="0941B2DA">
            <wp:extent cx="4896485" cy="1160926"/>
            <wp:effectExtent l="0" t="0" r="0" b="127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96485" cy="1160926"/>
                    </a:xfrm>
                    <a:prstGeom prst="rect">
                      <a:avLst/>
                    </a:prstGeom>
                    <a:noFill/>
                    <a:ln>
                      <a:noFill/>
                    </a:ln>
                  </pic:spPr>
                </pic:pic>
              </a:graphicData>
            </a:graphic>
          </wp:inline>
        </w:drawing>
      </w:r>
    </w:p>
    <w:p w:rsidR="00547308" w:rsidRPr="005247CB" w:rsidRDefault="00547308" w:rsidP="00547308">
      <w:pPr>
        <w:pStyle w:val="Heading5"/>
      </w:pPr>
      <w:r w:rsidRPr="005247CB">
        <w:t xml:space="preserve">Programme deliverables </w:t>
      </w:r>
      <w:r w:rsidRPr="005247CB">
        <w:rPr>
          <w:lang w:val="en-AU"/>
        </w:rPr>
        <w:t>1</w:t>
      </w:r>
      <w:r w:rsidRPr="005247CB">
        <w:t>.</w:t>
      </w:r>
      <w:r>
        <w:rPr>
          <w:lang w:val="en-AU"/>
        </w:rPr>
        <w:t>5</w:t>
      </w:r>
    </w:p>
    <w:p w:rsidR="00547308" w:rsidRPr="005247CB" w:rsidRDefault="00547308" w:rsidP="00547308">
      <w:pPr>
        <w:pStyle w:val="TableGraphic"/>
        <w:rPr>
          <w:color w:val="auto"/>
          <w:lang w:val="en-GB"/>
        </w:rPr>
      </w:pPr>
      <w:r w:rsidRPr="005247CB">
        <w:rPr>
          <w:i w:val="0"/>
          <w:iCs/>
          <w:color w:val="auto"/>
        </w:rPr>
        <w:t>There is no change to the deliverables for Programme 1.</w:t>
      </w:r>
      <w:r>
        <w:rPr>
          <w:i w:val="0"/>
          <w:iCs/>
          <w:color w:val="auto"/>
        </w:rPr>
        <w:t>5</w:t>
      </w:r>
      <w:r w:rsidRPr="005247CB">
        <w:rPr>
          <w:i w:val="0"/>
          <w:iCs/>
          <w:color w:val="auto"/>
        </w:rPr>
        <w:t xml:space="preserve"> as expressed in the </w:t>
      </w:r>
      <w:r w:rsidRPr="005247CB">
        <w:rPr>
          <w:iCs/>
          <w:color w:val="auto"/>
        </w:rPr>
        <w:t>Portfolio Budget Statements 2015-16</w:t>
      </w:r>
      <w:r w:rsidRPr="005247CB">
        <w:rPr>
          <w:i w:val="0"/>
          <w:iCs/>
          <w:color w:val="auto"/>
        </w:rPr>
        <w:t>.</w:t>
      </w:r>
    </w:p>
    <w:p w:rsidR="00547308" w:rsidRPr="00564C0F" w:rsidRDefault="00547308" w:rsidP="00547308">
      <w:pPr>
        <w:pStyle w:val="SingleParagraph"/>
        <w:rPr>
          <w:lang w:val="en-GB"/>
        </w:rPr>
      </w:pPr>
    </w:p>
    <w:p w:rsidR="00547308" w:rsidRPr="00D815DE" w:rsidRDefault="00547308" w:rsidP="00547308">
      <w:pPr>
        <w:pStyle w:val="Heading5"/>
        <w:rPr>
          <w:lang w:val="en-AU"/>
        </w:rPr>
      </w:pPr>
      <w:r w:rsidRPr="00564C0F">
        <w:t>Programme key performance indicators</w:t>
      </w:r>
      <w:r>
        <w:rPr>
          <w:lang w:val="en-AU"/>
        </w:rPr>
        <w:t xml:space="preserve"> 1</w:t>
      </w:r>
      <w:r>
        <w:t>.</w:t>
      </w:r>
      <w:r>
        <w:rPr>
          <w:lang w:val="en-AU"/>
        </w:rPr>
        <w:t>5</w:t>
      </w:r>
    </w:p>
    <w:p w:rsidR="00547308" w:rsidRDefault="00547308" w:rsidP="00547308">
      <w:pPr>
        <w:pStyle w:val="SingleParagraph"/>
        <w:rPr>
          <w:iCs/>
        </w:rPr>
      </w:pPr>
      <w:r w:rsidRPr="000816D2">
        <w:rPr>
          <w:iCs/>
        </w:rPr>
        <w:t xml:space="preserve">There is no change to the </w:t>
      </w:r>
      <w:r>
        <w:rPr>
          <w:iCs/>
        </w:rPr>
        <w:t>key performance indicators for Programme 1.5</w:t>
      </w:r>
      <w:r w:rsidRPr="000816D2">
        <w:rPr>
          <w:iCs/>
        </w:rPr>
        <w:t xml:space="preserve"> as expressed in the </w:t>
      </w:r>
      <w:r w:rsidRPr="000816D2">
        <w:rPr>
          <w:i/>
          <w:iCs/>
        </w:rPr>
        <w:t xml:space="preserve">Portfolio Budget Statements </w:t>
      </w:r>
      <w:r w:rsidR="001D5109" w:rsidRPr="001D5109">
        <w:rPr>
          <w:i/>
          <w:iCs/>
        </w:rPr>
        <w:t>2015-16</w:t>
      </w:r>
      <w:r w:rsidRPr="000816D2">
        <w:rPr>
          <w:iCs/>
        </w:rPr>
        <w:t>.</w:t>
      </w:r>
    </w:p>
    <w:p w:rsidR="00547308" w:rsidRPr="00D815DE" w:rsidRDefault="00547308" w:rsidP="00547308">
      <w:pPr>
        <w:pStyle w:val="SingleParagraph"/>
      </w:pPr>
    </w:p>
    <w:p w:rsidR="003F6E7B" w:rsidRDefault="00547308" w:rsidP="003F6E7B">
      <w:pPr>
        <w:pStyle w:val="Heading5"/>
        <w:rPr>
          <w:lang w:val="en-AU"/>
        </w:rPr>
      </w:pPr>
      <w:r>
        <w:br w:type="page"/>
      </w:r>
      <w:r w:rsidR="003F6E7B">
        <w:rPr>
          <w:lang w:val="en-AU"/>
        </w:rPr>
        <w:lastRenderedPageBreak/>
        <w:t>Programme 1.6: New Colombo Plan – Transforming Regional Relationships</w:t>
      </w:r>
    </w:p>
    <w:p w:rsidR="003F6E7B" w:rsidRPr="000816D2" w:rsidRDefault="003F6E7B" w:rsidP="003F6E7B">
      <w:pPr>
        <w:pStyle w:val="Heading5"/>
        <w:rPr>
          <w:lang w:val="en-AU"/>
        </w:rPr>
      </w:pPr>
      <w:r>
        <w:t xml:space="preserve">Programme </w:t>
      </w:r>
      <w:r>
        <w:rPr>
          <w:lang w:val="en-AU"/>
        </w:rPr>
        <w:t>objective 1.</w:t>
      </w:r>
      <w:r w:rsidR="001B27CF">
        <w:rPr>
          <w:lang w:val="en-AU"/>
        </w:rPr>
        <w:t>6</w:t>
      </w:r>
    </w:p>
    <w:p w:rsidR="003F6E7B" w:rsidRPr="000816D2" w:rsidRDefault="003F6E7B" w:rsidP="003F6E7B">
      <w:pPr>
        <w:pStyle w:val="ExampleText"/>
        <w:jc w:val="both"/>
        <w:rPr>
          <w:i w:val="0"/>
          <w:color w:val="auto"/>
          <w:lang w:val="en-GB"/>
        </w:rPr>
      </w:pPr>
      <w:r>
        <w:rPr>
          <w:i w:val="0"/>
          <w:iCs/>
          <w:color w:val="auto"/>
        </w:rPr>
        <w:t>There is no change to the objective for Programme 1.</w:t>
      </w:r>
      <w:r w:rsidR="001B27CF">
        <w:rPr>
          <w:i w:val="0"/>
          <w:iCs/>
          <w:color w:val="auto"/>
        </w:rPr>
        <w:t>6</w:t>
      </w:r>
      <w:r>
        <w:rPr>
          <w:i w:val="0"/>
          <w:iCs/>
          <w:color w:val="auto"/>
        </w:rPr>
        <w:t xml:space="preserve"> as expressed in the </w:t>
      </w:r>
      <w:r>
        <w:rPr>
          <w:iCs/>
          <w:color w:val="auto"/>
        </w:rPr>
        <w:t>Portfolio Budget Statements 2015-16</w:t>
      </w:r>
      <w:r>
        <w:rPr>
          <w:i w:val="0"/>
          <w:iCs/>
          <w:color w:val="auto"/>
        </w:rPr>
        <w:t>.</w:t>
      </w:r>
    </w:p>
    <w:p w:rsidR="003F6E7B" w:rsidRPr="007A2311" w:rsidRDefault="003F6E7B" w:rsidP="007A2311">
      <w:pPr>
        <w:pStyle w:val="Heading5"/>
        <w:rPr>
          <w:lang w:val="en-AU"/>
        </w:rPr>
      </w:pPr>
      <w:r>
        <w:t xml:space="preserve">Programme expenses </w:t>
      </w:r>
      <w:r>
        <w:rPr>
          <w:lang w:val="en-AU"/>
        </w:rPr>
        <w:t>1</w:t>
      </w:r>
      <w:r>
        <w:t>.</w:t>
      </w:r>
      <w:r w:rsidR="001B27CF">
        <w:rPr>
          <w:lang w:val="en-AU"/>
        </w:rPr>
        <w:t>6</w:t>
      </w:r>
    </w:p>
    <w:p w:rsidR="007A2311" w:rsidRDefault="0081629D" w:rsidP="003F6E7B">
      <w:pPr>
        <w:pStyle w:val="Heading5"/>
        <w:rPr>
          <w:lang w:val="en-AU"/>
        </w:rPr>
      </w:pPr>
      <w:r w:rsidRPr="0081629D">
        <w:rPr>
          <w:noProof/>
          <w:lang w:val="en-AU" w:eastAsia="zh-CN"/>
        </w:rPr>
        <w:drawing>
          <wp:inline distT="0" distB="0" distL="0" distR="0" wp14:anchorId="1811207D" wp14:editId="641817F3">
            <wp:extent cx="4896485" cy="1582229"/>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6485" cy="1582229"/>
                    </a:xfrm>
                    <a:prstGeom prst="rect">
                      <a:avLst/>
                    </a:prstGeom>
                    <a:noFill/>
                    <a:ln>
                      <a:noFill/>
                    </a:ln>
                  </pic:spPr>
                </pic:pic>
              </a:graphicData>
            </a:graphic>
          </wp:inline>
        </w:drawing>
      </w:r>
    </w:p>
    <w:p w:rsidR="003F6E7B" w:rsidRPr="005247CB" w:rsidRDefault="003F6E7B" w:rsidP="003F6E7B">
      <w:pPr>
        <w:pStyle w:val="Heading5"/>
      </w:pPr>
      <w:r w:rsidRPr="005247CB">
        <w:t xml:space="preserve">Programme deliverables </w:t>
      </w:r>
      <w:r w:rsidRPr="005247CB">
        <w:rPr>
          <w:lang w:val="en-AU"/>
        </w:rPr>
        <w:t>1</w:t>
      </w:r>
      <w:r w:rsidRPr="005247CB">
        <w:t>.</w:t>
      </w:r>
      <w:r w:rsidR="001B27CF">
        <w:rPr>
          <w:lang w:val="en-AU"/>
        </w:rPr>
        <w:t>6</w:t>
      </w:r>
    </w:p>
    <w:p w:rsidR="003F6E7B" w:rsidRPr="005247CB" w:rsidRDefault="003F6E7B" w:rsidP="003F6E7B">
      <w:pPr>
        <w:pStyle w:val="TableGraphic"/>
        <w:rPr>
          <w:color w:val="auto"/>
          <w:lang w:val="en-GB"/>
        </w:rPr>
      </w:pPr>
      <w:r w:rsidRPr="005247CB">
        <w:rPr>
          <w:i w:val="0"/>
          <w:iCs/>
          <w:color w:val="auto"/>
        </w:rPr>
        <w:t>There is no change to the deliverables for Programme 1.</w:t>
      </w:r>
      <w:r w:rsidR="001B27CF">
        <w:rPr>
          <w:i w:val="0"/>
          <w:iCs/>
          <w:color w:val="auto"/>
        </w:rPr>
        <w:t>6</w:t>
      </w:r>
      <w:r w:rsidRPr="005247CB">
        <w:rPr>
          <w:i w:val="0"/>
          <w:iCs/>
          <w:color w:val="auto"/>
        </w:rPr>
        <w:t xml:space="preserve"> as expressed in the </w:t>
      </w:r>
      <w:r w:rsidRPr="005247CB">
        <w:rPr>
          <w:iCs/>
          <w:color w:val="auto"/>
        </w:rPr>
        <w:t>Portfolio Budget Statements 2015-16</w:t>
      </w:r>
      <w:r w:rsidRPr="005247CB">
        <w:rPr>
          <w:i w:val="0"/>
          <w:iCs/>
          <w:color w:val="auto"/>
        </w:rPr>
        <w:t>.</w:t>
      </w:r>
    </w:p>
    <w:p w:rsidR="003F6E7B" w:rsidRPr="00564C0F" w:rsidRDefault="003F6E7B" w:rsidP="003F6E7B">
      <w:pPr>
        <w:pStyle w:val="SingleParagraph"/>
        <w:rPr>
          <w:lang w:val="en-GB"/>
        </w:rPr>
      </w:pPr>
    </w:p>
    <w:p w:rsidR="003F6E7B" w:rsidRPr="00D815DE" w:rsidRDefault="003F6E7B" w:rsidP="003F6E7B">
      <w:pPr>
        <w:pStyle w:val="Heading5"/>
        <w:rPr>
          <w:lang w:val="en-AU"/>
        </w:rPr>
      </w:pPr>
      <w:r w:rsidRPr="00564C0F">
        <w:t>Programme key performance indicators</w:t>
      </w:r>
      <w:r>
        <w:rPr>
          <w:lang w:val="en-AU"/>
        </w:rPr>
        <w:t xml:space="preserve"> 1</w:t>
      </w:r>
      <w:r>
        <w:t>.</w:t>
      </w:r>
      <w:r w:rsidR="001B27CF">
        <w:rPr>
          <w:lang w:val="en-AU"/>
        </w:rPr>
        <w:t>6</w:t>
      </w:r>
    </w:p>
    <w:p w:rsidR="003F6E7B" w:rsidRPr="001D5109" w:rsidRDefault="003F6E7B" w:rsidP="003F6E7B">
      <w:pPr>
        <w:pStyle w:val="SingleParagraph"/>
        <w:rPr>
          <w:i/>
          <w:iCs/>
        </w:rPr>
      </w:pPr>
      <w:r w:rsidRPr="000816D2">
        <w:rPr>
          <w:iCs/>
        </w:rPr>
        <w:t xml:space="preserve">There is no change to the </w:t>
      </w:r>
      <w:r>
        <w:rPr>
          <w:iCs/>
        </w:rPr>
        <w:t>key performance indicators for Programme 1.</w:t>
      </w:r>
      <w:r w:rsidR="001B27CF">
        <w:rPr>
          <w:iCs/>
        </w:rPr>
        <w:t>6</w:t>
      </w:r>
      <w:r w:rsidRPr="000816D2">
        <w:rPr>
          <w:iCs/>
        </w:rPr>
        <w:t xml:space="preserve"> as expressed in the </w:t>
      </w:r>
      <w:r w:rsidRPr="000816D2">
        <w:rPr>
          <w:i/>
          <w:iCs/>
        </w:rPr>
        <w:t xml:space="preserve">Portfolio Budget Statements </w:t>
      </w:r>
      <w:r w:rsidRPr="001D5109">
        <w:rPr>
          <w:i/>
          <w:iCs/>
        </w:rPr>
        <w:t>2015-16.</w:t>
      </w:r>
    </w:p>
    <w:p w:rsidR="003F6E7B" w:rsidRPr="001D5109" w:rsidRDefault="003F6E7B" w:rsidP="003F6E7B">
      <w:pPr>
        <w:pStyle w:val="SingleParagraph"/>
        <w:rPr>
          <w:i/>
        </w:rPr>
      </w:pPr>
    </w:p>
    <w:p w:rsidR="00771BEB" w:rsidRDefault="003F6E7B" w:rsidP="00771BEB">
      <w:pPr>
        <w:pStyle w:val="Heading5"/>
        <w:rPr>
          <w:lang w:val="en-AU"/>
        </w:rPr>
      </w:pPr>
      <w:r>
        <w:br w:type="page"/>
      </w:r>
      <w:r w:rsidR="00771BEB">
        <w:rPr>
          <w:lang w:val="en-AU"/>
        </w:rPr>
        <w:lastRenderedPageBreak/>
        <w:t>Programme 1.7: Public Information Services and Public Diplomacy</w:t>
      </w:r>
    </w:p>
    <w:p w:rsidR="00771BEB" w:rsidRPr="000816D2" w:rsidRDefault="00771BEB" w:rsidP="00771BEB">
      <w:pPr>
        <w:pStyle w:val="Heading5"/>
        <w:rPr>
          <w:lang w:val="en-AU"/>
        </w:rPr>
      </w:pPr>
      <w:r>
        <w:t xml:space="preserve">Programme </w:t>
      </w:r>
      <w:r>
        <w:rPr>
          <w:lang w:val="en-AU"/>
        </w:rPr>
        <w:t>objective 1.7</w:t>
      </w:r>
    </w:p>
    <w:p w:rsidR="00771BEB" w:rsidRPr="000816D2" w:rsidRDefault="00771BEB" w:rsidP="00771BEB">
      <w:pPr>
        <w:pStyle w:val="ExampleText"/>
        <w:jc w:val="both"/>
        <w:rPr>
          <w:i w:val="0"/>
          <w:color w:val="auto"/>
          <w:lang w:val="en-GB"/>
        </w:rPr>
      </w:pPr>
      <w:r>
        <w:rPr>
          <w:i w:val="0"/>
          <w:iCs/>
          <w:color w:val="auto"/>
        </w:rPr>
        <w:t xml:space="preserve">There is no change to the objective for Programme 1.7 as expressed in the </w:t>
      </w:r>
      <w:r>
        <w:rPr>
          <w:iCs/>
          <w:color w:val="auto"/>
        </w:rPr>
        <w:t>Portfolio Budget Statements 2015-16</w:t>
      </w:r>
      <w:r>
        <w:rPr>
          <w:i w:val="0"/>
          <w:iCs/>
          <w:color w:val="auto"/>
        </w:rPr>
        <w:t>.</w:t>
      </w:r>
    </w:p>
    <w:p w:rsidR="00771BEB" w:rsidRPr="00D815DE" w:rsidRDefault="00771BEB" w:rsidP="00771BEB">
      <w:pPr>
        <w:pStyle w:val="Heading5"/>
        <w:rPr>
          <w:lang w:val="en-AU"/>
        </w:rPr>
      </w:pPr>
      <w:r>
        <w:t xml:space="preserve">Programme expenses </w:t>
      </w:r>
      <w:r>
        <w:rPr>
          <w:lang w:val="en-AU"/>
        </w:rPr>
        <w:t>1</w:t>
      </w:r>
      <w:r>
        <w:t>.</w:t>
      </w:r>
      <w:r>
        <w:rPr>
          <w:lang w:val="en-AU"/>
        </w:rPr>
        <w:t>7</w:t>
      </w:r>
    </w:p>
    <w:p w:rsidR="007A2311" w:rsidRDefault="0081629D" w:rsidP="00771BEB">
      <w:pPr>
        <w:pStyle w:val="Heading5"/>
        <w:rPr>
          <w:lang w:val="en-AU"/>
        </w:rPr>
      </w:pPr>
      <w:r w:rsidRPr="0081629D">
        <w:rPr>
          <w:noProof/>
          <w:lang w:val="en-AU" w:eastAsia="zh-CN"/>
        </w:rPr>
        <w:drawing>
          <wp:inline distT="0" distB="0" distL="0" distR="0" wp14:anchorId="486D4B04" wp14:editId="23E3A5A2">
            <wp:extent cx="4896485" cy="130136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96485" cy="1301360"/>
                    </a:xfrm>
                    <a:prstGeom prst="rect">
                      <a:avLst/>
                    </a:prstGeom>
                    <a:noFill/>
                    <a:ln>
                      <a:noFill/>
                    </a:ln>
                  </pic:spPr>
                </pic:pic>
              </a:graphicData>
            </a:graphic>
          </wp:inline>
        </w:drawing>
      </w:r>
    </w:p>
    <w:p w:rsidR="00771BEB" w:rsidRPr="005247CB" w:rsidRDefault="00771BEB" w:rsidP="00771BEB">
      <w:pPr>
        <w:pStyle w:val="Heading5"/>
      </w:pPr>
      <w:r w:rsidRPr="005247CB">
        <w:t xml:space="preserve">Programme deliverables </w:t>
      </w:r>
      <w:r w:rsidRPr="005247CB">
        <w:rPr>
          <w:lang w:val="en-AU"/>
        </w:rPr>
        <w:t>1</w:t>
      </w:r>
      <w:r w:rsidRPr="005247CB">
        <w:t>.</w:t>
      </w:r>
      <w:r>
        <w:rPr>
          <w:lang w:val="en-AU"/>
        </w:rPr>
        <w:t>7</w:t>
      </w:r>
    </w:p>
    <w:p w:rsidR="00771BEB" w:rsidRPr="005247CB" w:rsidRDefault="00771BEB" w:rsidP="00771BEB">
      <w:pPr>
        <w:pStyle w:val="TableGraphic"/>
        <w:rPr>
          <w:color w:val="auto"/>
          <w:lang w:val="en-GB"/>
        </w:rPr>
      </w:pPr>
      <w:r w:rsidRPr="005247CB">
        <w:rPr>
          <w:i w:val="0"/>
          <w:iCs/>
          <w:color w:val="auto"/>
        </w:rPr>
        <w:t>There is no change to the deliverables for Programme 1.</w:t>
      </w:r>
      <w:r>
        <w:rPr>
          <w:i w:val="0"/>
          <w:iCs/>
          <w:color w:val="auto"/>
        </w:rPr>
        <w:t>7</w:t>
      </w:r>
      <w:r w:rsidRPr="005247CB">
        <w:rPr>
          <w:i w:val="0"/>
          <w:iCs/>
          <w:color w:val="auto"/>
        </w:rPr>
        <w:t xml:space="preserve"> as expressed in the </w:t>
      </w:r>
      <w:r w:rsidRPr="005247CB">
        <w:rPr>
          <w:iCs/>
          <w:color w:val="auto"/>
        </w:rPr>
        <w:t>Portfolio Budget Statements 2015-16</w:t>
      </w:r>
      <w:r w:rsidRPr="005247CB">
        <w:rPr>
          <w:i w:val="0"/>
          <w:iCs/>
          <w:color w:val="auto"/>
        </w:rPr>
        <w:t>.</w:t>
      </w:r>
    </w:p>
    <w:p w:rsidR="00771BEB" w:rsidRPr="00564C0F" w:rsidRDefault="00771BEB" w:rsidP="00771BEB">
      <w:pPr>
        <w:pStyle w:val="SingleParagraph"/>
        <w:rPr>
          <w:lang w:val="en-GB"/>
        </w:rPr>
      </w:pPr>
    </w:p>
    <w:p w:rsidR="00771BEB" w:rsidRPr="00D815DE" w:rsidRDefault="00771BEB" w:rsidP="00771BEB">
      <w:pPr>
        <w:pStyle w:val="Heading5"/>
        <w:rPr>
          <w:lang w:val="en-AU"/>
        </w:rPr>
      </w:pPr>
      <w:r w:rsidRPr="00564C0F">
        <w:t>Programme key performance indicators</w:t>
      </w:r>
      <w:r>
        <w:rPr>
          <w:lang w:val="en-AU"/>
        </w:rPr>
        <w:t xml:space="preserve"> 1</w:t>
      </w:r>
      <w:r>
        <w:t>.</w:t>
      </w:r>
      <w:r>
        <w:rPr>
          <w:lang w:val="en-AU"/>
        </w:rPr>
        <w:t>7</w:t>
      </w:r>
    </w:p>
    <w:p w:rsidR="00771BEB" w:rsidRDefault="00771BEB" w:rsidP="00771BEB">
      <w:pPr>
        <w:pStyle w:val="SingleParagraph"/>
        <w:rPr>
          <w:iCs/>
        </w:rPr>
      </w:pPr>
      <w:r w:rsidRPr="000816D2">
        <w:rPr>
          <w:iCs/>
        </w:rPr>
        <w:t xml:space="preserve">There is no change to the </w:t>
      </w:r>
      <w:r>
        <w:rPr>
          <w:iCs/>
        </w:rPr>
        <w:t>key performance indicators for Programme 1.7</w:t>
      </w:r>
      <w:r w:rsidRPr="000816D2">
        <w:rPr>
          <w:iCs/>
        </w:rPr>
        <w:t xml:space="preserve"> as expressed in the </w:t>
      </w:r>
      <w:r w:rsidRPr="000816D2">
        <w:rPr>
          <w:i/>
          <w:iCs/>
        </w:rPr>
        <w:t xml:space="preserve">Portfolio Budget Statements </w:t>
      </w:r>
      <w:r w:rsidRPr="001D5109">
        <w:rPr>
          <w:i/>
          <w:iCs/>
        </w:rPr>
        <w:t>2015-16</w:t>
      </w:r>
      <w:r w:rsidRPr="000816D2">
        <w:rPr>
          <w:iCs/>
        </w:rPr>
        <w:t>.</w:t>
      </w:r>
    </w:p>
    <w:p w:rsidR="00771BEB" w:rsidRPr="00D815DE" w:rsidRDefault="00771BEB" w:rsidP="00771BEB">
      <w:pPr>
        <w:pStyle w:val="SingleParagraph"/>
      </w:pPr>
    </w:p>
    <w:p w:rsidR="00FE0DF9" w:rsidRDefault="00771BEB" w:rsidP="00FE0DF9">
      <w:pPr>
        <w:pStyle w:val="Heading5"/>
        <w:rPr>
          <w:lang w:val="en-AU"/>
        </w:rPr>
      </w:pPr>
      <w:r>
        <w:br w:type="page"/>
      </w:r>
      <w:r w:rsidR="00FE0DF9">
        <w:rPr>
          <w:lang w:val="en-AU"/>
        </w:rPr>
        <w:lastRenderedPageBreak/>
        <w:t>Programme 1.8: Programmes to Promote Australia’s International Tourism Interests</w:t>
      </w:r>
    </w:p>
    <w:p w:rsidR="00FE0DF9" w:rsidRPr="000816D2" w:rsidRDefault="00FE0DF9" w:rsidP="00FE0DF9">
      <w:pPr>
        <w:pStyle w:val="Heading5"/>
        <w:rPr>
          <w:lang w:val="en-AU"/>
        </w:rPr>
      </w:pPr>
      <w:r>
        <w:t xml:space="preserve">Programme </w:t>
      </w:r>
      <w:r>
        <w:rPr>
          <w:lang w:val="en-AU"/>
        </w:rPr>
        <w:t>objective 1.8</w:t>
      </w:r>
    </w:p>
    <w:p w:rsidR="00FE0DF9" w:rsidRPr="000816D2" w:rsidRDefault="00FE0DF9" w:rsidP="00FE0DF9">
      <w:pPr>
        <w:pStyle w:val="ExampleText"/>
        <w:jc w:val="both"/>
        <w:rPr>
          <w:i w:val="0"/>
          <w:color w:val="auto"/>
          <w:lang w:val="en-GB"/>
        </w:rPr>
      </w:pPr>
      <w:r>
        <w:rPr>
          <w:i w:val="0"/>
          <w:iCs/>
          <w:color w:val="auto"/>
        </w:rPr>
        <w:t xml:space="preserve">There is no change to the objective for Programme 1.8 as expressed in the </w:t>
      </w:r>
      <w:r>
        <w:rPr>
          <w:iCs/>
          <w:color w:val="auto"/>
        </w:rPr>
        <w:t>Portfolio Budget Statements 2015-16</w:t>
      </w:r>
      <w:r>
        <w:rPr>
          <w:i w:val="0"/>
          <w:iCs/>
          <w:color w:val="auto"/>
        </w:rPr>
        <w:t>.</w:t>
      </w:r>
    </w:p>
    <w:p w:rsidR="00FE0DF9" w:rsidRPr="00D815DE" w:rsidRDefault="00FE0DF9" w:rsidP="00FE0DF9">
      <w:pPr>
        <w:pStyle w:val="Heading5"/>
        <w:rPr>
          <w:lang w:val="en-AU"/>
        </w:rPr>
      </w:pPr>
      <w:r>
        <w:t xml:space="preserve">Programme expenses </w:t>
      </w:r>
      <w:r>
        <w:rPr>
          <w:lang w:val="en-AU"/>
        </w:rPr>
        <w:t>1</w:t>
      </w:r>
      <w:r>
        <w:t>.</w:t>
      </w:r>
      <w:r>
        <w:rPr>
          <w:lang w:val="en-AU"/>
        </w:rPr>
        <w:t>8</w:t>
      </w:r>
    </w:p>
    <w:p w:rsidR="007A2311" w:rsidRDefault="0081629D" w:rsidP="00FE0DF9">
      <w:pPr>
        <w:pStyle w:val="Heading5"/>
        <w:rPr>
          <w:lang w:val="en-AU"/>
        </w:rPr>
      </w:pPr>
      <w:r w:rsidRPr="0081629D">
        <w:rPr>
          <w:noProof/>
          <w:lang w:val="en-AU" w:eastAsia="zh-CN"/>
        </w:rPr>
        <w:drawing>
          <wp:inline distT="0" distB="0" distL="0" distR="0" wp14:anchorId="5A8FEF92" wp14:editId="5EE687CF">
            <wp:extent cx="4896485" cy="1863098"/>
            <wp:effectExtent l="0" t="0" r="0" b="381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96485" cy="1863098"/>
                    </a:xfrm>
                    <a:prstGeom prst="rect">
                      <a:avLst/>
                    </a:prstGeom>
                    <a:noFill/>
                    <a:ln>
                      <a:noFill/>
                    </a:ln>
                  </pic:spPr>
                </pic:pic>
              </a:graphicData>
            </a:graphic>
          </wp:inline>
        </w:drawing>
      </w:r>
    </w:p>
    <w:p w:rsidR="007A2311" w:rsidRPr="00BF7565" w:rsidRDefault="007A2311" w:rsidP="0020615E">
      <w:pPr>
        <w:pStyle w:val="Heading5"/>
        <w:numPr>
          <w:ilvl w:val="0"/>
          <w:numId w:val="14"/>
        </w:numPr>
        <w:ind w:left="284" w:hanging="284"/>
        <w:rPr>
          <w:b w:val="0"/>
          <w:sz w:val="16"/>
          <w:lang w:val="en-AU"/>
        </w:rPr>
      </w:pPr>
      <w:r w:rsidRPr="00BF7565">
        <w:rPr>
          <w:b w:val="0"/>
          <w:sz w:val="16"/>
          <w:lang w:val="en-AU"/>
        </w:rPr>
        <w:t xml:space="preserve">The balance of this programme has been transferred to Austrade. </w:t>
      </w:r>
      <w:r w:rsidR="00575B11" w:rsidRPr="00BF7565">
        <w:rPr>
          <w:b w:val="0"/>
          <w:sz w:val="16"/>
          <w:lang w:val="en-AU"/>
        </w:rPr>
        <w:t>Refer</w:t>
      </w:r>
      <w:r w:rsidRPr="00BF7565">
        <w:rPr>
          <w:b w:val="0"/>
          <w:sz w:val="16"/>
          <w:lang w:val="en-AU"/>
        </w:rPr>
        <w:t xml:space="preserve"> to </w:t>
      </w:r>
      <w:r w:rsidR="00BF7565" w:rsidRPr="00BF7565">
        <w:rPr>
          <w:b w:val="0"/>
          <w:i/>
          <w:sz w:val="16"/>
          <w:lang w:val="en-AU"/>
        </w:rPr>
        <w:t>Portfolio Budget Statements 2015-16</w:t>
      </w:r>
      <w:r w:rsidR="00BF7565">
        <w:rPr>
          <w:b w:val="0"/>
          <w:sz w:val="16"/>
          <w:lang w:val="en-AU"/>
        </w:rPr>
        <w:t>,</w:t>
      </w:r>
      <w:r w:rsidRPr="00BF7565">
        <w:rPr>
          <w:b w:val="0"/>
          <w:sz w:val="16"/>
          <w:lang w:val="en-AU"/>
        </w:rPr>
        <w:t xml:space="preserve"> page</w:t>
      </w:r>
      <w:r w:rsidR="00BF7565">
        <w:rPr>
          <w:b w:val="0"/>
          <w:sz w:val="16"/>
          <w:lang w:val="en-AU"/>
        </w:rPr>
        <w:t xml:space="preserve"> 103.</w:t>
      </w:r>
    </w:p>
    <w:p w:rsidR="00FE0DF9" w:rsidRPr="005247CB" w:rsidRDefault="00FE0DF9" w:rsidP="00FE0DF9">
      <w:pPr>
        <w:pStyle w:val="Heading5"/>
      </w:pPr>
      <w:r w:rsidRPr="005247CB">
        <w:t xml:space="preserve">Programme deliverables </w:t>
      </w:r>
      <w:r w:rsidRPr="005247CB">
        <w:rPr>
          <w:lang w:val="en-AU"/>
        </w:rPr>
        <w:t>1</w:t>
      </w:r>
      <w:r w:rsidRPr="005247CB">
        <w:t>.</w:t>
      </w:r>
      <w:r>
        <w:rPr>
          <w:lang w:val="en-AU"/>
        </w:rPr>
        <w:t>8</w:t>
      </w:r>
    </w:p>
    <w:p w:rsidR="00FE0DF9" w:rsidRPr="005247CB" w:rsidRDefault="00FE0DF9" w:rsidP="00FE0DF9">
      <w:pPr>
        <w:pStyle w:val="TableGraphic"/>
        <w:rPr>
          <w:color w:val="auto"/>
          <w:lang w:val="en-GB"/>
        </w:rPr>
      </w:pPr>
      <w:r w:rsidRPr="005247CB">
        <w:rPr>
          <w:i w:val="0"/>
          <w:iCs/>
          <w:color w:val="auto"/>
        </w:rPr>
        <w:t>There is no change to the deliverables for Programme 1.</w:t>
      </w:r>
      <w:r>
        <w:rPr>
          <w:i w:val="0"/>
          <w:iCs/>
          <w:color w:val="auto"/>
        </w:rPr>
        <w:t>8</w:t>
      </w:r>
      <w:r w:rsidRPr="005247CB">
        <w:rPr>
          <w:i w:val="0"/>
          <w:iCs/>
          <w:color w:val="auto"/>
        </w:rPr>
        <w:t xml:space="preserve"> as expressed in the </w:t>
      </w:r>
      <w:r w:rsidRPr="005247CB">
        <w:rPr>
          <w:iCs/>
          <w:color w:val="auto"/>
        </w:rPr>
        <w:t>Portfolio Budget Statements 2015-16</w:t>
      </w:r>
      <w:r w:rsidRPr="005247CB">
        <w:rPr>
          <w:i w:val="0"/>
          <w:iCs/>
          <w:color w:val="auto"/>
        </w:rPr>
        <w:t>.</w:t>
      </w:r>
    </w:p>
    <w:p w:rsidR="00FE0DF9" w:rsidRPr="00564C0F" w:rsidRDefault="00FE0DF9" w:rsidP="00FE0DF9">
      <w:pPr>
        <w:pStyle w:val="SingleParagraph"/>
        <w:rPr>
          <w:lang w:val="en-GB"/>
        </w:rPr>
      </w:pPr>
    </w:p>
    <w:p w:rsidR="00FE0DF9" w:rsidRPr="00D815DE" w:rsidRDefault="00FE0DF9" w:rsidP="00FE0DF9">
      <w:pPr>
        <w:pStyle w:val="Heading5"/>
        <w:rPr>
          <w:lang w:val="en-AU"/>
        </w:rPr>
      </w:pPr>
      <w:r w:rsidRPr="00564C0F">
        <w:t>Programme key performance indicators</w:t>
      </w:r>
      <w:r>
        <w:rPr>
          <w:lang w:val="en-AU"/>
        </w:rPr>
        <w:t xml:space="preserve"> 1</w:t>
      </w:r>
      <w:r>
        <w:t>.</w:t>
      </w:r>
      <w:r>
        <w:rPr>
          <w:lang w:val="en-AU"/>
        </w:rPr>
        <w:t>8</w:t>
      </w:r>
    </w:p>
    <w:p w:rsidR="00FE0DF9" w:rsidRDefault="00FE0DF9" w:rsidP="00FE0DF9">
      <w:pPr>
        <w:pStyle w:val="SingleParagraph"/>
        <w:rPr>
          <w:iCs/>
        </w:rPr>
      </w:pPr>
      <w:r w:rsidRPr="000816D2">
        <w:rPr>
          <w:iCs/>
        </w:rPr>
        <w:t xml:space="preserve">There is no change to the </w:t>
      </w:r>
      <w:r>
        <w:rPr>
          <w:iCs/>
        </w:rPr>
        <w:t>key performance indicators for Programme 1.8</w:t>
      </w:r>
      <w:r w:rsidRPr="000816D2">
        <w:rPr>
          <w:iCs/>
        </w:rPr>
        <w:t xml:space="preserve"> as expressed in the </w:t>
      </w:r>
      <w:r w:rsidRPr="000816D2">
        <w:rPr>
          <w:i/>
          <w:iCs/>
        </w:rPr>
        <w:t xml:space="preserve">Portfolio Budget Statements </w:t>
      </w:r>
      <w:r w:rsidRPr="001D5109">
        <w:rPr>
          <w:i/>
          <w:iCs/>
        </w:rPr>
        <w:t>2015-16.</w:t>
      </w:r>
    </w:p>
    <w:p w:rsidR="00FE0DF9" w:rsidRPr="00D815DE" w:rsidRDefault="00FE0DF9" w:rsidP="00FE0DF9">
      <w:pPr>
        <w:pStyle w:val="SingleParagraph"/>
      </w:pPr>
    </w:p>
    <w:p w:rsidR="0067461D" w:rsidRPr="00DA4AF6" w:rsidRDefault="00FE0DF9" w:rsidP="00FE0DF9">
      <w:pPr>
        <w:pStyle w:val="Outcomeheading"/>
        <w:rPr>
          <w:lang w:val="en-AU"/>
        </w:rPr>
      </w:pPr>
      <w:r>
        <w:br w:type="page"/>
      </w:r>
      <w:r w:rsidR="0067461D">
        <w:lastRenderedPageBreak/>
        <w:t xml:space="preserve">Outcome </w:t>
      </w:r>
      <w:r w:rsidR="0067461D">
        <w:rPr>
          <w:lang w:val="en-AU"/>
        </w:rPr>
        <w:t>2: The protection and welfare of Australians abroad and access to secure international travel documentation through timely and responsive travel advice and consular and passport services in Australia and overseas</w:t>
      </w:r>
    </w:p>
    <w:p w:rsidR="0067461D" w:rsidRPr="00D93D96" w:rsidRDefault="0067461D" w:rsidP="0067461D">
      <w:pPr>
        <w:pStyle w:val="Heading4"/>
      </w:pPr>
      <w:r>
        <w:t xml:space="preserve">Outcome </w:t>
      </w:r>
      <w:r>
        <w:rPr>
          <w:lang w:val="en-AU"/>
        </w:rPr>
        <w:t>2</w:t>
      </w:r>
      <w:r>
        <w:t xml:space="preserve"> s</w:t>
      </w:r>
      <w:r w:rsidRPr="00D93D96">
        <w:t>trategy</w:t>
      </w:r>
    </w:p>
    <w:p w:rsidR="0067461D" w:rsidRDefault="0067461D" w:rsidP="0067461D">
      <w:pPr>
        <w:pStyle w:val="ExampleText"/>
        <w:jc w:val="both"/>
        <w:rPr>
          <w:color w:val="auto"/>
        </w:rPr>
      </w:pPr>
      <w:r w:rsidRPr="00465B71">
        <w:rPr>
          <w:i w:val="0"/>
          <w:color w:val="auto"/>
        </w:rPr>
        <w:t xml:space="preserve">There is no change to the </w:t>
      </w:r>
      <w:r>
        <w:rPr>
          <w:i w:val="0"/>
          <w:color w:val="auto"/>
        </w:rPr>
        <w:t>D</w:t>
      </w:r>
      <w:r w:rsidRPr="00465B71">
        <w:rPr>
          <w:i w:val="0"/>
          <w:color w:val="auto"/>
        </w:rPr>
        <w:t xml:space="preserve">epartment’s Outcome Strategy as expressed in the </w:t>
      </w:r>
      <w:r>
        <w:rPr>
          <w:color w:val="auto"/>
        </w:rPr>
        <w:t>Portfolio Budget Statements 2015-16</w:t>
      </w:r>
      <w:r w:rsidRPr="00465B71">
        <w:rPr>
          <w:color w:val="auto"/>
        </w:rPr>
        <w:t>.</w:t>
      </w:r>
    </w:p>
    <w:p w:rsidR="001E53F9" w:rsidRPr="000953FA" w:rsidRDefault="00CC7C2C" w:rsidP="001E53F9">
      <w:pPr>
        <w:pStyle w:val="ExampleText"/>
        <w:rPr>
          <w:i w:val="0"/>
          <w:color w:val="auto"/>
        </w:rPr>
      </w:pPr>
      <w:r>
        <w:rPr>
          <w:i w:val="0"/>
          <w:color w:val="auto"/>
        </w:rPr>
        <w:t>DFAT will return $7</w:t>
      </w:r>
      <w:r w:rsidR="005D1BDD">
        <w:rPr>
          <w:i w:val="0"/>
          <w:color w:val="auto"/>
        </w:rPr>
        <w:t>.7</w:t>
      </w:r>
      <w:r w:rsidR="001E53F9" w:rsidRPr="000953FA">
        <w:rPr>
          <w:i w:val="0"/>
          <w:color w:val="auto"/>
        </w:rPr>
        <w:t>m of passport funding due to lower than expected numbers of passports issued in 2015-16.</w:t>
      </w:r>
    </w:p>
    <w:p w:rsidR="001E53F9" w:rsidRDefault="001E53F9" w:rsidP="0067461D">
      <w:pPr>
        <w:pStyle w:val="ExampleText"/>
        <w:jc w:val="both"/>
        <w:rPr>
          <w:color w:val="auto"/>
        </w:rPr>
      </w:pPr>
    </w:p>
    <w:p w:rsidR="0067461D" w:rsidRPr="001436E5" w:rsidRDefault="00DB71B0" w:rsidP="0067461D">
      <w:pPr>
        <w:pStyle w:val="TableHeading"/>
        <w:rPr>
          <w:highlight w:val="yellow"/>
          <w:lang w:val="en-AU"/>
        </w:rPr>
      </w:pPr>
      <w:r>
        <w:br w:type="page"/>
      </w:r>
      <w:r w:rsidR="0067461D" w:rsidRPr="00D93D96">
        <w:lastRenderedPageBreak/>
        <w:t>Table 2.1</w:t>
      </w:r>
      <w:r>
        <w:rPr>
          <w:lang w:val="en-AU"/>
        </w:rPr>
        <w:t>.2</w:t>
      </w:r>
      <w:r w:rsidR="0067461D" w:rsidRPr="00D93D96">
        <w:t xml:space="preserve"> Budgeted expenses</w:t>
      </w:r>
      <w:r w:rsidR="0067461D">
        <w:rPr>
          <w:lang w:val="en-AU"/>
        </w:rPr>
        <w:t xml:space="preserve"> for</w:t>
      </w:r>
      <w:r w:rsidR="0067461D" w:rsidRPr="00D93D96">
        <w:t xml:space="preserve"> Outcome </w:t>
      </w:r>
      <w:r w:rsidR="0067461D">
        <w:rPr>
          <w:lang w:val="en-AU"/>
        </w:rPr>
        <w:t>2</w:t>
      </w:r>
    </w:p>
    <w:p w:rsidR="007A2311" w:rsidRDefault="0081629D" w:rsidP="00631AC1">
      <w:pPr>
        <w:pStyle w:val="Heading5"/>
        <w:spacing w:after="0"/>
        <w:rPr>
          <w:lang w:val="en-AU"/>
        </w:rPr>
      </w:pPr>
      <w:r w:rsidRPr="0081629D">
        <w:rPr>
          <w:noProof/>
          <w:lang w:val="en-AU" w:eastAsia="zh-CN"/>
        </w:rPr>
        <w:drawing>
          <wp:inline distT="0" distB="0" distL="0" distR="0">
            <wp:extent cx="4886325" cy="4562475"/>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86325" cy="4562475"/>
                    </a:xfrm>
                    <a:prstGeom prst="rect">
                      <a:avLst/>
                    </a:prstGeom>
                    <a:noFill/>
                    <a:ln>
                      <a:noFill/>
                    </a:ln>
                  </pic:spPr>
                </pic:pic>
              </a:graphicData>
            </a:graphic>
          </wp:inline>
        </w:drawing>
      </w:r>
    </w:p>
    <w:p w:rsidR="00D44B7B" w:rsidRPr="007A2311" w:rsidRDefault="00D44B7B" w:rsidP="00D44B7B">
      <w:pPr>
        <w:pStyle w:val="Heading5"/>
        <w:numPr>
          <w:ilvl w:val="0"/>
          <w:numId w:val="15"/>
        </w:numPr>
        <w:spacing w:after="0"/>
        <w:ind w:left="284" w:hanging="284"/>
        <w:rPr>
          <w:b w:val="0"/>
          <w:sz w:val="16"/>
        </w:rPr>
      </w:pPr>
      <w:r w:rsidRPr="007A2311">
        <w:rPr>
          <w:b w:val="0"/>
          <w:sz w:val="16"/>
        </w:rPr>
        <w:t>This reflects actual cash disbursements from the property account.</w:t>
      </w:r>
    </w:p>
    <w:p w:rsidR="00D44B7B" w:rsidRPr="007A2311" w:rsidRDefault="00D44B7B" w:rsidP="00D44B7B">
      <w:pPr>
        <w:pStyle w:val="Heading5"/>
        <w:numPr>
          <w:ilvl w:val="0"/>
          <w:numId w:val="15"/>
        </w:numPr>
        <w:spacing w:after="0"/>
        <w:ind w:left="284" w:hanging="284"/>
        <w:rPr>
          <w:b w:val="0"/>
          <w:sz w:val="16"/>
        </w:rPr>
      </w:pPr>
      <w:r w:rsidRPr="007A2311">
        <w:rPr>
          <w:b w:val="0"/>
          <w:sz w:val="16"/>
        </w:rPr>
        <w:t>Departmental appropriation combines 'Ordinary ann</w:t>
      </w:r>
      <w:r w:rsidR="000158E2">
        <w:rPr>
          <w:b w:val="0"/>
          <w:sz w:val="16"/>
        </w:rPr>
        <w:t>ual services (</w:t>
      </w:r>
      <w:r w:rsidR="000158E2" w:rsidRPr="004F2D66">
        <w:rPr>
          <w:b w:val="0"/>
          <w:i/>
          <w:sz w:val="16"/>
        </w:rPr>
        <w:t xml:space="preserve">Appropriation </w:t>
      </w:r>
      <w:r w:rsidR="000158E2" w:rsidRPr="004F2D66">
        <w:rPr>
          <w:b w:val="0"/>
          <w:i/>
          <w:sz w:val="16"/>
          <w:lang w:val="en-AU"/>
        </w:rPr>
        <w:t>Act</w:t>
      </w:r>
      <w:r w:rsidRPr="004F2D66">
        <w:rPr>
          <w:b w:val="0"/>
          <w:i/>
          <w:sz w:val="16"/>
        </w:rPr>
        <w:t xml:space="preserve"> No. 1</w:t>
      </w:r>
      <w:r w:rsidRPr="007A2311">
        <w:rPr>
          <w:b w:val="0"/>
          <w:sz w:val="16"/>
        </w:rPr>
        <w:t xml:space="preserve"> &amp; </w:t>
      </w:r>
      <w:r w:rsidR="000158E2" w:rsidRPr="004F2D66">
        <w:rPr>
          <w:b w:val="0"/>
          <w:i/>
          <w:sz w:val="16"/>
          <w:lang w:val="en-AU"/>
        </w:rPr>
        <w:t xml:space="preserve">Bill </w:t>
      </w:r>
      <w:r w:rsidRPr="004F2D66">
        <w:rPr>
          <w:b w:val="0"/>
          <w:i/>
          <w:sz w:val="16"/>
        </w:rPr>
        <w:t>No. 3</w:t>
      </w:r>
      <w:r w:rsidRPr="007A2311">
        <w:rPr>
          <w:b w:val="0"/>
          <w:sz w:val="16"/>
        </w:rPr>
        <w:t>)' and 'Revenue from independent sources (s 74)'.</w:t>
      </w:r>
    </w:p>
    <w:p w:rsidR="00D44B7B" w:rsidRPr="007A2311" w:rsidRDefault="00D44B7B" w:rsidP="00D44B7B">
      <w:pPr>
        <w:pStyle w:val="Heading5"/>
        <w:numPr>
          <w:ilvl w:val="0"/>
          <w:numId w:val="15"/>
        </w:numPr>
        <w:spacing w:after="0"/>
        <w:ind w:left="284" w:hanging="284"/>
        <w:rPr>
          <w:b w:val="0"/>
          <w:sz w:val="16"/>
        </w:rPr>
      </w:pPr>
      <w:r w:rsidRPr="007A2311">
        <w:rPr>
          <w:b w:val="0"/>
          <w:sz w:val="16"/>
        </w:rPr>
        <w:t>Expenses not requiring appropriation in the Budget year are made up of depreciation expenses, amortisation expenses, make good expenses, audit fees.</w:t>
      </w:r>
    </w:p>
    <w:p w:rsidR="00D44B7B" w:rsidRPr="007A2311" w:rsidRDefault="00D44B7B" w:rsidP="00D44B7B">
      <w:pPr>
        <w:pStyle w:val="Heading5"/>
        <w:numPr>
          <w:ilvl w:val="0"/>
          <w:numId w:val="15"/>
        </w:numPr>
        <w:spacing w:after="0"/>
        <w:ind w:left="284" w:hanging="284"/>
        <w:rPr>
          <w:b w:val="0"/>
          <w:sz w:val="16"/>
        </w:rPr>
      </w:pPr>
      <w:r w:rsidRPr="007A2311">
        <w:rPr>
          <w:b w:val="0"/>
          <w:sz w:val="16"/>
        </w:rPr>
        <w:t xml:space="preserve">Average Staffing Levels (ASL) figures are estimates </w:t>
      </w:r>
      <w:r w:rsidR="00D936FF">
        <w:rPr>
          <w:b w:val="0"/>
          <w:sz w:val="16"/>
        </w:rPr>
        <w:t xml:space="preserve">only. ASL allocated to Outcome </w:t>
      </w:r>
      <w:r w:rsidR="00D936FF">
        <w:rPr>
          <w:b w:val="0"/>
          <w:sz w:val="16"/>
          <w:lang w:val="en-AU"/>
        </w:rPr>
        <w:t>2</w:t>
      </w:r>
      <w:r w:rsidRPr="007A2311">
        <w:rPr>
          <w:b w:val="0"/>
          <w:sz w:val="16"/>
        </w:rPr>
        <w:t xml:space="preserve"> may also, at times, contribute to Outcome 1 and Outcome 3.</w:t>
      </w:r>
    </w:p>
    <w:p w:rsidR="00295BE3" w:rsidRDefault="00D44B7B" w:rsidP="00D44B7B">
      <w:pPr>
        <w:pStyle w:val="Heading5"/>
        <w:rPr>
          <w:lang w:val="en-AU"/>
        </w:rPr>
      </w:pPr>
      <w:r w:rsidRPr="007A2311">
        <w:rPr>
          <w:b w:val="0"/>
          <w:sz w:val="16"/>
        </w:rPr>
        <w:t>Note: Departmental appropriation splits and totals are indicative estimates and may change in the</w:t>
      </w:r>
      <w:r w:rsidR="003C0470">
        <w:rPr>
          <w:b w:val="0"/>
          <w:sz w:val="16"/>
        </w:rPr>
        <w:t xml:space="preserve"> course of the budget year as </w:t>
      </w:r>
      <w:r w:rsidR="003C0470">
        <w:rPr>
          <w:b w:val="0"/>
          <w:sz w:val="16"/>
          <w:lang w:val="en-AU"/>
        </w:rPr>
        <w:t xml:space="preserve">Government </w:t>
      </w:r>
      <w:r w:rsidRPr="007A2311">
        <w:rPr>
          <w:b w:val="0"/>
          <w:sz w:val="16"/>
        </w:rPr>
        <w:t>priorities change.</w:t>
      </w:r>
      <w:r w:rsidR="00295BE3">
        <w:rPr>
          <w:lang w:val="en-GB"/>
        </w:rPr>
        <w:br w:type="page"/>
      </w:r>
      <w:r w:rsidR="00295BE3">
        <w:rPr>
          <w:lang w:val="en-AU"/>
        </w:rPr>
        <w:lastRenderedPageBreak/>
        <w:t>Programme 2.1: Consular Services</w:t>
      </w:r>
    </w:p>
    <w:p w:rsidR="0067461D" w:rsidRDefault="00DB71B0" w:rsidP="0067461D">
      <w:pPr>
        <w:pStyle w:val="Heading5"/>
      </w:pPr>
      <w:r>
        <w:t xml:space="preserve">Programme objective </w:t>
      </w:r>
      <w:r>
        <w:rPr>
          <w:lang w:val="en-AU"/>
        </w:rPr>
        <w:t>2</w:t>
      </w:r>
      <w:r w:rsidR="0067461D">
        <w:t>.1</w:t>
      </w:r>
    </w:p>
    <w:p w:rsidR="00792DB1" w:rsidRPr="000816D2" w:rsidRDefault="00792DB1" w:rsidP="00792DB1">
      <w:pPr>
        <w:pStyle w:val="ExampleText"/>
        <w:jc w:val="both"/>
        <w:rPr>
          <w:i w:val="0"/>
          <w:color w:val="auto"/>
          <w:lang w:val="en-GB"/>
        </w:rPr>
      </w:pPr>
      <w:r>
        <w:rPr>
          <w:i w:val="0"/>
          <w:iCs/>
          <w:color w:val="auto"/>
        </w:rPr>
        <w:t xml:space="preserve">There is no change to the objective for Programme 2.1 as expressed in the </w:t>
      </w:r>
      <w:r>
        <w:rPr>
          <w:iCs/>
          <w:color w:val="auto"/>
        </w:rPr>
        <w:t>Portfolio Budget Statements 2015-16</w:t>
      </w:r>
      <w:r>
        <w:rPr>
          <w:i w:val="0"/>
          <w:iCs/>
          <w:color w:val="auto"/>
        </w:rPr>
        <w:t>.</w:t>
      </w:r>
    </w:p>
    <w:p w:rsidR="0067461D" w:rsidRPr="00044078" w:rsidRDefault="00DB71B0" w:rsidP="00044078">
      <w:pPr>
        <w:pStyle w:val="Heading5"/>
        <w:rPr>
          <w:lang w:val="en-AU"/>
        </w:rPr>
      </w:pPr>
      <w:r>
        <w:t xml:space="preserve">Programme expenses </w:t>
      </w:r>
      <w:r>
        <w:rPr>
          <w:lang w:val="en-AU"/>
        </w:rPr>
        <w:t>2</w:t>
      </w:r>
      <w:r w:rsidR="0067461D">
        <w:t>.1</w:t>
      </w:r>
    </w:p>
    <w:p w:rsidR="00044078" w:rsidRDefault="0081629D" w:rsidP="0067461D">
      <w:pPr>
        <w:pStyle w:val="Heading5"/>
        <w:rPr>
          <w:lang w:val="en-AU"/>
        </w:rPr>
      </w:pPr>
      <w:r w:rsidRPr="0081629D">
        <w:rPr>
          <w:noProof/>
          <w:lang w:val="en-AU" w:eastAsia="zh-CN"/>
        </w:rPr>
        <w:drawing>
          <wp:inline distT="0" distB="0" distL="0" distR="0" wp14:anchorId="7E85C327" wp14:editId="6C9C9EA9">
            <wp:extent cx="4896485" cy="2034656"/>
            <wp:effectExtent l="0" t="0" r="0" b="381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96485" cy="2034656"/>
                    </a:xfrm>
                    <a:prstGeom prst="rect">
                      <a:avLst/>
                    </a:prstGeom>
                    <a:noFill/>
                    <a:ln>
                      <a:noFill/>
                    </a:ln>
                  </pic:spPr>
                </pic:pic>
              </a:graphicData>
            </a:graphic>
          </wp:inline>
        </w:drawing>
      </w:r>
    </w:p>
    <w:p w:rsidR="00594BB0" w:rsidRPr="00044078" w:rsidRDefault="00594BB0" w:rsidP="00594BB0">
      <w:pPr>
        <w:pStyle w:val="Heading5"/>
        <w:numPr>
          <w:ilvl w:val="0"/>
          <w:numId w:val="16"/>
        </w:numPr>
        <w:spacing w:after="0"/>
        <w:ind w:left="284" w:hanging="284"/>
        <w:rPr>
          <w:b w:val="0"/>
          <w:sz w:val="16"/>
          <w:lang w:val="en-AU"/>
        </w:rPr>
      </w:pPr>
      <w:r w:rsidRPr="00044078">
        <w:rPr>
          <w:b w:val="0"/>
          <w:sz w:val="16"/>
          <w:lang w:val="en-AU"/>
        </w:rPr>
        <w:t>This expense does not include $0.55m for Traveller’s Emergency Loans, as these are treated as receivables and form part of the receivable balance in Table 3.2.8.</w:t>
      </w:r>
    </w:p>
    <w:p w:rsidR="00594BB0" w:rsidRPr="00044078" w:rsidRDefault="00594BB0" w:rsidP="00594BB0">
      <w:pPr>
        <w:pStyle w:val="Heading5"/>
        <w:numPr>
          <w:ilvl w:val="0"/>
          <w:numId w:val="16"/>
        </w:numPr>
        <w:spacing w:after="0"/>
        <w:ind w:left="284" w:hanging="284"/>
        <w:rPr>
          <w:b w:val="0"/>
          <w:sz w:val="16"/>
          <w:lang w:val="en-AU"/>
        </w:rPr>
      </w:pPr>
      <w:r w:rsidRPr="00044078">
        <w:rPr>
          <w:b w:val="0"/>
          <w:sz w:val="16"/>
          <w:lang w:val="en-AU"/>
        </w:rPr>
        <w:t xml:space="preserve">Expenses not requiring appropriation in the Budget year are made up of depreciation expenses, amortisation expenses, </w:t>
      </w:r>
      <w:r>
        <w:rPr>
          <w:b w:val="0"/>
          <w:sz w:val="16"/>
          <w:lang w:val="en-AU"/>
        </w:rPr>
        <w:t>make-</w:t>
      </w:r>
      <w:r w:rsidRPr="00044078">
        <w:rPr>
          <w:b w:val="0"/>
          <w:sz w:val="16"/>
          <w:lang w:val="en-AU"/>
        </w:rPr>
        <w:t>good expenses, audit fees.</w:t>
      </w:r>
    </w:p>
    <w:p w:rsidR="00044078" w:rsidRDefault="00044078" w:rsidP="0067461D">
      <w:pPr>
        <w:pStyle w:val="Heading5"/>
        <w:rPr>
          <w:lang w:val="en-AU"/>
        </w:rPr>
      </w:pPr>
    </w:p>
    <w:p w:rsidR="0067461D" w:rsidRPr="00594BB0" w:rsidRDefault="0067461D" w:rsidP="0067461D">
      <w:pPr>
        <w:pStyle w:val="Heading5"/>
        <w:rPr>
          <w:lang w:val="en-AU"/>
        </w:rPr>
      </w:pPr>
      <w:r w:rsidRPr="00564C0F">
        <w:t xml:space="preserve">Programme deliverables </w:t>
      </w:r>
      <w:r w:rsidR="0033357F">
        <w:rPr>
          <w:lang w:val="en-AU"/>
        </w:rPr>
        <w:t>2</w:t>
      </w:r>
      <w:r w:rsidR="0033357F">
        <w:t>.1</w:t>
      </w:r>
    </w:p>
    <w:p w:rsidR="00A402DB" w:rsidRPr="00A402DB" w:rsidRDefault="00A402DB" w:rsidP="00A402DB">
      <w:pPr>
        <w:pStyle w:val="TableGraphic"/>
        <w:rPr>
          <w:color w:val="000000" w:themeColor="text1"/>
          <w:lang w:val="en-GB"/>
        </w:rPr>
      </w:pPr>
      <w:r w:rsidRPr="00A402DB">
        <w:rPr>
          <w:i w:val="0"/>
          <w:iCs/>
          <w:color w:val="000000" w:themeColor="text1"/>
        </w:rPr>
        <w:t xml:space="preserve">There is no change to the deliverables for Programme 2.1 as expressed in the </w:t>
      </w:r>
      <w:r w:rsidRPr="00A402DB">
        <w:rPr>
          <w:iCs/>
          <w:color w:val="000000" w:themeColor="text1"/>
        </w:rPr>
        <w:t>Portfolio Budget Statements 2015-16</w:t>
      </w:r>
      <w:r w:rsidRPr="00A402DB">
        <w:rPr>
          <w:i w:val="0"/>
          <w:iCs/>
          <w:color w:val="000000" w:themeColor="text1"/>
        </w:rPr>
        <w:t>.</w:t>
      </w:r>
    </w:p>
    <w:p w:rsidR="0067461D" w:rsidRPr="00564C0F" w:rsidRDefault="0067461D" w:rsidP="0067461D">
      <w:pPr>
        <w:pStyle w:val="SingleParagraph"/>
        <w:rPr>
          <w:lang w:val="en-GB"/>
        </w:rPr>
      </w:pPr>
    </w:p>
    <w:p w:rsidR="0067461D" w:rsidRPr="00564C0F" w:rsidRDefault="0067461D" w:rsidP="0067461D">
      <w:pPr>
        <w:pStyle w:val="Heading5"/>
      </w:pPr>
      <w:r w:rsidRPr="00564C0F">
        <w:t>Programme key performance indicators</w:t>
      </w:r>
      <w:r w:rsidR="0033357F">
        <w:rPr>
          <w:lang w:val="en-AU"/>
        </w:rPr>
        <w:t xml:space="preserve"> 2</w:t>
      </w:r>
      <w:r w:rsidR="0033357F">
        <w:t>.1</w:t>
      </w:r>
    </w:p>
    <w:p w:rsidR="00A402DB" w:rsidRDefault="00A402DB" w:rsidP="00A402DB">
      <w:pPr>
        <w:pStyle w:val="SingleParagraph"/>
        <w:rPr>
          <w:iCs/>
        </w:rPr>
      </w:pPr>
      <w:r w:rsidRPr="000816D2">
        <w:rPr>
          <w:iCs/>
        </w:rPr>
        <w:t xml:space="preserve">There is no change to the </w:t>
      </w:r>
      <w:r>
        <w:rPr>
          <w:iCs/>
        </w:rPr>
        <w:t>key performance indicators</w:t>
      </w:r>
      <w:r w:rsidRPr="000816D2">
        <w:rPr>
          <w:iCs/>
        </w:rPr>
        <w:t xml:space="preserve"> for Programme </w:t>
      </w:r>
      <w:r>
        <w:rPr>
          <w:iCs/>
        </w:rPr>
        <w:t>2</w:t>
      </w:r>
      <w:r w:rsidRPr="000816D2">
        <w:rPr>
          <w:iCs/>
        </w:rPr>
        <w:t xml:space="preserve">.1 as expressed in the </w:t>
      </w:r>
      <w:r>
        <w:rPr>
          <w:i/>
          <w:iCs/>
        </w:rPr>
        <w:t>Portfolio Budget Statements 2015-16</w:t>
      </w:r>
      <w:r w:rsidRPr="000816D2">
        <w:rPr>
          <w:iCs/>
        </w:rPr>
        <w:t>.</w:t>
      </w:r>
    </w:p>
    <w:p w:rsidR="0067461D" w:rsidRPr="00A402DB" w:rsidRDefault="0067461D" w:rsidP="00F51DAC">
      <w:pPr>
        <w:pStyle w:val="SingleParagraph"/>
      </w:pPr>
    </w:p>
    <w:p w:rsidR="00A402DB" w:rsidRDefault="00A402DB" w:rsidP="00A402DB">
      <w:pPr>
        <w:pStyle w:val="Heading5"/>
        <w:rPr>
          <w:lang w:val="en-AU"/>
        </w:rPr>
      </w:pPr>
      <w:r>
        <w:rPr>
          <w:lang w:val="en-GB"/>
        </w:rPr>
        <w:br w:type="page"/>
      </w:r>
      <w:r>
        <w:rPr>
          <w:lang w:val="en-AU"/>
        </w:rPr>
        <w:lastRenderedPageBreak/>
        <w:t>Programme 2.2: Passport Services</w:t>
      </w:r>
    </w:p>
    <w:p w:rsidR="00A402DB" w:rsidRPr="00A402DB" w:rsidRDefault="00A402DB" w:rsidP="00A402DB">
      <w:pPr>
        <w:pStyle w:val="Heading5"/>
        <w:rPr>
          <w:lang w:val="en-AU"/>
        </w:rPr>
      </w:pPr>
      <w:r>
        <w:t xml:space="preserve">Programme objective </w:t>
      </w:r>
      <w:r>
        <w:rPr>
          <w:lang w:val="en-AU"/>
        </w:rPr>
        <w:t>2</w:t>
      </w:r>
      <w:r>
        <w:t>.</w:t>
      </w:r>
      <w:r>
        <w:rPr>
          <w:lang w:val="en-AU"/>
        </w:rPr>
        <w:t>2</w:t>
      </w:r>
    </w:p>
    <w:p w:rsidR="00A402DB" w:rsidRPr="000816D2" w:rsidRDefault="00A402DB" w:rsidP="00A402DB">
      <w:pPr>
        <w:pStyle w:val="ExampleText"/>
        <w:jc w:val="both"/>
        <w:rPr>
          <w:i w:val="0"/>
          <w:color w:val="auto"/>
          <w:lang w:val="en-GB"/>
        </w:rPr>
      </w:pPr>
      <w:r>
        <w:rPr>
          <w:i w:val="0"/>
          <w:iCs/>
          <w:color w:val="auto"/>
        </w:rPr>
        <w:t xml:space="preserve">There is no change to the objective for Programme 2.2 as expressed in the </w:t>
      </w:r>
      <w:r>
        <w:rPr>
          <w:iCs/>
          <w:color w:val="auto"/>
        </w:rPr>
        <w:t>Portfolio Budget Statements 2015-16</w:t>
      </w:r>
      <w:r>
        <w:rPr>
          <w:i w:val="0"/>
          <w:iCs/>
          <w:color w:val="auto"/>
        </w:rPr>
        <w:t>.</w:t>
      </w:r>
    </w:p>
    <w:p w:rsidR="00A402DB" w:rsidRPr="00A402DB" w:rsidRDefault="00A402DB" w:rsidP="00A402DB">
      <w:pPr>
        <w:pStyle w:val="Heading5"/>
        <w:rPr>
          <w:lang w:val="en-AU"/>
        </w:rPr>
      </w:pPr>
      <w:r>
        <w:t xml:space="preserve">Programme expenses </w:t>
      </w:r>
      <w:r>
        <w:rPr>
          <w:lang w:val="en-AU"/>
        </w:rPr>
        <w:t>2</w:t>
      </w:r>
      <w:r>
        <w:t>.</w:t>
      </w:r>
      <w:r>
        <w:rPr>
          <w:lang w:val="en-AU"/>
        </w:rPr>
        <w:t>2</w:t>
      </w:r>
    </w:p>
    <w:p w:rsidR="00044078" w:rsidRDefault="0081629D" w:rsidP="00A402DB">
      <w:pPr>
        <w:pStyle w:val="Heading5"/>
        <w:rPr>
          <w:lang w:val="en-AU"/>
        </w:rPr>
      </w:pPr>
      <w:r w:rsidRPr="0081629D">
        <w:rPr>
          <w:noProof/>
          <w:lang w:val="en-AU" w:eastAsia="zh-CN"/>
        </w:rPr>
        <w:drawing>
          <wp:inline distT="0" distB="0" distL="0" distR="0" wp14:anchorId="7285D17A" wp14:editId="12C239CC">
            <wp:extent cx="4896485" cy="1749424"/>
            <wp:effectExtent l="0" t="0" r="0" b="381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96485" cy="1749424"/>
                    </a:xfrm>
                    <a:prstGeom prst="rect">
                      <a:avLst/>
                    </a:prstGeom>
                    <a:noFill/>
                    <a:ln>
                      <a:noFill/>
                    </a:ln>
                  </pic:spPr>
                </pic:pic>
              </a:graphicData>
            </a:graphic>
          </wp:inline>
        </w:drawing>
      </w:r>
    </w:p>
    <w:p w:rsidR="00044078" w:rsidRPr="00044078" w:rsidRDefault="00044078" w:rsidP="0020615E">
      <w:pPr>
        <w:pStyle w:val="Heading5"/>
        <w:numPr>
          <w:ilvl w:val="0"/>
          <w:numId w:val="17"/>
        </w:numPr>
        <w:ind w:left="284" w:hanging="284"/>
        <w:rPr>
          <w:b w:val="0"/>
          <w:sz w:val="16"/>
          <w:lang w:val="en-AU"/>
        </w:rPr>
      </w:pPr>
      <w:r w:rsidRPr="00044078">
        <w:rPr>
          <w:b w:val="0"/>
          <w:sz w:val="16"/>
          <w:lang w:val="en-AU"/>
        </w:rPr>
        <w:t>Expenses not requiring appropriation in the Budget year are made up of depreciation expenses, amortisation expenses, make</w:t>
      </w:r>
      <w:r w:rsidR="00594BB0">
        <w:rPr>
          <w:b w:val="0"/>
          <w:sz w:val="16"/>
          <w:lang w:val="en-AU"/>
        </w:rPr>
        <w:t>-</w:t>
      </w:r>
      <w:r w:rsidRPr="00044078">
        <w:rPr>
          <w:b w:val="0"/>
          <w:sz w:val="16"/>
          <w:lang w:val="en-AU"/>
        </w:rPr>
        <w:t>good expenses, audit fees.</w:t>
      </w:r>
    </w:p>
    <w:p w:rsidR="00A402DB" w:rsidRPr="0033357F" w:rsidRDefault="00A402DB" w:rsidP="00A402DB">
      <w:pPr>
        <w:pStyle w:val="Heading5"/>
        <w:rPr>
          <w:lang w:val="en-AU"/>
        </w:rPr>
      </w:pPr>
      <w:r w:rsidRPr="00564C0F">
        <w:t xml:space="preserve">Programme deliverables </w:t>
      </w:r>
      <w:r w:rsidR="0033357F">
        <w:rPr>
          <w:lang w:val="en-AU"/>
        </w:rPr>
        <w:t>2</w:t>
      </w:r>
      <w:r w:rsidR="0033357F">
        <w:t>.</w:t>
      </w:r>
      <w:r w:rsidR="0033357F">
        <w:rPr>
          <w:lang w:val="en-AU"/>
        </w:rPr>
        <w:t>2</w:t>
      </w:r>
    </w:p>
    <w:p w:rsidR="00A402DB" w:rsidRPr="00A402DB" w:rsidRDefault="00A402DB" w:rsidP="00A402DB">
      <w:pPr>
        <w:pStyle w:val="TableGraphic"/>
        <w:rPr>
          <w:color w:val="000000"/>
          <w:lang w:val="en-GB"/>
        </w:rPr>
      </w:pPr>
      <w:r w:rsidRPr="00A402DB">
        <w:rPr>
          <w:i w:val="0"/>
          <w:iCs/>
          <w:color w:val="000000"/>
        </w:rPr>
        <w:t>There is no change to the deliverables for Programme 2</w:t>
      </w:r>
      <w:r>
        <w:rPr>
          <w:i w:val="0"/>
          <w:iCs/>
          <w:color w:val="000000"/>
        </w:rPr>
        <w:t>.2</w:t>
      </w:r>
      <w:r w:rsidRPr="00A402DB">
        <w:rPr>
          <w:i w:val="0"/>
          <w:iCs/>
          <w:color w:val="000000"/>
        </w:rPr>
        <w:t xml:space="preserve"> as expressed in the </w:t>
      </w:r>
      <w:r w:rsidRPr="00A402DB">
        <w:rPr>
          <w:iCs/>
          <w:color w:val="000000"/>
        </w:rPr>
        <w:t>Portfolio Budget Statements 2015-16</w:t>
      </w:r>
      <w:r w:rsidRPr="00A402DB">
        <w:rPr>
          <w:i w:val="0"/>
          <w:iCs/>
          <w:color w:val="000000"/>
        </w:rPr>
        <w:t>.</w:t>
      </w:r>
    </w:p>
    <w:p w:rsidR="00A402DB" w:rsidRPr="00564C0F" w:rsidRDefault="00A402DB" w:rsidP="00A402DB">
      <w:pPr>
        <w:pStyle w:val="SingleParagraph"/>
        <w:rPr>
          <w:lang w:val="en-GB"/>
        </w:rPr>
      </w:pPr>
    </w:p>
    <w:p w:rsidR="00A402DB" w:rsidRPr="0033357F" w:rsidRDefault="00A402DB" w:rsidP="00A402DB">
      <w:pPr>
        <w:pStyle w:val="Heading5"/>
        <w:rPr>
          <w:lang w:val="en-AU"/>
        </w:rPr>
      </w:pPr>
      <w:r w:rsidRPr="00564C0F">
        <w:t>Programme key performance indicators</w:t>
      </w:r>
      <w:r w:rsidR="0033357F">
        <w:rPr>
          <w:lang w:val="en-AU"/>
        </w:rPr>
        <w:t xml:space="preserve"> 2</w:t>
      </w:r>
      <w:r w:rsidR="0033357F">
        <w:t>.</w:t>
      </w:r>
      <w:r w:rsidR="0033357F">
        <w:rPr>
          <w:lang w:val="en-AU"/>
        </w:rPr>
        <w:t>2</w:t>
      </w:r>
    </w:p>
    <w:p w:rsidR="00A402DB" w:rsidRDefault="00A402DB" w:rsidP="00A402DB">
      <w:pPr>
        <w:pStyle w:val="SingleParagraph"/>
        <w:rPr>
          <w:iCs/>
        </w:rPr>
      </w:pPr>
      <w:r w:rsidRPr="000816D2">
        <w:rPr>
          <w:iCs/>
        </w:rPr>
        <w:t xml:space="preserve">There is no change to the </w:t>
      </w:r>
      <w:r>
        <w:rPr>
          <w:iCs/>
        </w:rPr>
        <w:t>key performance indicators</w:t>
      </w:r>
      <w:r w:rsidRPr="000816D2">
        <w:rPr>
          <w:iCs/>
        </w:rPr>
        <w:t xml:space="preserve"> for Programme </w:t>
      </w:r>
      <w:r>
        <w:rPr>
          <w:iCs/>
        </w:rPr>
        <w:t>2.2</w:t>
      </w:r>
      <w:r w:rsidRPr="000816D2">
        <w:rPr>
          <w:iCs/>
        </w:rPr>
        <w:t xml:space="preserve"> as expressed in the </w:t>
      </w:r>
      <w:r>
        <w:rPr>
          <w:i/>
          <w:iCs/>
        </w:rPr>
        <w:t>Portfolio Budget Statements 2015-16</w:t>
      </w:r>
      <w:r w:rsidRPr="000816D2">
        <w:rPr>
          <w:iCs/>
        </w:rPr>
        <w:t>.</w:t>
      </w:r>
    </w:p>
    <w:p w:rsidR="00A402DB" w:rsidRPr="00A402DB" w:rsidRDefault="00A402DB" w:rsidP="00A402DB">
      <w:pPr>
        <w:pStyle w:val="SingleParagraph"/>
      </w:pPr>
    </w:p>
    <w:p w:rsidR="00DB71B0" w:rsidRPr="00DA4AF6" w:rsidRDefault="00A402DB" w:rsidP="00A402DB">
      <w:pPr>
        <w:pStyle w:val="Outcomeheading"/>
        <w:rPr>
          <w:lang w:val="en-AU"/>
        </w:rPr>
      </w:pPr>
      <w:r>
        <w:rPr>
          <w:lang w:val="en-GB"/>
        </w:rPr>
        <w:br w:type="page"/>
      </w:r>
      <w:r w:rsidR="00DB71B0">
        <w:lastRenderedPageBreak/>
        <w:t xml:space="preserve">Outcome </w:t>
      </w:r>
      <w:r w:rsidR="00DB71B0">
        <w:rPr>
          <w:lang w:val="en-AU"/>
        </w:rPr>
        <w:t>3: A secure Australian Government presence overseas through the provision of security services and information and communications technology infrastructure, and the management of the Commonwealth’s overseas owned estate</w:t>
      </w:r>
    </w:p>
    <w:p w:rsidR="00DB71B0" w:rsidRPr="00D93D96" w:rsidRDefault="00DB71B0" w:rsidP="00DB71B0">
      <w:pPr>
        <w:pStyle w:val="Heading4"/>
      </w:pPr>
      <w:r>
        <w:t xml:space="preserve">Outcome </w:t>
      </w:r>
      <w:r w:rsidR="002157A7">
        <w:rPr>
          <w:lang w:val="en-AU"/>
        </w:rPr>
        <w:t>3</w:t>
      </w:r>
      <w:r>
        <w:t xml:space="preserve"> s</w:t>
      </w:r>
      <w:r w:rsidRPr="00D93D96">
        <w:t>trategy</w:t>
      </w:r>
    </w:p>
    <w:p w:rsidR="00DB71B0" w:rsidRDefault="00DB71B0" w:rsidP="00DB71B0">
      <w:pPr>
        <w:pStyle w:val="ExampleText"/>
        <w:jc w:val="both"/>
        <w:rPr>
          <w:color w:val="auto"/>
        </w:rPr>
      </w:pPr>
      <w:r w:rsidRPr="00465B71">
        <w:rPr>
          <w:i w:val="0"/>
          <w:color w:val="auto"/>
        </w:rPr>
        <w:t xml:space="preserve">There is no change to the </w:t>
      </w:r>
      <w:r>
        <w:rPr>
          <w:i w:val="0"/>
          <w:color w:val="auto"/>
        </w:rPr>
        <w:t>D</w:t>
      </w:r>
      <w:r w:rsidRPr="00465B71">
        <w:rPr>
          <w:i w:val="0"/>
          <w:color w:val="auto"/>
        </w:rPr>
        <w:t xml:space="preserve">epartment’s Outcome Strategy as expressed in the </w:t>
      </w:r>
      <w:r>
        <w:rPr>
          <w:color w:val="auto"/>
        </w:rPr>
        <w:t>Portfolio Budget Statements 2015-16</w:t>
      </w:r>
      <w:r w:rsidRPr="00465B71">
        <w:rPr>
          <w:color w:val="auto"/>
        </w:rPr>
        <w:t>.</w:t>
      </w:r>
    </w:p>
    <w:p w:rsidR="00DB71B0" w:rsidRPr="001436E5" w:rsidRDefault="00DB71B0" w:rsidP="00DB71B0">
      <w:pPr>
        <w:pStyle w:val="TableHeading"/>
        <w:rPr>
          <w:highlight w:val="yellow"/>
          <w:lang w:val="en-AU"/>
        </w:rPr>
      </w:pPr>
      <w:r>
        <w:br w:type="page"/>
      </w:r>
      <w:r w:rsidR="00887129">
        <w:lastRenderedPageBreak/>
        <w:t xml:space="preserve">Table </w:t>
      </w:r>
      <w:r w:rsidR="00F047C6">
        <w:rPr>
          <w:lang w:val="en-AU"/>
        </w:rPr>
        <w:t>2</w:t>
      </w:r>
      <w:r w:rsidRPr="00D93D96">
        <w:t>.1</w:t>
      </w:r>
      <w:r>
        <w:rPr>
          <w:lang w:val="en-AU"/>
        </w:rPr>
        <w:t>.</w:t>
      </w:r>
      <w:r w:rsidR="00F047C6">
        <w:rPr>
          <w:lang w:val="en-AU"/>
        </w:rPr>
        <w:t>3</w:t>
      </w:r>
      <w:r w:rsidRPr="00D93D96">
        <w:t xml:space="preserve"> Budgeted expenses</w:t>
      </w:r>
      <w:r>
        <w:rPr>
          <w:lang w:val="en-AU"/>
        </w:rPr>
        <w:t xml:space="preserve"> for</w:t>
      </w:r>
      <w:r w:rsidRPr="00D93D96">
        <w:t xml:space="preserve"> Outcome </w:t>
      </w:r>
      <w:r w:rsidR="001720E1">
        <w:rPr>
          <w:lang w:val="en-AU"/>
        </w:rPr>
        <w:t>3</w:t>
      </w:r>
    </w:p>
    <w:p w:rsidR="00DB71B0" w:rsidRDefault="002F0C7B" w:rsidP="00044078">
      <w:pPr>
        <w:pStyle w:val="TableGraphic"/>
        <w:rPr>
          <w:iCs/>
        </w:rPr>
      </w:pPr>
      <w:r w:rsidRPr="002F0C7B">
        <w:rPr>
          <w:noProof/>
          <w:lang w:eastAsia="zh-CN"/>
        </w:rPr>
        <w:drawing>
          <wp:inline distT="0" distB="0" distL="0" distR="0" wp14:anchorId="5B9467BC" wp14:editId="675C6DB0">
            <wp:extent cx="4896485" cy="3400074"/>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96485" cy="3400074"/>
                    </a:xfrm>
                    <a:prstGeom prst="rect">
                      <a:avLst/>
                    </a:prstGeom>
                    <a:noFill/>
                    <a:ln>
                      <a:noFill/>
                    </a:ln>
                  </pic:spPr>
                </pic:pic>
              </a:graphicData>
            </a:graphic>
          </wp:inline>
        </w:drawing>
      </w:r>
    </w:p>
    <w:p w:rsidR="00044078" w:rsidRPr="00044078" w:rsidRDefault="00044078" w:rsidP="0020615E">
      <w:pPr>
        <w:pStyle w:val="ListParagraph"/>
        <w:numPr>
          <w:ilvl w:val="0"/>
          <w:numId w:val="18"/>
        </w:numPr>
        <w:ind w:left="284" w:hanging="284"/>
        <w:rPr>
          <w:rFonts w:ascii="Arial" w:hAnsi="Arial" w:cs="Arial"/>
          <w:sz w:val="16"/>
        </w:rPr>
      </w:pPr>
      <w:r w:rsidRPr="00044078">
        <w:rPr>
          <w:rFonts w:ascii="Arial" w:hAnsi="Arial" w:cs="Arial"/>
          <w:sz w:val="16"/>
        </w:rPr>
        <w:t>Departmental appropriation combines 'Ordinary annual services</w:t>
      </w:r>
      <w:r w:rsidRPr="000158E2">
        <w:rPr>
          <w:rFonts w:ascii="Arial" w:hAnsi="Arial" w:cs="Arial"/>
          <w:i/>
          <w:sz w:val="16"/>
        </w:rPr>
        <w:t xml:space="preserve"> </w:t>
      </w:r>
      <w:r w:rsidRPr="000158E2">
        <w:rPr>
          <w:rFonts w:ascii="Arial" w:hAnsi="Arial" w:cs="Arial"/>
          <w:sz w:val="16"/>
        </w:rPr>
        <w:t>(</w:t>
      </w:r>
      <w:r w:rsidR="000158E2" w:rsidRPr="00511325">
        <w:rPr>
          <w:rFonts w:ascii="Arial" w:hAnsi="Arial" w:cs="Arial"/>
          <w:i/>
          <w:sz w:val="16"/>
        </w:rPr>
        <w:t xml:space="preserve">Appropriation Act </w:t>
      </w:r>
      <w:r w:rsidRPr="00511325">
        <w:rPr>
          <w:rFonts w:ascii="Arial" w:hAnsi="Arial" w:cs="Arial"/>
          <w:i/>
          <w:sz w:val="16"/>
        </w:rPr>
        <w:t>No. 1</w:t>
      </w:r>
      <w:r w:rsidR="000158E2">
        <w:rPr>
          <w:rFonts w:ascii="Arial" w:hAnsi="Arial" w:cs="Arial"/>
          <w:sz w:val="16"/>
        </w:rPr>
        <w:t xml:space="preserve"> and </w:t>
      </w:r>
      <w:r w:rsidR="000158E2" w:rsidRPr="00511325">
        <w:rPr>
          <w:rFonts w:ascii="Arial" w:hAnsi="Arial" w:cs="Arial"/>
          <w:i/>
          <w:sz w:val="16"/>
        </w:rPr>
        <w:t>Bill No. 3</w:t>
      </w:r>
      <w:r w:rsidRPr="000158E2">
        <w:rPr>
          <w:rFonts w:ascii="Arial" w:hAnsi="Arial" w:cs="Arial"/>
          <w:sz w:val="16"/>
        </w:rPr>
        <w:t>)'</w:t>
      </w:r>
      <w:r w:rsidRPr="000158E2">
        <w:rPr>
          <w:rFonts w:ascii="Arial" w:hAnsi="Arial" w:cs="Arial"/>
          <w:i/>
          <w:sz w:val="16"/>
        </w:rPr>
        <w:t xml:space="preserve"> </w:t>
      </w:r>
      <w:r w:rsidRPr="00044078">
        <w:rPr>
          <w:rFonts w:ascii="Arial" w:hAnsi="Arial" w:cs="Arial"/>
          <w:sz w:val="16"/>
        </w:rPr>
        <w:t>and 'Revenue from independent sources (s 74)'.</w:t>
      </w:r>
    </w:p>
    <w:p w:rsidR="00044078" w:rsidRPr="00044078" w:rsidRDefault="00044078" w:rsidP="0020615E">
      <w:pPr>
        <w:pStyle w:val="ListParagraph"/>
        <w:numPr>
          <w:ilvl w:val="0"/>
          <w:numId w:val="18"/>
        </w:numPr>
        <w:ind w:left="284" w:hanging="284"/>
        <w:rPr>
          <w:rFonts w:ascii="Arial" w:hAnsi="Arial" w:cs="Arial"/>
          <w:sz w:val="16"/>
        </w:rPr>
      </w:pPr>
      <w:r w:rsidRPr="00044078">
        <w:rPr>
          <w:rFonts w:ascii="Arial" w:hAnsi="Arial" w:cs="Arial"/>
          <w:sz w:val="16"/>
        </w:rPr>
        <w:t>Expenses not requiring appropriation in the Budget year are made up of depreciation expenses, amortisation expenses, make</w:t>
      </w:r>
      <w:r w:rsidR="00594BB0">
        <w:rPr>
          <w:rFonts w:ascii="Arial" w:hAnsi="Arial" w:cs="Arial"/>
          <w:sz w:val="16"/>
        </w:rPr>
        <w:t>-</w:t>
      </w:r>
      <w:r w:rsidRPr="00044078">
        <w:rPr>
          <w:rFonts w:ascii="Arial" w:hAnsi="Arial" w:cs="Arial"/>
          <w:sz w:val="16"/>
        </w:rPr>
        <w:t>good expenses, audit fees.</w:t>
      </w:r>
    </w:p>
    <w:p w:rsidR="00044078" w:rsidRPr="00044078" w:rsidRDefault="00044078" w:rsidP="0020615E">
      <w:pPr>
        <w:pStyle w:val="ListParagraph"/>
        <w:numPr>
          <w:ilvl w:val="0"/>
          <w:numId w:val="18"/>
        </w:numPr>
        <w:ind w:left="284" w:hanging="284"/>
        <w:rPr>
          <w:rFonts w:ascii="Arial" w:hAnsi="Arial" w:cs="Arial"/>
          <w:sz w:val="16"/>
        </w:rPr>
      </w:pPr>
      <w:r w:rsidRPr="00044078">
        <w:rPr>
          <w:rFonts w:ascii="Arial" w:hAnsi="Arial" w:cs="Arial"/>
          <w:sz w:val="16"/>
        </w:rPr>
        <w:t>This reflects actual cash disbursements from the property account.</w:t>
      </w:r>
    </w:p>
    <w:p w:rsidR="00044078" w:rsidRPr="00044078" w:rsidRDefault="00044078" w:rsidP="0020615E">
      <w:pPr>
        <w:pStyle w:val="ListParagraph"/>
        <w:numPr>
          <w:ilvl w:val="0"/>
          <w:numId w:val="18"/>
        </w:numPr>
        <w:ind w:left="284" w:hanging="284"/>
        <w:rPr>
          <w:rFonts w:ascii="Arial" w:hAnsi="Arial" w:cs="Arial"/>
          <w:sz w:val="12"/>
        </w:rPr>
      </w:pPr>
      <w:r w:rsidRPr="00044078">
        <w:rPr>
          <w:rFonts w:ascii="Arial" w:hAnsi="Arial" w:cs="Arial"/>
          <w:sz w:val="16"/>
          <w:szCs w:val="16"/>
        </w:rPr>
        <w:t xml:space="preserve">Average Staffing Levels (ASL) figures are estimates </w:t>
      </w:r>
      <w:r w:rsidR="0068481B">
        <w:rPr>
          <w:rFonts w:ascii="Arial" w:hAnsi="Arial" w:cs="Arial"/>
          <w:sz w:val="16"/>
          <w:szCs w:val="16"/>
        </w:rPr>
        <w:t>only. ASL allocated to Outcome 3</w:t>
      </w:r>
      <w:r w:rsidRPr="00044078">
        <w:rPr>
          <w:rFonts w:ascii="Arial" w:hAnsi="Arial" w:cs="Arial"/>
          <w:sz w:val="16"/>
          <w:szCs w:val="16"/>
        </w:rPr>
        <w:t xml:space="preserve"> may also, at times, </w:t>
      </w:r>
      <w:r w:rsidR="00A67139" w:rsidRPr="00044078">
        <w:rPr>
          <w:rFonts w:ascii="Arial" w:hAnsi="Arial" w:cs="Arial"/>
          <w:sz w:val="16"/>
          <w:szCs w:val="16"/>
        </w:rPr>
        <w:t>contribute</w:t>
      </w:r>
      <w:r w:rsidRPr="00044078">
        <w:rPr>
          <w:rFonts w:ascii="Arial" w:hAnsi="Arial" w:cs="Arial"/>
          <w:sz w:val="16"/>
          <w:szCs w:val="16"/>
        </w:rPr>
        <w:t xml:space="preserve"> to Outcome 1 and Outcome 2.</w:t>
      </w:r>
    </w:p>
    <w:p w:rsidR="00044078" w:rsidRPr="00044078" w:rsidRDefault="00044078" w:rsidP="00877DFE">
      <w:pPr>
        <w:spacing w:after="0" w:line="240" w:lineRule="auto"/>
        <w:rPr>
          <w:rFonts w:ascii="Arial" w:hAnsi="Arial" w:cs="Arial"/>
          <w:sz w:val="16"/>
        </w:rPr>
      </w:pPr>
      <w:r w:rsidRPr="00044078">
        <w:rPr>
          <w:rFonts w:ascii="Arial" w:hAnsi="Arial" w:cs="Arial"/>
          <w:sz w:val="16"/>
        </w:rPr>
        <w:t>Note: Departmental appropriation splits and totals are indicative estimates and may change in the cou</w:t>
      </w:r>
      <w:r w:rsidR="009565A1">
        <w:rPr>
          <w:rFonts w:ascii="Arial" w:hAnsi="Arial" w:cs="Arial"/>
          <w:sz w:val="16"/>
        </w:rPr>
        <w:t>rse of the budget year as G</w:t>
      </w:r>
      <w:r w:rsidRPr="00044078">
        <w:rPr>
          <w:rFonts w:ascii="Arial" w:hAnsi="Arial" w:cs="Arial"/>
          <w:sz w:val="16"/>
        </w:rPr>
        <w:t>overnment priorities change.</w:t>
      </w:r>
    </w:p>
    <w:p w:rsidR="00044078" w:rsidRPr="00044078" w:rsidRDefault="00044078" w:rsidP="00044078"/>
    <w:p w:rsidR="00DB71B0" w:rsidRDefault="00FE5ECE" w:rsidP="00DB71B0">
      <w:pPr>
        <w:pStyle w:val="Heading5"/>
      </w:pPr>
      <w:r>
        <w:br w:type="page"/>
      </w:r>
      <w:r w:rsidR="00DB71B0">
        <w:lastRenderedPageBreak/>
        <w:t xml:space="preserve">Programme objective </w:t>
      </w:r>
      <w:r w:rsidR="002157A7">
        <w:rPr>
          <w:lang w:val="en-AU"/>
        </w:rPr>
        <w:t>3</w:t>
      </w:r>
      <w:r w:rsidR="00DB71B0">
        <w:t>.1</w:t>
      </w:r>
    </w:p>
    <w:p w:rsidR="00FE5ECE" w:rsidRPr="000816D2" w:rsidRDefault="00FE5ECE" w:rsidP="00FE5ECE">
      <w:pPr>
        <w:pStyle w:val="ExampleText"/>
        <w:jc w:val="both"/>
        <w:rPr>
          <w:i w:val="0"/>
          <w:color w:val="auto"/>
          <w:lang w:val="en-GB"/>
        </w:rPr>
      </w:pPr>
      <w:r>
        <w:rPr>
          <w:i w:val="0"/>
          <w:iCs/>
          <w:color w:val="auto"/>
        </w:rPr>
        <w:t xml:space="preserve">There is no change to the objective for Programme 3.1 as expressed in the </w:t>
      </w:r>
      <w:r>
        <w:rPr>
          <w:iCs/>
          <w:color w:val="auto"/>
        </w:rPr>
        <w:t>Portfolio Budget Statements 2015-16</w:t>
      </w:r>
      <w:r>
        <w:rPr>
          <w:i w:val="0"/>
          <w:iCs/>
          <w:color w:val="auto"/>
        </w:rPr>
        <w:t>.</w:t>
      </w:r>
    </w:p>
    <w:p w:rsidR="00DB71B0" w:rsidRPr="00044078" w:rsidRDefault="00DB71B0" w:rsidP="00044078">
      <w:pPr>
        <w:pStyle w:val="Heading5"/>
        <w:rPr>
          <w:lang w:val="en-AU"/>
        </w:rPr>
      </w:pPr>
      <w:r>
        <w:t xml:space="preserve">Programme expenses </w:t>
      </w:r>
      <w:r w:rsidR="002157A7">
        <w:rPr>
          <w:lang w:val="en-AU"/>
        </w:rPr>
        <w:t>3</w:t>
      </w:r>
      <w:r>
        <w:t>.1</w:t>
      </w:r>
    </w:p>
    <w:p w:rsidR="00044078" w:rsidRDefault="002F0C7B" w:rsidP="00DB71B0">
      <w:pPr>
        <w:pStyle w:val="Heading5"/>
        <w:rPr>
          <w:lang w:val="en-AU"/>
        </w:rPr>
      </w:pPr>
      <w:r w:rsidRPr="002F0C7B">
        <w:rPr>
          <w:noProof/>
          <w:lang w:val="en-AU" w:eastAsia="zh-CN"/>
        </w:rPr>
        <w:drawing>
          <wp:inline distT="0" distB="0" distL="0" distR="0" wp14:anchorId="358DBCCD" wp14:editId="1990D1CD">
            <wp:extent cx="4896485" cy="1321576"/>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6485" cy="1321576"/>
                    </a:xfrm>
                    <a:prstGeom prst="rect">
                      <a:avLst/>
                    </a:prstGeom>
                    <a:noFill/>
                    <a:ln>
                      <a:noFill/>
                    </a:ln>
                  </pic:spPr>
                </pic:pic>
              </a:graphicData>
            </a:graphic>
          </wp:inline>
        </w:drawing>
      </w:r>
    </w:p>
    <w:p w:rsidR="00044078" w:rsidRPr="00044078" w:rsidRDefault="00044078" w:rsidP="0020615E">
      <w:pPr>
        <w:pStyle w:val="Heading5"/>
        <w:numPr>
          <w:ilvl w:val="0"/>
          <w:numId w:val="19"/>
        </w:numPr>
        <w:ind w:left="284" w:hanging="284"/>
        <w:rPr>
          <w:b w:val="0"/>
          <w:sz w:val="16"/>
          <w:lang w:val="en-AU"/>
        </w:rPr>
      </w:pPr>
      <w:r w:rsidRPr="00044078">
        <w:rPr>
          <w:b w:val="0"/>
          <w:sz w:val="16"/>
          <w:lang w:val="en-AU"/>
        </w:rPr>
        <w:t>Expenses not requiring appropriation in the Budget year are made up of depreciation expenses, amortisation expenses, make</w:t>
      </w:r>
      <w:r w:rsidR="00594BB0">
        <w:rPr>
          <w:b w:val="0"/>
          <w:sz w:val="16"/>
          <w:lang w:val="en-AU"/>
        </w:rPr>
        <w:t>-</w:t>
      </w:r>
      <w:r w:rsidRPr="00044078">
        <w:rPr>
          <w:b w:val="0"/>
          <w:sz w:val="16"/>
          <w:lang w:val="en-AU"/>
        </w:rPr>
        <w:t>good expenses, audit fees.</w:t>
      </w:r>
    </w:p>
    <w:p w:rsidR="00DB71B0" w:rsidRPr="0033357F" w:rsidRDefault="00DB71B0" w:rsidP="00DB71B0">
      <w:pPr>
        <w:pStyle w:val="Heading5"/>
        <w:rPr>
          <w:lang w:val="en-AU"/>
        </w:rPr>
      </w:pPr>
      <w:r w:rsidRPr="00FE5ECE">
        <w:t xml:space="preserve">Programme deliverables </w:t>
      </w:r>
      <w:r w:rsidR="0033357F">
        <w:rPr>
          <w:lang w:val="en-AU"/>
        </w:rPr>
        <w:t>3.1</w:t>
      </w:r>
    </w:p>
    <w:p w:rsidR="00FE5ECE" w:rsidRPr="00FE5ECE" w:rsidRDefault="00FE5ECE" w:rsidP="00FE5ECE">
      <w:pPr>
        <w:pStyle w:val="TableGraphic"/>
        <w:rPr>
          <w:color w:val="auto"/>
          <w:lang w:val="en-GB"/>
        </w:rPr>
      </w:pPr>
      <w:r w:rsidRPr="00FE5ECE">
        <w:rPr>
          <w:i w:val="0"/>
          <w:iCs/>
          <w:color w:val="auto"/>
        </w:rPr>
        <w:t xml:space="preserve">There is no change to the deliverables for Programme 3.1 as expressed in the </w:t>
      </w:r>
      <w:r w:rsidRPr="00FE5ECE">
        <w:rPr>
          <w:iCs/>
          <w:color w:val="auto"/>
        </w:rPr>
        <w:t>Portfolio Budget Statements 2015-16</w:t>
      </w:r>
      <w:r w:rsidRPr="00FE5ECE">
        <w:rPr>
          <w:i w:val="0"/>
          <w:iCs/>
          <w:color w:val="auto"/>
        </w:rPr>
        <w:t>.</w:t>
      </w:r>
    </w:p>
    <w:p w:rsidR="00DB71B0" w:rsidRPr="00FE5ECE" w:rsidRDefault="00DB71B0" w:rsidP="00DB71B0">
      <w:pPr>
        <w:pStyle w:val="SingleParagraph"/>
        <w:rPr>
          <w:lang w:val="en-GB"/>
        </w:rPr>
      </w:pPr>
    </w:p>
    <w:p w:rsidR="00DB71B0" w:rsidRPr="0033357F" w:rsidRDefault="00DB71B0" w:rsidP="00DB71B0">
      <w:pPr>
        <w:pStyle w:val="Heading5"/>
        <w:rPr>
          <w:lang w:val="en-AU"/>
        </w:rPr>
      </w:pPr>
      <w:r w:rsidRPr="00FE5ECE">
        <w:t>Programme key performance indicators</w:t>
      </w:r>
      <w:r w:rsidR="0033357F">
        <w:rPr>
          <w:lang w:val="en-AU"/>
        </w:rPr>
        <w:t xml:space="preserve"> 3.1</w:t>
      </w:r>
    </w:p>
    <w:p w:rsidR="00FE5ECE" w:rsidRPr="00FE5ECE" w:rsidRDefault="00FE5ECE" w:rsidP="00FE5ECE">
      <w:pPr>
        <w:pStyle w:val="SingleParagraph"/>
        <w:rPr>
          <w:iCs/>
        </w:rPr>
      </w:pPr>
      <w:r w:rsidRPr="00FE5ECE">
        <w:rPr>
          <w:iCs/>
        </w:rPr>
        <w:t xml:space="preserve">There is no change to the key performance indicators for Programme 3.1 as expressed in the </w:t>
      </w:r>
      <w:r w:rsidRPr="00FE5ECE">
        <w:rPr>
          <w:i/>
          <w:iCs/>
        </w:rPr>
        <w:t>Portfolio Budget Statements 2015-16</w:t>
      </w:r>
      <w:r w:rsidRPr="00FE5ECE">
        <w:rPr>
          <w:iCs/>
        </w:rPr>
        <w:t>.</w:t>
      </w:r>
    </w:p>
    <w:p w:rsidR="0067461D" w:rsidRDefault="0067461D" w:rsidP="00F51DAC">
      <w:pPr>
        <w:pStyle w:val="SingleParagraph"/>
      </w:pPr>
    </w:p>
    <w:p w:rsidR="00FE5ECE" w:rsidRDefault="00FE5ECE" w:rsidP="00F51DAC">
      <w:pPr>
        <w:pStyle w:val="SingleParagraph"/>
      </w:pPr>
    </w:p>
    <w:p w:rsidR="00FE5ECE" w:rsidRDefault="00FE5ECE" w:rsidP="00FE5ECE">
      <w:pPr>
        <w:pStyle w:val="Heading5"/>
        <w:rPr>
          <w:lang w:val="en-AU"/>
        </w:rPr>
      </w:pPr>
      <w:r>
        <w:br w:type="page"/>
      </w:r>
      <w:r>
        <w:rPr>
          <w:lang w:val="en-AU"/>
        </w:rPr>
        <w:lastRenderedPageBreak/>
        <w:t>Programme 3.2: Overseas Property</w:t>
      </w:r>
    </w:p>
    <w:p w:rsidR="00FE5ECE" w:rsidRPr="000816D2" w:rsidRDefault="00FE5ECE" w:rsidP="00FE5ECE">
      <w:pPr>
        <w:pStyle w:val="Heading5"/>
        <w:rPr>
          <w:lang w:val="en-AU"/>
        </w:rPr>
      </w:pPr>
      <w:r>
        <w:t xml:space="preserve">Programme </w:t>
      </w:r>
      <w:r>
        <w:rPr>
          <w:lang w:val="en-AU"/>
        </w:rPr>
        <w:t>objective</w:t>
      </w:r>
      <w:r w:rsidR="002E72F5">
        <w:rPr>
          <w:lang w:val="en-AU"/>
        </w:rPr>
        <w:t xml:space="preserve"> </w:t>
      </w:r>
      <w:r>
        <w:rPr>
          <w:lang w:val="en-AU"/>
        </w:rPr>
        <w:t xml:space="preserve"> 3.2 </w:t>
      </w:r>
    </w:p>
    <w:p w:rsidR="00FE5ECE" w:rsidRPr="000816D2" w:rsidRDefault="00FE5ECE" w:rsidP="00FE5ECE">
      <w:pPr>
        <w:pStyle w:val="ExampleText"/>
        <w:jc w:val="both"/>
        <w:rPr>
          <w:i w:val="0"/>
          <w:color w:val="auto"/>
          <w:lang w:val="en-GB"/>
        </w:rPr>
      </w:pPr>
      <w:r>
        <w:rPr>
          <w:i w:val="0"/>
          <w:iCs/>
          <w:color w:val="auto"/>
        </w:rPr>
        <w:t xml:space="preserve">There is no change to the objective for Programme 3.2 as expressed in the </w:t>
      </w:r>
      <w:r>
        <w:rPr>
          <w:iCs/>
          <w:color w:val="auto"/>
        </w:rPr>
        <w:t>Portfolio Budget Statements 2015-16</w:t>
      </w:r>
      <w:r>
        <w:rPr>
          <w:i w:val="0"/>
          <w:iCs/>
          <w:color w:val="auto"/>
        </w:rPr>
        <w:t>.</w:t>
      </w:r>
    </w:p>
    <w:p w:rsidR="00FE5ECE" w:rsidRPr="00BE7E2E" w:rsidRDefault="00FE5ECE" w:rsidP="00FE5ECE">
      <w:pPr>
        <w:pStyle w:val="Heading5"/>
        <w:rPr>
          <w:lang w:val="en-AU"/>
        </w:rPr>
      </w:pPr>
      <w:r>
        <w:t xml:space="preserve">Programme expenses </w:t>
      </w:r>
      <w:r>
        <w:rPr>
          <w:lang w:val="en-AU"/>
        </w:rPr>
        <w:t>3</w:t>
      </w:r>
      <w:r w:rsidR="00BE7E2E">
        <w:t>.</w:t>
      </w:r>
      <w:r w:rsidR="00BE7E2E">
        <w:rPr>
          <w:lang w:val="en-AU"/>
        </w:rPr>
        <w:t>2</w:t>
      </w:r>
    </w:p>
    <w:p w:rsidR="00044078" w:rsidRDefault="002F0C7B" w:rsidP="00FE5ECE">
      <w:pPr>
        <w:pStyle w:val="Heading5"/>
        <w:rPr>
          <w:lang w:val="en-AU"/>
        </w:rPr>
      </w:pPr>
      <w:r w:rsidRPr="002F0C7B">
        <w:rPr>
          <w:noProof/>
          <w:lang w:val="en-AU" w:eastAsia="zh-CN"/>
        </w:rPr>
        <w:drawing>
          <wp:inline distT="0" distB="0" distL="0" distR="0" wp14:anchorId="059E6D14" wp14:editId="29CB5EED">
            <wp:extent cx="4896485" cy="1321576"/>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96485" cy="1321576"/>
                    </a:xfrm>
                    <a:prstGeom prst="rect">
                      <a:avLst/>
                    </a:prstGeom>
                    <a:noFill/>
                    <a:ln>
                      <a:noFill/>
                    </a:ln>
                  </pic:spPr>
                </pic:pic>
              </a:graphicData>
            </a:graphic>
          </wp:inline>
        </w:drawing>
      </w:r>
    </w:p>
    <w:p w:rsidR="00044078" w:rsidRPr="00044078" w:rsidRDefault="00044078" w:rsidP="0020615E">
      <w:pPr>
        <w:pStyle w:val="Heading5"/>
        <w:numPr>
          <w:ilvl w:val="0"/>
          <w:numId w:val="20"/>
        </w:numPr>
        <w:spacing w:after="0"/>
        <w:ind w:left="284" w:hanging="284"/>
        <w:rPr>
          <w:b w:val="0"/>
          <w:sz w:val="16"/>
          <w:lang w:val="en-AU"/>
        </w:rPr>
      </w:pPr>
      <w:r w:rsidRPr="00044078">
        <w:rPr>
          <w:b w:val="0"/>
          <w:sz w:val="16"/>
          <w:lang w:val="en-AU"/>
        </w:rPr>
        <w:t>This reflects actual cash disbursements from the property account.</w:t>
      </w:r>
    </w:p>
    <w:p w:rsidR="00044078" w:rsidRPr="00044078" w:rsidRDefault="00044078" w:rsidP="0020615E">
      <w:pPr>
        <w:pStyle w:val="Heading5"/>
        <w:numPr>
          <w:ilvl w:val="0"/>
          <w:numId w:val="20"/>
        </w:numPr>
        <w:spacing w:after="0"/>
        <w:ind w:left="284" w:hanging="284"/>
        <w:rPr>
          <w:b w:val="0"/>
          <w:sz w:val="16"/>
          <w:lang w:val="en-AU"/>
        </w:rPr>
      </w:pPr>
      <w:r w:rsidRPr="00044078">
        <w:rPr>
          <w:b w:val="0"/>
          <w:sz w:val="16"/>
          <w:lang w:val="en-AU"/>
        </w:rPr>
        <w:t>Expenses not requiring appropriation in the Budget year are made up of depreciation expenses, amortisation expenses, make</w:t>
      </w:r>
      <w:r w:rsidR="00594BB0">
        <w:rPr>
          <w:b w:val="0"/>
          <w:sz w:val="16"/>
          <w:lang w:val="en-AU"/>
        </w:rPr>
        <w:t>-</w:t>
      </w:r>
      <w:r w:rsidRPr="00044078">
        <w:rPr>
          <w:b w:val="0"/>
          <w:sz w:val="16"/>
          <w:lang w:val="en-AU"/>
        </w:rPr>
        <w:t>good expenses, audit fees.</w:t>
      </w:r>
    </w:p>
    <w:p w:rsidR="00044078" w:rsidRDefault="00044078" w:rsidP="00FE5ECE">
      <w:pPr>
        <w:pStyle w:val="Heading5"/>
        <w:rPr>
          <w:lang w:val="en-AU"/>
        </w:rPr>
      </w:pPr>
    </w:p>
    <w:p w:rsidR="00FE5ECE" w:rsidRDefault="00FE5ECE" w:rsidP="00FE5ECE">
      <w:pPr>
        <w:pStyle w:val="Heading5"/>
      </w:pPr>
      <w:r>
        <w:t xml:space="preserve">Programme </w:t>
      </w:r>
      <w:r>
        <w:rPr>
          <w:lang w:val="en-AU"/>
        </w:rPr>
        <w:t>deliverables</w:t>
      </w:r>
      <w:r>
        <w:t xml:space="preserve"> </w:t>
      </w:r>
      <w:r>
        <w:rPr>
          <w:lang w:val="en-AU"/>
        </w:rPr>
        <w:t xml:space="preserve">3.2 </w:t>
      </w:r>
    </w:p>
    <w:p w:rsidR="00FE5ECE" w:rsidRPr="00C62694" w:rsidRDefault="00FE5ECE" w:rsidP="00FE5ECE">
      <w:pPr>
        <w:pStyle w:val="TableGraphic"/>
        <w:rPr>
          <w:color w:val="auto"/>
          <w:lang w:val="en-GB"/>
        </w:rPr>
      </w:pPr>
      <w:r>
        <w:rPr>
          <w:i w:val="0"/>
          <w:iCs/>
          <w:color w:val="auto"/>
        </w:rPr>
        <w:t xml:space="preserve">There is no </w:t>
      </w:r>
      <w:r w:rsidRPr="00C62694">
        <w:rPr>
          <w:i w:val="0"/>
          <w:iCs/>
          <w:color w:val="auto"/>
        </w:rPr>
        <w:t xml:space="preserve">change to the deliverables for Programme 3.2 as expressed in the </w:t>
      </w:r>
      <w:r w:rsidRPr="00C62694">
        <w:rPr>
          <w:iCs/>
          <w:color w:val="auto"/>
        </w:rPr>
        <w:t>Portfolio Budget Statements 2015-16</w:t>
      </w:r>
      <w:r w:rsidRPr="00C62694">
        <w:rPr>
          <w:i w:val="0"/>
          <w:iCs/>
          <w:color w:val="auto"/>
        </w:rPr>
        <w:t>.</w:t>
      </w:r>
    </w:p>
    <w:p w:rsidR="00FE5ECE" w:rsidRPr="00C62694" w:rsidRDefault="00FE5ECE" w:rsidP="00FE5ECE">
      <w:pPr>
        <w:pStyle w:val="SingleParagraph"/>
        <w:rPr>
          <w:lang w:val="en-GB"/>
        </w:rPr>
      </w:pPr>
    </w:p>
    <w:p w:rsidR="00FE5ECE" w:rsidRPr="0033357F" w:rsidRDefault="00FE5ECE" w:rsidP="00FE5ECE">
      <w:pPr>
        <w:pStyle w:val="Heading5"/>
        <w:rPr>
          <w:lang w:val="en-AU"/>
        </w:rPr>
      </w:pPr>
      <w:r w:rsidRPr="00FE5ECE">
        <w:t>Programme key performance indicators</w:t>
      </w:r>
      <w:r w:rsidR="0033357F">
        <w:rPr>
          <w:lang w:val="en-AU"/>
        </w:rPr>
        <w:t xml:space="preserve"> 3.2</w:t>
      </w:r>
    </w:p>
    <w:p w:rsidR="00FE5ECE" w:rsidRDefault="00FE5ECE" w:rsidP="00FE5ECE">
      <w:pPr>
        <w:pStyle w:val="SingleParagraph"/>
        <w:rPr>
          <w:iCs/>
        </w:rPr>
      </w:pPr>
      <w:r w:rsidRPr="000816D2">
        <w:rPr>
          <w:iCs/>
        </w:rPr>
        <w:t xml:space="preserve">There is no change to the </w:t>
      </w:r>
      <w:r>
        <w:rPr>
          <w:iCs/>
        </w:rPr>
        <w:t>key performance indicators</w:t>
      </w:r>
      <w:r w:rsidRPr="000816D2">
        <w:rPr>
          <w:iCs/>
        </w:rPr>
        <w:t xml:space="preserve"> for Programme </w:t>
      </w:r>
      <w:r>
        <w:rPr>
          <w:iCs/>
        </w:rPr>
        <w:t>3</w:t>
      </w:r>
      <w:r w:rsidRPr="000816D2">
        <w:rPr>
          <w:iCs/>
        </w:rPr>
        <w:t>.</w:t>
      </w:r>
      <w:r>
        <w:rPr>
          <w:iCs/>
        </w:rPr>
        <w:t>2</w:t>
      </w:r>
      <w:r w:rsidRPr="000816D2">
        <w:rPr>
          <w:iCs/>
        </w:rPr>
        <w:t xml:space="preserve"> as expressed in the </w:t>
      </w:r>
      <w:r>
        <w:rPr>
          <w:i/>
          <w:iCs/>
        </w:rPr>
        <w:t>Portfolio Budget Statements 2015-16</w:t>
      </w:r>
      <w:r w:rsidRPr="000816D2">
        <w:rPr>
          <w:iCs/>
        </w:rPr>
        <w:t>.</w:t>
      </w:r>
    </w:p>
    <w:p w:rsidR="00FE5ECE" w:rsidRPr="00FE5ECE" w:rsidRDefault="00FE5ECE" w:rsidP="00F51DAC">
      <w:pPr>
        <w:pStyle w:val="SingleParagraph"/>
      </w:pPr>
    </w:p>
    <w:p w:rsidR="00755EB5" w:rsidRDefault="00F51DAC" w:rsidP="00084EF4">
      <w:pPr>
        <w:pStyle w:val="Heading2"/>
      </w:pPr>
      <w:r>
        <w:br w:type="page"/>
      </w:r>
      <w:r w:rsidRPr="004928FF">
        <w:lastRenderedPageBreak/>
        <w:t>Section 3</w:t>
      </w:r>
      <w:bookmarkStart w:id="359" w:name="_Toc436624159"/>
      <w:bookmarkStart w:id="360" w:name="_Toc436625460"/>
      <w:bookmarkStart w:id="361" w:name="_Toc446237038"/>
      <w:bookmarkStart w:id="362" w:name="_Toc449255782"/>
      <w:r>
        <w:t xml:space="preserve">: </w:t>
      </w:r>
      <w:r w:rsidR="00755EB5">
        <w:t xml:space="preserve">Explanatory </w:t>
      </w:r>
      <w:r w:rsidR="001436E5">
        <w:t>t</w:t>
      </w:r>
      <w:r w:rsidR="001436E5" w:rsidRPr="004928FF">
        <w:t xml:space="preserve">ables </w:t>
      </w:r>
      <w:r w:rsidRPr="004928FF">
        <w:t xml:space="preserve">and </w:t>
      </w:r>
      <w:r w:rsidR="001436E5">
        <w:t>b</w:t>
      </w:r>
      <w:r w:rsidR="001436E5" w:rsidRPr="004928FF">
        <w:t xml:space="preserve">udgeted </w:t>
      </w:r>
      <w:r w:rsidR="001436E5">
        <w:t>f</w:t>
      </w:r>
      <w:r w:rsidR="001436E5" w:rsidRPr="004928FF">
        <w:t xml:space="preserve">inancial </w:t>
      </w:r>
      <w:r w:rsidR="007F5DF7">
        <w:rPr>
          <w:lang w:val="en-AU"/>
        </w:rPr>
        <w:t xml:space="preserve">statements </w:t>
      </w:r>
      <w:bookmarkEnd w:id="330"/>
      <w:bookmarkEnd w:id="331"/>
      <w:bookmarkEnd w:id="332"/>
      <w:bookmarkEnd w:id="333"/>
      <w:bookmarkEnd w:id="334"/>
      <w:bookmarkEnd w:id="359"/>
      <w:bookmarkEnd w:id="360"/>
      <w:bookmarkEnd w:id="361"/>
      <w:bookmarkEnd w:id="362"/>
    </w:p>
    <w:p w:rsidR="00F51DAC" w:rsidRDefault="00755EB5" w:rsidP="00084EF4">
      <w:pPr>
        <w:pStyle w:val="Heading3"/>
      </w:pPr>
      <w:bookmarkStart w:id="363" w:name="_Toc190682316"/>
      <w:bookmarkStart w:id="364" w:name="_Toc190682533"/>
      <w:bookmarkStart w:id="365" w:name="_Toc210703218"/>
      <w:r>
        <w:t>3.1</w:t>
      </w:r>
      <w:r>
        <w:tab/>
        <w:t xml:space="preserve">Explanatory </w:t>
      </w:r>
      <w:r w:rsidR="00C264AC">
        <w:t>tables</w:t>
      </w:r>
      <w:bookmarkEnd w:id="363"/>
      <w:bookmarkEnd w:id="364"/>
      <w:bookmarkEnd w:id="365"/>
    </w:p>
    <w:p w:rsidR="00F51DAC" w:rsidRDefault="00F51DAC" w:rsidP="000B5844">
      <w:pPr>
        <w:pStyle w:val="Heading4"/>
      </w:pPr>
      <w:bookmarkStart w:id="366" w:name="_Toc143309827"/>
      <w:bookmarkStart w:id="367" w:name="OLE_LINK7"/>
      <w:bookmarkStart w:id="368" w:name="OLE_LINK8"/>
      <w:bookmarkStart w:id="369" w:name="_Toc35936966"/>
      <w:bookmarkStart w:id="370" w:name="_Toc77998691"/>
      <w:bookmarkStart w:id="371" w:name="_Toc79406120"/>
      <w:bookmarkStart w:id="372" w:name="_Toc79467822"/>
      <w:bookmarkStart w:id="373" w:name="_Toc112137881"/>
      <w:bookmarkStart w:id="374" w:name="_Toc112137903"/>
      <w:bookmarkStart w:id="375" w:name="_Toc210646456"/>
      <w:bookmarkStart w:id="376" w:name="_Toc210698435"/>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66"/>
    </w:p>
    <w:bookmarkEnd w:id="367"/>
    <w:bookmarkEnd w:id="368"/>
    <w:p w:rsidR="00F51DAC" w:rsidRDefault="00F51DAC" w:rsidP="00F51DAC">
      <w:r>
        <w:t xml:space="preserve">Special </w:t>
      </w:r>
      <w:r w:rsidR="004E017C">
        <w:t>A</w:t>
      </w:r>
      <w:r>
        <w:t xml:space="preserve">ccounts provide a means to set aside and record amounts used for specified purposes. Table 3.1.1 shows the expected additions (receipts) and reductions (payments) for each account used by </w:t>
      </w:r>
      <w:r w:rsidR="00B67FBC">
        <w:t>DFAT</w:t>
      </w:r>
      <w:r w:rsidR="00E15CF3">
        <w:t xml:space="preserve">. </w:t>
      </w:r>
      <w:r>
        <w:t xml:space="preserve">The corresponding table in the </w:t>
      </w:r>
      <w:r w:rsidR="00351674">
        <w:t>201</w:t>
      </w:r>
      <w:r w:rsidR="008A5F47">
        <w:t>5</w:t>
      </w:r>
      <w:r w:rsidR="00351674">
        <w:noBreakHyphen/>
        <w:t>1</w:t>
      </w:r>
      <w:r w:rsidR="008A5F47">
        <w:t>6</w:t>
      </w:r>
      <w:r>
        <w:t xml:space="preserve"> PB Statements is Table 3.1.2.</w:t>
      </w:r>
    </w:p>
    <w:p w:rsidR="00C666BC" w:rsidRDefault="00F51DAC" w:rsidP="00C666BC">
      <w:pPr>
        <w:pStyle w:val="TableHeading"/>
        <w:rPr>
          <w:noProof/>
          <w:lang w:val="en-AU"/>
        </w:rPr>
      </w:pPr>
      <w:r>
        <w:t xml:space="preserve">Table 3.1.1: Estimates of </w:t>
      </w:r>
      <w:r w:rsidR="00C264AC">
        <w:t>special account flows and balances</w:t>
      </w:r>
      <w:bookmarkStart w:id="377" w:name="_Toc190682317"/>
      <w:bookmarkStart w:id="378" w:name="_Toc210703219"/>
    </w:p>
    <w:p w:rsidR="00D90C06" w:rsidRPr="00D90C06" w:rsidRDefault="00827075" w:rsidP="00D90C06">
      <w:pPr>
        <w:pStyle w:val="TableGraphic"/>
      </w:pPr>
      <w:r w:rsidRPr="00827075">
        <w:rPr>
          <w:noProof/>
          <w:lang w:eastAsia="zh-CN"/>
        </w:rPr>
        <w:drawing>
          <wp:inline distT="0" distB="0" distL="0" distR="0" wp14:anchorId="536B245D" wp14:editId="505ED648">
            <wp:extent cx="4896485" cy="4828831"/>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96485" cy="4828831"/>
                    </a:xfrm>
                    <a:prstGeom prst="rect">
                      <a:avLst/>
                    </a:prstGeom>
                    <a:noFill/>
                    <a:ln>
                      <a:noFill/>
                    </a:ln>
                  </pic:spPr>
                </pic:pic>
              </a:graphicData>
            </a:graphic>
          </wp:inline>
        </w:drawing>
      </w:r>
    </w:p>
    <w:p w:rsidR="00044078" w:rsidRPr="00C666BC" w:rsidRDefault="00C666BC" w:rsidP="00C666BC">
      <w:pPr>
        <w:pStyle w:val="TableGraphic"/>
        <w:rPr>
          <w:color w:val="auto"/>
        </w:rPr>
      </w:pPr>
      <w:r w:rsidRPr="00FF2DAE">
        <w:rPr>
          <w:color w:val="auto"/>
        </w:rPr>
        <w:t>Table continued on the following page.</w:t>
      </w:r>
    </w:p>
    <w:p w:rsidR="00044078" w:rsidRPr="00C666BC" w:rsidRDefault="00044078" w:rsidP="00044078">
      <w:pPr>
        <w:pStyle w:val="TableHeading"/>
        <w:rPr>
          <w:rFonts w:cs="Arial"/>
          <w:lang w:val="en-AU"/>
        </w:rPr>
      </w:pPr>
      <w:r w:rsidRPr="00C666BC">
        <w:rPr>
          <w:rFonts w:cs="Arial"/>
        </w:rPr>
        <w:lastRenderedPageBreak/>
        <w:t>Table 3.1.1: Estimates of special account flows and balances</w:t>
      </w:r>
      <w:r w:rsidR="00C666BC">
        <w:rPr>
          <w:rFonts w:cs="Arial"/>
          <w:lang w:val="en-AU"/>
        </w:rPr>
        <w:t xml:space="preserve"> (continued)</w:t>
      </w:r>
    </w:p>
    <w:p w:rsidR="00044078" w:rsidRDefault="002F0C7B" w:rsidP="00770881">
      <w:pPr>
        <w:pStyle w:val="Heading3"/>
        <w:spacing w:before="0" w:after="0"/>
        <w:rPr>
          <w:lang w:val="en-AU"/>
        </w:rPr>
      </w:pPr>
      <w:r w:rsidRPr="002F0C7B">
        <w:rPr>
          <w:noProof/>
          <w:lang w:val="en-AU" w:eastAsia="zh-CN"/>
        </w:rPr>
        <w:drawing>
          <wp:inline distT="0" distB="0" distL="0" distR="0" wp14:anchorId="6220B95F" wp14:editId="1C745F0F">
            <wp:extent cx="4896485" cy="2782286"/>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96485" cy="2782286"/>
                    </a:xfrm>
                    <a:prstGeom prst="rect">
                      <a:avLst/>
                    </a:prstGeom>
                    <a:noFill/>
                    <a:ln>
                      <a:noFill/>
                    </a:ln>
                  </pic:spPr>
                </pic:pic>
              </a:graphicData>
            </a:graphic>
          </wp:inline>
        </w:drawing>
      </w:r>
    </w:p>
    <w:p w:rsidR="00770881" w:rsidRPr="0094415D" w:rsidRDefault="00770881" w:rsidP="00770881">
      <w:pPr>
        <w:spacing w:after="0" w:line="240" w:lineRule="auto"/>
        <w:rPr>
          <w:rFonts w:ascii="Arial" w:hAnsi="Arial" w:cs="Arial"/>
          <w:sz w:val="16"/>
          <w:szCs w:val="16"/>
        </w:rPr>
      </w:pPr>
      <w:r w:rsidRPr="0094415D">
        <w:rPr>
          <w:rFonts w:ascii="Arial" w:hAnsi="Arial" w:cs="Arial"/>
          <w:sz w:val="16"/>
          <w:szCs w:val="16"/>
        </w:rPr>
        <w:t>(A) = Administered</w:t>
      </w:r>
    </w:p>
    <w:p w:rsidR="00770881" w:rsidRPr="0094415D" w:rsidRDefault="00770881" w:rsidP="00770881">
      <w:pPr>
        <w:spacing w:after="0" w:line="240" w:lineRule="auto"/>
        <w:rPr>
          <w:rFonts w:ascii="Arial" w:hAnsi="Arial" w:cs="Arial"/>
          <w:sz w:val="16"/>
          <w:szCs w:val="16"/>
        </w:rPr>
      </w:pPr>
      <w:r w:rsidRPr="0094415D">
        <w:rPr>
          <w:rFonts w:ascii="Arial" w:hAnsi="Arial" w:cs="Arial"/>
          <w:sz w:val="16"/>
          <w:szCs w:val="16"/>
        </w:rPr>
        <w:t>(D) = Departmental</w:t>
      </w:r>
    </w:p>
    <w:p w:rsidR="00770881" w:rsidRPr="0094415D" w:rsidRDefault="00770881" w:rsidP="0020615E">
      <w:pPr>
        <w:pStyle w:val="ListParagraph"/>
        <w:numPr>
          <w:ilvl w:val="0"/>
          <w:numId w:val="21"/>
        </w:numPr>
        <w:ind w:left="284" w:hanging="284"/>
        <w:rPr>
          <w:rFonts w:ascii="Arial" w:hAnsi="Arial" w:cs="Arial"/>
          <w:sz w:val="16"/>
          <w:szCs w:val="16"/>
        </w:rPr>
      </w:pPr>
      <w:r w:rsidRPr="0094415D">
        <w:rPr>
          <w:rFonts w:ascii="Arial" w:hAnsi="Arial" w:cs="Arial"/>
          <w:sz w:val="16"/>
          <w:szCs w:val="16"/>
        </w:rPr>
        <w:t xml:space="preserve">Note that this account was closed in August 2015 and replaced with the Consular Services Special Account </w:t>
      </w:r>
      <w:r w:rsidRPr="008B07EE">
        <w:rPr>
          <w:rFonts w:ascii="Arial" w:hAnsi="Arial" w:cs="Arial"/>
          <w:i/>
          <w:sz w:val="16"/>
          <w:szCs w:val="16"/>
        </w:rPr>
        <w:t>- s78 PGPA Act</w:t>
      </w:r>
      <w:r w:rsidRPr="0094415D">
        <w:rPr>
          <w:rFonts w:ascii="Arial" w:hAnsi="Arial" w:cs="Arial"/>
          <w:sz w:val="16"/>
          <w:szCs w:val="16"/>
        </w:rPr>
        <w:t xml:space="preserve"> Determination 2015/05.</w:t>
      </w:r>
    </w:p>
    <w:p w:rsidR="00770881" w:rsidRPr="0094415D" w:rsidRDefault="00770881" w:rsidP="0020615E">
      <w:pPr>
        <w:pStyle w:val="ListParagraph"/>
        <w:numPr>
          <w:ilvl w:val="0"/>
          <w:numId w:val="21"/>
        </w:numPr>
        <w:ind w:left="284" w:hanging="284"/>
        <w:rPr>
          <w:rFonts w:ascii="Arial" w:hAnsi="Arial" w:cs="Arial"/>
          <w:sz w:val="16"/>
          <w:szCs w:val="16"/>
        </w:rPr>
      </w:pPr>
      <w:r w:rsidRPr="0094415D">
        <w:rPr>
          <w:rFonts w:ascii="Arial" w:hAnsi="Arial" w:cs="Arial"/>
          <w:sz w:val="16"/>
          <w:szCs w:val="16"/>
        </w:rPr>
        <w:t xml:space="preserve">Note that this account was closed in April 2015 and replaced with the </w:t>
      </w:r>
      <w:r w:rsidR="002116DE" w:rsidRPr="0094415D">
        <w:rPr>
          <w:rFonts w:ascii="Arial" w:hAnsi="Arial" w:cs="Arial"/>
          <w:sz w:val="16"/>
          <w:szCs w:val="16"/>
        </w:rPr>
        <w:t>Australia</w:t>
      </w:r>
      <w:r w:rsidRPr="0094415D">
        <w:rPr>
          <w:rFonts w:ascii="Arial" w:hAnsi="Arial" w:cs="Arial"/>
          <w:sz w:val="16"/>
          <w:szCs w:val="16"/>
        </w:rPr>
        <w:t xml:space="preserve">-Indonesia Partnership for Reconstruction and Development (Loans) Special Account - </w:t>
      </w:r>
      <w:r w:rsidRPr="000D6AA7">
        <w:rPr>
          <w:rFonts w:ascii="Arial" w:hAnsi="Arial" w:cs="Arial"/>
          <w:i/>
          <w:sz w:val="16"/>
          <w:szCs w:val="16"/>
        </w:rPr>
        <w:t>s78 PGPA Act</w:t>
      </w:r>
      <w:r w:rsidRPr="0094415D">
        <w:rPr>
          <w:rFonts w:ascii="Arial" w:hAnsi="Arial" w:cs="Arial"/>
          <w:sz w:val="16"/>
          <w:szCs w:val="16"/>
        </w:rPr>
        <w:t xml:space="preserve"> Determination 2015/01.</w:t>
      </w:r>
    </w:p>
    <w:p w:rsidR="00770881" w:rsidRPr="0094415D" w:rsidRDefault="00770881">
      <w:pPr>
        <w:spacing w:after="0" w:line="240" w:lineRule="auto"/>
        <w:jc w:val="left"/>
        <w:rPr>
          <w:rFonts w:ascii="Arial" w:eastAsia="SimSun" w:hAnsi="Arial" w:cs="Arial"/>
          <w:sz w:val="16"/>
          <w:szCs w:val="16"/>
          <w:lang w:eastAsia="zh-CN"/>
        </w:rPr>
      </w:pPr>
      <w:r w:rsidRPr="0094415D">
        <w:rPr>
          <w:rFonts w:ascii="Arial" w:hAnsi="Arial" w:cs="Arial"/>
          <w:sz w:val="16"/>
          <w:szCs w:val="16"/>
        </w:rPr>
        <w:br w:type="page"/>
      </w:r>
    </w:p>
    <w:p w:rsidR="00F51DAC" w:rsidRDefault="00F51DAC" w:rsidP="00F51DAC">
      <w:pPr>
        <w:pStyle w:val="Heading3"/>
      </w:pPr>
      <w:r>
        <w:lastRenderedPageBreak/>
        <w:t>3.2</w:t>
      </w:r>
      <w:r>
        <w:tab/>
        <w:t>Budgeted financial statements</w:t>
      </w:r>
      <w:bookmarkEnd w:id="377"/>
      <w:bookmarkEnd w:id="378"/>
    </w:p>
    <w:p w:rsidR="00EC4F96" w:rsidRPr="00EC4F96" w:rsidRDefault="00EC4F96" w:rsidP="00D64E3F">
      <w:pPr>
        <w:pStyle w:val="Heading4"/>
        <w:jc w:val="both"/>
        <w:rPr>
          <w:color w:val="000000"/>
        </w:rPr>
      </w:pPr>
      <w:bookmarkStart w:id="379" w:name="_Toc77998692"/>
      <w:bookmarkStart w:id="380" w:name="_Toc79406121"/>
      <w:bookmarkStart w:id="381" w:name="_Toc79467823"/>
      <w:bookmarkStart w:id="382" w:name="_Toc112137882"/>
      <w:bookmarkStart w:id="383" w:name="_Toc112137904"/>
      <w:bookmarkStart w:id="384" w:name="_Toc210646457"/>
      <w:bookmarkStart w:id="385" w:name="_Toc210698436"/>
      <w:bookmarkStart w:id="386" w:name="_Toc35936967"/>
      <w:bookmarkStart w:id="387" w:name="_Toc533506534"/>
      <w:bookmarkStart w:id="388" w:name="_Toc533506609"/>
      <w:bookmarkStart w:id="389" w:name="_Toc533507059"/>
      <w:bookmarkEnd w:id="369"/>
      <w:bookmarkEnd w:id="370"/>
      <w:bookmarkEnd w:id="371"/>
      <w:bookmarkEnd w:id="372"/>
      <w:bookmarkEnd w:id="373"/>
      <w:bookmarkEnd w:id="374"/>
      <w:bookmarkEnd w:id="375"/>
      <w:bookmarkEnd w:id="376"/>
      <w:r w:rsidRPr="00EC4F96">
        <w:rPr>
          <w:color w:val="000000"/>
        </w:rPr>
        <w:t xml:space="preserve">Differences in </w:t>
      </w:r>
      <w:r w:rsidRPr="00EC4F96">
        <w:rPr>
          <w:color w:val="000000"/>
          <w:lang w:val="en-AU"/>
        </w:rPr>
        <w:t xml:space="preserve">agency resourcing and financial statements </w:t>
      </w:r>
    </w:p>
    <w:p w:rsidR="00EC4F96" w:rsidRPr="00EC4F96" w:rsidRDefault="00EC4F96" w:rsidP="00D64E3F">
      <w:pPr>
        <w:rPr>
          <w:color w:val="000000"/>
        </w:rPr>
      </w:pPr>
      <w:r w:rsidRPr="00EC4F96">
        <w:rPr>
          <w:color w:val="000000"/>
        </w:rPr>
        <w:t>In accordance with the Government Finance Statistics provided by the Australian Bureau of Statistics, the budgeted financial st</w:t>
      </w:r>
      <w:r w:rsidR="00594BB0">
        <w:rPr>
          <w:color w:val="000000"/>
        </w:rPr>
        <w:t xml:space="preserve">atements do not recognise </w:t>
      </w:r>
      <w:proofErr w:type="spellStart"/>
      <w:r w:rsidR="00594BB0">
        <w:rPr>
          <w:color w:val="000000"/>
        </w:rPr>
        <w:t>conces</w:t>
      </w:r>
      <w:r w:rsidRPr="00EC4F96">
        <w:rPr>
          <w:color w:val="000000"/>
        </w:rPr>
        <w:t>sionality</w:t>
      </w:r>
      <w:proofErr w:type="spellEnd"/>
      <w:r w:rsidRPr="00EC4F96">
        <w:rPr>
          <w:color w:val="000000"/>
        </w:rPr>
        <w:t xml:space="preserve"> and the associated discounting of concessional loans.  Australian Accounting Standards require concessional loans to reflect a market related rate of interest and be discounted over the loan maturity period.  DFAT has two programmes that are affected by this treatment:</w:t>
      </w:r>
    </w:p>
    <w:p w:rsidR="00EC4F96" w:rsidRPr="00EC4F96" w:rsidRDefault="00EC4F96" w:rsidP="00D64E3F">
      <w:pPr>
        <w:numPr>
          <w:ilvl w:val="0"/>
          <w:numId w:val="7"/>
        </w:numPr>
        <w:rPr>
          <w:color w:val="000000"/>
        </w:rPr>
      </w:pPr>
      <w:r w:rsidRPr="00EC4F96">
        <w:rPr>
          <w:color w:val="000000"/>
        </w:rPr>
        <w:t>Asian Development Fund replenishments – investment component; and</w:t>
      </w:r>
    </w:p>
    <w:p w:rsidR="00EC4F96" w:rsidRPr="00EC4F96" w:rsidRDefault="00EC4F96" w:rsidP="00D64E3F">
      <w:pPr>
        <w:numPr>
          <w:ilvl w:val="0"/>
          <w:numId w:val="7"/>
        </w:numPr>
        <w:rPr>
          <w:color w:val="000000"/>
        </w:rPr>
      </w:pPr>
      <w:r w:rsidRPr="00EC4F96">
        <w:rPr>
          <w:color w:val="000000"/>
        </w:rPr>
        <w:t>International Development Association replenishments – investment component.</w:t>
      </w:r>
    </w:p>
    <w:p w:rsidR="00EC4F96" w:rsidRPr="00EC4F96" w:rsidRDefault="00EC4F96" w:rsidP="00D64E3F">
      <w:pPr>
        <w:rPr>
          <w:color w:val="000000"/>
        </w:rPr>
      </w:pPr>
      <w:r w:rsidRPr="00EC4F96">
        <w:rPr>
          <w:color w:val="000000"/>
        </w:rPr>
        <w:t>The investment component does not impact on the fiscal or underlying cash balances, as the provision of a loan only affects the composition of the Australian Government investment in financial assets.</w:t>
      </w:r>
    </w:p>
    <w:p w:rsidR="00EC4F96" w:rsidRPr="00EC4F96" w:rsidRDefault="00EC4F96" w:rsidP="00D64E3F">
      <w:pPr>
        <w:pStyle w:val="Heading5"/>
        <w:jc w:val="both"/>
        <w:rPr>
          <w:color w:val="000000"/>
          <w:lang w:val="en-AU"/>
        </w:rPr>
      </w:pPr>
      <w:r w:rsidRPr="00EC4F96">
        <w:rPr>
          <w:color w:val="000000"/>
          <w:lang w:val="en-AU"/>
        </w:rPr>
        <w:t>Budget Departmental Income Statement</w:t>
      </w:r>
    </w:p>
    <w:p w:rsidR="00717857" w:rsidRPr="006F4760" w:rsidRDefault="009565A1" w:rsidP="00D64E3F">
      <w:r>
        <w:rPr>
          <w:color w:val="000000"/>
        </w:rPr>
        <w:t>The D</w:t>
      </w:r>
      <w:r w:rsidR="00717857" w:rsidRPr="00EC4F96">
        <w:rPr>
          <w:color w:val="000000"/>
        </w:rPr>
        <w:t xml:space="preserve">epartment will receive </w:t>
      </w:r>
      <w:r w:rsidR="00717857">
        <w:rPr>
          <w:color w:val="000000"/>
        </w:rPr>
        <w:t xml:space="preserve">a net increase in revenue from Government </w:t>
      </w:r>
      <w:r w:rsidR="00717857" w:rsidRPr="006F4760">
        <w:t>of $2.5 million (excluding equity injections) in 2015-16.</w:t>
      </w:r>
    </w:p>
    <w:p w:rsidR="00717857" w:rsidRPr="00EC4F96" w:rsidRDefault="00717857" w:rsidP="00D64E3F">
      <w:pPr>
        <w:rPr>
          <w:color w:val="000000"/>
        </w:rPr>
      </w:pPr>
      <w:r w:rsidRPr="00EC4F96">
        <w:rPr>
          <w:color w:val="000000"/>
        </w:rPr>
        <w:t xml:space="preserve">DFAT’s change in </w:t>
      </w:r>
      <w:r>
        <w:rPr>
          <w:color w:val="000000"/>
        </w:rPr>
        <w:t>revenue</w:t>
      </w:r>
      <w:r w:rsidRPr="00EC4F96">
        <w:rPr>
          <w:color w:val="000000"/>
        </w:rPr>
        <w:t xml:space="preserve"> is primarily a</w:t>
      </w:r>
      <w:r w:rsidR="009565A1">
        <w:rPr>
          <w:color w:val="000000"/>
        </w:rPr>
        <w:t>ttributable to funding for the D</w:t>
      </w:r>
      <w:r w:rsidRPr="00EC4F96">
        <w:rPr>
          <w:color w:val="000000"/>
        </w:rPr>
        <w:t xml:space="preserve">epartment’s engagement with the Asian Infrastructure Investment Bank, an adjustment for within year foreign exchange movements and an adjustment for passport funding due to lower than expected passports issued in 2015-16.  </w:t>
      </w:r>
    </w:p>
    <w:p w:rsidR="00EC4F96" w:rsidRPr="00EC4F96" w:rsidRDefault="00EC4F96" w:rsidP="00D64E3F">
      <w:pPr>
        <w:pStyle w:val="Heading5"/>
        <w:jc w:val="both"/>
        <w:rPr>
          <w:color w:val="000000"/>
          <w:lang w:val="en-AU"/>
        </w:rPr>
      </w:pPr>
      <w:r w:rsidRPr="00EC4F96">
        <w:rPr>
          <w:color w:val="000000"/>
          <w:lang w:val="en-AU"/>
        </w:rPr>
        <w:t>Budgeted Departmental Balance Sheet</w:t>
      </w:r>
    </w:p>
    <w:p w:rsidR="0050731A" w:rsidRPr="00EC4F96" w:rsidRDefault="0050731A" w:rsidP="00D64E3F">
      <w:pPr>
        <w:keepLines/>
        <w:rPr>
          <w:color w:val="000000"/>
        </w:rPr>
      </w:pPr>
      <w:r w:rsidRPr="00EC4F96">
        <w:rPr>
          <w:color w:val="000000"/>
        </w:rPr>
        <w:t xml:space="preserve">The Department will not receive additional equity in 2015-16.  For 2015-16, the Department’s non-financial asset position is budgeted to </w:t>
      </w:r>
      <w:r w:rsidRPr="004E38C0">
        <w:rPr>
          <w:color w:val="000000" w:themeColor="text1"/>
        </w:rPr>
        <w:t xml:space="preserve">be $3,865.0 million </w:t>
      </w:r>
      <w:r w:rsidRPr="00EC4F96">
        <w:rPr>
          <w:color w:val="000000"/>
        </w:rPr>
        <w:t>at year-end.  The major asset component is $</w:t>
      </w:r>
      <w:r>
        <w:rPr>
          <w:color w:val="000000"/>
        </w:rPr>
        <w:t xml:space="preserve">3,076.2 </w:t>
      </w:r>
      <w:r w:rsidRPr="00EC4F96">
        <w:rPr>
          <w:color w:val="000000"/>
        </w:rPr>
        <w:t>million for Land and Buildings.</w:t>
      </w:r>
    </w:p>
    <w:p w:rsidR="00EC4F96" w:rsidRPr="00EC4F96" w:rsidRDefault="00EC4F96" w:rsidP="00D64E3F">
      <w:pPr>
        <w:pStyle w:val="Heading5"/>
        <w:jc w:val="both"/>
        <w:rPr>
          <w:color w:val="000000"/>
          <w:lang w:val="en-AU"/>
        </w:rPr>
      </w:pPr>
      <w:r w:rsidRPr="00EC4F96">
        <w:rPr>
          <w:color w:val="000000"/>
          <w:lang w:val="en-AU"/>
        </w:rPr>
        <w:t xml:space="preserve">Schedule of budgeted income and expenses administered on behalf of </w:t>
      </w:r>
      <w:r w:rsidR="009565A1">
        <w:rPr>
          <w:color w:val="000000"/>
          <w:lang w:val="en-AU"/>
        </w:rPr>
        <w:t>G</w:t>
      </w:r>
      <w:r w:rsidRPr="00EC4F96">
        <w:rPr>
          <w:color w:val="000000"/>
          <w:lang w:val="en-AU"/>
        </w:rPr>
        <w:t>overnment</w:t>
      </w:r>
    </w:p>
    <w:p w:rsidR="00EC4F96" w:rsidRPr="00EC4F96" w:rsidRDefault="00EC4F96" w:rsidP="00D64E3F">
      <w:pPr>
        <w:rPr>
          <w:color w:val="000000"/>
        </w:rPr>
      </w:pPr>
      <w:r w:rsidRPr="00EC4F96">
        <w:rPr>
          <w:color w:val="000000"/>
        </w:rPr>
        <w:t>This schedule identifies the main revenues and expenses for those programs managed and implemented by DFAT on behalf of the Government.</w:t>
      </w:r>
    </w:p>
    <w:p w:rsidR="00EC4F96" w:rsidRPr="00EC4F96" w:rsidRDefault="00EC4F96" w:rsidP="00D64E3F">
      <w:pPr>
        <w:rPr>
          <w:color w:val="000000"/>
        </w:rPr>
      </w:pPr>
      <w:r w:rsidRPr="00EC4F96">
        <w:rPr>
          <w:color w:val="000000"/>
        </w:rPr>
        <w:t xml:space="preserve">Administered revenues are forecast to decrease by $22.3 million from the 2015-16 </w:t>
      </w:r>
      <w:r w:rsidR="00C03C62">
        <w:rPr>
          <w:color w:val="000000"/>
        </w:rPr>
        <w:t>B</w:t>
      </w:r>
      <w:r w:rsidRPr="00EC4F96">
        <w:rPr>
          <w:color w:val="000000"/>
        </w:rPr>
        <w:t>udget primarily due to a decrease in passport revenues.</w:t>
      </w:r>
    </w:p>
    <w:p w:rsidR="00EC4F96" w:rsidRPr="00EC4F96" w:rsidRDefault="00EC4F96" w:rsidP="00D64E3F">
      <w:pPr>
        <w:rPr>
          <w:color w:val="000000"/>
        </w:rPr>
      </w:pPr>
      <w:r w:rsidRPr="00EC4F96">
        <w:rPr>
          <w:color w:val="000000"/>
        </w:rPr>
        <w:t xml:space="preserve">Administered expenses are forecast to increase by $30.2 million from the 2015-16 Budget primarily due to an increase in UN peacekeeping operations and other </w:t>
      </w:r>
      <w:r w:rsidR="002717A1">
        <w:rPr>
          <w:color w:val="000000"/>
        </w:rPr>
        <w:t xml:space="preserve">payments to </w:t>
      </w:r>
      <w:r w:rsidRPr="00EC4F96">
        <w:rPr>
          <w:color w:val="000000"/>
        </w:rPr>
        <w:t>International Organisations.</w:t>
      </w:r>
    </w:p>
    <w:p w:rsidR="00EC4F96" w:rsidRPr="00EC4F96" w:rsidRDefault="00EC4F96" w:rsidP="00D64E3F">
      <w:pPr>
        <w:pStyle w:val="Heading5"/>
        <w:jc w:val="both"/>
        <w:rPr>
          <w:color w:val="000000"/>
          <w:lang w:val="en-AU"/>
        </w:rPr>
      </w:pPr>
      <w:r w:rsidRPr="00EC4F96">
        <w:rPr>
          <w:color w:val="000000"/>
          <w:lang w:val="en-AU"/>
        </w:rPr>
        <w:lastRenderedPageBreak/>
        <w:t>Schedule of budgeted assets and liabili</w:t>
      </w:r>
      <w:r w:rsidR="009565A1">
        <w:rPr>
          <w:color w:val="000000"/>
          <w:lang w:val="en-AU"/>
        </w:rPr>
        <w:t>ties administered on behalf of G</w:t>
      </w:r>
      <w:r w:rsidRPr="00EC4F96">
        <w:rPr>
          <w:color w:val="000000"/>
          <w:lang w:val="en-AU"/>
        </w:rPr>
        <w:t>overnment</w:t>
      </w:r>
    </w:p>
    <w:p w:rsidR="001542D4" w:rsidRPr="00EC4F96" w:rsidRDefault="001542D4" w:rsidP="00D64E3F">
      <w:pPr>
        <w:rPr>
          <w:color w:val="000000"/>
        </w:rPr>
      </w:pPr>
      <w:r w:rsidRPr="00EC4F96">
        <w:rPr>
          <w:color w:val="000000"/>
        </w:rPr>
        <w:t>This schedule shows the administered assets and liabilities administered on behalf of the Government.</w:t>
      </w:r>
    </w:p>
    <w:p w:rsidR="001542D4" w:rsidRPr="00EC4F96" w:rsidRDefault="001542D4" w:rsidP="00D64E3F">
      <w:pPr>
        <w:rPr>
          <w:color w:val="000000"/>
        </w:rPr>
      </w:pPr>
      <w:r w:rsidRPr="00EC4F96">
        <w:rPr>
          <w:color w:val="000000"/>
        </w:rPr>
        <w:t>Asset and liabilities administered on behalf of the Government are budgeted at $4,305.5</w:t>
      </w:r>
      <w:r>
        <w:rPr>
          <w:color w:val="000000"/>
        </w:rPr>
        <w:t xml:space="preserve"> </w:t>
      </w:r>
      <w:r w:rsidRPr="00EC4F96">
        <w:rPr>
          <w:color w:val="000000"/>
        </w:rPr>
        <w:t>million and $1,902.5 million respectively for the year ending 30 June 2016.</w:t>
      </w:r>
    </w:p>
    <w:p w:rsidR="00EC4F96" w:rsidRPr="00EC4F96" w:rsidRDefault="00EC4F96" w:rsidP="00D64E3F">
      <w:pPr>
        <w:pStyle w:val="Heading5"/>
        <w:jc w:val="both"/>
        <w:rPr>
          <w:color w:val="000000"/>
          <w:lang w:val="en-AU"/>
        </w:rPr>
      </w:pPr>
      <w:r w:rsidRPr="00EC4F96">
        <w:rPr>
          <w:color w:val="000000"/>
          <w:lang w:val="en-AU"/>
        </w:rPr>
        <w:t>Schedule of budgeted administered cash flows</w:t>
      </w:r>
    </w:p>
    <w:p w:rsidR="001542D4" w:rsidRPr="00EC4F96" w:rsidRDefault="001542D4" w:rsidP="00D64E3F">
      <w:pPr>
        <w:rPr>
          <w:color w:val="000000"/>
        </w:rPr>
      </w:pPr>
      <w:r w:rsidRPr="00EC4F96">
        <w:rPr>
          <w:color w:val="000000"/>
        </w:rPr>
        <w:t>This schedule shows the budgeted cash flows.  It provides information on the extent and nature of cash flows by categorising them into expected cash flows from operating activities, investing activities and financing activities.</w:t>
      </w:r>
    </w:p>
    <w:p w:rsidR="00F51DAC" w:rsidRPr="004928FF" w:rsidRDefault="00C62694" w:rsidP="000B5844">
      <w:pPr>
        <w:pStyle w:val="Heading4"/>
      </w:pPr>
      <w:r>
        <w:br w:type="page"/>
      </w:r>
      <w:r w:rsidR="0054210A">
        <w:lastRenderedPageBreak/>
        <w:t>3.2.</w:t>
      </w:r>
      <w:r w:rsidR="0054210A">
        <w:rPr>
          <w:lang w:val="en-AU"/>
        </w:rPr>
        <w:t>1</w:t>
      </w:r>
      <w:r w:rsidR="00F51DAC">
        <w:tab/>
      </w:r>
      <w:r w:rsidR="00F51DAC" w:rsidRPr="004928FF">
        <w:t xml:space="preserve">Budgeted </w:t>
      </w:r>
      <w:r w:rsidR="00C264AC">
        <w:t>f</w:t>
      </w:r>
      <w:r w:rsidR="00C264AC" w:rsidRPr="004928FF">
        <w:t xml:space="preserve">inancial </w:t>
      </w:r>
      <w:r w:rsidR="00C264AC">
        <w:t>s</w:t>
      </w:r>
      <w:r w:rsidR="00C264AC" w:rsidRPr="004928FF">
        <w:t>tatements</w:t>
      </w:r>
      <w:bookmarkEnd w:id="379"/>
      <w:bookmarkEnd w:id="380"/>
      <w:bookmarkEnd w:id="381"/>
      <w:bookmarkEnd w:id="382"/>
      <w:bookmarkEnd w:id="383"/>
      <w:bookmarkEnd w:id="384"/>
      <w:bookmarkEnd w:id="385"/>
    </w:p>
    <w:bookmarkEnd w:id="386"/>
    <w:p w:rsidR="00F51DAC" w:rsidRPr="00327424" w:rsidRDefault="00F51DAC" w:rsidP="00F51DAC">
      <w:pPr>
        <w:pStyle w:val="TableHeading"/>
        <w:spacing w:before="0"/>
        <w:rPr>
          <w:snapToGrid w:val="0"/>
          <w:lang w:val="en-AU"/>
        </w:rPr>
      </w:pPr>
      <w:r w:rsidRPr="00014438">
        <w:rPr>
          <w:snapToGrid w:val="0"/>
        </w:rPr>
        <w:t>Table 3.2.1</w:t>
      </w:r>
      <w:r>
        <w:rPr>
          <w:snapToGrid w:val="0"/>
        </w:rPr>
        <w:t>:</w:t>
      </w:r>
      <w:r w:rsidRPr="00014438">
        <w:rPr>
          <w:snapToGrid w:val="0"/>
        </w:rPr>
        <w:t xml:space="preserve"> </w:t>
      </w:r>
      <w:r>
        <w:rPr>
          <w:snapToGrid w:val="0"/>
        </w:rPr>
        <w:t>C</w:t>
      </w:r>
      <w:r w:rsidRPr="00014438">
        <w:rPr>
          <w:snapToGrid w:val="0"/>
        </w:rPr>
        <w:t xml:space="preserve">omprehensive </w:t>
      </w:r>
      <w:r w:rsidR="00622A38" w:rsidRPr="00014438">
        <w:rPr>
          <w:snapToGrid w:val="0"/>
        </w:rPr>
        <w:t xml:space="preserve">income statement </w:t>
      </w:r>
      <w:r w:rsidRPr="00014438">
        <w:rPr>
          <w:snapToGrid w:val="0"/>
        </w:rPr>
        <w:t>(</w:t>
      </w:r>
      <w:r w:rsidR="00622A38" w:rsidRPr="00014438">
        <w:rPr>
          <w:snapToGrid w:val="0"/>
        </w:rPr>
        <w:t>showing net cost of services</w:t>
      </w:r>
      <w:r w:rsidRPr="00014438">
        <w:rPr>
          <w:snapToGrid w:val="0"/>
        </w:rPr>
        <w:t>)</w:t>
      </w:r>
      <w:r w:rsidR="00253307">
        <w:rPr>
          <w:snapToGrid w:val="0"/>
          <w:lang w:val="en-AU"/>
        </w:rPr>
        <w:t xml:space="preserve"> for the period ended 30 June</w:t>
      </w:r>
    </w:p>
    <w:p w:rsidR="00F51DAC" w:rsidRDefault="005D1BDD" w:rsidP="00770881">
      <w:pPr>
        <w:pStyle w:val="TableGraphic"/>
      </w:pPr>
      <w:r w:rsidRPr="005D1BDD">
        <w:rPr>
          <w:noProof/>
          <w:lang w:eastAsia="zh-CN"/>
        </w:rPr>
        <w:drawing>
          <wp:inline distT="0" distB="0" distL="0" distR="0" wp14:anchorId="79C45227" wp14:editId="7B9097BB">
            <wp:extent cx="4896485" cy="586094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6485" cy="5860944"/>
                    </a:xfrm>
                    <a:prstGeom prst="rect">
                      <a:avLst/>
                    </a:prstGeom>
                    <a:noFill/>
                    <a:ln>
                      <a:noFill/>
                    </a:ln>
                  </pic:spPr>
                </pic:pic>
              </a:graphicData>
            </a:graphic>
          </wp:inline>
        </w:drawing>
      </w:r>
    </w:p>
    <w:p w:rsidR="00F51DAC" w:rsidRDefault="00F51DAC" w:rsidP="00E15CF3">
      <w:pPr>
        <w:pStyle w:val="SingleParagraph"/>
        <w:rPr>
          <w:snapToGrid w:val="0"/>
        </w:rPr>
      </w:pPr>
    </w:p>
    <w:p w:rsidR="00770881" w:rsidRDefault="00373526" w:rsidP="00F51DAC">
      <w:pPr>
        <w:pStyle w:val="TableHeading"/>
        <w:spacing w:before="0"/>
        <w:rPr>
          <w:lang w:val="en-AU"/>
        </w:rPr>
      </w:pPr>
      <w:r>
        <w:rPr>
          <w:snapToGrid w:val="0"/>
        </w:rPr>
        <w:br w:type="page"/>
      </w:r>
    </w:p>
    <w:p w:rsidR="00770881" w:rsidRPr="00712C09" w:rsidRDefault="00770881" w:rsidP="00F51DAC">
      <w:pPr>
        <w:pStyle w:val="TableHeading"/>
        <w:spacing w:before="0"/>
        <w:rPr>
          <w:rFonts w:cs="Arial"/>
          <w:lang w:val="en-AU"/>
        </w:rPr>
      </w:pPr>
      <w:r w:rsidRPr="00712C09">
        <w:rPr>
          <w:rFonts w:cs="Arial"/>
          <w:lang w:val="en-AU"/>
        </w:rPr>
        <w:lastRenderedPageBreak/>
        <w:t>Table 3.2.1: Comprehensive income statement (showing net cost of services) for the period ended 30 June</w:t>
      </w:r>
      <w:r w:rsidR="00712C09">
        <w:rPr>
          <w:rFonts w:cs="Arial"/>
          <w:lang w:val="en-AU"/>
        </w:rPr>
        <w:t xml:space="preserve"> (continued)</w:t>
      </w:r>
    </w:p>
    <w:p w:rsidR="00770881" w:rsidRDefault="005D1BDD" w:rsidP="00F51DAC">
      <w:pPr>
        <w:pStyle w:val="TableHeading"/>
        <w:spacing w:before="0"/>
        <w:rPr>
          <w:snapToGrid w:val="0"/>
          <w:lang w:val="en-AU"/>
        </w:rPr>
      </w:pPr>
      <w:r w:rsidRPr="005D1BDD">
        <w:rPr>
          <w:noProof/>
          <w:lang w:val="en-AU" w:eastAsia="zh-CN"/>
        </w:rPr>
        <w:drawing>
          <wp:inline distT="0" distB="0" distL="0" distR="0" wp14:anchorId="654B2E6A" wp14:editId="104075A6">
            <wp:extent cx="4896485" cy="15301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96485" cy="1530152"/>
                    </a:xfrm>
                    <a:prstGeom prst="rect">
                      <a:avLst/>
                    </a:prstGeom>
                    <a:noFill/>
                    <a:ln>
                      <a:noFill/>
                    </a:ln>
                  </pic:spPr>
                </pic:pic>
              </a:graphicData>
            </a:graphic>
          </wp:inline>
        </w:drawing>
      </w:r>
    </w:p>
    <w:p w:rsidR="00594BB0" w:rsidRPr="00770881" w:rsidRDefault="00594BB0" w:rsidP="00594BB0">
      <w:pPr>
        <w:pStyle w:val="ListParagraph"/>
        <w:numPr>
          <w:ilvl w:val="0"/>
          <w:numId w:val="22"/>
        </w:numPr>
        <w:ind w:left="284" w:hanging="284"/>
        <w:rPr>
          <w:rFonts w:ascii="Arial" w:hAnsi="Arial"/>
          <w:snapToGrid w:val="0"/>
          <w:sz w:val="16"/>
          <w:szCs w:val="16"/>
        </w:rPr>
      </w:pPr>
      <w:r w:rsidRPr="00770881">
        <w:rPr>
          <w:rFonts w:ascii="Arial" w:hAnsi="Arial"/>
          <w:snapToGrid w:val="0"/>
          <w:sz w:val="16"/>
          <w:szCs w:val="16"/>
        </w:rPr>
        <w:t xml:space="preserve">From 2010-11, the Government introduced net cash appropriation arrangements </w:t>
      </w:r>
      <w:r w:rsidRPr="00511325">
        <w:rPr>
          <w:rFonts w:ascii="Arial" w:hAnsi="Arial"/>
          <w:snapToGrid w:val="0"/>
          <w:sz w:val="16"/>
          <w:szCs w:val="16"/>
        </w:rPr>
        <w:t>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w:t>
      </w:r>
      <w:r w:rsidRPr="00770881">
        <w:rPr>
          <w:rFonts w:ascii="Arial" w:hAnsi="Arial"/>
          <w:snapToGrid w:val="0"/>
          <w:sz w:val="16"/>
          <w:szCs w:val="16"/>
        </w:rPr>
        <w:t>riations. For information regarding DCBs, please refer to Table 3.2.5 Departmental Capital Budget Statement.</w:t>
      </w:r>
    </w:p>
    <w:p w:rsidR="00770881" w:rsidRPr="00877DFE" w:rsidRDefault="00770881" w:rsidP="00877DFE">
      <w:pPr>
        <w:rPr>
          <w:rFonts w:ascii="Arial" w:hAnsi="Arial"/>
          <w:snapToGrid w:val="0"/>
          <w:sz w:val="16"/>
          <w:szCs w:val="16"/>
        </w:rPr>
      </w:pPr>
      <w:r w:rsidRPr="00877DFE">
        <w:rPr>
          <w:rFonts w:ascii="Arial" w:hAnsi="Arial"/>
          <w:snapToGrid w:val="0"/>
          <w:sz w:val="16"/>
          <w:szCs w:val="16"/>
        </w:rPr>
        <w:t>Prepared on A</w:t>
      </w:r>
      <w:r w:rsidR="00BF1F44" w:rsidRPr="00877DFE">
        <w:rPr>
          <w:rFonts w:ascii="Arial" w:hAnsi="Arial"/>
          <w:snapToGrid w:val="0"/>
          <w:sz w:val="16"/>
          <w:szCs w:val="16"/>
        </w:rPr>
        <w:t>ustralian Accounting Standards b</w:t>
      </w:r>
      <w:r w:rsidRPr="00877DFE">
        <w:rPr>
          <w:rFonts w:ascii="Arial" w:hAnsi="Arial"/>
          <w:snapToGrid w:val="0"/>
          <w:sz w:val="16"/>
          <w:szCs w:val="16"/>
        </w:rPr>
        <w:t>asis</w:t>
      </w:r>
      <w:r w:rsidR="00BF1F44" w:rsidRPr="00877DFE">
        <w:rPr>
          <w:rFonts w:ascii="Arial" w:hAnsi="Arial"/>
          <w:snapToGrid w:val="0"/>
          <w:sz w:val="16"/>
          <w:szCs w:val="16"/>
        </w:rPr>
        <w:t>.</w:t>
      </w:r>
      <w:r w:rsidRPr="00877DFE">
        <w:rPr>
          <w:rFonts w:ascii="Arial" w:hAnsi="Arial"/>
          <w:b/>
          <w:snapToGrid w:val="0"/>
          <w:sz w:val="16"/>
          <w:szCs w:val="16"/>
        </w:rPr>
        <w:tab/>
      </w:r>
      <w:r w:rsidRPr="00877DFE">
        <w:rPr>
          <w:snapToGrid w:val="0"/>
        </w:rPr>
        <w:br w:type="page"/>
      </w:r>
    </w:p>
    <w:p w:rsidR="00F51DAC" w:rsidRPr="00014438" w:rsidRDefault="00F51DAC" w:rsidP="00F51DAC">
      <w:pPr>
        <w:pStyle w:val="TableHeading"/>
        <w:spacing w:before="0"/>
        <w:rPr>
          <w:snapToGrid w:val="0"/>
        </w:rPr>
      </w:pPr>
      <w:r w:rsidRPr="00014438">
        <w:rPr>
          <w:snapToGrid w:val="0"/>
        </w:rPr>
        <w:lastRenderedPageBreak/>
        <w:t xml:space="preserve">Table 3.2.2: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Pr="00014438">
        <w:rPr>
          <w:snapToGrid w:val="0"/>
        </w:rPr>
        <w:t>(as at 30 June)</w:t>
      </w:r>
    </w:p>
    <w:p w:rsidR="00F51DAC" w:rsidRPr="00B72C06" w:rsidRDefault="002F0C7B" w:rsidP="00F51DAC">
      <w:pPr>
        <w:pStyle w:val="TableGraphic"/>
      </w:pPr>
      <w:r w:rsidRPr="002F0C7B">
        <w:rPr>
          <w:noProof/>
          <w:lang w:eastAsia="zh-CN"/>
        </w:rPr>
        <w:drawing>
          <wp:inline distT="0" distB="0" distL="0" distR="0" wp14:anchorId="6AEFAA28" wp14:editId="075FBD84">
            <wp:extent cx="4896485" cy="5652699"/>
            <wp:effectExtent l="0" t="0" r="0" b="571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96485" cy="5652699"/>
                    </a:xfrm>
                    <a:prstGeom prst="rect">
                      <a:avLst/>
                    </a:prstGeom>
                    <a:noFill/>
                    <a:ln>
                      <a:noFill/>
                    </a:ln>
                  </pic:spPr>
                </pic:pic>
              </a:graphicData>
            </a:graphic>
          </wp:inline>
        </w:drawing>
      </w:r>
      <w:r w:rsidR="00770881" w:rsidRPr="00770881">
        <w:t xml:space="preserve"> </w:t>
      </w:r>
      <w:r w:rsidR="00770881" w:rsidRPr="00770881">
        <w:rPr>
          <w:rFonts w:ascii="Arial" w:hAnsi="Arial" w:cs="Arial"/>
          <w:i w:val="0"/>
          <w:color w:val="auto"/>
          <w:sz w:val="16"/>
        </w:rPr>
        <w:t xml:space="preserve">* </w:t>
      </w:r>
      <w:r w:rsidR="0094415D">
        <w:rPr>
          <w:rFonts w:ascii="Arial" w:hAnsi="Arial" w:cs="Arial"/>
          <w:i w:val="0"/>
          <w:color w:val="auto"/>
          <w:sz w:val="16"/>
        </w:rPr>
        <w:t>*</w:t>
      </w:r>
      <w:r w:rsidR="00770881" w:rsidRPr="00770881">
        <w:rPr>
          <w:rFonts w:ascii="Arial" w:hAnsi="Arial" w:cs="Arial"/>
          <w:i w:val="0"/>
          <w:color w:val="auto"/>
          <w:sz w:val="16"/>
        </w:rPr>
        <w:t xml:space="preserve">Equity is the residual interest in </w:t>
      </w:r>
      <w:r w:rsidR="00C15D73" w:rsidRPr="00770881">
        <w:rPr>
          <w:rFonts w:ascii="Arial" w:hAnsi="Arial" w:cs="Arial"/>
          <w:i w:val="0"/>
          <w:color w:val="auto"/>
          <w:sz w:val="16"/>
        </w:rPr>
        <w:t>assets</w:t>
      </w:r>
      <w:r w:rsidR="00770881" w:rsidRPr="00770881">
        <w:rPr>
          <w:rFonts w:ascii="Arial" w:hAnsi="Arial" w:cs="Arial"/>
          <w:i w:val="0"/>
          <w:color w:val="auto"/>
          <w:sz w:val="16"/>
        </w:rPr>
        <w:t xml:space="preserve"> after deduction of liabilities.</w:t>
      </w:r>
    </w:p>
    <w:p w:rsidR="00F51DAC" w:rsidRDefault="00F51DAC" w:rsidP="00F51DAC">
      <w:pPr>
        <w:pStyle w:val="Source"/>
      </w:pPr>
      <w:r>
        <w:t>Prepared on Australian Accounting Standards basis.</w:t>
      </w:r>
    </w:p>
    <w:p w:rsidR="00F51DAC" w:rsidRPr="00014438" w:rsidRDefault="00F51DAC" w:rsidP="00E15CF3">
      <w:pPr>
        <w:pStyle w:val="SingleParagraph"/>
        <w:rPr>
          <w:snapToGrid w:val="0"/>
        </w:rPr>
      </w:pPr>
    </w:p>
    <w:p w:rsidR="003C0E26" w:rsidRPr="00B72C06" w:rsidRDefault="00373526" w:rsidP="00770881">
      <w:pPr>
        <w:pStyle w:val="TableHeading"/>
        <w:spacing w:before="0"/>
      </w:pPr>
      <w:r>
        <w:rPr>
          <w:snapToGrid w:val="0"/>
        </w:rPr>
        <w:br w:type="page"/>
      </w:r>
    </w:p>
    <w:p w:rsidR="00FA4915" w:rsidRPr="00014438" w:rsidRDefault="00FA4915" w:rsidP="00FA4915">
      <w:pPr>
        <w:pStyle w:val="TableHeading"/>
        <w:spacing w:before="0"/>
        <w:rPr>
          <w:snapToGrid w:val="0"/>
        </w:rPr>
      </w:pPr>
      <w:r w:rsidRPr="00014438">
        <w:rPr>
          <w:snapToGrid w:val="0"/>
        </w:rPr>
        <w:lastRenderedPageBreak/>
        <w:t>Table 3.2.</w:t>
      </w:r>
      <w:r>
        <w:rPr>
          <w:snapToGrid w:val="0"/>
        </w:rPr>
        <w:t xml:space="preserve">3: </w:t>
      </w:r>
      <w:r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Pr="00014438">
        <w:rPr>
          <w:snapToGrid w:val="0"/>
        </w:rPr>
        <w:t xml:space="preserve">t (Budget </w:t>
      </w:r>
      <w:r w:rsidR="004E017C">
        <w:rPr>
          <w:snapToGrid w:val="0"/>
        </w:rPr>
        <w:t>Y</w:t>
      </w:r>
      <w:r w:rsidRPr="00014438">
        <w:rPr>
          <w:snapToGrid w:val="0"/>
        </w:rPr>
        <w:t xml:space="preserve">ear </w:t>
      </w:r>
      <w:r w:rsidR="00A1234B">
        <w:rPr>
          <w:snapToGrid w:val="0"/>
        </w:rPr>
        <w:t>201</w:t>
      </w:r>
      <w:r w:rsidR="00327424">
        <w:rPr>
          <w:snapToGrid w:val="0"/>
          <w:lang w:val="en-AU"/>
        </w:rPr>
        <w:t>5</w:t>
      </w:r>
      <w:r w:rsidR="00A1234B">
        <w:rPr>
          <w:snapToGrid w:val="0"/>
        </w:rPr>
        <w:t>-1</w:t>
      </w:r>
      <w:r w:rsidR="00327424">
        <w:rPr>
          <w:snapToGrid w:val="0"/>
          <w:lang w:val="en-AU"/>
        </w:rPr>
        <w:t>6</w:t>
      </w:r>
      <w:r w:rsidRPr="00014438">
        <w:rPr>
          <w:snapToGrid w:val="0"/>
        </w:rPr>
        <w:t>)</w:t>
      </w:r>
    </w:p>
    <w:p w:rsidR="00FA4915" w:rsidRPr="00BF1F44" w:rsidRDefault="002F0C7B" w:rsidP="00FA4915">
      <w:pPr>
        <w:pStyle w:val="TableHeading"/>
        <w:spacing w:before="0"/>
        <w:rPr>
          <w:b w:val="0"/>
          <w:snapToGrid w:val="0"/>
          <w:sz w:val="16"/>
          <w:szCs w:val="16"/>
          <w:lang w:val="en-AU"/>
        </w:rPr>
      </w:pPr>
      <w:r w:rsidRPr="002F0C7B">
        <w:rPr>
          <w:noProof/>
          <w:lang w:val="en-AU" w:eastAsia="zh-CN"/>
        </w:rPr>
        <w:drawing>
          <wp:inline distT="0" distB="0" distL="0" distR="0">
            <wp:extent cx="4829175" cy="3981450"/>
            <wp:effectExtent l="0" t="0" r="952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29175" cy="3981450"/>
                    </a:xfrm>
                    <a:prstGeom prst="rect">
                      <a:avLst/>
                    </a:prstGeom>
                    <a:noFill/>
                    <a:ln>
                      <a:noFill/>
                    </a:ln>
                  </pic:spPr>
                </pic:pic>
              </a:graphicData>
            </a:graphic>
          </wp:inline>
        </w:drawing>
      </w:r>
      <w:r w:rsidR="001B1E37" w:rsidRPr="001B1E37">
        <w:rPr>
          <w:b w:val="0"/>
          <w:sz w:val="16"/>
          <w:szCs w:val="16"/>
        </w:rPr>
        <w:t>Prepared on Australian Accounting Standards basis</w:t>
      </w:r>
      <w:r w:rsidR="00BF1F44">
        <w:rPr>
          <w:b w:val="0"/>
          <w:snapToGrid w:val="0"/>
          <w:sz w:val="16"/>
          <w:szCs w:val="16"/>
          <w:lang w:val="en-AU"/>
        </w:rPr>
        <w:t>.</w:t>
      </w:r>
    </w:p>
    <w:p w:rsidR="00FA4915" w:rsidRDefault="00FA4915" w:rsidP="00FA4915">
      <w:pPr>
        <w:pStyle w:val="TableHeading"/>
        <w:spacing w:before="0"/>
        <w:rPr>
          <w:snapToGrid w:val="0"/>
        </w:rPr>
      </w:pPr>
    </w:p>
    <w:p w:rsidR="00F51DAC" w:rsidRPr="00014438" w:rsidRDefault="00373526" w:rsidP="00770881">
      <w:pPr>
        <w:pStyle w:val="TableHeading"/>
        <w:spacing w:before="0" w:after="0"/>
        <w:rPr>
          <w:snapToGrid w:val="0"/>
        </w:rPr>
      </w:pPr>
      <w:r>
        <w:rPr>
          <w:snapToGrid w:val="0"/>
        </w:rPr>
        <w:br w:type="page"/>
      </w:r>
      <w:r w:rsidR="00F51DAC" w:rsidRPr="00014438">
        <w:rPr>
          <w:snapToGrid w:val="0"/>
        </w:rPr>
        <w:lastRenderedPageBreak/>
        <w:t>Table 3.2.</w:t>
      </w:r>
      <w:r w:rsidR="00FA4915">
        <w:rPr>
          <w:snapToGrid w:val="0"/>
        </w:rPr>
        <w:t>4</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770881" w:rsidRPr="00770881">
        <w:rPr>
          <w:b w:val="0"/>
          <w:snapToGrid w:val="0"/>
        </w:rPr>
        <w:t xml:space="preserve"> </w:t>
      </w:r>
      <w:r w:rsidR="002F0C7B" w:rsidRPr="002F0C7B">
        <w:rPr>
          <w:noProof/>
          <w:lang w:val="en-AU" w:eastAsia="zh-CN"/>
        </w:rPr>
        <w:drawing>
          <wp:inline distT="0" distB="0" distL="0" distR="0">
            <wp:extent cx="4825262" cy="7134225"/>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25262" cy="7134225"/>
                    </a:xfrm>
                    <a:prstGeom prst="rect">
                      <a:avLst/>
                    </a:prstGeom>
                    <a:noFill/>
                    <a:ln>
                      <a:noFill/>
                    </a:ln>
                  </pic:spPr>
                </pic:pic>
              </a:graphicData>
            </a:graphic>
          </wp:inline>
        </w:drawing>
      </w:r>
    </w:p>
    <w:p w:rsidR="00D20281" w:rsidRDefault="00F51DAC" w:rsidP="00D20281">
      <w:pPr>
        <w:pStyle w:val="Source"/>
        <w:rPr>
          <w:snapToGrid w:val="0"/>
        </w:rPr>
      </w:pPr>
      <w:r>
        <w:t>Prepared on Australian Ac</w:t>
      </w:r>
      <w:r w:rsidR="00770881">
        <w:t>counting Standards basis</w:t>
      </w:r>
      <w:r w:rsidR="00BF1F44">
        <w:t>.</w:t>
      </w:r>
    </w:p>
    <w:p w:rsidR="00F51DAC" w:rsidRPr="00327424" w:rsidRDefault="00373526" w:rsidP="00F51DAC">
      <w:pPr>
        <w:pStyle w:val="TableHeading"/>
        <w:spacing w:before="0"/>
        <w:rPr>
          <w:snapToGrid w:val="0"/>
          <w:lang w:val="en-AU"/>
        </w:rPr>
      </w:pPr>
      <w:r>
        <w:rPr>
          <w:snapToGrid w:val="0"/>
        </w:rPr>
        <w:br w:type="page"/>
      </w:r>
      <w:r w:rsidR="00F51DAC" w:rsidRPr="00014438">
        <w:rPr>
          <w:snapToGrid w:val="0"/>
        </w:rPr>
        <w:lastRenderedPageBreak/>
        <w:t>Table 3.2.5</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p>
    <w:p w:rsidR="00DE2E60" w:rsidRDefault="002F0C7B" w:rsidP="00770881">
      <w:pPr>
        <w:pStyle w:val="Source"/>
      </w:pPr>
      <w:r w:rsidRPr="002F0C7B">
        <w:rPr>
          <w:noProof/>
          <w:lang w:eastAsia="zh-CN"/>
        </w:rPr>
        <w:drawing>
          <wp:inline distT="0" distB="0" distL="0" distR="0">
            <wp:extent cx="4876800" cy="3800475"/>
            <wp:effectExtent l="0" t="0" r="0" b="952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76800" cy="3800475"/>
                    </a:xfrm>
                    <a:prstGeom prst="rect">
                      <a:avLst/>
                    </a:prstGeom>
                    <a:noFill/>
                    <a:ln>
                      <a:noFill/>
                    </a:ln>
                  </pic:spPr>
                </pic:pic>
              </a:graphicData>
            </a:graphic>
          </wp:inline>
        </w:drawing>
      </w:r>
      <w:r w:rsidR="00770881" w:rsidRPr="00770881">
        <w:t xml:space="preserve"> </w:t>
      </w:r>
    </w:p>
    <w:p w:rsidR="0001125D" w:rsidRDefault="0001125D" w:rsidP="0001125D">
      <w:pPr>
        <w:pStyle w:val="Source"/>
        <w:numPr>
          <w:ilvl w:val="0"/>
          <w:numId w:val="23"/>
        </w:numPr>
        <w:tabs>
          <w:tab w:val="clear" w:pos="284"/>
          <w:tab w:val="left" w:pos="142"/>
        </w:tabs>
      </w:pPr>
      <w:r w:rsidRPr="0001125D">
        <w:t>Includes both Act 2, Bill 4 and prior Act 2/4/6 appropriations and special capital appropriations.</w:t>
      </w:r>
    </w:p>
    <w:p w:rsidR="00594BB0" w:rsidRDefault="00594BB0" w:rsidP="0001125D">
      <w:pPr>
        <w:pStyle w:val="Source"/>
        <w:numPr>
          <w:ilvl w:val="0"/>
          <w:numId w:val="23"/>
        </w:numPr>
        <w:tabs>
          <w:tab w:val="clear" w:pos="284"/>
          <w:tab w:val="left" w:pos="142"/>
        </w:tabs>
      </w:pPr>
      <w:r>
        <w:t>Does not include annual finance lease costs. Include purchases from current and previous years' Departmental Capital Budgets (DCBs).</w:t>
      </w:r>
    </w:p>
    <w:p w:rsidR="00594BB0" w:rsidRDefault="00594BB0" w:rsidP="00594BB0">
      <w:pPr>
        <w:pStyle w:val="Source"/>
        <w:numPr>
          <w:ilvl w:val="0"/>
          <w:numId w:val="23"/>
        </w:numPr>
        <w:tabs>
          <w:tab w:val="clear" w:pos="284"/>
          <w:tab w:val="left" w:pos="142"/>
        </w:tabs>
        <w:ind w:left="284" w:hanging="284"/>
      </w:pPr>
      <w:r>
        <w:t>Includes the following sources of funding:</w:t>
      </w:r>
    </w:p>
    <w:p w:rsidR="00594BB0" w:rsidRDefault="0001125D" w:rsidP="00594BB0">
      <w:pPr>
        <w:pStyle w:val="Source"/>
        <w:numPr>
          <w:ilvl w:val="0"/>
          <w:numId w:val="24"/>
        </w:numPr>
      </w:pPr>
      <w:r>
        <w:t xml:space="preserve">Act 1, </w:t>
      </w:r>
      <w:r w:rsidR="00594BB0">
        <w:t xml:space="preserve"> Bill 3 and prior year Act 1/3/5 appropriations (excluding amounts from the DCB);</w:t>
      </w:r>
    </w:p>
    <w:p w:rsidR="00594BB0" w:rsidRDefault="00594BB0" w:rsidP="00594BB0">
      <w:pPr>
        <w:pStyle w:val="Source"/>
        <w:numPr>
          <w:ilvl w:val="0"/>
          <w:numId w:val="24"/>
        </w:numPr>
      </w:pPr>
      <w:r>
        <w:t>internally developed assets;</w:t>
      </w:r>
    </w:p>
    <w:p w:rsidR="00594BB0" w:rsidRDefault="00594BB0" w:rsidP="00594BB0">
      <w:pPr>
        <w:pStyle w:val="Source"/>
        <w:numPr>
          <w:ilvl w:val="0"/>
          <w:numId w:val="24"/>
        </w:numPr>
      </w:pPr>
      <w:r>
        <w:t>s 74 Retained revenue receipts;</w:t>
      </w:r>
    </w:p>
    <w:p w:rsidR="00594BB0" w:rsidRDefault="00594BB0" w:rsidP="00594BB0">
      <w:pPr>
        <w:pStyle w:val="Source"/>
        <w:numPr>
          <w:ilvl w:val="0"/>
          <w:numId w:val="24"/>
        </w:numPr>
      </w:pPr>
      <w:r>
        <w:t>proceeds from the sale of assets.</w:t>
      </w:r>
    </w:p>
    <w:p w:rsidR="00594BB0" w:rsidRPr="00014438" w:rsidRDefault="00594BB0" w:rsidP="00594BB0">
      <w:pPr>
        <w:pStyle w:val="Source"/>
        <w:rPr>
          <w:snapToGrid w:val="0"/>
        </w:rPr>
      </w:pPr>
      <w:r>
        <w:t>Prepared on Australian Accounting Standards basis.</w:t>
      </w:r>
    </w:p>
    <w:p w:rsidR="002E5E71" w:rsidRDefault="002E5E71" w:rsidP="00F51DAC">
      <w:pPr>
        <w:pStyle w:val="TableHeading"/>
        <w:spacing w:before="0"/>
        <w:rPr>
          <w:snapToGrid w:val="0"/>
        </w:rPr>
        <w:sectPr w:rsidR="002E5E71" w:rsidSect="004C04CB">
          <w:headerReference w:type="even" r:id="rId89"/>
          <w:headerReference w:type="default" r:id="rId90"/>
          <w:headerReference w:type="first" r:id="rId91"/>
          <w:footerReference w:type="first" r:id="rId92"/>
          <w:type w:val="oddPage"/>
          <w:pgSz w:w="11907" w:h="16840" w:code="9"/>
          <w:pgMar w:top="2466" w:right="2098" w:bottom="2466" w:left="2098" w:header="1899" w:footer="1899" w:gutter="0"/>
          <w:cols w:space="708"/>
          <w:titlePg/>
          <w:docGrid w:linePitch="360"/>
        </w:sectPr>
      </w:pPr>
    </w:p>
    <w:p w:rsidR="00F51DAC" w:rsidRPr="00014438" w:rsidRDefault="00F51DAC" w:rsidP="00F51DAC">
      <w:pPr>
        <w:pStyle w:val="TableHeading"/>
        <w:spacing w:before="0"/>
        <w:rPr>
          <w:snapToGrid w:val="0"/>
        </w:rPr>
      </w:pPr>
      <w:r w:rsidRPr="00014438">
        <w:rPr>
          <w:snapToGrid w:val="0"/>
        </w:rPr>
        <w:lastRenderedPageBreak/>
        <w:t>Table 3.2.6</w:t>
      </w:r>
      <w:r>
        <w:rPr>
          <w:snapToGrid w:val="0"/>
        </w:rPr>
        <w:t xml:space="preserve">: </w:t>
      </w:r>
      <w:r w:rsidRPr="00014438">
        <w:rPr>
          <w:snapToGrid w:val="0"/>
        </w:rPr>
        <w:t xml:space="preserve">Statement of </w:t>
      </w:r>
      <w:r w:rsidR="00622A38" w:rsidRPr="00014438">
        <w:rPr>
          <w:snapToGrid w:val="0"/>
        </w:rPr>
        <w:t xml:space="preserve">asset movements </w:t>
      </w:r>
      <w:r w:rsidRPr="00014438">
        <w:rPr>
          <w:snapToGrid w:val="0"/>
        </w:rPr>
        <w:t>(</w:t>
      </w:r>
      <w:r w:rsidR="00A1234B">
        <w:rPr>
          <w:snapToGrid w:val="0"/>
        </w:rPr>
        <w:t>201</w:t>
      </w:r>
      <w:r w:rsidR="002D69C3">
        <w:rPr>
          <w:snapToGrid w:val="0"/>
          <w:lang w:val="en-AU"/>
        </w:rPr>
        <w:t>5</w:t>
      </w:r>
      <w:r w:rsidR="00A1234B">
        <w:rPr>
          <w:snapToGrid w:val="0"/>
        </w:rPr>
        <w:t>-1</w:t>
      </w:r>
      <w:r w:rsidR="002D69C3">
        <w:rPr>
          <w:snapToGrid w:val="0"/>
          <w:lang w:val="en-AU"/>
        </w:rPr>
        <w:t>6</w:t>
      </w:r>
      <w:r w:rsidR="00327424">
        <w:rPr>
          <w:snapToGrid w:val="0"/>
          <w:lang w:val="en-AU"/>
        </w:rPr>
        <w:t xml:space="preserve"> Budget year</w:t>
      </w:r>
      <w:r w:rsidRPr="00014438">
        <w:rPr>
          <w:snapToGrid w:val="0"/>
        </w:rPr>
        <w:t>)</w:t>
      </w:r>
    </w:p>
    <w:p w:rsidR="00DE2E60" w:rsidRDefault="002F0C7B" w:rsidP="00DE2E60">
      <w:pPr>
        <w:pStyle w:val="Source"/>
      </w:pPr>
      <w:r w:rsidRPr="002F0C7B">
        <w:rPr>
          <w:noProof/>
          <w:lang w:eastAsia="zh-CN"/>
        </w:rPr>
        <w:drawing>
          <wp:inline distT="0" distB="0" distL="0" distR="0">
            <wp:extent cx="4876800" cy="4010025"/>
            <wp:effectExtent l="0" t="0" r="0"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76800" cy="4010025"/>
                    </a:xfrm>
                    <a:prstGeom prst="rect">
                      <a:avLst/>
                    </a:prstGeom>
                    <a:noFill/>
                    <a:ln>
                      <a:noFill/>
                    </a:ln>
                  </pic:spPr>
                </pic:pic>
              </a:graphicData>
            </a:graphic>
          </wp:inline>
        </w:drawing>
      </w:r>
    </w:p>
    <w:p w:rsidR="0021386E" w:rsidRDefault="0021386E" w:rsidP="0021386E">
      <w:pPr>
        <w:pStyle w:val="Source"/>
        <w:numPr>
          <w:ilvl w:val="0"/>
          <w:numId w:val="25"/>
        </w:numPr>
        <w:ind w:left="284" w:hanging="284"/>
      </w:pPr>
      <w:r>
        <w:t xml:space="preserve">“Appropriation equity” refers to equity injections or Administered Assets and Liabilities appropriations provided through </w:t>
      </w:r>
      <w:r w:rsidRPr="00511325">
        <w:rPr>
          <w:i/>
        </w:rPr>
        <w:t xml:space="preserve">Appropriation Act </w:t>
      </w:r>
      <w:r>
        <w:t>(</w:t>
      </w:r>
      <w:r w:rsidRPr="00511325">
        <w:rPr>
          <w:i/>
        </w:rPr>
        <w:t>No.2</w:t>
      </w:r>
      <w:r>
        <w:t xml:space="preserve">) </w:t>
      </w:r>
      <w:r w:rsidRPr="00511325">
        <w:rPr>
          <w:i/>
        </w:rPr>
        <w:t>2015-16</w:t>
      </w:r>
      <w:r>
        <w:t xml:space="preserve"> and </w:t>
      </w:r>
      <w:r w:rsidRPr="00511325">
        <w:rPr>
          <w:i/>
        </w:rPr>
        <w:t>Bill</w:t>
      </w:r>
      <w:r>
        <w:t xml:space="preserve"> (</w:t>
      </w:r>
      <w:r w:rsidRPr="00511325">
        <w:rPr>
          <w:i/>
        </w:rPr>
        <w:t>No.4</w:t>
      </w:r>
      <w:r>
        <w:t xml:space="preserve">) </w:t>
      </w:r>
      <w:r w:rsidRPr="00511325">
        <w:rPr>
          <w:i/>
        </w:rPr>
        <w:t>2015-16</w:t>
      </w:r>
      <w:r>
        <w:t>, including CDABs.</w:t>
      </w:r>
    </w:p>
    <w:p w:rsidR="0021386E" w:rsidRDefault="0021386E" w:rsidP="0021386E">
      <w:pPr>
        <w:pStyle w:val="Source"/>
        <w:numPr>
          <w:ilvl w:val="0"/>
          <w:numId w:val="25"/>
        </w:numPr>
        <w:ind w:left="284" w:hanging="284"/>
      </w:pPr>
      <w:r>
        <w:t xml:space="preserve">“Appropriation ordinary annual services” refers to funding provided through </w:t>
      </w:r>
      <w:r>
        <w:rPr>
          <w:i/>
        </w:rPr>
        <w:t>Appropriation Act (No.1) 2015-16</w:t>
      </w:r>
      <w:r>
        <w:t xml:space="preserve"> and </w:t>
      </w:r>
      <w:r w:rsidRPr="00511325">
        <w:rPr>
          <w:i/>
        </w:rPr>
        <w:t>Bill</w:t>
      </w:r>
      <w:r>
        <w:t xml:space="preserve"> (</w:t>
      </w:r>
      <w:r w:rsidRPr="00511325">
        <w:rPr>
          <w:i/>
        </w:rPr>
        <w:t>No.3</w:t>
      </w:r>
      <w:r>
        <w:t xml:space="preserve">) 2015-16 for depreciation/amortisation expenses, DCBs or other operational expenses. </w:t>
      </w:r>
    </w:p>
    <w:p w:rsidR="0021386E" w:rsidRDefault="0021386E" w:rsidP="0021386E">
      <w:pPr>
        <w:pStyle w:val="Source"/>
      </w:pPr>
      <w:r>
        <w:t>Prepared on Australian Accounting Standards basis.</w:t>
      </w:r>
    </w:p>
    <w:p w:rsidR="002E5E71" w:rsidRPr="0021386E" w:rsidRDefault="002E5E71" w:rsidP="00F51DAC">
      <w:pPr>
        <w:pStyle w:val="TableHeading"/>
        <w:spacing w:before="0"/>
        <w:rPr>
          <w:snapToGrid w:val="0"/>
          <w:lang w:val="en-AU"/>
        </w:rPr>
        <w:sectPr w:rsidR="002E5E71" w:rsidRPr="0021386E" w:rsidSect="00EB36D8">
          <w:headerReference w:type="first" r:id="rId94"/>
          <w:footerReference w:type="first" r:id="rId95"/>
          <w:pgSz w:w="11907" w:h="16840" w:code="9"/>
          <w:pgMar w:top="2466" w:right="2098" w:bottom="2466" w:left="2098" w:header="1899" w:footer="1899" w:gutter="0"/>
          <w:cols w:space="708"/>
          <w:titlePg/>
          <w:docGrid w:linePitch="360"/>
        </w:sectPr>
      </w:pPr>
    </w:p>
    <w:bookmarkEnd w:id="335"/>
    <w:bookmarkEnd w:id="387"/>
    <w:bookmarkEnd w:id="388"/>
    <w:bookmarkEnd w:id="389"/>
    <w:p w:rsidR="00F51DAC" w:rsidRDefault="00F51DAC" w:rsidP="00F51DAC">
      <w:pPr>
        <w:pStyle w:val="TableHeading"/>
        <w:spacing w:before="0"/>
        <w:rPr>
          <w:snapToGrid w:val="0"/>
          <w:lang w:val="en-AU"/>
        </w:rPr>
      </w:pPr>
      <w:r>
        <w:rPr>
          <w:snapToGrid w:val="0"/>
        </w:rPr>
        <w:lastRenderedPageBreak/>
        <w:t>Table 3.2.</w:t>
      </w:r>
      <w:r w:rsidR="004F14E4">
        <w:rPr>
          <w:snapToGrid w:val="0"/>
        </w:rPr>
        <w:t>7</w:t>
      </w:r>
      <w:r>
        <w:rPr>
          <w:snapToGrid w:val="0"/>
        </w:rPr>
        <w:t xml:space="preserve">: </w:t>
      </w:r>
      <w:r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Pr>
          <w:snapToGrid w:val="0"/>
        </w:rPr>
        <w:t xml:space="preserve"> </w:t>
      </w:r>
      <w:r w:rsidR="004E017C">
        <w:rPr>
          <w:snapToGrid w:val="0"/>
        </w:rPr>
        <w:t>G</w:t>
      </w:r>
      <w:r w:rsidRPr="007463B7">
        <w:rPr>
          <w:snapToGrid w:val="0"/>
        </w:rPr>
        <w:t>overnment (for the period ended 30 June)</w:t>
      </w:r>
    </w:p>
    <w:p w:rsidR="0020615E" w:rsidRPr="0020615E" w:rsidRDefault="005D1BDD" w:rsidP="0020615E">
      <w:pPr>
        <w:pStyle w:val="TableGraphic"/>
      </w:pPr>
      <w:r w:rsidRPr="005D1BDD">
        <w:rPr>
          <w:noProof/>
          <w:lang w:eastAsia="zh-CN"/>
        </w:rPr>
        <w:drawing>
          <wp:inline distT="0" distB="0" distL="0" distR="0" wp14:anchorId="23C21E0A" wp14:editId="690732F5">
            <wp:extent cx="4896485" cy="5599847"/>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96485" cy="5599847"/>
                    </a:xfrm>
                    <a:prstGeom prst="rect">
                      <a:avLst/>
                    </a:prstGeom>
                    <a:noFill/>
                    <a:ln>
                      <a:noFill/>
                    </a:ln>
                  </pic:spPr>
                </pic:pic>
              </a:graphicData>
            </a:graphic>
          </wp:inline>
        </w:drawing>
      </w:r>
    </w:p>
    <w:p w:rsidR="00DE2E60" w:rsidRDefault="00373526" w:rsidP="00F51DAC">
      <w:pPr>
        <w:pStyle w:val="TableHeading"/>
        <w:spacing w:before="0"/>
        <w:rPr>
          <w:snapToGrid w:val="0"/>
          <w:lang w:val="en-AU"/>
        </w:rPr>
      </w:pPr>
      <w:r>
        <w:rPr>
          <w:snapToGrid w:val="0"/>
        </w:rPr>
        <w:br w:type="page"/>
      </w:r>
    </w:p>
    <w:p w:rsidR="00DE2E60" w:rsidRPr="00143B06" w:rsidRDefault="00DE2E60" w:rsidP="00F51DAC">
      <w:pPr>
        <w:pStyle w:val="TableHeading"/>
        <w:spacing w:before="0"/>
        <w:rPr>
          <w:rFonts w:cs="Arial"/>
          <w:snapToGrid w:val="0"/>
          <w:lang w:val="en-AU"/>
        </w:rPr>
      </w:pPr>
      <w:r w:rsidRPr="00143B06">
        <w:rPr>
          <w:rFonts w:cs="Arial"/>
          <w:snapToGrid w:val="0"/>
          <w:lang w:val="en-AU"/>
        </w:rPr>
        <w:lastRenderedPageBreak/>
        <w:t>Table 3.2.7: Schedule of budgeted income and expenses administered on behalf of Government (for the period ended 30 June) (continued)</w:t>
      </w:r>
    </w:p>
    <w:p w:rsidR="0020615E" w:rsidRDefault="002F0C7B" w:rsidP="00F51DAC">
      <w:pPr>
        <w:pStyle w:val="TableHeading"/>
        <w:spacing w:before="0"/>
        <w:rPr>
          <w:snapToGrid w:val="0"/>
          <w:lang w:val="en-AU"/>
        </w:rPr>
      </w:pPr>
      <w:r w:rsidRPr="002F0C7B">
        <w:rPr>
          <w:noProof/>
          <w:lang w:val="en-AU" w:eastAsia="zh-CN"/>
        </w:rPr>
        <w:drawing>
          <wp:inline distT="0" distB="0" distL="0" distR="0" wp14:anchorId="6CFC07B7" wp14:editId="1BC0E1CE">
            <wp:extent cx="4896485" cy="1397708"/>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96485" cy="1397708"/>
                    </a:xfrm>
                    <a:prstGeom prst="rect">
                      <a:avLst/>
                    </a:prstGeom>
                    <a:noFill/>
                    <a:ln>
                      <a:noFill/>
                    </a:ln>
                  </pic:spPr>
                </pic:pic>
              </a:graphicData>
            </a:graphic>
          </wp:inline>
        </w:drawing>
      </w:r>
    </w:p>
    <w:p w:rsidR="00143B06" w:rsidRDefault="00143B06" w:rsidP="00143B06">
      <w:pPr>
        <w:pStyle w:val="Source"/>
        <w:numPr>
          <w:ilvl w:val="0"/>
          <w:numId w:val="27"/>
        </w:numPr>
        <w:ind w:left="284" w:hanging="284"/>
      </w:pPr>
      <w:r w:rsidRPr="0020615E">
        <w:t>International Development Association (IDA) and Asian Development Fund (ADF).</w:t>
      </w:r>
    </w:p>
    <w:p w:rsidR="0020615E" w:rsidRPr="0020615E" w:rsidRDefault="0020615E" w:rsidP="0020615E">
      <w:pPr>
        <w:pStyle w:val="TableHeading"/>
        <w:spacing w:before="0"/>
        <w:rPr>
          <w:b w:val="0"/>
          <w:snapToGrid w:val="0"/>
          <w:sz w:val="16"/>
          <w:lang w:val="en-AU"/>
        </w:rPr>
      </w:pPr>
      <w:r w:rsidRPr="0020615E">
        <w:rPr>
          <w:b w:val="0"/>
          <w:snapToGrid w:val="0"/>
          <w:sz w:val="16"/>
          <w:lang w:val="en-AU"/>
        </w:rPr>
        <w:t>Prepared on Australian Accounting Standards basis.</w:t>
      </w:r>
    </w:p>
    <w:p w:rsidR="0020615E" w:rsidRDefault="0020615E">
      <w:pPr>
        <w:spacing w:after="0" w:line="240" w:lineRule="auto"/>
        <w:jc w:val="left"/>
        <w:rPr>
          <w:rFonts w:ascii="Arial" w:hAnsi="Arial"/>
          <w:b/>
          <w:snapToGrid w:val="0"/>
        </w:rPr>
      </w:pPr>
      <w:r>
        <w:rPr>
          <w:snapToGrid w:val="0"/>
        </w:rPr>
        <w:br w:type="page"/>
      </w:r>
    </w:p>
    <w:p w:rsidR="00F51DAC" w:rsidRPr="00014438" w:rsidRDefault="00F51DAC" w:rsidP="00F51DAC">
      <w:pPr>
        <w:pStyle w:val="TableHeading"/>
        <w:spacing w:before="0"/>
        <w:rPr>
          <w:snapToGrid w:val="0"/>
        </w:rPr>
      </w:pPr>
      <w:r>
        <w:rPr>
          <w:snapToGrid w:val="0"/>
        </w:rPr>
        <w:lastRenderedPageBreak/>
        <w:t>Table</w:t>
      </w:r>
      <w:r w:rsidR="004E017C">
        <w:rPr>
          <w:snapToGrid w:val="0"/>
        </w:rPr>
        <w:t xml:space="preserve"> </w:t>
      </w:r>
      <w:r>
        <w:rPr>
          <w:snapToGrid w:val="0"/>
        </w:rPr>
        <w:t>3.2.</w:t>
      </w:r>
      <w:r w:rsidR="004F14E4">
        <w:rPr>
          <w:snapToGrid w:val="0"/>
        </w:rPr>
        <w:t>8</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p w:rsidR="0020615E" w:rsidRDefault="002F0C7B" w:rsidP="00F51DAC">
      <w:pPr>
        <w:pStyle w:val="Source"/>
      </w:pPr>
      <w:r w:rsidRPr="002F0C7B">
        <w:rPr>
          <w:noProof/>
          <w:lang w:eastAsia="zh-CN"/>
        </w:rPr>
        <w:drawing>
          <wp:inline distT="0" distB="0" distL="0" distR="0" wp14:anchorId="7FCC44EC" wp14:editId="5A7D19A7">
            <wp:extent cx="4896485" cy="5315386"/>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896485" cy="5315386"/>
                    </a:xfrm>
                    <a:prstGeom prst="rect">
                      <a:avLst/>
                    </a:prstGeom>
                    <a:noFill/>
                    <a:ln>
                      <a:noFill/>
                    </a:ln>
                  </pic:spPr>
                </pic:pic>
              </a:graphicData>
            </a:graphic>
          </wp:inline>
        </w:drawing>
      </w:r>
    </w:p>
    <w:p w:rsidR="0020615E" w:rsidRDefault="0020615E" w:rsidP="005F7A63">
      <w:pPr>
        <w:pStyle w:val="Source"/>
        <w:numPr>
          <w:ilvl w:val="0"/>
          <w:numId w:val="36"/>
        </w:numPr>
      </w:pPr>
      <w:r w:rsidRPr="0020615E">
        <w:t>International Development Association (IDA) and Asian Development Fund (ADF).</w:t>
      </w:r>
    </w:p>
    <w:p w:rsidR="00F51DAC" w:rsidRDefault="00F51DAC" w:rsidP="00F51DAC">
      <w:pPr>
        <w:pStyle w:val="Source"/>
      </w:pPr>
      <w:r>
        <w:t>Prepared on Australian Accounting Standards basis.</w:t>
      </w:r>
    </w:p>
    <w:p w:rsidR="00F51DAC" w:rsidRPr="00014438" w:rsidRDefault="00F51DAC" w:rsidP="00F51DAC">
      <w:pPr>
        <w:pStyle w:val="SingleParagraph"/>
        <w:rPr>
          <w:snapToGrid w:val="0"/>
        </w:rPr>
      </w:pPr>
    </w:p>
    <w:p w:rsidR="00F51DAC" w:rsidRPr="0020615E" w:rsidRDefault="001F1E0A" w:rsidP="00F51DAC">
      <w:pPr>
        <w:pStyle w:val="TableHeading"/>
        <w:spacing w:before="0"/>
      </w:pPr>
      <w:r>
        <w:rPr>
          <w:snapToGrid w:val="0"/>
        </w:rPr>
        <w:br w:type="page"/>
      </w:r>
      <w:r w:rsidR="00F51DAC">
        <w:rPr>
          <w:snapToGrid w:val="0"/>
        </w:rPr>
        <w:lastRenderedPageBreak/>
        <w:t>Table 3.2.</w:t>
      </w:r>
      <w:r w:rsidR="004F14E4">
        <w:rPr>
          <w:snapToGrid w:val="0"/>
        </w:rPr>
        <w:t>9</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F51DAC" w:rsidRPr="00014438">
        <w:rPr>
          <w:snapToGrid w:val="0"/>
        </w:rPr>
        <w:t xml:space="preserve">(for the period ended 30 June)  </w:t>
      </w:r>
    </w:p>
    <w:p w:rsidR="00F51DAC" w:rsidRDefault="002F0C7B" w:rsidP="00F51DAC">
      <w:pPr>
        <w:pStyle w:val="Source"/>
      </w:pPr>
      <w:r w:rsidRPr="002F0C7B">
        <w:rPr>
          <w:noProof/>
          <w:lang w:eastAsia="zh-CN"/>
        </w:rPr>
        <w:drawing>
          <wp:inline distT="0" distB="0" distL="0" distR="0" wp14:anchorId="4E1A1A2B" wp14:editId="5A6ACBC5">
            <wp:extent cx="4896485" cy="5722055"/>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896485" cy="5722055"/>
                    </a:xfrm>
                    <a:prstGeom prst="rect">
                      <a:avLst/>
                    </a:prstGeom>
                    <a:noFill/>
                    <a:ln>
                      <a:noFill/>
                    </a:ln>
                  </pic:spPr>
                </pic:pic>
              </a:graphicData>
            </a:graphic>
          </wp:inline>
        </w:drawing>
      </w:r>
      <w:r w:rsidR="00F51DAC">
        <w:t>Prepared on Australian Accounting Standards basis.</w:t>
      </w:r>
    </w:p>
    <w:p w:rsidR="004F14E4" w:rsidRDefault="004F14E4" w:rsidP="00F51DAC">
      <w:pPr>
        <w:pStyle w:val="Source"/>
      </w:pPr>
    </w:p>
    <w:p w:rsidR="001E4A2D" w:rsidRPr="005E49E3" w:rsidRDefault="001F1E0A" w:rsidP="001E4A2D">
      <w:pPr>
        <w:pStyle w:val="TableHeading"/>
        <w:spacing w:before="0"/>
        <w:rPr>
          <w:rFonts w:cs="Arial"/>
          <w:snapToGrid w:val="0"/>
        </w:rPr>
      </w:pPr>
      <w:r w:rsidRPr="005E49E3">
        <w:rPr>
          <w:rFonts w:cs="Arial"/>
          <w:snapToGrid w:val="0"/>
        </w:rPr>
        <w:br w:type="page"/>
      </w:r>
      <w:r w:rsidR="001E4A2D" w:rsidRPr="005E49E3">
        <w:rPr>
          <w:rFonts w:cs="Arial"/>
          <w:snapToGrid w:val="0"/>
        </w:rPr>
        <w:lastRenderedPageBreak/>
        <w:t>Table 3.2.9: Schedule of budgeted administered cash flows (for the period ended 30 June)</w:t>
      </w:r>
      <w:r w:rsidR="001E4A2D" w:rsidRPr="005E49E3">
        <w:rPr>
          <w:rFonts w:cs="Arial"/>
          <w:snapToGrid w:val="0"/>
          <w:lang w:val="en-AU"/>
        </w:rPr>
        <w:t xml:space="preserve"> (continued)</w:t>
      </w:r>
      <w:r w:rsidR="001E4A2D" w:rsidRPr="005E49E3">
        <w:rPr>
          <w:rFonts w:cs="Arial"/>
          <w:snapToGrid w:val="0"/>
        </w:rPr>
        <w:t xml:space="preserve">  </w:t>
      </w:r>
    </w:p>
    <w:p w:rsidR="001E4A2D" w:rsidRDefault="002F0C7B" w:rsidP="001E4A2D">
      <w:pPr>
        <w:pStyle w:val="Source"/>
      </w:pPr>
      <w:r w:rsidRPr="002F0C7B">
        <w:rPr>
          <w:noProof/>
          <w:lang w:eastAsia="zh-CN"/>
        </w:rPr>
        <w:drawing>
          <wp:inline distT="0" distB="0" distL="0" distR="0" wp14:anchorId="32F89C59" wp14:editId="0692DAC0">
            <wp:extent cx="4896485" cy="2315392"/>
            <wp:effectExtent l="0" t="0" r="0" b="889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896485" cy="2315392"/>
                    </a:xfrm>
                    <a:prstGeom prst="rect">
                      <a:avLst/>
                    </a:prstGeom>
                    <a:noFill/>
                    <a:ln>
                      <a:noFill/>
                    </a:ln>
                  </pic:spPr>
                </pic:pic>
              </a:graphicData>
            </a:graphic>
          </wp:inline>
        </w:drawing>
      </w:r>
      <w:r w:rsidR="001E4A2D">
        <w:t>Prepared on Australian Accounting Standards basis.</w:t>
      </w:r>
    </w:p>
    <w:p w:rsidR="001E4A2D" w:rsidRDefault="001E4A2D" w:rsidP="001E4A2D">
      <w:pPr>
        <w:pStyle w:val="Source"/>
      </w:pPr>
    </w:p>
    <w:p w:rsidR="004F14E4" w:rsidRPr="00327424" w:rsidRDefault="001F1E0A" w:rsidP="004F14E4">
      <w:pPr>
        <w:pStyle w:val="TableHeading"/>
        <w:spacing w:before="0"/>
        <w:rPr>
          <w:snapToGrid w:val="0"/>
          <w:lang w:val="en-AU"/>
        </w:rPr>
      </w:pPr>
      <w:r>
        <w:rPr>
          <w:snapToGrid w:val="0"/>
        </w:rPr>
        <w:br w:type="page"/>
      </w:r>
      <w:r w:rsidR="004F14E4">
        <w:rPr>
          <w:snapToGrid w:val="0"/>
        </w:rPr>
        <w:lastRenderedPageBreak/>
        <w:t>Table 3.2.10</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p>
    <w:p w:rsidR="0020615E" w:rsidRPr="0020615E" w:rsidRDefault="002F0C7B" w:rsidP="0020615E">
      <w:pPr>
        <w:pStyle w:val="TableGraphic"/>
      </w:pPr>
      <w:r w:rsidRPr="002F0C7B">
        <w:rPr>
          <w:noProof/>
          <w:lang w:eastAsia="zh-CN"/>
        </w:rPr>
        <w:drawing>
          <wp:inline distT="0" distB="0" distL="0" distR="0" wp14:anchorId="096F39E5" wp14:editId="0B0CBEC4">
            <wp:extent cx="4896485" cy="3361067"/>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896485" cy="3361067"/>
                    </a:xfrm>
                    <a:prstGeom prst="rect">
                      <a:avLst/>
                    </a:prstGeom>
                    <a:noFill/>
                    <a:ln>
                      <a:noFill/>
                    </a:ln>
                  </pic:spPr>
                </pic:pic>
              </a:graphicData>
            </a:graphic>
          </wp:inline>
        </w:drawing>
      </w:r>
      <w:r w:rsidR="00C61E74">
        <w:t xml:space="preserve"> </w:t>
      </w:r>
    </w:p>
    <w:p w:rsidR="0020615E" w:rsidRDefault="0020615E" w:rsidP="0020615E">
      <w:pPr>
        <w:pStyle w:val="Source"/>
        <w:numPr>
          <w:ilvl w:val="0"/>
          <w:numId w:val="28"/>
        </w:numPr>
      </w:pPr>
      <w:r>
        <w:t>Includes purchases from current and previous years' administered capital budgets (ACBs).</w:t>
      </w:r>
    </w:p>
    <w:p w:rsidR="004F14E4" w:rsidRDefault="0020615E" w:rsidP="0020615E">
      <w:pPr>
        <w:pStyle w:val="Source"/>
      </w:pPr>
      <w:r>
        <w:t>Prepared on Australian Accounting Standards basis.</w:t>
      </w:r>
    </w:p>
    <w:p w:rsidR="00F51DAC" w:rsidRPr="00014438" w:rsidRDefault="00F51DAC" w:rsidP="00F51DAC">
      <w:pPr>
        <w:pStyle w:val="SingleParagraph"/>
        <w:rPr>
          <w:snapToGrid w:val="0"/>
        </w:rPr>
      </w:pPr>
    </w:p>
    <w:p w:rsidR="002E5E71" w:rsidRDefault="002E5E71" w:rsidP="00F51DAC">
      <w:pPr>
        <w:pStyle w:val="TableHeading"/>
        <w:spacing w:before="0"/>
        <w:rPr>
          <w:snapToGrid w:val="0"/>
        </w:rPr>
        <w:sectPr w:rsidR="002E5E71" w:rsidSect="002E5E71">
          <w:headerReference w:type="first" r:id="rId102"/>
          <w:footerReference w:type="first" r:id="rId103"/>
          <w:pgSz w:w="11907" w:h="16840" w:code="9"/>
          <w:pgMar w:top="2466" w:right="2098" w:bottom="2466" w:left="2098" w:header="1899" w:footer="1899" w:gutter="0"/>
          <w:cols w:space="708"/>
          <w:titlePg/>
          <w:docGrid w:linePitch="360"/>
        </w:sectPr>
      </w:pPr>
    </w:p>
    <w:p w:rsidR="004F14E4" w:rsidRPr="00014438" w:rsidRDefault="004F14E4" w:rsidP="004F14E4">
      <w:pPr>
        <w:pStyle w:val="TableHeading"/>
        <w:spacing w:before="0"/>
        <w:rPr>
          <w:snapToGrid w:val="0"/>
        </w:rPr>
      </w:pPr>
      <w:r>
        <w:rPr>
          <w:snapToGrid w:val="0"/>
        </w:rPr>
        <w:lastRenderedPageBreak/>
        <w:t xml:space="preserve">Table 3.2.11: </w:t>
      </w:r>
      <w:r w:rsidRPr="00014438">
        <w:rPr>
          <w:snapToGrid w:val="0"/>
        </w:rPr>
        <w:t xml:space="preserve">Statement of </w:t>
      </w:r>
      <w:r w:rsidR="006641EE" w:rsidRPr="00014438">
        <w:rPr>
          <w:snapToGrid w:val="0"/>
        </w:rPr>
        <w:t xml:space="preserve">administered asset movements </w:t>
      </w:r>
      <w:r w:rsidRPr="00014438">
        <w:rPr>
          <w:snapToGrid w:val="0"/>
        </w:rPr>
        <w:t>(</w:t>
      </w:r>
      <w:r w:rsidR="00A1234B">
        <w:rPr>
          <w:snapToGrid w:val="0"/>
        </w:rPr>
        <w:t>201</w:t>
      </w:r>
      <w:r w:rsidR="002D69C3">
        <w:rPr>
          <w:snapToGrid w:val="0"/>
          <w:lang w:val="en-AU"/>
        </w:rPr>
        <w:t>5</w:t>
      </w:r>
      <w:r w:rsidR="00A1234B">
        <w:rPr>
          <w:snapToGrid w:val="0"/>
        </w:rPr>
        <w:t>-1</w:t>
      </w:r>
      <w:r w:rsidR="002D69C3">
        <w:rPr>
          <w:snapToGrid w:val="0"/>
          <w:lang w:val="en-AU"/>
        </w:rPr>
        <w:t>6</w:t>
      </w:r>
      <w:r w:rsidR="00D35707">
        <w:rPr>
          <w:snapToGrid w:val="0"/>
          <w:lang w:val="en-AU"/>
        </w:rPr>
        <w:t xml:space="preserve"> Budget year</w:t>
      </w:r>
      <w:r w:rsidRPr="00014438">
        <w:rPr>
          <w:snapToGrid w:val="0"/>
        </w:rPr>
        <w:t>)</w:t>
      </w:r>
    </w:p>
    <w:p w:rsidR="00243A1A" w:rsidRPr="00B72C06" w:rsidRDefault="002F0C7B" w:rsidP="00243A1A">
      <w:pPr>
        <w:pStyle w:val="TableGraphic"/>
      </w:pPr>
      <w:r w:rsidRPr="002F0C7B">
        <w:rPr>
          <w:noProof/>
          <w:lang w:eastAsia="zh-CN"/>
        </w:rPr>
        <w:drawing>
          <wp:inline distT="0" distB="0" distL="0" distR="0">
            <wp:extent cx="4876800" cy="3438525"/>
            <wp:effectExtent l="0" t="0" r="0" b="9525"/>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76800" cy="3438525"/>
                    </a:xfrm>
                    <a:prstGeom prst="rect">
                      <a:avLst/>
                    </a:prstGeom>
                    <a:noFill/>
                    <a:ln>
                      <a:noFill/>
                    </a:ln>
                  </pic:spPr>
                </pic:pic>
              </a:graphicData>
            </a:graphic>
          </wp:inline>
        </w:drawing>
      </w:r>
      <w:r w:rsidR="006641EE">
        <w:t xml:space="preserve"> </w:t>
      </w:r>
    </w:p>
    <w:p w:rsidR="005F7A63" w:rsidRDefault="005F7A63" w:rsidP="005F7A63">
      <w:pPr>
        <w:pStyle w:val="Source"/>
        <w:numPr>
          <w:ilvl w:val="0"/>
          <w:numId w:val="29"/>
        </w:numPr>
        <w:tabs>
          <w:tab w:val="clear" w:pos="284"/>
          <w:tab w:val="left" w:pos="142"/>
        </w:tabs>
        <w:ind w:left="284" w:hanging="284"/>
      </w:pPr>
      <w:r>
        <w:t xml:space="preserve">'Appropriation ordinary annual services' refers to funding provided through </w:t>
      </w:r>
      <w:r w:rsidRPr="00511325">
        <w:rPr>
          <w:i/>
        </w:rPr>
        <w:t>Appropriation Bills</w:t>
      </w:r>
      <w:r>
        <w:t xml:space="preserve"> (</w:t>
      </w:r>
      <w:r w:rsidRPr="00511325">
        <w:rPr>
          <w:i/>
        </w:rPr>
        <w:t>No.1</w:t>
      </w:r>
      <w:r>
        <w:t xml:space="preserve"> &amp; </w:t>
      </w:r>
      <w:r w:rsidRPr="00511325">
        <w:rPr>
          <w:i/>
        </w:rPr>
        <w:t>No. 3</w:t>
      </w:r>
      <w:r>
        <w:t>)</w:t>
      </w:r>
      <w:r w:rsidRPr="00511325">
        <w:rPr>
          <w:i/>
        </w:rPr>
        <w:t xml:space="preserve"> 2015-16</w:t>
      </w:r>
      <w:r>
        <w:t xml:space="preserve"> for depreciation/amortisation expenses, ACBs or other operational expenses. </w:t>
      </w:r>
      <w:r>
        <w:tab/>
      </w:r>
    </w:p>
    <w:p w:rsidR="005F7A63" w:rsidRDefault="005F7A63" w:rsidP="005F7A63">
      <w:pPr>
        <w:pStyle w:val="Source"/>
      </w:pPr>
      <w:r>
        <w:t>Prepared on Australian Accounting Standards basis.</w:t>
      </w:r>
    </w:p>
    <w:p w:rsidR="002E5E71" w:rsidRPr="00243A1A" w:rsidRDefault="002E5E71" w:rsidP="00243A1A">
      <w:pPr>
        <w:pStyle w:val="Source"/>
        <w:sectPr w:rsidR="002E5E71" w:rsidRPr="00243A1A" w:rsidSect="00C56AD2">
          <w:pgSz w:w="11907" w:h="16840" w:code="9"/>
          <w:pgMar w:top="2466" w:right="2098" w:bottom="2466" w:left="2098" w:header="1899" w:footer="1899" w:gutter="0"/>
          <w:cols w:space="708"/>
          <w:docGrid w:linePitch="360"/>
        </w:sectPr>
      </w:pPr>
    </w:p>
    <w:p w:rsidR="005E1356" w:rsidRDefault="005E1356" w:rsidP="005E1356">
      <w:pPr>
        <w:pStyle w:val="Heading4"/>
      </w:pPr>
      <w:bookmarkStart w:id="390" w:name="_Toc77998693"/>
      <w:bookmarkStart w:id="391" w:name="_Toc79406122"/>
      <w:bookmarkStart w:id="392" w:name="_Toc79467824"/>
      <w:bookmarkStart w:id="393" w:name="_Toc112137883"/>
      <w:bookmarkStart w:id="394" w:name="_Toc112137905"/>
      <w:bookmarkStart w:id="395" w:name="_Toc210646458"/>
      <w:bookmarkStart w:id="396" w:name="_Toc210698437"/>
      <w:bookmarkStart w:id="397" w:name="_Toc533505751"/>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4928FF">
        <w:lastRenderedPageBreak/>
        <w:t xml:space="preserve">Notes to the </w:t>
      </w:r>
      <w:r>
        <w:t>f</w:t>
      </w:r>
      <w:r w:rsidRPr="004928FF">
        <w:t xml:space="preserve">inancial </w:t>
      </w:r>
      <w:r>
        <w:t>s</w:t>
      </w:r>
      <w:r w:rsidRPr="004928FF">
        <w:t>tatements</w:t>
      </w:r>
      <w:bookmarkEnd w:id="390"/>
      <w:bookmarkEnd w:id="391"/>
      <w:bookmarkEnd w:id="392"/>
      <w:bookmarkEnd w:id="393"/>
      <w:bookmarkEnd w:id="394"/>
      <w:bookmarkEnd w:id="395"/>
      <w:bookmarkEnd w:id="396"/>
    </w:p>
    <w:bookmarkEnd w:id="397"/>
    <w:p w:rsidR="005E1356" w:rsidRPr="00B46BF3" w:rsidRDefault="005E1356" w:rsidP="005E1356">
      <w:pPr>
        <w:pStyle w:val="Heading5"/>
        <w:spacing w:after="0"/>
        <w:rPr>
          <w:b w:val="0"/>
          <w:i/>
        </w:rPr>
      </w:pPr>
      <w:r w:rsidRPr="00B46BF3">
        <w:rPr>
          <w:b w:val="0"/>
          <w:i/>
        </w:rPr>
        <w:t>Departmental Financial Statements and Schedule of Administered Activity</w:t>
      </w:r>
    </w:p>
    <w:p w:rsidR="005E1356" w:rsidRPr="00A20746" w:rsidRDefault="005E1356" w:rsidP="005E1356">
      <w:pPr>
        <w:spacing w:after="0"/>
      </w:pPr>
      <w:r w:rsidRPr="00A20746">
        <w:t>Under the Australian Government’s accrual-based budgeting framework, and consistent with Australian Accounting Standards, transactions that agencies control (Departmental transactions) are separately budgeted for and reported on from transactions agencies do not have control over (Administered transactions).  This ensures that agencies are only held fully accountable for the transactions over which they have control.</w:t>
      </w:r>
    </w:p>
    <w:p w:rsidR="005E1356" w:rsidRPr="00A20746" w:rsidRDefault="005E1356" w:rsidP="0020615E">
      <w:pPr>
        <w:pStyle w:val="Bullet"/>
        <w:numPr>
          <w:ilvl w:val="0"/>
          <w:numId w:val="2"/>
        </w:numPr>
        <w:spacing w:after="0"/>
      </w:pPr>
      <w:r w:rsidRPr="00A20746">
        <w:t>Departmental items are those assets, liabilities, revenues and expenses in relation to an agency or authority that are controlled by the agency. Departmental expenses include employee and supplier expenses and other administrative costs, which are incurred by the agency in providing its goods and services.</w:t>
      </w:r>
    </w:p>
    <w:p w:rsidR="005E1356" w:rsidRPr="00A20746" w:rsidRDefault="005E1356" w:rsidP="0020615E">
      <w:pPr>
        <w:pStyle w:val="Bullet"/>
        <w:numPr>
          <w:ilvl w:val="0"/>
          <w:numId w:val="2"/>
        </w:numPr>
        <w:spacing w:after="0"/>
      </w:pPr>
      <w:r w:rsidRPr="00A20746">
        <w:t xml:space="preserve">Administered items are revenues, expenses, assets and liabilities that are managed by an agency or authority on behalf of the Government according to set Government directions. </w:t>
      </w:r>
      <w:r w:rsidRPr="00A20746">
        <w:rPr>
          <w:lang w:val="en-AU"/>
        </w:rPr>
        <w:t xml:space="preserve"> </w:t>
      </w:r>
      <w:r w:rsidRPr="00A20746">
        <w:t>Administered expenses include subsidies, grants and personal benefit payments and Administered revenues include taxes, fees, fines and excises.</w:t>
      </w:r>
    </w:p>
    <w:p w:rsidR="005E1356" w:rsidRPr="00A20746" w:rsidRDefault="005E1356" w:rsidP="005E1356">
      <w:pPr>
        <w:pStyle w:val="Bullet"/>
        <w:numPr>
          <w:ilvl w:val="0"/>
          <w:numId w:val="0"/>
        </w:numPr>
        <w:spacing w:after="0"/>
        <w:ind w:left="720"/>
      </w:pPr>
    </w:p>
    <w:p w:rsidR="005E1356" w:rsidRPr="00B46BF3" w:rsidRDefault="005E1356" w:rsidP="005E1356">
      <w:pPr>
        <w:pStyle w:val="Heading5"/>
        <w:spacing w:after="0"/>
        <w:rPr>
          <w:b w:val="0"/>
          <w:i/>
        </w:rPr>
      </w:pPr>
      <w:r w:rsidRPr="00B46BF3">
        <w:rPr>
          <w:b w:val="0"/>
          <w:i/>
        </w:rPr>
        <w:t>Appropriations in the accrual budgeting framework</w:t>
      </w:r>
    </w:p>
    <w:p w:rsidR="005E1356" w:rsidRPr="00A20746" w:rsidRDefault="005E1356" w:rsidP="005E1356">
      <w:pPr>
        <w:spacing w:after="0"/>
      </w:pPr>
      <w:r w:rsidRPr="00A20746">
        <w:t>Under the Australian Government’s accrual budgeting framework, separate annual appropriations are provided for:</w:t>
      </w:r>
    </w:p>
    <w:p w:rsidR="005E1356" w:rsidRPr="00A20746" w:rsidRDefault="005E1356" w:rsidP="0020615E">
      <w:pPr>
        <w:pStyle w:val="Bullet"/>
        <w:numPr>
          <w:ilvl w:val="0"/>
          <w:numId w:val="2"/>
        </w:numPr>
        <w:spacing w:after="0"/>
      </w:pPr>
      <w:r w:rsidRPr="00A20746">
        <w:t>Departmental price of outputs appropriations: representing the Government’s funding for outputs from agencies;</w:t>
      </w:r>
    </w:p>
    <w:p w:rsidR="005E1356" w:rsidRPr="00A20746" w:rsidRDefault="005E1356" w:rsidP="0020615E">
      <w:pPr>
        <w:pStyle w:val="Bullet"/>
        <w:numPr>
          <w:ilvl w:val="0"/>
          <w:numId w:val="2"/>
        </w:numPr>
        <w:spacing w:after="0"/>
      </w:pPr>
      <w:r w:rsidRPr="00A20746">
        <w:t xml:space="preserve">Departmental capital appropriations: for investments by the Government for either additional equity or loans to agencies; </w:t>
      </w:r>
    </w:p>
    <w:p w:rsidR="005E1356" w:rsidRPr="00A20746" w:rsidRDefault="005E1356" w:rsidP="0020615E">
      <w:pPr>
        <w:pStyle w:val="Bullet"/>
        <w:numPr>
          <w:ilvl w:val="0"/>
          <w:numId w:val="2"/>
        </w:numPr>
        <w:spacing w:after="0"/>
      </w:pPr>
      <w:r w:rsidRPr="00A20746">
        <w:t>Administered expense appropriations: for the estimated administered expenses relating to an existing outcome, a new outcome or a Specific Purpose Payment to the states; and</w:t>
      </w:r>
    </w:p>
    <w:p w:rsidR="005E1356" w:rsidRPr="00A20746" w:rsidRDefault="005E1356" w:rsidP="0020615E">
      <w:pPr>
        <w:pStyle w:val="Bullet"/>
        <w:numPr>
          <w:ilvl w:val="0"/>
          <w:numId w:val="2"/>
        </w:numPr>
        <w:spacing w:after="0"/>
      </w:pPr>
      <w:r w:rsidRPr="00A20746">
        <w:t>Administered capital appropriations: for increases in administered equity through funding non-expense administered payments.</w:t>
      </w:r>
    </w:p>
    <w:p w:rsidR="00A20746" w:rsidRPr="00A20746" w:rsidRDefault="00A20746" w:rsidP="00A20746">
      <w:pPr>
        <w:pStyle w:val="Bullet"/>
        <w:numPr>
          <w:ilvl w:val="0"/>
          <w:numId w:val="0"/>
        </w:numPr>
        <w:spacing w:after="0"/>
        <w:ind w:left="720"/>
      </w:pPr>
    </w:p>
    <w:p w:rsidR="005E1356" w:rsidRDefault="005E1356" w:rsidP="005E1356">
      <w:pPr>
        <w:spacing w:after="0"/>
      </w:pPr>
      <w:r w:rsidRPr="00FF735F">
        <w:t>Special appropriations fund the majority of payments from the Consolidated Revenue Fund (especially those that are entitlement driven or involve transfers to State governments).</w:t>
      </w:r>
    </w:p>
    <w:p w:rsidR="00A20746" w:rsidRPr="00A20746" w:rsidRDefault="00A20746" w:rsidP="00A20746">
      <w:pPr>
        <w:pStyle w:val="Bullet"/>
        <w:numPr>
          <w:ilvl w:val="0"/>
          <w:numId w:val="0"/>
        </w:numPr>
        <w:spacing w:after="0"/>
        <w:ind w:left="720"/>
        <w:rPr>
          <w:sz w:val="14"/>
          <w:szCs w:val="14"/>
        </w:rPr>
      </w:pPr>
    </w:p>
    <w:p w:rsidR="005E1356" w:rsidRPr="00B46BF3" w:rsidRDefault="005E1356" w:rsidP="005E1356">
      <w:pPr>
        <w:pStyle w:val="Heading5"/>
        <w:spacing w:after="0"/>
        <w:rPr>
          <w:b w:val="0"/>
          <w:i/>
        </w:rPr>
      </w:pPr>
      <w:r w:rsidRPr="00B46BF3">
        <w:rPr>
          <w:b w:val="0"/>
          <w:i/>
        </w:rPr>
        <w:t>Administered investments in controlled entities</w:t>
      </w:r>
    </w:p>
    <w:p w:rsidR="005E1356" w:rsidRPr="00A20746" w:rsidRDefault="005E1356" w:rsidP="005E1356">
      <w:pPr>
        <w:pStyle w:val="Bullet"/>
        <w:numPr>
          <w:ilvl w:val="0"/>
          <w:numId w:val="0"/>
        </w:numPr>
        <w:spacing w:after="0"/>
        <w:ind w:left="472" w:hanging="472"/>
      </w:pPr>
      <w:r w:rsidRPr="00A20746">
        <w:t>The Department has two administered investments in:</w:t>
      </w:r>
    </w:p>
    <w:p w:rsidR="005E1356" w:rsidRPr="00A20746" w:rsidRDefault="005E1356" w:rsidP="0020615E">
      <w:pPr>
        <w:pStyle w:val="Bullet"/>
        <w:numPr>
          <w:ilvl w:val="0"/>
          <w:numId w:val="2"/>
        </w:numPr>
        <w:spacing w:after="0"/>
      </w:pPr>
      <w:r w:rsidRPr="00A20746">
        <w:t xml:space="preserve">Export Finance and Insurance Corporation </w:t>
      </w:r>
      <w:r w:rsidRPr="00A20746">
        <w:rPr>
          <w:lang w:val="en-AU"/>
        </w:rPr>
        <w:t>with an</w:t>
      </w:r>
      <w:r w:rsidRPr="00A20746">
        <w:t xml:space="preserve"> estimated asset value of $436.8 million </w:t>
      </w:r>
      <w:r w:rsidRPr="00A20746">
        <w:rPr>
          <w:lang w:val="en-AU"/>
        </w:rPr>
        <w:t xml:space="preserve">as at 30 June 2016; </w:t>
      </w:r>
      <w:r w:rsidRPr="00A20746">
        <w:t>and</w:t>
      </w:r>
    </w:p>
    <w:p w:rsidR="005E1356" w:rsidRPr="00A20746" w:rsidRDefault="005E1356" w:rsidP="0020615E">
      <w:pPr>
        <w:pStyle w:val="Bullet"/>
        <w:numPr>
          <w:ilvl w:val="0"/>
          <w:numId w:val="2"/>
        </w:numPr>
        <w:spacing w:after="0"/>
      </w:pPr>
      <w:r w:rsidRPr="00A20746">
        <w:t>Tourism Australia with an estimated asset value of $19.5 million as at 30 June 201</w:t>
      </w:r>
      <w:r w:rsidRPr="00A20746">
        <w:rPr>
          <w:lang w:val="en-AU"/>
        </w:rPr>
        <w:t>6</w:t>
      </w:r>
      <w:r w:rsidRPr="00A20746">
        <w:t>.</w:t>
      </w:r>
    </w:p>
    <w:p w:rsidR="00A20746" w:rsidRPr="00A20746" w:rsidRDefault="00A20746" w:rsidP="00A20746">
      <w:pPr>
        <w:pStyle w:val="Bullet"/>
        <w:numPr>
          <w:ilvl w:val="0"/>
          <w:numId w:val="0"/>
        </w:numPr>
        <w:spacing w:after="0"/>
        <w:ind w:left="720"/>
      </w:pPr>
    </w:p>
    <w:p w:rsidR="005E1356" w:rsidRPr="00FF735F" w:rsidRDefault="005E1356" w:rsidP="005E1356">
      <w:pPr>
        <w:pStyle w:val="Heading5"/>
        <w:spacing w:after="0"/>
      </w:pPr>
      <w:r w:rsidRPr="00FF735F">
        <w:lastRenderedPageBreak/>
        <w:t>Asset Valuation</w:t>
      </w:r>
    </w:p>
    <w:p w:rsidR="005E1356" w:rsidRDefault="005E1356" w:rsidP="005E1356">
      <w:pPr>
        <w:spacing w:after="0"/>
      </w:pPr>
      <w:r w:rsidRPr="00FF735F">
        <w:t>In accordance with current Australian accounting standards and the Finance Minister’s Orders</w:t>
      </w:r>
      <w:r w:rsidR="00F634AD">
        <w:t>,</w:t>
      </w:r>
      <w:r w:rsidRPr="00FF735F">
        <w:t xml:space="preserve"> the Department’s assets are carried at fair value.</w:t>
      </w:r>
    </w:p>
    <w:p w:rsidR="00F77875" w:rsidRDefault="00A20746" w:rsidP="00F77875">
      <w:pPr>
        <w:pStyle w:val="Heading1"/>
        <w:rPr>
          <w:lang w:val="en-AU"/>
        </w:rPr>
      </w:pPr>
      <w:r>
        <w:rPr>
          <w:lang w:val="en-AU"/>
        </w:rPr>
        <w:br w:type="page"/>
      </w:r>
      <w:r w:rsidR="00F77875">
        <w:rPr>
          <w:lang w:val="en-AU"/>
        </w:rPr>
        <w:lastRenderedPageBreak/>
        <w:t>Australian Trade Commission (Austrade)</w:t>
      </w:r>
    </w:p>
    <w:p w:rsidR="00F77875" w:rsidRDefault="00F77875" w:rsidP="00F77875">
      <w:pPr>
        <w:pStyle w:val="TOC1"/>
      </w:pPr>
      <w:r>
        <w:t xml:space="preserve">Section 1: </w:t>
      </w:r>
      <w:r w:rsidR="00742339">
        <w:t>Entity overview and resources</w:t>
      </w:r>
      <w:r w:rsidR="00742339">
        <w:tab/>
        <w:t>63</w:t>
      </w:r>
    </w:p>
    <w:p w:rsidR="00F77875" w:rsidRDefault="00F77875" w:rsidP="00F77875">
      <w:pPr>
        <w:pStyle w:val="TOC2"/>
      </w:pPr>
      <w:r>
        <w:t xml:space="preserve">1.1  </w:t>
      </w:r>
      <w:r w:rsidR="00742339">
        <w:t>Strategic direction statement</w:t>
      </w:r>
      <w:r w:rsidR="00742339">
        <w:tab/>
        <w:t>63</w:t>
      </w:r>
    </w:p>
    <w:p w:rsidR="00F77875" w:rsidRDefault="00F77875" w:rsidP="00F77875">
      <w:pPr>
        <w:pStyle w:val="TOC2"/>
      </w:pPr>
      <w:r>
        <w:t>1</w:t>
      </w:r>
      <w:r w:rsidR="00742339">
        <w:t>.2  Entity resource statement</w:t>
      </w:r>
      <w:r w:rsidR="00742339">
        <w:tab/>
        <w:t>64</w:t>
      </w:r>
    </w:p>
    <w:p w:rsidR="00F77875" w:rsidRDefault="00345375" w:rsidP="00F77875">
      <w:pPr>
        <w:pStyle w:val="TOC2"/>
      </w:pPr>
      <w:r>
        <w:t>1.3  Entity m</w:t>
      </w:r>
      <w:r w:rsidR="00742339">
        <w:t>easures</w:t>
      </w:r>
      <w:r w:rsidR="00742339">
        <w:tab/>
        <w:t>65</w:t>
      </w:r>
    </w:p>
    <w:p w:rsidR="00F77875" w:rsidRDefault="00F77875" w:rsidP="00F77875">
      <w:pPr>
        <w:pStyle w:val="TOC2"/>
      </w:pPr>
      <w:r>
        <w:t>1.4  Additi</w:t>
      </w:r>
      <w:r w:rsidR="00742339">
        <w:t>onal estimates and variations</w:t>
      </w:r>
      <w:r w:rsidR="00742339">
        <w:tab/>
        <w:t>66</w:t>
      </w:r>
    </w:p>
    <w:p w:rsidR="00F77875" w:rsidRDefault="00F77875" w:rsidP="00F77875">
      <w:pPr>
        <w:pStyle w:val="TOC2"/>
      </w:pPr>
      <w:r>
        <w:t>1.5  Breakdown of additional es</w:t>
      </w:r>
      <w:r w:rsidR="00742339">
        <w:t>timates by appropriation bill</w:t>
      </w:r>
      <w:r w:rsidR="00742339">
        <w:tab/>
        <w:t>68</w:t>
      </w:r>
    </w:p>
    <w:p w:rsidR="00F77875" w:rsidRDefault="00F77875" w:rsidP="00F77875">
      <w:pPr>
        <w:pStyle w:val="TOC1"/>
      </w:pPr>
      <w:r>
        <w:t>Section 2: Revisions to out</w:t>
      </w:r>
      <w:r w:rsidR="00742339">
        <w:t>comes and planned performance</w:t>
      </w:r>
      <w:r w:rsidR="00742339">
        <w:tab/>
        <w:t>69</w:t>
      </w:r>
    </w:p>
    <w:p w:rsidR="00F77875" w:rsidRDefault="00F77875" w:rsidP="00F77875">
      <w:pPr>
        <w:pStyle w:val="TOC2"/>
      </w:pPr>
      <w:r>
        <w:t>2.1  Outcome</w:t>
      </w:r>
      <w:r w:rsidR="00742339">
        <w:t>s and performance information</w:t>
      </w:r>
      <w:r w:rsidR="00742339">
        <w:tab/>
        <w:t>69</w:t>
      </w:r>
    </w:p>
    <w:p w:rsidR="00F77875" w:rsidRDefault="00F77875" w:rsidP="00F77875">
      <w:pPr>
        <w:pStyle w:val="TOC1"/>
      </w:pPr>
      <w:r>
        <w:t xml:space="preserve">Section 3: Explanatory tables and </w:t>
      </w:r>
      <w:r w:rsidR="00742339">
        <w:t>budgeted financial statements</w:t>
      </w:r>
      <w:r w:rsidR="00742339">
        <w:tab/>
        <w:t>75</w:t>
      </w:r>
    </w:p>
    <w:p w:rsidR="00F77875" w:rsidRDefault="00742339" w:rsidP="00F77875">
      <w:pPr>
        <w:pStyle w:val="TOC2"/>
      </w:pPr>
      <w:r>
        <w:t>3.1  Explanatory tables</w:t>
      </w:r>
      <w:r>
        <w:tab/>
        <w:t>75</w:t>
      </w:r>
    </w:p>
    <w:p w:rsidR="00F77875" w:rsidRDefault="00F77875" w:rsidP="00F77875">
      <w:pPr>
        <w:pStyle w:val="TOC2"/>
      </w:pPr>
      <w:r>
        <w:t>3.2  Budgeted financia</w:t>
      </w:r>
      <w:r w:rsidR="00742339">
        <w:t>l statements</w:t>
      </w:r>
      <w:r w:rsidR="00742339">
        <w:tab/>
        <w:t>76</w:t>
      </w:r>
    </w:p>
    <w:p w:rsidR="00F77875" w:rsidRDefault="00F77875" w:rsidP="00F77875">
      <w:pPr>
        <w:spacing w:after="0" w:line="240" w:lineRule="auto"/>
        <w:jc w:val="left"/>
        <w:sectPr w:rsidR="00F77875" w:rsidSect="009A2DB9">
          <w:headerReference w:type="even" r:id="rId105"/>
          <w:headerReference w:type="default" r:id="rId106"/>
          <w:headerReference w:type="first" r:id="rId107"/>
          <w:pgSz w:w="11907" w:h="16840"/>
          <w:pgMar w:top="2466" w:right="2098" w:bottom="2466" w:left="2098" w:header="1899" w:footer="1899" w:gutter="0"/>
          <w:cols w:space="720"/>
          <w:titlePg/>
          <w:docGrid w:linePitch="272"/>
        </w:sectPr>
      </w:pPr>
    </w:p>
    <w:p w:rsidR="00F77875" w:rsidRDefault="00F77875" w:rsidP="00F77875">
      <w:pPr>
        <w:pStyle w:val="Heading1"/>
        <w:rPr>
          <w:lang w:val="en-AU"/>
        </w:rPr>
      </w:pPr>
      <w:r>
        <w:rPr>
          <w:lang w:val="en-AU"/>
        </w:rPr>
        <w:lastRenderedPageBreak/>
        <w:t>Australian Trade Commission (Austrade)</w:t>
      </w:r>
    </w:p>
    <w:p w:rsidR="00F77875" w:rsidRDefault="00F77875" w:rsidP="00F77875">
      <w:pPr>
        <w:pStyle w:val="Heading2"/>
      </w:pPr>
      <w:r>
        <w:t>Section 1: Entity overview and resources</w:t>
      </w:r>
    </w:p>
    <w:p w:rsidR="00F77875" w:rsidRDefault="00F77875" w:rsidP="00F77875">
      <w:pPr>
        <w:pStyle w:val="Heading3"/>
        <w:rPr>
          <w:lang w:val="en-AU"/>
        </w:rPr>
      </w:pPr>
      <w:r>
        <w:t>1.1</w:t>
      </w:r>
      <w:r>
        <w:tab/>
        <w:t>Strategic direction</w:t>
      </w:r>
      <w:r>
        <w:rPr>
          <w:lang w:val="en-AU"/>
        </w:rPr>
        <w:t xml:space="preserve"> statement</w:t>
      </w:r>
    </w:p>
    <w:p w:rsidR="00F77875" w:rsidRDefault="00F77875" w:rsidP="00F77875">
      <w:r>
        <w:t xml:space="preserve">A full outline of Austrade’s current strategic direction can be found in the </w:t>
      </w:r>
      <w:r>
        <w:rPr>
          <w:i/>
        </w:rPr>
        <w:t>Portfolio Budget Statements 2015-16</w:t>
      </w:r>
      <w:r>
        <w:t xml:space="preserve">. </w:t>
      </w:r>
    </w:p>
    <w:p w:rsidR="00F77875" w:rsidRDefault="00F77875" w:rsidP="00F77875">
      <w:pPr>
        <w:pStyle w:val="Heading3"/>
      </w:pPr>
      <w:r>
        <w:t>1.2</w:t>
      </w:r>
      <w:r>
        <w:tab/>
        <w:t>Entity resource statement</w:t>
      </w:r>
    </w:p>
    <w:p w:rsidR="00F77875" w:rsidRDefault="00F77875" w:rsidP="00F77875">
      <w:r>
        <w:t xml:space="preserve">The Entity Resource Statement details the resourcing for Austrade at Additional Estimates. Table 1.1 outlines the total resourcing available from all sources for the 2015-16 Budget year, including variations through </w:t>
      </w:r>
      <w:r w:rsidRPr="00DC41A8">
        <w:rPr>
          <w:i/>
        </w:rPr>
        <w:t xml:space="preserve">Appropriation Bill No. 3 </w:t>
      </w:r>
      <w:r w:rsidRPr="00DC41A8">
        <w:t>and</w:t>
      </w:r>
      <w:r w:rsidRPr="00DC41A8">
        <w:rPr>
          <w:i/>
        </w:rPr>
        <w:t xml:space="preserve"> No. 4,</w:t>
      </w:r>
      <w:r w:rsidR="00DC41A8">
        <w:t xml:space="preserve"> special appropriations and special a</w:t>
      </w:r>
      <w:r>
        <w:t xml:space="preserve">ccounts. </w:t>
      </w:r>
    </w:p>
    <w:p w:rsidR="00F77875" w:rsidRDefault="00F77875" w:rsidP="00F77875">
      <w:pPr>
        <w:pStyle w:val="TableHeading"/>
        <w:rPr>
          <w:lang w:val="en-AU"/>
        </w:rPr>
      </w:pPr>
      <w:r>
        <w:rPr>
          <w:b w:val="0"/>
        </w:rPr>
        <w:br w:type="page"/>
      </w:r>
      <w:r>
        <w:lastRenderedPageBreak/>
        <w:t xml:space="preserve">Table 1.1: </w:t>
      </w:r>
      <w:r>
        <w:rPr>
          <w:lang w:val="en-AU"/>
        </w:rPr>
        <w:t>Austrade</w:t>
      </w:r>
      <w:r>
        <w:t xml:space="preserve"> </w:t>
      </w:r>
      <w:r w:rsidR="009631BB">
        <w:rPr>
          <w:lang w:val="en-AU"/>
        </w:rPr>
        <w:t>Resource Statement</w:t>
      </w:r>
      <w:r>
        <w:t xml:space="preserve"> — Additional Estimates for </w:t>
      </w:r>
      <w:r>
        <w:br/>
        <w:t>201</w:t>
      </w:r>
      <w:r>
        <w:rPr>
          <w:lang w:val="en-AU"/>
        </w:rPr>
        <w:t>5-</w:t>
      </w:r>
      <w:r>
        <w:t>1</w:t>
      </w:r>
      <w:r>
        <w:rPr>
          <w:lang w:val="en-AU"/>
        </w:rPr>
        <w:t>6</w:t>
      </w:r>
      <w:r>
        <w:t xml:space="preserve"> as at Additional Estimates February 201</w:t>
      </w:r>
      <w:r>
        <w:rPr>
          <w:lang w:val="en-AU"/>
        </w:rPr>
        <w:t>6</w:t>
      </w:r>
    </w:p>
    <w:p w:rsidR="00817126" w:rsidRPr="00982D6D" w:rsidRDefault="00312FF8" w:rsidP="00817126">
      <w:pPr>
        <w:pStyle w:val="TableHeading"/>
        <w:rPr>
          <w:rFonts w:ascii="Calibri" w:hAnsi="Calibri"/>
          <w:b w:val="0"/>
          <w:sz w:val="16"/>
          <w:szCs w:val="16"/>
          <w:lang w:val="en-AU"/>
        </w:rPr>
      </w:pPr>
      <w:r w:rsidRPr="00312FF8">
        <w:rPr>
          <w:noProof/>
          <w:lang w:val="en-AU" w:eastAsia="zh-CN"/>
        </w:rPr>
        <w:drawing>
          <wp:inline distT="0" distB="0" distL="0" distR="0" wp14:anchorId="6DDA9581" wp14:editId="75A657F1">
            <wp:extent cx="4896485" cy="3397174"/>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96485" cy="3397174"/>
                    </a:xfrm>
                    <a:prstGeom prst="rect">
                      <a:avLst/>
                    </a:prstGeom>
                    <a:noFill/>
                    <a:ln>
                      <a:noFill/>
                    </a:ln>
                  </pic:spPr>
                </pic:pic>
              </a:graphicData>
            </a:graphic>
          </wp:inline>
        </w:drawing>
      </w:r>
      <w:r w:rsidR="00817126" w:rsidRPr="00982D6D">
        <w:rPr>
          <w:sz w:val="16"/>
          <w:szCs w:val="16"/>
        </w:rPr>
        <w:fldChar w:fldCharType="begin"/>
      </w:r>
      <w:r w:rsidR="00817126" w:rsidRPr="00982D6D">
        <w:rPr>
          <w:sz w:val="16"/>
          <w:szCs w:val="16"/>
        </w:rPr>
        <w:instrText xml:space="preserve"> LINK Excel.Sheet.12 "http://thehub/ws/co/fpaw/External%20Documents/1.%20Budget%20Estimates%20Rounds/FY201617/2.%20201617%20PAES/PAES%20Tables.xlsx" "Table 1.1 NCCE!R4C1:R23C5" \a \f 4 \h  \* MERGEFORMAT </w:instrText>
      </w:r>
      <w:r w:rsidR="00817126" w:rsidRPr="00982D6D">
        <w:rPr>
          <w:sz w:val="16"/>
          <w:szCs w:val="16"/>
        </w:rPr>
        <w:fldChar w:fldCharType="separate"/>
      </w:r>
    </w:p>
    <w:p w:rsidR="00817126" w:rsidRPr="00982D6D" w:rsidRDefault="00817126" w:rsidP="00982D6D">
      <w:pPr>
        <w:pStyle w:val="TableHeading"/>
        <w:spacing w:before="0" w:after="0"/>
        <w:rPr>
          <w:b w:val="0"/>
          <w:i/>
          <w:sz w:val="16"/>
          <w:szCs w:val="16"/>
        </w:rPr>
      </w:pPr>
      <w:r w:rsidRPr="00982D6D">
        <w:rPr>
          <w:sz w:val="16"/>
          <w:szCs w:val="16"/>
        </w:rPr>
        <w:fldChar w:fldCharType="end"/>
      </w:r>
      <w:r w:rsidR="00982D6D" w:rsidRPr="008715DF">
        <w:rPr>
          <w:b w:val="0"/>
          <w:sz w:val="16"/>
          <w:szCs w:val="16"/>
        </w:rPr>
        <w:t>(a)</w:t>
      </w:r>
      <w:r w:rsidR="00982D6D" w:rsidRPr="00982D6D">
        <w:rPr>
          <w:sz w:val="16"/>
          <w:szCs w:val="16"/>
        </w:rPr>
        <w:t xml:space="preserve"> </w:t>
      </w:r>
      <w:r w:rsidR="00982D6D">
        <w:rPr>
          <w:sz w:val="16"/>
          <w:szCs w:val="16"/>
          <w:lang w:val="en-AU"/>
        </w:rPr>
        <w:t xml:space="preserve">  </w:t>
      </w:r>
      <w:r w:rsidRPr="00982D6D">
        <w:rPr>
          <w:b w:val="0"/>
          <w:i/>
          <w:sz w:val="16"/>
          <w:szCs w:val="16"/>
        </w:rPr>
        <w:t>Appropriation Act (No. 1) 2015-16</w:t>
      </w:r>
      <w:r w:rsidRPr="00982D6D">
        <w:rPr>
          <w:b w:val="0"/>
          <w:sz w:val="16"/>
          <w:szCs w:val="16"/>
        </w:rPr>
        <w:t xml:space="preserve"> and </w:t>
      </w:r>
      <w:r w:rsidRPr="00982D6D">
        <w:rPr>
          <w:b w:val="0"/>
          <w:i/>
          <w:sz w:val="16"/>
          <w:szCs w:val="16"/>
        </w:rPr>
        <w:t>Appropriation Bill (No. 3) 2015-16.</w:t>
      </w:r>
    </w:p>
    <w:p w:rsidR="00817126" w:rsidRPr="00564C0F" w:rsidRDefault="00817126" w:rsidP="00817126">
      <w:pPr>
        <w:pStyle w:val="ChartandTableFootnoteAlpha"/>
        <w:spacing w:line="240" w:lineRule="auto"/>
      </w:pPr>
      <w:r w:rsidRPr="00564C0F">
        <w:t xml:space="preserve">(b) </w:t>
      </w:r>
      <w:r w:rsidRPr="00564C0F">
        <w:tab/>
        <w:t>Estimated adjusted balance carried from previous year for annual appropriations</w:t>
      </w:r>
      <w:r>
        <w:t>.</w:t>
      </w:r>
    </w:p>
    <w:p w:rsidR="00817126" w:rsidRDefault="00817126" w:rsidP="00817126">
      <w:pPr>
        <w:pStyle w:val="ChartandTableFootnoteAlpha"/>
        <w:spacing w:line="240" w:lineRule="auto"/>
      </w:pPr>
      <w:r w:rsidRPr="00564C0F">
        <w:t xml:space="preserve">(c) </w:t>
      </w:r>
      <w:r w:rsidRPr="00564C0F">
        <w:tab/>
        <w:t xml:space="preserve">Includes an amount of </w:t>
      </w:r>
      <w:r>
        <w:t>$14.160</w:t>
      </w:r>
      <w:r w:rsidRPr="00564C0F">
        <w:t>m in 2015-16 for the Departmental Capital Budget (refer to table 3.2.5 for further details). For accounting purposes this amount has been designated as 'contributions by owners'</w:t>
      </w:r>
      <w:r>
        <w:t>.</w:t>
      </w:r>
    </w:p>
    <w:p w:rsidR="00817126" w:rsidRPr="00590C3B" w:rsidRDefault="00817126" w:rsidP="00817126">
      <w:pPr>
        <w:pStyle w:val="ChartandTableFootnoteAlpha"/>
        <w:spacing w:line="240" w:lineRule="auto"/>
      </w:pPr>
      <w:r w:rsidRPr="00564C0F">
        <w:t xml:space="preserve">(d) </w:t>
      </w:r>
      <w:r w:rsidRPr="00564C0F">
        <w:tab/>
        <w:t xml:space="preserve">Estimated retained revenue receipts under section 74 of the </w:t>
      </w:r>
      <w:r w:rsidRPr="00564C0F">
        <w:rPr>
          <w:i/>
        </w:rPr>
        <w:t xml:space="preserve">Public Governance, Performance and </w:t>
      </w:r>
      <w:r w:rsidRPr="00590C3B">
        <w:rPr>
          <w:i/>
        </w:rPr>
        <w:t>Accountability (PGPA) Act 2013</w:t>
      </w:r>
      <w:r w:rsidRPr="00590C3B">
        <w:t xml:space="preserve">. </w:t>
      </w:r>
    </w:p>
    <w:p w:rsidR="00817126" w:rsidRPr="00590C3B" w:rsidRDefault="00817126" w:rsidP="00817126">
      <w:pPr>
        <w:pStyle w:val="TableGraphic"/>
        <w:rPr>
          <w:color w:val="auto"/>
        </w:rPr>
      </w:pPr>
    </w:p>
    <w:p w:rsidR="00817126" w:rsidRPr="00590C3B" w:rsidRDefault="00817126" w:rsidP="00817126">
      <w:pPr>
        <w:pStyle w:val="ChartandTableFootnote"/>
      </w:pPr>
      <w:r w:rsidRPr="00590C3B">
        <w:t>Reader note: All figures are GST exclusive. These figures may not match figures in the cash flow statement.</w:t>
      </w:r>
    </w:p>
    <w:p w:rsidR="00F77875" w:rsidRDefault="00F77875" w:rsidP="00F77875">
      <w:pPr>
        <w:pStyle w:val="SingleParagraph"/>
      </w:pPr>
    </w:p>
    <w:p w:rsidR="00F77875" w:rsidRDefault="00F77875" w:rsidP="00F77875">
      <w:pPr>
        <w:pStyle w:val="Heading3"/>
        <w:rPr>
          <w:lang w:val="en-AU"/>
        </w:rPr>
      </w:pPr>
      <w:r>
        <w:rPr>
          <w:b w:val="0"/>
          <w:smallCaps w:val="0"/>
        </w:rPr>
        <w:br w:type="page"/>
      </w:r>
      <w:r>
        <w:lastRenderedPageBreak/>
        <w:t>1.3</w:t>
      </w:r>
      <w:r>
        <w:tab/>
        <w:t>Entity Measures</w:t>
      </w:r>
    </w:p>
    <w:p w:rsidR="00F77875" w:rsidRDefault="00F77875" w:rsidP="00F77875">
      <w:r>
        <w:t>Table 1.2 summarises new Government measures taken since the 2015-16 Budget. The table is split into revenue, expense and capital measures, with the affected programme identified.</w:t>
      </w:r>
    </w:p>
    <w:p w:rsidR="00F77875" w:rsidRDefault="00F77875" w:rsidP="00F77875">
      <w:pPr>
        <w:pStyle w:val="TableHeading"/>
      </w:pPr>
      <w:r>
        <w:t>Table 1.2: Entity 201</w:t>
      </w:r>
      <w:r>
        <w:rPr>
          <w:lang w:val="en-AU"/>
        </w:rPr>
        <w:t>5</w:t>
      </w:r>
      <w:r>
        <w:t>-1</w:t>
      </w:r>
      <w:r>
        <w:rPr>
          <w:lang w:val="en-AU"/>
        </w:rPr>
        <w:t>6</w:t>
      </w:r>
      <w:r>
        <w:t xml:space="preserve"> measures since Budget</w:t>
      </w:r>
    </w:p>
    <w:p w:rsidR="00F77875" w:rsidRDefault="00322254" w:rsidP="00F77875">
      <w:pPr>
        <w:pStyle w:val="TableGraphic"/>
        <w:rPr>
          <w:i w:val="0"/>
        </w:rPr>
      </w:pPr>
      <w:r>
        <w:rPr>
          <w:noProof/>
          <w:lang w:eastAsia="zh-CN"/>
        </w:rPr>
        <w:drawing>
          <wp:inline distT="0" distB="0" distL="0" distR="0">
            <wp:extent cx="4895850" cy="308610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895850" cy="3086100"/>
                    </a:xfrm>
                    <a:prstGeom prst="rect">
                      <a:avLst/>
                    </a:prstGeom>
                    <a:noFill/>
                    <a:ln>
                      <a:noFill/>
                    </a:ln>
                  </pic:spPr>
                </pic:pic>
              </a:graphicData>
            </a:graphic>
          </wp:inline>
        </w:drawing>
      </w:r>
    </w:p>
    <w:p w:rsidR="00F77875" w:rsidRDefault="00F77875" w:rsidP="00F77875">
      <w:pPr>
        <w:pStyle w:val="ChartandTableFootnoteAlpha"/>
        <w:spacing w:line="240" w:lineRule="auto"/>
        <w:jc w:val="left"/>
        <w:rPr>
          <w:b/>
        </w:rPr>
      </w:pPr>
      <w:r>
        <w:rPr>
          <w:b/>
        </w:rPr>
        <w:t>Prepared on a Government Financial Statistics (fiscal) basis</w:t>
      </w:r>
      <w:r w:rsidR="00393180">
        <w:rPr>
          <w:b/>
        </w:rPr>
        <w:t>.</w:t>
      </w:r>
    </w:p>
    <w:p w:rsidR="00322254" w:rsidRDefault="00322254" w:rsidP="00322254">
      <w:pPr>
        <w:pStyle w:val="ChartandTableFootnoteAlpha"/>
        <w:spacing w:line="240" w:lineRule="auto"/>
      </w:pPr>
      <w:r>
        <w:t xml:space="preserve">(a) </w:t>
      </w:r>
      <w:r>
        <w:tab/>
      </w:r>
      <w:r w:rsidRPr="004B494A">
        <w:t xml:space="preserve">The lead entity for measure </w:t>
      </w:r>
      <w:r w:rsidRPr="00821DCC">
        <w:t>National Innovation and Science Agenda - Global Innovation Strategy</w:t>
      </w:r>
      <w:r>
        <w:t xml:space="preserve"> </w:t>
      </w:r>
      <w:r w:rsidRPr="004B494A">
        <w:t>is the Department of Industry, Innovation and Science. The full measure description and package</w:t>
      </w:r>
      <w:r>
        <w:t xml:space="preserve"> </w:t>
      </w:r>
      <w:r w:rsidRPr="004B494A">
        <w:t>details appear in MYEFO under the In</w:t>
      </w:r>
      <w:r w:rsidR="00C34E4C">
        <w:t>dustry, Innovation and Science P</w:t>
      </w:r>
      <w:r w:rsidRPr="004B494A">
        <w:t>ortfolio.</w:t>
      </w:r>
    </w:p>
    <w:p w:rsidR="00322254" w:rsidRDefault="00322254" w:rsidP="00322254">
      <w:pPr>
        <w:pStyle w:val="ChartandTableFootnoteAlpha"/>
        <w:spacing w:line="240" w:lineRule="auto"/>
      </w:pPr>
      <w:r>
        <w:t xml:space="preserve">(b) </w:t>
      </w:r>
      <w:r>
        <w:tab/>
      </w:r>
      <w:r w:rsidRPr="004B494A">
        <w:t xml:space="preserve">The lead entity for measure </w:t>
      </w:r>
      <w:r w:rsidRPr="00821DCC">
        <w:t>Our North, Our Future - simpler land arrangements to support investment</w:t>
      </w:r>
      <w:r>
        <w:t xml:space="preserve"> </w:t>
      </w:r>
      <w:r w:rsidRPr="004B494A">
        <w:t xml:space="preserve">is the Department of </w:t>
      </w:r>
      <w:r>
        <w:t>the Prime Minister and Cabinet</w:t>
      </w:r>
      <w:r w:rsidRPr="004B494A">
        <w:t>. The full measure description and package</w:t>
      </w:r>
      <w:r>
        <w:t xml:space="preserve"> </w:t>
      </w:r>
      <w:r w:rsidRPr="004B494A">
        <w:t xml:space="preserve">details appear in MYEFO under the </w:t>
      </w:r>
      <w:r>
        <w:t>Prime Minister and Cabinet</w:t>
      </w:r>
      <w:r w:rsidR="00C34E4C">
        <w:t xml:space="preserve"> P</w:t>
      </w:r>
      <w:r w:rsidRPr="004B494A">
        <w:t>ortfolio.</w:t>
      </w:r>
    </w:p>
    <w:p w:rsidR="00F77875" w:rsidRDefault="00F77875" w:rsidP="00F77875">
      <w:pPr>
        <w:pStyle w:val="SingleParagraph"/>
      </w:pPr>
    </w:p>
    <w:p w:rsidR="00F77875" w:rsidRDefault="00F77875" w:rsidP="00F77875">
      <w:pPr>
        <w:pStyle w:val="Heading3"/>
      </w:pPr>
      <w:r>
        <w:rPr>
          <w:b w:val="0"/>
          <w:smallCaps w:val="0"/>
        </w:rPr>
        <w:br w:type="page"/>
      </w:r>
      <w:r>
        <w:lastRenderedPageBreak/>
        <w:t>1.4</w:t>
      </w:r>
      <w:r>
        <w:tab/>
        <w:t>Additional estimates and variations</w:t>
      </w:r>
    </w:p>
    <w:p w:rsidR="00F77875" w:rsidRDefault="00F77875" w:rsidP="00F77875">
      <w:r>
        <w:t xml:space="preserve">The following tables detail the changes to the resourcing for Austrade at Additional Estimates, by outcome. Table 1.3 details the Additional Estimates and variations resulting from new measures since the 2015-16 Budget in </w:t>
      </w:r>
      <w:r w:rsidRPr="00164E70">
        <w:rPr>
          <w:i/>
        </w:rPr>
        <w:t xml:space="preserve">Appropriation Bill No. 3 </w:t>
      </w:r>
      <w:r w:rsidRPr="00164E70">
        <w:t>and</w:t>
      </w:r>
      <w:r w:rsidRPr="00164E70">
        <w:rPr>
          <w:i/>
        </w:rPr>
        <w:t> No. 4</w:t>
      </w:r>
      <w:r>
        <w:t xml:space="preserve">. Table 1.4 details Additional Estimates or variations through other factors, such </w:t>
      </w:r>
      <w:r w:rsidR="00B26357">
        <w:t xml:space="preserve">as </w:t>
      </w:r>
      <w:r>
        <w:t>parameter adjustments.</w:t>
      </w:r>
    </w:p>
    <w:p w:rsidR="00590C3B" w:rsidRDefault="00590C3B" w:rsidP="00590C3B">
      <w:pPr>
        <w:pStyle w:val="TableHeading"/>
      </w:pPr>
      <w:r w:rsidRPr="001A75A9">
        <w:t>Table 1.</w:t>
      </w:r>
      <w:r>
        <w:t xml:space="preserve">3: </w:t>
      </w:r>
      <w:r w:rsidRPr="001A75A9">
        <w:t xml:space="preserve">Additional </w:t>
      </w:r>
      <w:r>
        <w:t>e</w:t>
      </w:r>
      <w:r w:rsidRPr="001A75A9">
        <w:t xml:space="preserve">stimates and </w:t>
      </w:r>
      <w:r>
        <w:t>v</w:t>
      </w:r>
      <w:r w:rsidRPr="001A75A9">
        <w:t xml:space="preserve">ariations to </w:t>
      </w:r>
      <w:r>
        <w:t>o</w:t>
      </w:r>
      <w:r w:rsidRPr="001A75A9">
        <w:t xml:space="preserve">utcomes from </w:t>
      </w:r>
      <w:r>
        <w:t>m</w:t>
      </w:r>
      <w:r w:rsidRPr="001A75A9">
        <w:t xml:space="preserve">easures since </w:t>
      </w:r>
      <w:r>
        <w:t>201</w:t>
      </w:r>
      <w:r>
        <w:rPr>
          <w:lang w:val="en-AU"/>
        </w:rPr>
        <w:t>5</w:t>
      </w:r>
      <w:r>
        <w:t>-1</w:t>
      </w:r>
      <w:r>
        <w:rPr>
          <w:lang w:val="en-AU"/>
        </w:rPr>
        <w:t>6</w:t>
      </w:r>
      <w:r w:rsidRPr="001A75A9">
        <w:t xml:space="preserve"> Budget</w:t>
      </w:r>
    </w:p>
    <w:p w:rsidR="00590C3B" w:rsidRDefault="00815D64" w:rsidP="00590C3B">
      <w:pPr>
        <w:pStyle w:val="TableGraphic"/>
      </w:pPr>
      <w:r>
        <w:rPr>
          <w:noProof/>
          <w:lang w:eastAsia="zh-CN"/>
        </w:rPr>
        <w:drawing>
          <wp:inline distT="0" distB="0" distL="0" distR="0">
            <wp:extent cx="4895850" cy="2124075"/>
            <wp:effectExtent l="0" t="0" r="0" b="9525"/>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95850" cy="2124075"/>
                    </a:xfrm>
                    <a:prstGeom prst="rect">
                      <a:avLst/>
                    </a:prstGeom>
                    <a:noFill/>
                    <a:ln>
                      <a:noFill/>
                    </a:ln>
                  </pic:spPr>
                </pic:pic>
              </a:graphicData>
            </a:graphic>
          </wp:inline>
        </w:drawing>
      </w:r>
    </w:p>
    <w:p w:rsidR="00F77875" w:rsidRPr="00C50B0C" w:rsidRDefault="00F77875" w:rsidP="00D779A8">
      <w:pPr>
        <w:spacing w:after="0" w:line="240" w:lineRule="auto"/>
        <w:jc w:val="left"/>
        <w:rPr>
          <w:rFonts w:ascii="Arial" w:hAnsi="Arial" w:cs="Arial"/>
          <w:b/>
        </w:rPr>
      </w:pPr>
      <w:r w:rsidRPr="00C50B0C">
        <w:rPr>
          <w:rFonts w:ascii="Arial" w:hAnsi="Arial" w:cs="Arial"/>
          <w:b/>
        </w:rPr>
        <w:br w:type="page"/>
      </w:r>
      <w:r w:rsidRPr="00C50B0C">
        <w:rPr>
          <w:rFonts w:ascii="Arial" w:hAnsi="Arial" w:cs="Arial"/>
          <w:b/>
        </w:rPr>
        <w:lastRenderedPageBreak/>
        <w:t>Table 1.4: Additional estimates and variations to outcomes from other variations</w:t>
      </w:r>
    </w:p>
    <w:p w:rsidR="00F77875" w:rsidRDefault="0034440E" w:rsidP="00F77875">
      <w:pPr>
        <w:pStyle w:val="Heading3"/>
      </w:pPr>
      <w:r>
        <w:rPr>
          <w:noProof/>
          <w:lang w:val="en-AU" w:eastAsia="zh-CN"/>
        </w:rPr>
        <w:drawing>
          <wp:inline distT="0" distB="0" distL="0" distR="0">
            <wp:extent cx="4895850" cy="2543175"/>
            <wp:effectExtent l="0" t="0" r="0"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95850" cy="2543175"/>
                    </a:xfrm>
                    <a:prstGeom prst="rect">
                      <a:avLst/>
                    </a:prstGeom>
                    <a:noFill/>
                    <a:ln>
                      <a:noFill/>
                    </a:ln>
                  </pic:spPr>
                </pic:pic>
              </a:graphicData>
            </a:graphic>
          </wp:inline>
        </w:drawing>
      </w:r>
      <w:r w:rsidR="00F77875">
        <w:br w:type="page"/>
      </w:r>
      <w:r w:rsidR="00F77875">
        <w:lastRenderedPageBreak/>
        <w:t>1.5</w:t>
      </w:r>
      <w:r w:rsidR="00F77875">
        <w:tab/>
        <w:t>Breakdown of additional estimates by appropriation bill</w:t>
      </w:r>
    </w:p>
    <w:p w:rsidR="00F77875" w:rsidRDefault="00F77875" w:rsidP="00F77875">
      <w:r>
        <w:t xml:space="preserve">The following tables detail the Additional Estimates sought for Austrade through </w:t>
      </w:r>
      <w:r w:rsidRPr="00EF3C43">
        <w:rPr>
          <w:i/>
        </w:rPr>
        <w:t xml:space="preserve">Appropriation Bill No. 3 </w:t>
      </w:r>
      <w:r w:rsidRPr="00EF3C43">
        <w:t>and</w:t>
      </w:r>
      <w:r w:rsidRPr="00EF3C43">
        <w:rPr>
          <w:i/>
        </w:rPr>
        <w:t xml:space="preserve"> No. 4.</w:t>
      </w:r>
    </w:p>
    <w:p w:rsidR="00F77875" w:rsidRDefault="00F77875" w:rsidP="00F77875">
      <w:pPr>
        <w:pStyle w:val="TableHeading"/>
        <w:rPr>
          <w:lang w:val="en-AU"/>
        </w:rPr>
      </w:pPr>
      <w:r>
        <w:t>Table 1.5: Appropriation Bill (No. 3) 201</w:t>
      </w:r>
      <w:r>
        <w:rPr>
          <w:lang w:val="en-AU"/>
        </w:rPr>
        <w:t>5</w:t>
      </w:r>
      <w:r>
        <w:t>-1</w:t>
      </w:r>
      <w:r>
        <w:rPr>
          <w:lang w:val="en-AU"/>
        </w:rPr>
        <w:t>6</w:t>
      </w:r>
    </w:p>
    <w:p w:rsidR="00671E3B" w:rsidRPr="00671E3B" w:rsidRDefault="00270030" w:rsidP="00671E3B">
      <w:pPr>
        <w:pStyle w:val="TableGraphic"/>
      </w:pPr>
      <w:r>
        <w:rPr>
          <w:noProof/>
          <w:lang w:eastAsia="zh-CN"/>
        </w:rPr>
        <w:drawing>
          <wp:inline distT="0" distB="0" distL="0" distR="0">
            <wp:extent cx="4895850" cy="4238625"/>
            <wp:effectExtent l="0" t="0" r="0"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895850" cy="4238625"/>
                    </a:xfrm>
                    <a:prstGeom prst="rect">
                      <a:avLst/>
                    </a:prstGeom>
                    <a:noFill/>
                    <a:ln>
                      <a:noFill/>
                    </a:ln>
                  </pic:spPr>
                </pic:pic>
              </a:graphicData>
            </a:graphic>
          </wp:inline>
        </w:drawing>
      </w:r>
    </w:p>
    <w:p w:rsidR="00F77875" w:rsidRDefault="00F77875" w:rsidP="00393180">
      <w:pPr>
        <w:pStyle w:val="ExampleText"/>
        <w:spacing w:after="0" w:line="240" w:lineRule="auto"/>
        <w:rPr>
          <w:rFonts w:ascii="Arial" w:hAnsi="Arial" w:cs="Arial"/>
          <w:i w:val="0"/>
          <w:color w:val="auto"/>
          <w:sz w:val="16"/>
          <w:szCs w:val="16"/>
        </w:rPr>
      </w:pPr>
      <w:r>
        <w:rPr>
          <w:rFonts w:ascii="Arial" w:hAnsi="Arial" w:cs="Arial"/>
          <w:i w:val="0"/>
          <w:color w:val="auto"/>
          <w:sz w:val="16"/>
          <w:szCs w:val="16"/>
        </w:rPr>
        <w:t xml:space="preserve">Note: 2014-15 available appropriation is included to allow a comparison of this year's appropriation with what was made available for use in the previous year. Available appropriation is the amount available to be drawn down, and is equal to: </w:t>
      </w:r>
      <w:r>
        <w:rPr>
          <w:rFonts w:ascii="Arial" w:hAnsi="Arial" w:cs="Arial"/>
          <w:color w:val="auto"/>
          <w:sz w:val="16"/>
          <w:szCs w:val="16"/>
        </w:rPr>
        <w:t>Budget Appropriation + Additional Estimates Appropriation + AFM - section 51 withholdings - administrative quarantines +/- Machinery of Government transfers</w:t>
      </w:r>
      <w:r>
        <w:rPr>
          <w:rFonts w:ascii="Arial" w:hAnsi="Arial" w:cs="Arial"/>
          <w:i w:val="0"/>
          <w:color w:val="auto"/>
          <w:sz w:val="16"/>
          <w:szCs w:val="16"/>
        </w:rPr>
        <w:t>.</w:t>
      </w:r>
    </w:p>
    <w:p w:rsidR="00F16D5C" w:rsidRDefault="00F16D5C" w:rsidP="006202C1">
      <w:pPr>
        <w:pStyle w:val="TableHeading"/>
        <w:rPr>
          <w:lang w:val="en-AU"/>
        </w:rPr>
      </w:pPr>
    </w:p>
    <w:p w:rsidR="006202C1" w:rsidRPr="00564C0F" w:rsidRDefault="006202C1" w:rsidP="006202C1">
      <w:pPr>
        <w:pStyle w:val="TableHeading"/>
        <w:rPr>
          <w:lang w:val="en-AU"/>
        </w:rPr>
      </w:pPr>
      <w:r w:rsidRPr="00564C0F">
        <w:t>Table 1.6: Appropriation Bill (No. 4) 201</w:t>
      </w:r>
      <w:r w:rsidRPr="00564C0F">
        <w:rPr>
          <w:lang w:val="en-AU"/>
        </w:rPr>
        <w:t>5</w:t>
      </w:r>
      <w:r w:rsidRPr="00564C0F">
        <w:t>-1</w:t>
      </w:r>
      <w:r w:rsidRPr="00564C0F">
        <w:rPr>
          <w:lang w:val="en-AU"/>
        </w:rPr>
        <w:t>6</w:t>
      </w:r>
    </w:p>
    <w:p w:rsidR="006202C1" w:rsidRPr="006202C1" w:rsidRDefault="006202C1" w:rsidP="006202C1">
      <w:pPr>
        <w:pStyle w:val="TableGraphic"/>
        <w:rPr>
          <w:color w:val="auto"/>
        </w:rPr>
      </w:pPr>
    </w:p>
    <w:p w:rsidR="006202C1" w:rsidRPr="00030772" w:rsidRDefault="006202C1" w:rsidP="006202C1">
      <w:pPr>
        <w:rPr>
          <w:iCs/>
        </w:rPr>
      </w:pPr>
      <w:r w:rsidRPr="006202C1">
        <w:rPr>
          <w:iCs/>
          <w:lang w:val="x-none"/>
        </w:rPr>
        <w:t xml:space="preserve">There is no </w:t>
      </w:r>
      <w:r w:rsidRPr="006202C1">
        <w:rPr>
          <w:iCs/>
        </w:rPr>
        <w:t xml:space="preserve">change to </w:t>
      </w:r>
      <w:r>
        <w:rPr>
          <w:iCs/>
        </w:rPr>
        <w:t>Austrade</w:t>
      </w:r>
      <w:r w:rsidRPr="006202C1">
        <w:rPr>
          <w:iCs/>
        </w:rPr>
        <w:t xml:space="preserve"> information supplied in the </w:t>
      </w:r>
      <w:r w:rsidRPr="006202C1">
        <w:rPr>
          <w:i/>
          <w:iCs/>
        </w:rPr>
        <w:t>Portfolio Budget</w:t>
      </w:r>
      <w:r w:rsidRPr="006202C1">
        <w:rPr>
          <w:iCs/>
        </w:rPr>
        <w:t xml:space="preserve"> </w:t>
      </w:r>
      <w:r w:rsidRPr="006202C1">
        <w:rPr>
          <w:i/>
          <w:iCs/>
          <w:lang w:val="x-none"/>
        </w:rPr>
        <w:t>Statements 201</w:t>
      </w:r>
      <w:r w:rsidRPr="006202C1">
        <w:rPr>
          <w:i/>
          <w:iCs/>
        </w:rPr>
        <w:t>5</w:t>
      </w:r>
      <w:r>
        <w:rPr>
          <w:i/>
          <w:iCs/>
        </w:rPr>
        <w:t>-16</w:t>
      </w:r>
      <w:r w:rsidRPr="00030772">
        <w:rPr>
          <w:iCs/>
          <w:lang w:val="x-none"/>
        </w:rPr>
        <w:t xml:space="preserve">. </w:t>
      </w:r>
    </w:p>
    <w:p w:rsidR="00F77875" w:rsidRDefault="00F77875" w:rsidP="00F77875">
      <w:pPr>
        <w:pStyle w:val="Heading2"/>
        <w:rPr>
          <w:i/>
          <w:iCs/>
          <w:color w:val="FF0000"/>
        </w:rPr>
      </w:pPr>
      <w:r>
        <w:br w:type="page"/>
      </w:r>
      <w:r>
        <w:lastRenderedPageBreak/>
        <w:t xml:space="preserve">Section 2: Revisions to </w:t>
      </w:r>
      <w:r>
        <w:rPr>
          <w:lang w:val="en-AU"/>
        </w:rPr>
        <w:t>outcomes</w:t>
      </w:r>
      <w:r>
        <w:t xml:space="preserve"> and planned performance</w:t>
      </w:r>
    </w:p>
    <w:p w:rsidR="00F77875" w:rsidRDefault="00F77875" w:rsidP="00F77875">
      <w:pPr>
        <w:pStyle w:val="Heading3"/>
      </w:pPr>
      <w:r>
        <w:t>2.1</w:t>
      </w:r>
      <w:r>
        <w:tab/>
      </w:r>
      <w:r>
        <w:rPr>
          <w:lang w:val="en-AU"/>
        </w:rPr>
        <w:t>outcomes</w:t>
      </w:r>
      <w:r>
        <w:t xml:space="preserve"> and performance information</w:t>
      </w:r>
    </w:p>
    <w:p w:rsidR="00F77875" w:rsidRDefault="00F77875" w:rsidP="00F77875">
      <w:pPr>
        <w:rPr>
          <w:iCs/>
        </w:rPr>
      </w:pPr>
      <w:r>
        <w:rPr>
          <w:iCs/>
          <w:lang w:val="x-none"/>
        </w:rPr>
        <w:t>Th</w:t>
      </w:r>
      <w:r w:rsidR="00164E70">
        <w:rPr>
          <w:iCs/>
          <w:lang w:val="x-none"/>
        </w:rPr>
        <w:t xml:space="preserve">ere is no change to Austrade’s </w:t>
      </w:r>
      <w:r w:rsidR="00164E70">
        <w:rPr>
          <w:iCs/>
        </w:rPr>
        <w:t xml:space="preserve">outcomes and performance information </w:t>
      </w:r>
      <w:r>
        <w:rPr>
          <w:iCs/>
          <w:lang w:val="x-none"/>
        </w:rPr>
        <w:t xml:space="preserve">as expressed in the </w:t>
      </w:r>
      <w:r>
        <w:rPr>
          <w:i/>
          <w:iCs/>
          <w:lang w:val="x-none"/>
        </w:rPr>
        <w:t>Portfolio Budget Statements 201</w:t>
      </w:r>
      <w:r>
        <w:rPr>
          <w:i/>
          <w:iCs/>
        </w:rPr>
        <w:t>5-16</w:t>
      </w:r>
      <w:r>
        <w:rPr>
          <w:iCs/>
          <w:lang w:val="x-none"/>
        </w:rPr>
        <w:t xml:space="preserve">. </w:t>
      </w:r>
    </w:p>
    <w:p w:rsidR="00F77875" w:rsidRPr="00560E64" w:rsidRDefault="00F77875" w:rsidP="00F77875">
      <w:pPr>
        <w:pStyle w:val="Outcomeheading"/>
        <w:rPr>
          <w:lang w:val="en-AU"/>
        </w:rPr>
      </w:pPr>
      <w:r>
        <w:t>Outcome 1</w:t>
      </w:r>
      <w:r w:rsidR="00560E64">
        <w:rPr>
          <w:lang w:val="en-AU"/>
        </w:rPr>
        <w:t>: Contribute to Australia’s economic prosperity by promoting Australia’s export and other international economic interests through the provision of information, advice and services to business, associations, institutions and government</w:t>
      </w:r>
    </w:p>
    <w:p w:rsidR="00F77875" w:rsidRDefault="00F77875" w:rsidP="00F77875">
      <w:pPr>
        <w:pStyle w:val="Heading4"/>
      </w:pPr>
      <w:r>
        <w:t>Outcome 1 strategy</w:t>
      </w:r>
    </w:p>
    <w:p w:rsidR="00F77875" w:rsidRDefault="00F77875" w:rsidP="00F77875">
      <w:pPr>
        <w:pStyle w:val="TableHeading"/>
        <w:rPr>
          <w:rFonts w:ascii="Book Antiqua" w:hAnsi="Book Antiqua"/>
          <w:b w:val="0"/>
          <w:lang w:val="en-AU"/>
        </w:rPr>
      </w:pPr>
      <w:r>
        <w:rPr>
          <w:rFonts w:ascii="Book Antiqua" w:hAnsi="Book Antiqua"/>
          <w:b w:val="0"/>
          <w:lang w:val="en-AU"/>
        </w:rPr>
        <w:t>There is n</w:t>
      </w:r>
      <w:r w:rsidR="00D00549">
        <w:rPr>
          <w:rFonts w:ascii="Book Antiqua" w:hAnsi="Book Antiqua"/>
          <w:b w:val="0"/>
          <w:lang w:val="en-AU"/>
        </w:rPr>
        <w:t>o change to Austrade’s Outcome S</w:t>
      </w:r>
      <w:r>
        <w:rPr>
          <w:rFonts w:ascii="Book Antiqua" w:hAnsi="Book Antiqua"/>
          <w:b w:val="0"/>
          <w:lang w:val="en-AU"/>
        </w:rPr>
        <w:t xml:space="preserve">trategy as expressed in the </w:t>
      </w:r>
      <w:r>
        <w:rPr>
          <w:rFonts w:ascii="Book Antiqua" w:hAnsi="Book Antiqua"/>
          <w:b w:val="0"/>
          <w:i/>
          <w:lang w:val="en-AU"/>
        </w:rPr>
        <w:t>Portfolio Budget Statements 2015-16</w:t>
      </w:r>
      <w:r>
        <w:rPr>
          <w:rFonts w:ascii="Book Antiqua" w:hAnsi="Book Antiqua"/>
          <w:b w:val="0"/>
          <w:lang w:val="en-AU"/>
        </w:rPr>
        <w:t xml:space="preserve">. </w:t>
      </w:r>
    </w:p>
    <w:p w:rsidR="000E27EB" w:rsidRDefault="00F77875" w:rsidP="000E27EB">
      <w:pPr>
        <w:pStyle w:val="TableHeading"/>
        <w:rPr>
          <w:lang w:val="en-AU"/>
        </w:rPr>
      </w:pPr>
      <w:r>
        <w:rPr>
          <w:b w:val="0"/>
        </w:rPr>
        <w:br w:type="page"/>
      </w:r>
      <w:r w:rsidR="000E27EB" w:rsidRPr="00D93D96">
        <w:lastRenderedPageBreak/>
        <w:t>Table 2.1</w:t>
      </w:r>
      <w:r w:rsidR="000E27EB">
        <w:rPr>
          <w:lang w:val="en-AU"/>
        </w:rPr>
        <w:t>.1</w:t>
      </w:r>
      <w:r w:rsidR="000E27EB" w:rsidRPr="00D93D96">
        <w:t xml:space="preserve"> Budgeted expenses</w:t>
      </w:r>
      <w:r w:rsidR="000E27EB">
        <w:rPr>
          <w:lang w:val="en-AU"/>
        </w:rPr>
        <w:t xml:space="preserve"> for</w:t>
      </w:r>
      <w:r w:rsidR="000E27EB" w:rsidRPr="00D93D96">
        <w:t xml:space="preserve"> Outcome </w:t>
      </w:r>
      <w:r w:rsidR="000E27EB">
        <w:rPr>
          <w:lang w:val="en-AU"/>
        </w:rPr>
        <w:t>1</w:t>
      </w:r>
    </w:p>
    <w:p w:rsidR="000E27EB" w:rsidRPr="00010FAA" w:rsidRDefault="006F3070" w:rsidP="000E27EB">
      <w:pPr>
        <w:pStyle w:val="TableGraphic"/>
        <w:rPr>
          <w:highlight w:val="yellow"/>
        </w:rPr>
      </w:pPr>
      <w:r w:rsidRPr="006F3070">
        <w:rPr>
          <w:noProof/>
          <w:lang w:eastAsia="zh-CN"/>
        </w:rPr>
        <w:drawing>
          <wp:inline distT="0" distB="0" distL="0" distR="0">
            <wp:extent cx="4819650" cy="394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19650" cy="3943350"/>
                    </a:xfrm>
                    <a:prstGeom prst="rect">
                      <a:avLst/>
                    </a:prstGeom>
                    <a:noFill/>
                    <a:ln>
                      <a:noFill/>
                    </a:ln>
                  </pic:spPr>
                </pic:pic>
              </a:graphicData>
            </a:graphic>
          </wp:inline>
        </w:drawing>
      </w:r>
    </w:p>
    <w:p w:rsidR="00DC7D7A" w:rsidRPr="00DC7D7A" w:rsidRDefault="00F77875" w:rsidP="00DC7D7A">
      <w:pPr>
        <w:pStyle w:val="TableHeading"/>
        <w:numPr>
          <w:ilvl w:val="0"/>
          <w:numId w:val="32"/>
        </w:numPr>
        <w:spacing w:before="0" w:after="0"/>
        <w:rPr>
          <w:rFonts w:cs="Arial"/>
          <w:b w:val="0"/>
          <w:sz w:val="16"/>
          <w:szCs w:val="16"/>
          <w:lang w:val="en-AU"/>
        </w:rPr>
      </w:pPr>
      <w:r w:rsidRPr="00DC7D7A">
        <w:rPr>
          <w:rFonts w:cs="Arial"/>
          <w:b w:val="0"/>
          <w:sz w:val="16"/>
          <w:szCs w:val="16"/>
        </w:rPr>
        <w:t>Departmental Appropriation combines "Ordinary annual services</w:t>
      </w:r>
      <w:r w:rsidR="006E5E5D" w:rsidRPr="00DC7D7A">
        <w:rPr>
          <w:rFonts w:cs="Arial"/>
          <w:b w:val="0"/>
          <w:sz w:val="16"/>
          <w:szCs w:val="16"/>
        </w:rPr>
        <w:t>”</w:t>
      </w:r>
      <w:r w:rsidRPr="00DC7D7A">
        <w:rPr>
          <w:rFonts w:cs="Arial"/>
          <w:b w:val="0"/>
          <w:sz w:val="16"/>
          <w:szCs w:val="16"/>
        </w:rPr>
        <w:t xml:space="preserve"> (</w:t>
      </w:r>
      <w:r w:rsidRPr="00DC7D7A">
        <w:rPr>
          <w:rFonts w:cs="Arial"/>
          <w:b w:val="0"/>
          <w:i/>
          <w:sz w:val="16"/>
          <w:szCs w:val="16"/>
        </w:rPr>
        <w:t xml:space="preserve">Appropriation Act No. 1 </w:t>
      </w:r>
      <w:r w:rsidRPr="00DC7D7A">
        <w:rPr>
          <w:rFonts w:cs="Arial"/>
          <w:b w:val="0"/>
          <w:sz w:val="16"/>
          <w:szCs w:val="16"/>
        </w:rPr>
        <w:t xml:space="preserve">and </w:t>
      </w:r>
      <w:r w:rsidRPr="00DC7D7A">
        <w:rPr>
          <w:rFonts w:cs="Arial"/>
          <w:b w:val="0"/>
          <w:i/>
          <w:sz w:val="16"/>
          <w:szCs w:val="16"/>
        </w:rPr>
        <w:t>Bill No. 3</w:t>
      </w:r>
      <w:r w:rsidRPr="00DC7D7A">
        <w:rPr>
          <w:rFonts w:cs="Arial"/>
          <w:b w:val="0"/>
          <w:sz w:val="16"/>
          <w:szCs w:val="16"/>
        </w:rPr>
        <w:t>)" and "Retained Revenue Receipts under s74 of the PGPA Act 2013".</w:t>
      </w:r>
    </w:p>
    <w:p w:rsidR="00F77875" w:rsidRPr="00DC7D7A" w:rsidRDefault="00F77875" w:rsidP="00DC7D7A">
      <w:pPr>
        <w:pStyle w:val="TableHeading"/>
        <w:numPr>
          <w:ilvl w:val="0"/>
          <w:numId w:val="32"/>
        </w:numPr>
        <w:spacing w:before="0" w:after="0"/>
        <w:rPr>
          <w:rFonts w:cs="Arial"/>
          <w:b w:val="0"/>
          <w:sz w:val="16"/>
          <w:szCs w:val="16"/>
          <w:lang w:val="en-AU"/>
        </w:rPr>
      </w:pPr>
      <w:r w:rsidRPr="00DC7D7A">
        <w:rPr>
          <w:rFonts w:cs="Arial"/>
          <w:b w:val="0"/>
          <w:sz w:val="16"/>
          <w:szCs w:val="16"/>
        </w:rPr>
        <w:t xml:space="preserve">Expenses not requiring appropriation in the Budget year is made up of Depreciation Expense, Amortisation Expense, </w:t>
      </w:r>
      <w:proofErr w:type="spellStart"/>
      <w:r w:rsidRPr="00DC7D7A">
        <w:rPr>
          <w:rFonts w:cs="Arial"/>
          <w:b w:val="0"/>
          <w:sz w:val="16"/>
          <w:szCs w:val="16"/>
        </w:rPr>
        <w:t>Makegood</w:t>
      </w:r>
      <w:proofErr w:type="spellEnd"/>
      <w:r w:rsidRPr="00DC7D7A">
        <w:rPr>
          <w:rFonts w:cs="Arial"/>
          <w:b w:val="0"/>
          <w:sz w:val="16"/>
          <w:szCs w:val="16"/>
        </w:rPr>
        <w:t xml:space="preserve"> Expense, Audit Fees.</w:t>
      </w:r>
    </w:p>
    <w:p w:rsidR="00F77875" w:rsidRDefault="00F77875" w:rsidP="00F77875">
      <w:pPr>
        <w:spacing w:after="0"/>
        <w:jc w:val="left"/>
        <w:rPr>
          <w:rFonts w:ascii="Arial" w:hAnsi="Arial" w:cs="Arial"/>
          <w:sz w:val="16"/>
          <w:szCs w:val="16"/>
        </w:rPr>
      </w:pPr>
    </w:p>
    <w:p w:rsidR="00F77875" w:rsidRDefault="00F77875" w:rsidP="00F77875">
      <w:pPr>
        <w:spacing w:after="0"/>
        <w:jc w:val="left"/>
        <w:rPr>
          <w:rFonts w:ascii="Arial" w:hAnsi="Arial" w:cs="Arial"/>
          <w:sz w:val="16"/>
          <w:szCs w:val="16"/>
        </w:rPr>
      </w:pPr>
    </w:p>
    <w:p w:rsidR="006E5E5D" w:rsidRPr="006E5E5D" w:rsidRDefault="00F77875" w:rsidP="00F77875">
      <w:pPr>
        <w:pStyle w:val="Heading5"/>
        <w:rPr>
          <w:bCs w:val="0"/>
          <w:iCs w:val="0"/>
          <w:lang w:val="en-AU"/>
        </w:rPr>
      </w:pPr>
      <w:r w:rsidRPr="006E5E5D">
        <w:rPr>
          <w:bCs w:val="0"/>
          <w:iCs w:val="0"/>
        </w:rPr>
        <w:br w:type="page"/>
      </w:r>
      <w:r w:rsidR="006E5E5D" w:rsidRPr="006E5E5D">
        <w:rPr>
          <w:bCs w:val="0"/>
          <w:iCs w:val="0"/>
          <w:lang w:val="en-AU"/>
        </w:rPr>
        <w:lastRenderedPageBreak/>
        <w:t>Program 1.1: Promotion of Australia’s exports and other international economic interests</w:t>
      </w:r>
    </w:p>
    <w:p w:rsidR="00F77875" w:rsidRDefault="00F77875" w:rsidP="00F77875">
      <w:pPr>
        <w:pStyle w:val="Heading5"/>
        <w:rPr>
          <w:lang w:val="en-AU"/>
        </w:rPr>
      </w:pPr>
      <w:r>
        <w:t>Programme objective 1.1</w:t>
      </w:r>
    </w:p>
    <w:p w:rsidR="00F77875" w:rsidRDefault="00F77875" w:rsidP="00F77875">
      <w:pPr>
        <w:rPr>
          <w:lang w:val="en-GB"/>
        </w:rPr>
      </w:pPr>
      <w:r>
        <w:rPr>
          <w:iCs/>
          <w:lang w:val="x-none"/>
        </w:rPr>
        <w:t>There is no change to</w:t>
      </w:r>
      <w:r>
        <w:rPr>
          <w:iCs/>
        </w:rPr>
        <w:t xml:space="preserve"> the objective for Programme 1.1 </w:t>
      </w:r>
      <w:r>
        <w:rPr>
          <w:iCs/>
          <w:lang w:val="x-none"/>
        </w:rPr>
        <w:t xml:space="preserve">as expressed in the </w:t>
      </w:r>
      <w:r>
        <w:rPr>
          <w:i/>
          <w:iCs/>
          <w:lang w:val="x-none"/>
        </w:rPr>
        <w:t>Portfolio Budget Statements 201</w:t>
      </w:r>
      <w:r>
        <w:rPr>
          <w:i/>
          <w:iCs/>
        </w:rPr>
        <w:t>5-16</w:t>
      </w:r>
      <w:r>
        <w:rPr>
          <w:iCs/>
          <w:lang w:val="x-none"/>
        </w:rPr>
        <w:t xml:space="preserve">. </w:t>
      </w:r>
    </w:p>
    <w:p w:rsidR="00096050" w:rsidRDefault="00096050" w:rsidP="00096050">
      <w:pPr>
        <w:pStyle w:val="Heading5"/>
      </w:pPr>
      <w:r>
        <w:t xml:space="preserve">Programme expenses </w:t>
      </w:r>
      <w:r>
        <w:rPr>
          <w:lang w:val="en-AU"/>
        </w:rPr>
        <w:t>1</w:t>
      </w:r>
      <w:r>
        <w:t>.1</w:t>
      </w:r>
    </w:p>
    <w:p w:rsidR="00096050" w:rsidRDefault="00820EAC" w:rsidP="00096050">
      <w:pPr>
        <w:pStyle w:val="NoSpacing"/>
        <w:rPr>
          <w:lang w:val="en-GB"/>
        </w:rPr>
      </w:pPr>
      <w:r>
        <w:rPr>
          <w:noProof/>
          <w:lang w:eastAsia="zh-CN"/>
        </w:rPr>
        <w:drawing>
          <wp:inline distT="0" distB="0" distL="0" distR="0">
            <wp:extent cx="4895850" cy="169545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895850" cy="1695450"/>
                    </a:xfrm>
                    <a:prstGeom prst="rect">
                      <a:avLst/>
                    </a:prstGeom>
                    <a:noFill/>
                    <a:ln>
                      <a:noFill/>
                    </a:ln>
                  </pic:spPr>
                </pic:pic>
              </a:graphicData>
            </a:graphic>
          </wp:inline>
        </w:drawing>
      </w:r>
    </w:p>
    <w:p w:rsidR="00F77875" w:rsidRDefault="00096050" w:rsidP="00867314">
      <w:pPr>
        <w:pStyle w:val="SingleParagraph"/>
        <w:spacing w:line="240" w:lineRule="auto"/>
        <w:rPr>
          <w:rFonts w:ascii="Arial" w:hAnsi="Arial" w:cs="Arial"/>
          <w:sz w:val="16"/>
          <w:szCs w:val="16"/>
        </w:rPr>
      </w:pPr>
      <w:r>
        <w:rPr>
          <w:rFonts w:ascii="Arial" w:hAnsi="Arial" w:cs="Arial"/>
          <w:sz w:val="16"/>
          <w:szCs w:val="16"/>
        </w:rPr>
        <w:t xml:space="preserve"> </w:t>
      </w:r>
      <w:r w:rsidR="00F77875">
        <w:rPr>
          <w:rFonts w:ascii="Arial" w:hAnsi="Arial" w:cs="Arial"/>
          <w:sz w:val="16"/>
          <w:szCs w:val="16"/>
        </w:rPr>
        <w:t>(a) Expenses not requiring appropriation in the Budget year is made up of Depreciation Expense, Amortis</w:t>
      </w:r>
      <w:r w:rsidR="005568B4">
        <w:rPr>
          <w:rFonts w:ascii="Arial" w:hAnsi="Arial" w:cs="Arial"/>
          <w:sz w:val="16"/>
          <w:szCs w:val="16"/>
        </w:rPr>
        <w:t xml:space="preserve">ation Expense, </w:t>
      </w:r>
      <w:proofErr w:type="spellStart"/>
      <w:r w:rsidR="005568B4">
        <w:rPr>
          <w:rFonts w:ascii="Arial" w:hAnsi="Arial" w:cs="Arial"/>
          <w:sz w:val="16"/>
          <w:szCs w:val="16"/>
        </w:rPr>
        <w:t>Makegood</w:t>
      </w:r>
      <w:proofErr w:type="spellEnd"/>
      <w:r w:rsidR="005568B4">
        <w:rPr>
          <w:rFonts w:ascii="Arial" w:hAnsi="Arial" w:cs="Arial"/>
          <w:sz w:val="16"/>
          <w:szCs w:val="16"/>
        </w:rPr>
        <w:t xml:space="preserve"> Expense, </w:t>
      </w:r>
      <w:r w:rsidR="00F77875">
        <w:rPr>
          <w:rFonts w:ascii="Arial" w:hAnsi="Arial" w:cs="Arial"/>
          <w:sz w:val="16"/>
          <w:szCs w:val="16"/>
        </w:rPr>
        <w:t>Audit Fees.</w:t>
      </w:r>
    </w:p>
    <w:p w:rsidR="00F77875" w:rsidRDefault="00F77875" w:rsidP="00F77875">
      <w:pPr>
        <w:pStyle w:val="SingleParagraph"/>
        <w:rPr>
          <w:lang w:val="en-GB"/>
        </w:rPr>
      </w:pPr>
    </w:p>
    <w:p w:rsidR="00F77875" w:rsidRDefault="00F77875" w:rsidP="00F77875">
      <w:pPr>
        <w:pStyle w:val="Heading5"/>
        <w:rPr>
          <w:lang w:val="en-AU"/>
        </w:rPr>
      </w:pPr>
      <w:r>
        <w:t xml:space="preserve">Programme deliverables </w:t>
      </w:r>
      <w:r>
        <w:rPr>
          <w:lang w:val="en-AU"/>
        </w:rPr>
        <w:t>1.1</w:t>
      </w:r>
    </w:p>
    <w:p w:rsidR="00F77875" w:rsidRDefault="00F77875" w:rsidP="00F77875">
      <w:pPr>
        <w:rPr>
          <w:lang w:val="en-GB"/>
        </w:rPr>
      </w:pPr>
      <w:r>
        <w:rPr>
          <w:iCs/>
          <w:lang w:val="x-none"/>
        </w:rPr>
        <w:t>There is no change to</w:t>
      </w:r>
      <w:r>
        <w:rPr>
          <w:iCs/>
        </w:rPr>
        <w:t xml:space="preserve"> the deliverables for Programme 1.1 </w:t>
      </w:r>
      <w:r>
        <w:rPr>
          <w:iCs/>
          <w:lang w:val="x-none"/>
        </w:rPr>
        <w:t xml:space="preserve">as expressed in the </w:t>
      </w:r>
      <w:r>
        <w:rPr>
          <w:i/>
          <w:iCs/>
          <w:lang w:val="x-none"/>
        </w:rPr>
        <w:t>Portfolio Budget Statements 201</w:t>
      </w:r>
      <w:r>
        <w:rPr>
          <w:i/>
          <w:iCs/>
        </w:rPr>
        <w:t>5-16</w:t>
      </w:r>
      <w:r>
        <w:rPr>
          <w:iCs/>
          <w:lang w:val="x-none"/>
        </w:rPr>
        <w:t xml:space="preserve">. </w:t>
      </w:r>
    </w:p>
    <w:p w:rsidR="00F77875" w:rsidRDefault="00F77875" w:rsidP="00F77875">
      <w:pPr>
        <w:pStyle w:val="Heading5"/>
        <w:rPr>
          <w:lang w:val="en-AU"/>
        </w:rPr>
      </w:pPr>
      <w:r>
        <w:t>Programme key performance indicators</w:t>
      </w:r>
      <w:r>
        <w:rPr>
          <w:lang w:val="en-AU"/>
        </w:rPr>
        <w:t xml:space="preserve"> 1.1</w:t>
      </w:r>
    </w:p>
    <w:p w:rsidR="00F77875" w:rsidRDefault="00F77875" w:rsidP="00F77875">
      <w:pPr>
        <w:rPr>
          <w:iCs/>
        </w:rPr>
      </w:pPr>
      <w:r>
        <w:rPr>
          <w:iCs/>
          <w:lang w:val="x-none"/>
        </w:rPr>
        <w:t>There is no change to</w:t>
      </w:r>
      <w:r>
        <w:rPr>
          <w:iCs/>
        </w:rPr>
        <w:t xml:space="preserve"> the key performance indicators for Programme 1.1 </w:t>
      </w:r>
      <w:r>
        <w:rPr>
          <w:iCs/>
          <w:lang w:val="x-none"/>
        </w:rPr>
        <w:t xml:space="preserve">as expressed in the </w:t>
      </w:r>
      <w:r>
        <w:rPr>
          <w:i/>
          <w:iCs/>
          <w:lang w:val="x-none"/>
        </w:rPr>
        <w:t>Portfolio Budget Statements 201</w:t>
      </w:r>
      <w:r>
        <w:rPr>
          <w:i/>
          <w:iCs/>
        </w:rPr>
        <w:t>5-16</w:t>
      </w:r>
      <w:r>
        <w:rPr>
          <w:iCs/>
          <w:lang w:val="x-none"/>
        </w:rPr>
        <w:t xml:space="preserve">. </w:t>
      </w:r>
    </w:p>
    <w:p w:rsidR="006E5E5D" w:rsidRPr="006E5E5D" w:rsidRDefault="006E5E5D" w:rsidP="006E5E5D">
      <w:pPr>
        <w:pStyle w:val="Heading5"/>
        <w:rPr>
          <w:bCs w:val="0"/>
          <w:iCs w:val="0"/>
          <w:lang w:val="en-AU"/>
        </w:rPr>
      </w:pPr>
      <w:r w:rsidRPr="006E5E5D">
        <w:rPr>
          <w:bCs w:val="0"/>
          <w:iCs w:val="0"/>
        </w:rPr>
        <w:br w:type="page"/>
      </w:r>
      <w:r w:rsidRPr="006E5E5D">
        <w:rPr>
          <w:bCs w:val="0"/>
          <w:iCs w:val="0"/>
          <w:lang w:val="en-AU"/>
        </w:rPr>
        <w:lastRenderedPageBreak/>
        <w:t xml:space="preserve">Program </w:t>
      </w:r>
      <w:r>
        <w:rPr>
          <w:bCs w:val="0"/>
          <w:iCs w:val="0"/>
          <w:lang w:val="en-AU"/>
        </w:rPr>
        <w:t>1.2</w:t>
      </w:r>
      <w:r w:rsidRPr="006E5E5D">
        <w:rPr>
          <w:bCs w:val="0"/>
          <w:iCs w:val="0"/>
          <w:lang w:val="en-AU"/>
        </w:rPr>
        <w:t xml:space="preserve">: </w:t>
      </w:r>
      <w:r>
        <w:rPr>
          <w:bCs w:val="0"/>
          <w:iCs w:val="0"/>
          <w:lang w:val="en-AU"/>
        </w:rPr>
        <w:t>Programmes to promote Australia’ export and other international economic interests</w:t>
      </w:r>
    </w:p>
    <w:p w:rsidR="00F77875" w:rsidRDefault="00F77875" w:rsidP="00F77875">
      <w:pPr>
        <w:pStyle w:val="Heading5"/>
      </w:pPr>
      <w:r>
        <w:t xml:space="preserve">Programme objective </w:t>
      </w:r>
      <w:r>
        <w:rPr>
          <w:lang w:val="en-AU"/>
        </w:rPr>
        <w:t>1</w:t>
      </w:r>
      <w:r>
        <w:t>.2</w:t>
      </w:r>
    </w:p>
    <w:p w:rsidR="00F77875" w:rsidRDefault="00F77875" w:rsidP="00F77875">
      <w:pPr>
        <w:rPr>
          <w:lang w:val="en-GB"/>
        </w:rPr>
      </w:pPr>
      <w:r>
        <w:rPr>
          <w:iCs/>
          <w:lang w:val="x-none"/>
        </w:rPr>
        <w:t>There is no change to</w:t>
      </w:r>
      <w:r>
        <w:rPr>
          <w:iCs/>
        </w:rPr>
        <w:t xml:space="preserve"> the objective for Programme 1.2 </w:t>
      </w:r>
      <w:r>
        <w:rPr>
          <w:iCs/>
          <w:lang w:val="x-none"/>
        </w:rPr>
        <w:t xml:space="preserve">as expressed in the </w:t>
      </w:r>
      <w:r>
        <w:rPr>
          <w:i/>
          <w:iCs/>
          <w:lang w:val="x-none"/>
        </w:rPr>
        <w:t>Portfolio Budget Statements 201</w:t>
      </w:r>
      <w:r>
        <w:rPr>
          <w:i/>
          <w:iCs/>
        </w:rPr>
        <w:t>5-16</w:t>
      </w:r>
      <w:r>
        <w:rPr>
          <w:iCs/>
          <w:lang w:val="x-none"/>
        </w:rPr>
        <w:t xml:space="preserve">. </w:t>
      </w:r>
    </w:p>
    <w:p w:rsidR="00F77875" w:rsidRDefault="00F77875" w:rsidP="00F77875">
      <w:pPr>
        <w:pStyle w:val="Heading5"/>
        <w:rPr>
          <w:lang w:val="en-AU"/>
        </w:rPr>
      </w:pPr>
      <w:r>
        <w:t xml:space="preserve">Programme expenses </w:t>
      </w:r>
      <w:r>
        <w:rPr>
          <w:lang w:val="en-AU"/>
        </w:rPr>
        <w:t>1</w:t>
      </w:r>
      <w:r>
        <w:t>.2</w:t>
      </w:r>
    </w:p>
    <w:p w:rsidR="008D520C" w:rsidRPr="00010FAA" w:rsidRDefault="000F5860" w:rsidP="008D520C">
      <w:pPr>
        <w:pStyle w:val="TableGraphic"/>
        <w:rPr>
          <w:highlight w:val="yellow"/>
        </w:rPr>
      </w:pPr>
      <w:r>
        <w:rPr>
          <w:noProof/>
          <w:lang w:eastAsia="zh-CN"/>
        </w:rPr>
        <w:drawing>
          <wp:inline distT="0" distB="0" distL="0" distR="0">
            <wp:extent cx="4895850" cy="1838325"/>
            <wp:effectExtent l="0" t="0" r="0" b="952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895850" cy="1838325"/>
                    </a:xfrm>
                    <a:prstGeom prst="rect">
                      <a:avLst/>
                    </a:prstGeom>
                    <a:noFill/>
                    <a:ln>
                      <a:noFill/>
                    </a:ln>
                  </pic:spPr>
                </pic:pic>
              </a:graphicData>
            </a:graphic>
          </wp:inline>
        </w:drawing>
      </w:r>
    </w:p>
    <w:p w:rsidR="00F77875" w:rsidRDefault="00F77875" w:rsidP="00F77875">
      <w:pPr>
        <w:pStyle w:val="NoSpacing"/>
        <w:rPr>
          <w:lang w:val="en-GB"/>
        </w:rPr>
      </w:pPr>
    </w:p>
    <w:p w:rsidR="00F77875" w:rsidRDefault="00F77875" w:rsidP="00F77875">
      <w:pPr>
        <w:pStyle w:val="Heading5"/>
        <w:rPr>
          <w:lang w:val="en-AU"/>
        </w:rPr>
      </w:pPr>
      <w:r>
        <w:t xml:space="preserve">Programme deliverables </w:t>
      </w:r>
      <w:r>
        <w:rPr>
          <w:lang w:val="en-AU"/>
        </w:rPr>
        <w:t>1.2</w:t>
      </w:r>
    </w:p>
    <w:p w:rsidR="00F77875" w:rsidRDefault="00F77875" w:rsidP="00F77875">
      <w:pPr>
        <w:rPr>
          <w:lang w:val="en-GB"/>
        </w:rPr>
      </w:pPr>
      <w:r>
        <w:rPr>
          <w:iCs/>
          <w:lang w:val="x-none"/>
        </w:rPr>
        <w:t>There is no change to</w:t>
      </w:r>
      <w:r>
        <w:rPr>
          <w:iCs/>
        </w:rPr>
        <w:t xml:space="preserve"> the deliverables for Programme 1.2 </w:t>
      </w:r>
      <w:r>
        <w:rPr>
          <w:iCs/>
          <w:lang w:val="x-none"/>
        </w:rPr>
        <w:t xml:space="preserve">as expressed in the </w:t>
      </w:r>
      <w:r>
        <w:rPr>
          <w:i/>
          <w:iCs/>
          <w:lang w:val="x-none"/>
        </w:rPr>
        <w:t>Portfolio Budget Statements 201</w:t>
      </w:r>
      <w:r>
        <w:rPr>
          <w:i/>
          <w:iCs/>
        </w:rPr>
        <w:t>5-16</w:t>
      </w:r>
      <w:r>
        <w:rPr>
          <w:iCs/>
          <w:lang w:val="x-none"/>
        </w:rPr>
        <w:t xml:space="preserve">. </w:t>
      </w:r>
    </w:p>
    <w:p w:rsidR="00F77875" w:rsidRDefault="00F77875" w:rsidP="00F77875">
      <w:pPr>
        <w:pStyle w:val="Heading5"/>
        <w:rPr>
          <w:lang w:val="en-AU"/>
        </w:rPr>
      </w:pPr>
      <w:r>
        <w:t>Programme key performance indicators</w:t>
      </w:r>
      <w:r>
        <w:rPr>
          <w:lang w:val="en-AU"/>
        </w:rPr>
        <w:t xml:space="preserve"> 1.2</w:t>
      </w:r>
    </w:p>
    <w:p w:rsidR="00F77875" w:rsidRDefault="00F77875" w:rsidP="00F77875">
      <w:pPr>
        <w:rPr>
          <w:iCs/>
        </w:rPr>
      </w:pPr>
      <w:r>
        <w:rPr>
          <w:iCs/>
          <w:lang w:val="x-none"/>
        </w:rPr>
        <w:t>There is no change to</w:t>
      </w:r>
      <w:r>
        <w:rPr>
          <w:iCs/>
        </w:rPr>
        <w:t xml:space="preserve"> the key performance indicators for Programme 1.2 </w:t>
      </w:r>
      <w:r>
        <w:rPr>
          <w:iCs/>
          <w:lang w:val="x-none"/>
        </w:rPr>
        <w:t xml:space="preserve">as expressed in the </w:t>
      </w:r>
      <w:r>
        <w:rPr>
          <w:i/>
          <w:iCs/>
          <w:lang w:val="x-none"/>
        </w:rPr>
        <w:t>Portfolio Budget Statements 201</w:t>
      </w:r>
      <w:r>
        <w:rPr>
          <w:i/>
          <w:iCs/>
        </w:rPr>
        <w:t>5-16</w:t>
      </w:r>
      <w:r>
        <w:rPr>
          <w:iCs/>
          <w:lang w:val="x-none"/>
        </w:rPr>
        <w:t xml:space="preserve">. </w:t>
      </w:r>
    </w:p>
    <w:p w:rsidR="00F77875" w:rsidRDefault="00F77875" w:rsidP="00F77875">
      <w:pPr>
        <w:pStyle w:val="Outcomeheading"/>
        <w:rPr>
          <w:lang w:val="en-AU"/>
        </w:rPr>
      </w:pPr>
      <w:r>
        <w:rPr>
          <w:b w:val="0"/>
          <w:smallCaps w:val="0"/>
          <w:lang w:val="en-GB"/>
        </w:rPr>
        <w:br w:type="page"/>
      </w:r>
      <w:r>
        <w:lastRenderedPageBreak/>
        <w:t xml:space="preserve">Outcome </w:t>
      </w:r>
      <w:r>
        <w:rPr>
          <w:lang w:val="en-AU"/>
        </w:rPr>
        <w:t>2</w:t>
      </w:r>
      <w:r w:rsidR="00FD4A9C">
        <w:rPr>
          <w:lang w:val="en-AU"/>
        </w:rPr>
        <w:t>: The protection and welfare of Australians abroad through timely and responsive consular and passport services in specific locations overseas</w:t>
      </w:r>
    </w:p>
    <w:p w:rsidR="00F77875" w:rsidRDefault="00F77875" w:rsidP="00F77875">
      <w:pPr>
        <w:pStyle w:val="Heading4"/>
      </w:pPr>
      <w:r>
        <w:t xml:space="preserve">Outcome </w:t>
      </w:r>
      <w:r>
        <w:rPr>
          <w:lang w:val="en-AU"/>
        </w:rPr>
        <w:t>2</w:t>
      </w:r>
      <w:r>
        <w:t xml:space="preserve"> strategy</w:t>
      </w:r>
    </w:p>
    <w:p w:rsidR="00FA352C" w:rsidRDefault="00F77875" w:rsidP="00F77875">
      <w:pPr>
        <w:pStyle w:val="TableHeading"/>
        <w:rPr>
          <w:rFonts w:ascii="Book Antiqua" w:hAnsi="Book Antiqua"/>
          <w:b w:val="0"/>
          <w:lang w:val="en-AU"/>
        </w:rPr>
      </w:pPr>
      <w:r>
        <w:rPr>
          <w:rFonts w:ascii="Book Antiqua" w:hAnsi="Book Antiqua"/>
          <w:b w:val="0"/>
          <w:lang w:val="en-AU"/>
        </w:rPr>
        <w:t>There is n</w:t>
      </w:r>
      <w:r w:rsidR="00FA352C">
        <w:rPr>
          <w:rFonts w:ascii="Book Antiqua" w:hAnsi="Book Antiqua"/>
          <w:b w:val="0"/>
          <w:lang w:val="en-AU"/>
        </w:rPr>
        <w:t>o change to Austrade’s Outcome S</w:t>
      </w:r>
      <w:r>
        <w:rPr>
          <w:rFonts w:ascii="Book Antiqua" w:hAnsi="Book Antiqua"/>
          <w:b w:val="0"/>
          <w:lang w:val="en-AU"/>
        </w:rPr>
        <w:t xml:space="preserve">trategy as expressed in the </w:t>
      </w:r>
      <w:r>
        <w:rPr>
          <w:rFonts w:ascii="Book Antiqua" w:hAnsi="Book Antiqua"/>
          <w:b w:val="0"/>
          <w:i/>
          <w:lang w:val="en-AU"/>
        </w:rPr>
        <w:t>Portfolio Budget Statements 2015-16</w:t>
      </w:r>
      <w:r>
        <w:rPr>
          <w:rFonts w:ascii="Book Antiqua" w:hAnsi="Book Antiqua"/>
          <w:b w:val="0"/>
          <w:lang w:val="en-AU"/>
        </w:rPr>
        <w:t>.</w:t>
      </w:r>
    </w:p>
    <w:p w:rsidR="00FA352C" w:rsidRDefault="00FA352C" w:rsidP="00F77875">
      <w:pPr>
        <w:pStyle w:val="TableHeading"/>
        <w:rPr>
          <w:rFonts w:ascii="Book Antiqua" w:hAnsi="Book Antiqua"/>
          <w:b w:val="0"/>
          <w:lang w:val="en-AU"/>
        </w:rPr>
      </w:pPr>
    </w:p>
    <w:p w:rsidR="00F77875" w:rsidRDefault="00F77875" w:rsidP="00F77875">
      <w:pPr>
        <w:pStyle w:val="TableHeading"/>
        <w:rPr>
          <w:lang w:val="en-AU"/>
        </w:rPr>
      </w:pPr>
      <w:r>
        <w:t>Table 2.1</w:t>
      </w:r>
      <w:r>
        <w:rPr>
          <w:lang w:val="en-AU"/>
        </w:rPr>
        <w:t>.2</w:t>
      </w:r>
      <w:r>
        <w:t xml:space="preserve"> Budgeted expenses</w:t>
      </w:r>
      <w:r>
        <w:rPr>
          <w:lang w:val="en-AU"/>
        </w:rPr>
        <w:t xml:space="preserve"> for</w:t>
      </w:r>
      <w:r>
        <w:t xml:space="preserve"> Outcome </w:t>
      </w:r>
      <w:r>
        <w:rPr>
          <w:lang w:val="en-AU"/>
        </w:rPr>
        <w:t>2</w:t>
      </w:r>
    </w:p>
    <w:p w:rsidR="007B3EB8" w:rsidRPr="00010FAA" w:rsidRDefault="007B3EB8" w:rsidP="007B3EB8">
      <w:pPr>
        <w:pStyle w:val="TableGraphic"/>
        <w:rPr>
          <w:highlight w:val="yellow"/>
        </w:rPr>
      </w:pPr>
      <w:r>
        <w:rPr>
          <w:noProof/>
          <w:lang w:eastAsia="zh-CN"/>
        </w:rPr>
        <w:drawing>
          <wp:inline distT="0" distB="0" distL="0" distR="0">
            <wp:extent cx="4821555" cy="257683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821555" cy="2576830"/>
                    </a:xfrm>
                    <a:prstGeom prst="rect">
                      <a:avLst/>
                    </a:prstGeom>
                    <a:noFill/>
                    <a:ln>
                      <a:noFill/>
                    </a:ln>
                  </pic:spPr>
                </pic:pic>
              </a:graphicData>
            </a:graphic>
          </wp:inline>
        </w:drawing>
      </w:r>
    </w:p>
    <w:p w:rsidR="007B3EB8" w:rsidRPr="007B1278" w:rsidRDefault="007B3EB8" w:rsidP="006E6F50">
      <w:pPr>
        <w:spacing w:after="0" w:line="240" w:lineRule="auto"/>
        <w:jc w:val="left"/>
        <w:rPr>
          <w:rFonts w:ascii="Arial" w:hAnsi="Arial" w:cs="Arial"/>
          <w:sz w:val="16"/>
          <w:szCs w:val="16"/>
        </w:rPr>
      </w:pPr>
      <w:r w:rsidRPr="007B1278">
        <w:rPr>
          <w:rFonts w:ascii="Arial" w:hAnsi="Arial" w:cs="Arial"/>
          <w:sz w:val="16"/>
          <w:szCs w:val="16"/>
        </w:rPr>
        <w:t>(a) Departmental Appropriation combines "Ordinary annual services (</w:t>
      </w:r>
      <w:r w:rsidRPr="00624CB5">
        <w:rPr>
          <w:rFonts w:ascii="Arial" w:hAnsi="Arial" w:cs="Arial"/>
          <w:i/>
          <w:sz w:val="16"/>
          <w:szCs w:val="16"/>
        </w:rPr>
        <w:t>Appropriation Act No. 1</w:t>
      </w:r>
      <w:r w:rsidRPr="007B1278">
        <w:rPr>
          <w:rFonts w:ascii="Arial" w:hAnsi="Arial" w:cs="Arial"/>
          <w:sz w:val="16"/>
          <w:szCs w:val="16"/>
        </w:rPr>
        <w:t xml:space="preserve"> and </w:t>
      </w:r>
      <w:r w:rsidRPr="006F3070">
        <w:rPr>
          <w:rFonts w:ascii="Arial" w:hAnsi="Arial" w:cs="Arial"/>
          <w:i/>
          <w:sz w:val="16"/>
          <w:szCs w:val="16"/>
        </w:rPr>
        <w:t>Bill No. 3</w:t>
      </w:r>
      <w:r w:rsidRPr="007B1278">
        <w:rPr>
          <w:rFonts w:ascii="Arial" w:hAnsi="Arial" w:cs="Arial"/>
          <w:sz w:val="16"/>
          <w:szCs w:val="16"/>
        </w:rPr>
        <w:t>)" and "Retained Revenue Receipts under s74 of the PGPA Act 2013".</w:t>
      </w:r>
    </w:p>
    <w:p w:rsidR="007B3EB8" w:rsidRDefault="007B3EB8" w:rsidP="006E6F50">
      <w:pPr>
        <w:pStyle w:val="SingleParagraph"/>
        <w:spacing w:line="240" w:lineRule="auto"/>
      </w:pPr>
      <w:r w:rsidRPr="007B1278">
        <w:rPr>
          <w:rFonts w:ascii="Arial" w:hAnsi="Arial" w:cs="Arial"/>
          <w:sz w:val="16"/>
          <w:szCs w:val="16"/>
        </w:rPr>
        <w:t xml:space="preserve">(b) Expenses not requiring appropriation in the Budget year is made up of Depreciation Expense, </w:t>
      </w:r>
      <w:r>
        <w:rPr>
          <w:rFonts w:ascii="Arial" w:hAnsi="Arial" w:cs="Arial"/>
          <w:sz w:val="16"/>
          <w:szCs w:val="16"/>
        </w:rPr>
        <w:t>A</w:t>
      </w:r>
      <w:r w:rsidRPr="007B1278">
        <w:rPr>
          <w:rFonts w:ascii="Arial" w:hAnsi="Arial" w:cs="Arial"/>
          <w:sz w:val="16"/>
          <w:szCs w:val="16"/>
        </w:rPr>
        <w:t xml:space="preserve">mortisation Expense, </w:t>
      </w:r>
      <w:proofErr w:type="spellStart"/>
      <w:r w:rsidRPr="007B1278">
        <w:rPr>
          <w:rFonts w:ascii="Arial" w:hAnsi="Arial" w:cs="Arial"/>
          <w:sz w:val="16"/>
          <w:szCs w:val="16"/>
        </w:rPr>
        <w:t>Makegood</w:t>
      </w:r>
      <w:proofErr w:type="spellEnd"/>
      <w:r w:rsidRPr="007B1278">
        <w:rPr>
          <w:rFonts w:ascii="Arial" w:hAnsi="Arial" w:cs="Arial"/>
          <w:sz w:val="16"/>
          <w:szCs w:val="16"/>
        </w:rPr>
        <w:t xml:space="preserve"> Expense</w:t>
      </w:r>
      <w:r w:rsidR="005568B4">
        <w:rPr>
          <w:rFonts w:ascii="Arial" w:hAnsi="Arial" w:cs="Arial"/>
          <w:sz w:val="16"/>
          <w:szCs w:val="16"/>
        </w:rPr>
        <w:t>,</w:t>
      </w:r>
      <w:r>
        <w:rPr>
          <w:rFonts w:ascii="Arial" w:hAnsi="Arial" w:cs="Arial"/>
          <w:sz w:val="16"/>
          <w:szCs w:val="16"/>
        </w:rPr>
        <w:t xml:space="preserve"> </w:t>
      </w:r>
      <w:r w:rsidRPr="007B1278">
        <w:rPr>
          <w:rFonts w:ascii="Arial" w:hAnsi="Arial" w:cs="Arial"/>
          <w:sz w:val="16"/>
          <w:szCs w:val="16"/>
        </w:rPr>
        <w:t>Audit Fees.</w:t>
      </w:r>
    </w:p>
    <w:p w:rsidR="00B361EB" w:rsidRDefault="00B361EB">
      <w:pPr>
        <w:spacing w:after="0" w:line="240" w:lineRule="auto"/>
        <w:jc w:val="left"/>
        <w:rPr>
          <w:rFonts w:ascii="Arial" w:hAnsi="Arial"/>
          <w:szCs w:val="26"/>
        </w:rPr>
      </w:pPr>
      <w:r>
        <w:rPr>
          <w:b/>
          <w:bCs/>
          <w:iCs/>
        </w:rPr>
        <w:br w:type="page"/>
      </w:r>
    </w:p>
    <w:p w:rsidR="00B361EB" w:rsidRPr="006E5E5D" w:rsidRDefault="00B361EB" w:rsidP="00B361EB">
      <w:pPr>
        <w:pStyle w:val="Heading5"/>
        <w:rPr>
          <w:bCs w:val="0"/>
          <w:iCs w:val="0"/>
          <w:lang w:val="en-AU"/>
        </w:rPr>
      </w:pPr>
      <w:r w:rsidRPr="006E5E5D">
        <w:rPr>
          <w:bCs w:val="0"/>
          <w:iCs w:val="0"/>
          <w:lang w:val="en-AU"/>
        </w:rPr>
        <w:lastRenderedPageBreak/>
        <w:t>Program 2.1: Consular and Passport Services</w:t>
      </w:r>
    </w:p>
    <w:p w:rsidR="00B361EB" w:rsidRDefault="00B361EB" w:rsidP="00B361EB">
      <w:pPr>
        <w:pStyle w:val="Heading5"/>
      </w:pPr>
      <w:r>
        <w:t xml:space="preserve">Programme objective </w:t>
      </w:r>
      <w:r>
        <w:rPr>
          <w:lang w:val="en-AU"/>
        </w:rPr>
        <w:t>2</w:t>
      </w:r>
      <w:r>
        <w:t>.1</w:t>
      </w:r>
    </w:p>
    <w:p w:rsidR="00B361EB" w:rsidRDefault="00B361EB" w:rsidP="00B361EB">
      <w:pPr>
        <w:rPr>
          <w:iCs/>
        </w:rPr>
      </w:pPr>
      <w:r>
        <w:rPr>
          <w:iCs/>
          <w:lang w:val="x-none"/>
        </w:rPr>
        <w:t>There is no change to</w:t>
      </w:r>
      <w:r>
        <w:rPr>
          <w:iCs/>
        </w:rPr>
        <w:t xml:space="preserve"> the objective for Programme 2.1 </w:t>
      </w:r>
      <w:r>
        <w:rPr>
          <w:iCs/>
          <w:lang w:val="x-none"/>
        </w:rPr>
        <w:t xml:space="preserve">as expressed in the </w:t>
      </w:r>
      <w:r>
        <w:rPr>
          <w:i/>
          <w:iCs/>
          <w:lang w:val="x-none"/>
        </w:rPr>
        <w:t>Portfolio Budget Statements 201</w:t>
      </w:r>
      <w:r>
        <w:rPr>
          <w:i/>
          <w:iCs/>
        </w:rPr>
        <w:t>5-16</w:t>
      </w:r>
      <w:r>
        <w:rPr>
          <w:iCs/>
          <w:lang w:val="x-none"/>
        </w:rPr>
        <w:t xml:space="preserve">. </w:t>
      </w:r>
    </w:p>
    <w:p w:rsidR="00B361EB" w:rsidRPr="00B361EB" w:rsidRDefault="00B361EB" w:rsidP="00F77875">
      <w:pPr>
        <w:pStyle w:val="Heading5"/>
        <w:rPr>
          <w:lang w:val="en-AU"/>
        </w:rPr>
      </w:pPr>
      <w:r>
        <w:t xml:space="preserve">Programme expenses </w:t>
      </w:r>
      <w:r>
        <w:rPr>
          <w:lang w:val="en-AU"/>
        </w:rPr>
        <w:t>2</w:t>
      </w:r>
      <w:r>
        <w:t>.1</w:t>
      </w:r>
    </w:p>
    <w:p w:rsidR="00B361EB" w:rsidRDefault="00B361EB" w:rsidP="00F77875">
      <w:pPr>
        <w:pStyle w:val="Heading5"/>
        <w:rPr>
          <w:b w:val="0"/>
          <w:bCs w:val="0"/>
          <w:iCs w:val="0"/>
          <w:lang w:val="en-AU"/>
        </w:rPr>
      </w:pPr>
      <w:r w:rsidRPr="00B361EB">
        <w:rPr>
          <w:noProof/>
          <w:lang w:val="en-AU" w:eastAsia="zh-CN"/>
        </w:rPr>
        <w:drawing>
          <wp:inline distT="0" distB="0" distL="0" distR="0" wp14:anchorId="5B657F2C" wp14:editId="5FCC9A97">
            <wp:extent cx="4896485" cy="1276581"/>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896485" cy="1276581"/>
                    </a:xfrm>
                    <a:prstGeom prst="rect">
                      <a:avLst/>
                    </a:prstGeom>
                    <a:noFill/>
                    <a:ln>
                      <a:noFill/>
                    </a:ln>
                  </pic:spPr>
                </pic:pic>
              </a:graphicData>
            </a:graphic>
          </wp:inline>
        </w:drawing>
      </w:r>
    </w:p>
    <w:p w:rsidR="00B361EB" w:rsidRDefault="009161E8" w:rsidP="00867314">
      <w:pPr>
        <w:pStyle w:val="SingleParagraph"/>
        <w:spacing w:line="240" w:lineRule="auto"/>
        <w:jc w:val="left"/>
        <w:rPr>
          <w:rFonts w:ascii="Arial" w:hAnsi="Arial" w:cs="Arial"/>
          <w:sz w:val="16"/>
          <w:szCs w:val="16"/>
        </w:rPr>
      </w:pPr>
      <w:r>
        <w:rPr>
          <w:rFonts w:ascii="Arial" w:hAnsi="Arial" w:cs="Arial"/>
          <w:sz w:val="16"/>
          <w:szCs w:val="16"/>
        </w:rPr>
        <w:t>(</w:t>
      </w:r>
      <w:r w:rsidR="00B361EB">
        <w:rPr>
          <w:rFonts w:ascii="Arial" w:hAnsi="Arial" w:cs="Arial"/>
          <w:sz w:val="16"/>
          <w:szCs w:val="16"/>
        </w:rPr>
        <w:t xml:space="preserve">a) Expenses not requiring appropriation in the Budget year is made up of Depreciation Expense, Amortisation Expense, </w:t>
      </w:r>
      <w:proofErr w:type="spellStart"/>
      <w:r w:rsidR="00B361EB">
        <w:rPr>
          <w:rFonts w:ascii="Arial" w:hAnsi="Arial" w:cs="Arial"/>
          <w:sz w:val="16"/>
          <w:szCs w:val="16"/>
        </w:rPr>
        <w:t>Makegood</w:t>
      </w:r>
      <w:proofErr w:type="spellEnd"/>
      <w:r w:rsidR="00B361EB">
        <w:rPr>
          <w:rFonts w:ascii="Arial" w:hAnsi="Arial" w:cs="Arial"/>
          <w:sz w:val="16"/>
          <w:szCs w:val="16"/>
        </w:rPr>
        <w:t xml:space="preserve"> Expense</w:t>
      </w:r>
      <w:r w:rsidR="005568B4">
        <w:rPr>
          <w:rFonts w:ascii="Arial" w:hAnsi="Arial" w:cs="Arial"/>
          <w:sz w:val="16"/>
          <w:szCs w:val="16"/>
        </w:rPr>
        <w:t>,</w:t>
      </w:r>
      <w:r w:rsidR="00B361EB">
        <w:rPr>
          <w:rFonts w:ascii="Arial" w:hAnsi="Arial" w:cs="Arial"/>
          <w:sz w:val="16"/>
          <w:szCs w:val="16"/>
        </w:rPr>
        <w:t xml:space="preserve"> Audit Fees.</w:t>
      </w:r>
    </w:p>
    <w:p w:rsidR="00B361EB" w:rsidRDefault="00B361EB" w:rsidP="00B361EB">
      <w:pPr>
        <w:pStyle w:val="SingleParagraph"/>
        <w:rPr>
          <w:lang w:val="en-GB"/>
        </w:rPr>
      </w:pPr>
    </w:p>
    <w:p w:rsidR="00B361EB" w:rsidRDefault="00B361EB" w:rsidP="00B361EB">
      <w:pPr>
        <w:pStyle w:val="Heading5"/>
        <w:rPr>
          <w:lang w:val="en-AU"/>
        </w:rPr>
      </w:pPr>
      <w:r>
        <w:t xml:space="preserve">Programme deliverables </w:t>
      </w:r>
      <w:r>
        <w:rPr>
          <w:lang w:val="en-AU"/>
        </w:rPr>
        <w:t>2.1</w:t>
      </w:r>
    </w:p>
    <w:p w:rsidR="00B361EB" w:rsidRDefault="00B361EB" w:rsidP="00B361EB">
      <w:pPr>
        <w:rPr>
          <w:lang w:val="en-GB"/>
        </w:rPr>
      </w:pPr>
      <w:r>
        <w:rPr>
          <w:iCs/>
          <w:lang w:val="x-none"/>
        </w:rPr>
        <w:t>There is no change to</w:t>
      </w:r>
      <w:r>
        <w:rPr>
          <w:iCs/>
        </w:rPr>
        <w:t xml:space="preserve"> the deliverables for Programme 2.1 </w:t>
      </w:r>
      <w:r>
        <w:rPr>
          <w:iCs/>
          <w:lang w:val="x-none"/>
        </w:rPr>
        <w:t xml:space="preserve">as expressed in the </w:t>
      </w:r>
      <w:r>
        <w:rPr>
          <w:i/>
          <w:iCs/>
          <w:lang w:val="x-none"/>
        </w:rPr>
        <w:t>Portfolio Budget Statements 201</w:t>
      </w:r>
      <w:r>
        <w:rPr>
          <w:i/>
          <w:iCs/>
        </w:rPr>
        <w:t>5-16</w:t>
      </w:r>
      <w:r>
        <w:rPr>
          <w:iCs/>
          <w:lang w:val="x-none"/>
        </w:rPr>
        <w:t xml:space="preserve">. </w:t>
      </w:r>
    </w:p>
    <w:p w:rsidR="00B361EB" w:rsidRDefault="00B361EB" w:rsidP="00B361EB">
      <w:pPr>
        <w:pStyle w:val="Heading5"/>
        <w:rPr>
          <w:lang w:val="en-AU"/>
        </w:rPr>
      </w:pPr>
      <w:r>
        <w:t>Programme key performance indicators</w:t>
      </w:r>
      <w:r>
        <w:rPr>
          <w:lang w:val="en-AU"/>
        </w:rPr>
        <w:t xml:space="preserve"> 2.1</w:t>
      </w:r>
    </w:p>
    <w:p w:rsidR="00991B19" w:rsidRPr="00DB68D2" w:rsidRDefault="00991B19" w:rsidP="00991B19">
      <w:pPr>
        <w:rPr>
          <w:iCs/>
        </w:rPr>
      </w:pPr>
      <w:r>
        <w:rPr>
          <w:iCs/>
          <w:lang w:val="x-none"/>
        </w:rPr>
        <w:t>There is no change to</w:t>
      </w:r>
      <w:r>
        <w:rPr>
          <w:iCs/>
        </w:rPr>
        <w:t xml:space="preserve"> the key performance indicators for Programme 2.1 </w:t>
      </w:r>
      <w:r>
        <w:rPr>
          <w:iCs/>
          <w:lang w:val="x-none"/>
        </w:rPr>
        <w:t xml:space="preserve">as expressed in the </w:t>
      </w:r>
      <w:r>
        <w:rPr>
          <w:i/>
          <w:iCs/>
          <w:lang w:val="x-none"/>
        </w:rPr>
        <w:t>Portfolio Budget Statements 201</w:t>
      </w:r>
      <w:r>
        <w:rPr>
          <w:i/>
          <w:iCs/>
        </w:rPr>
        <w:t>5-16</w:t>
      </w:r>
      <w:r>
        <w:rPr>
          <w:iCs/>
          <w:lang w:val="x-none"/>
        </w:rPr>
        <w:t xml:space="preserve">. </w:t>
      </w:r>
    </w:p>
    <w:p w:rsidR="00F77875" w:rsidRDefault="00F77875" w:rsidP="00991B19">
      <w:pPr>
        <w:pStyle w:val="Heading5"/>
      </w:pPr>
      <w:r w:rsidRPr="00991B19">
        <w:rPr>
          <w:rFonts w:ascii="Book Antiqua" w:hAnsi="Book Antiqua"/>
          <w:b w:val="0"/>
          <w:bCs w:val="0"/>
          <w:iCs w:val="0"/>
        </w:rPr>
        <w:br w:type="page"/>
      </w:r>
      <w:r>
        <w:lastRenderedPageBreak/>
        <w:t>Section 3: Explanatory tables and budgeted fin</w:t>
      </w:r>
      <w:r w:rsidR="002D2ADD">
        <w:t xml:space="preserve">ancial </w:t>
      </w:r>
      <w:r w:rsidR="002D2ADD">
        <w:rPr>
          <w:lang w:val="en-AU"/>
        </w:rPr>
        <w:t>s</w:t>
      </w:r>
      <w:r w:rsidR="00301121">
        <w:rPr>
          <w:lang w:val="en-AU"/>
        </w:rPr>
        <w:t xml:space="preserve">tatements </w:t>
      </w:r>
    </w:p>
    <w:p w:rsidR="00F77875" w:rsidRDefault="00F77875" w:rsidP="00F77875">
      <w:pPr>
        <w:pStyle w:val="Heading3"/>
      </w:pPr>
      <w:r>
        <w:t>3.1</w:t>
      </w:r>
      <w:r>
        <w:tab/>
        <w:t>Explanatory tables</w:t>
      </w:r>
    </w:p>
    <w:p w:rsidR="00F77875" w:rsidRDefault="00F77875" w:rsidP="00F77875">
      <w:pPr>
        <w:pStyle w:val="Heading4"/>
      </w:pPr>
      <w:r>
        <w:t>Estimates of special account flows</w:t>
      </w:r>
    </w:p>
    <w:p w:rsidR="0077617D" w:rsidRDefault="0077617D" w:rsidP="0077617D">
      <w:r>
        <w:t xml:space="preserve">Special Accounts provide a means to set aside and record amounts used for specified purposes. Table 3.1.1 shows the expected additions (receipts) and reductions (payments) for each account used by Austrade. The corresponding table in the </w:t>
      </w:r>
      <w:r w:rsidRPr="0077617D">
        <w:rPr>
          <w:i/>
        </w:rPr>
        <w:t>2015</w:t>
      </w:r>
      <w:r w:rsidRPr="0077617D">
        <w:rPr>
          <w:i/>
        </w:rPr>
        <w:noBreakHyphen/>
        <w:t xml:space="preserve">16 </w:t>
      </w:r>
      <w:r>
        <w:rPr>
          <w:i/>
        </w:rPr>
        <w:t>Portfolio Budget</w:t>
      </w:r>
      <w:r w:rsidRPr="0077617D">
        <w:rPr>
          <w:i/>
        </w:rPr>
        <w:t xml:space="preserve"> Statements</w:t>
      </w:r>
      <w:r>
        <w:t xml:space="preserve"> is Table 3.1.2.</w:t>
      </w:r>
    </w:p>
    <w:p w:rsidR="0077617D" w:rsidRPr="004E017C" w:rsidRDefault="0077617D" w:rsidP="0077617D">
      <w:pPr>
        <w:pStyle w:val="TableHeading"/>
      </w:pPr>
      <w:r>
        <w:t>Table 3.1.1: Estimates of special account flows and balances</w:t>
      </w:r>
    </w:p>
    <w:p w:rsidR="00F77875" w:rsidRDefault="0077617D" w:rsidP="0077617D">
      <w:pPr>
        <w:pStyle w:val="NoSpacing"/>
      </w:pPr>
      <w:r>
        <w:rPr>
          <w:noProof/>
          <w:lang w:eastAsia="zh-CN"/>
        </w:rPr>
        <w:drawing>
          <wp:inline distT="0" distB="0" distL="0" distR="0">
            <wp:extent cx="4892675" cy="3918585"/>
            <wp:effectExtent l="0" t="0" r="3175" b="5715"/>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892675" cy="3918585"/>
                    </a:xfrm>
                    <a:prstGeom prst="rect">
                      <a:avLst/>
                    </a:prstGeom>
                    <a:noFill/>
                    <a:ln>
                      <a:noFill/>
                    </a:ln>
                  </pic:spPr>
                </pic:pic>
              </a:graphicData>
            </a:graphic>
          </wp:inline>
        </w:drawing>
      </w:r>
    </w:p>
    <w:p w:rsidR="00F77875" w:rsidRDefault="00F77875" w:rsidP="00F77875">
      <w:pPr>
        <w:pStyle w:val="Heading3"/>
      </w:pPr>
      <w:r>
        <w:rPr>
          <w:b w:val="0"/>
          <w:smallCaps w:val="0"/>
        </w:rPr>
        <w:br w:type="page"/>
      </w:r>
      <w:r>
        <w:lastRenderedPageBreak/>
        <w:t>3.2</w:t>
      </w:r>
      <w:r>
        <w:tab/>
        <w:t>Budgeted financial statements</w:t>
      </w:r>
    </w:p>
    <w:p w:rsidR="00F77875" w:rsidRDefault="00F77875" w:rsidP="00F828B5">
      <w:pPr>
        <w:pStyle w:val="Heading4"/>
        <w:jc w:val="both"/>
      </w:pPr>
      <w:r>
        <w:t>3.2.1</w:t>
      </w:r>
      <w:r>
        <w:tab/>
        <w:t>Analysis of budgeted financial statements</w:t>
      </w:r>
    </w:p>
    <w:p w:rsidR="00F77875" w:rsidRDefault="00F77875" w:rsidP="00F828B5">
      <w:pPr>
        <w:pStyle w:val="Exampletext0"/>
      </w:pPr>
      <w:r>
        <w:rPr>
          <w:i w:val="0"/>
          <w:color w:val="auto"/>
          <w:lang w:val="en-AU"/>
        </w:rPr>
        <w:t>An analysis of Austrade’s budgeted financial statements, as reflected in the departmental financial statements and administered schedules, is provided below.</w:t>
      </w:r>
    </w:p>
    <w:p w:rsidR="00F77875" w:rsidRDefault="00F77875" w:rsidP="00F828B5">
      <w:pPr>
        <w:pStyle w:val="Heading4"/>
        <w:jc w:val="both"/>
      </w:pPr>
      <w:r>
        <w:t>3.2.2</w:t>
      </w:r>
      <w:r>
        <w:tab/>
        <w:t>Budgeted financial statements</w:t>
      </w:r>
    </w:p>
    <w:p w:rsidR="00F77875" w:rsidRDefault="00F77875" w:rsidP="00F828B5">
      <w:pPr>
        <w:pStyle w:val="Heading5"/>
        <w:jc w:val="both"/>
      </w:pPr>
      <w:r>
        <w:t>Departmental Financial Statements</w:t>
      </w:r>
    </w:p>
    <w:p w:rsidR="00F77875" w:rsidRDefault="00F77875" w:rsidP="00F828B5">
      <w:pPr>
        <w:pStyle w:val="ExampleText"/>
        <w:jc w:val="both"/>
      </w:pPr>
      <w:r>
        <w:rPr>
          <w:i w:val="0"/>
          <w:color w:val="auto"/>
        </w:rPr>
        <w:t>The Departmental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p>
    <w:p w:rsidR="00F77875" w:rsidRDefault="00F77875" w:rsidP="00F828B5">
      <w:pPr>
        <w:pStyle w:val="Heading5"/>
        <w:jc w:val="both"/>
      </w:pPr>
      <w:r>
        <w:rPr>
          <w:lang w:val="en-AU"/>
        </w:rPr>
        <w:t>Budgeted departmental comprehensive income statement</w:t>
      </w:r>
    </w:p>
    <w:p w:rsidR="00F828B5" w:rsidRPr="00A9267F" w:rsidRDefault="00F828B5" w:rsidP="00F828B5">
      <w:pPr>
        <w:pStyle w:val="Exampletext0"/>
        <w:rPr>
          <w:i w:val="0"/>
          <w:color w:val="auto"/>
        </w:rPr>
      </w:pPr>
      <w:r w:rsidRPr="00A9267F">
        <w:rPr>
          <w:i w:val="0"/>
          <w:color w:val="auto"/>
        </w:rPr>
        <w:t xml:space="preserve">This statement provides actual financial results for </w:t>
      </w:r>
      <w:r w:rsidRPr="00A9267F">
        <w:rPr>
          <w:i w:val="0"/>
          <w:color w:val="auto"/>
          <w:lang w:val="en-AU"/>
        </w:rPr>
        <w:t>2014-15</w:t>
      </w:r>
      <w:r w:rsidRPr="00A9267F">
        <w:rPr>
          <w:i w:val="0"/>
          <w:color w:val="auto"/>
        </w:rPr>
        <w:t xml:space="preserve"> and the estimated revenue and expenses for </w:t>
      </w:r>
      <w:r w:rsidRPr="00A9267F">
        <w:rPr>
          <w:i w:val="0"/>
          <w:color w:val="auto"/>
          <w:lang w:val="en-AU"/>
        </w:rPr>
        <w:t>2015-16</w:t>
      </w:r>
      <w:r w:rsidRPr="00A9267F">
        <w:rPr>
          <w:i w:val="0"/>
          <w:color w:val="auto"/>
        </w:rPr>
        <w:t xml:space="preserve"> and forward years. </w:t>
      </w:r>
    </w:p>
    <w:p w:rsidR="00A9267F" w:rsidRPr="00A9267F" w:rsidRDefault="00A9267F" w:rsidP="00A9267F">
      <w:pPr>
        <w:pStyle w:val="ExampleText"/>
        <w:rPr>
          <w:i w:val="0"/>
          <w:color w:val="auto"/>
        </w:rPr>
      </w:pPr>
      <w:r w:rsidRPr="00A9267F">
        <w:rPr>
          <w:i w:val="0"/>
          <w:color w:val="auto"/>
        </w:rPr>
        <w:t xml:space="preserve">Total income in 2015-16 is estimated to be $240.2 million, an increase of $12.9 million from the Budget. The increase is mainly due to a $6.0 million movement of funds for Free Trade Agreement Promotion and a $5.1 million increase in estimated own-source income. The 2015-16 total income excludes $3.1 million supplementation for foreign exchange movements as they relate to prior years’ activities. These amounts are included in Table 1.1 Austrade Resource Statement.  </w:t>
      </w:r>
    </w:p>
    <w:p w:rsidR="00A9267F" w:rsidRPr="00A9267F" w:rsidRDefault="00A9267F" w:rsidP="00A9267F">
      <w:pPr>
        <w:pStyle w:val="Exampletext0"/>
        <w:rPr>
          <w:i w:val="0"/>
          <w:color w:val="auto"/>
        </w:rPr>
      </w:pPr>
      <w:r w:rsidRPr="00A9267F">
        <w:rPr>
          <w:i w:val="0"/>
          <w:color w:val="auto"/>
        </w:rPr>
        <w:t>Total estimated expenses for 201</w:t>
      </w:r>
      <w:r w:rsidRPr="00A9267F">
        <w:rPr>
          <w:i w:val="0"/>
          <w:color w:val="auto"/>
          <w:lang w:val="en-AU"/>
        </w:rPr>
        <w:t>5-16</w:t>
      </w:r>
      <w:r w:rsidRPr="00A9267F">
        <w:rPr>
          <w:i w:val="0"/>
          <w:color w:val="auto"/>
        </w:rPr>
        <w:t xml:space="preserve"> have </w:t>
      </w:r>
      <w:r w:rsidRPr="00A9267F">
        <w:rPr>
          <w:i w:val="0"/>
          <w:color w:val="auto"/>
          <w:lang w:val="en-AU"/>
        </w:rPr>
        <w:t xml:space="preserve">increased by $13.6 million from Budget to reflect the increase in income and estimated depreciation. </w:t>
      </w:r>
    </w:p>
    <w:p w:rsidR="00F828B5" w:rsidRPr="00047317" w:rsidRDefault="00F828B5" w:rsidP="00F828B5">
      <w:pPr>
        <w:pStyle w:val="Exampletext0"/>
        <w:rPr>
          <w:rFonts w:ascii="Arial" w:hAnsi="Arial"/>
          <w:b/>
          <w:i w:val="0"/>
          <w:color w:val="auto"/>
        </w:rPr>
      </w:pPr>
      <w:r w:rsidRPr="00047317">
        <w:rPr>
          <w:rFonts w:ascii="Arial" w:hAnsi="Arial"/>
          <w:b/>
          <w:i w:val="0"/>
          <w:color w:val="auto"/>
        </w:rPr>
        <w:t>Budgeted departmental balance sheet</w:t>
      </w:r>
    </w:p>
    <w:p w:rsidR="00F77875" w:rsidRDefault="00F828B5" w:rsidP="00F828B5">
      <w:pPr>
        <w:pStyle w:val="Exampletext0"/>
        <w:rPr>
          <w:i w:val="0"/>
          <w:color w:val="auto"/>
          <w:lang w:val="en-AU"/>
        </w:rPr>
      </w:pPr>
      <w:r w:rsidRPr="004126C9">
        <w:rPr>
          <w:i w:val="0"/>
          <w:color w:val="auto"/>
        </w:rPr>
        <w:t xml:space="preserve">This statement discloses the estimated end of year financial position for Austrade. Austrade’s budgeted net asset position at the end of </w:t>
      </w:r>
      <w:r w:rsidRPr="004126C9">
        <w:rPr>
          <w:i w:val="0"/>
          <w:color w:val="auto"/>
          <w:lang w:val="en-AU"/>
        </w:rPr>
        <w:t>2015-16</w:t>
      </w:r>
      <w:r w:rsidRPr="004126C9">
        <w:rPr>
          <w:i w:val="0"/>
          <w:color w:val="auto"/>
        </w:rPr>
        <w:t xml:space="preserve"> of $</w:t>
      </w:r>
      <w:r w:rsidRPr="004126C9">
        <w:rPr>
          <w:i w:val="0"/>
          <w:color w:val="auto"/>
          <w:lang w:val="en-AU"/>
        </w:rPr>
        <w:t>62.7</w:t>
      </w:r>
      <w:r w:rsidRPr="004126C9">
        <w:rPr>
          <w:i w:val="0"/>
          <w:color w:val="auto"/>
        </w:rPr>
        <w:t xml:space="preserve"> million </w:t>
      </w:r>
      <w:r>
        <w:rPr>
          <w:i w:val="0"/>
          <w:color w:val="auto"/>
          <w:lang w:val="en-AU"/>
        </w:rPr>
        <w:t xml:space="preserve">is </w:t>
      </w:r>
      <w:r w:rsidRPr="004126C9">
        <w:rPr>
          <w:i w:val="0"/>
          <w:color w:val="auto"/>
          <w:lang w:val="en-AU"/>
        </w:rPr>
        <w:t>consistent with the 2014-15</w:t>
      </w:r>
      <w:r w:rsidRPr="004126C9">
        <w:rPr>
          <w:i w:val="0"/>
          <w:color w:val="auto"/>
        </w:rPr>
        <w:t xml:space="preserve"> actual </w:t>
      </w:r>
      <w:r w:rsidRPr="004126C9">
        <w:rPr>
          <w:i w:val="0"/>
          <w:color w:val="auto"/>
          <w:lang w:val="en-AU"/>
        </w:rPr>
        <w:t xml:space="preserve">of $62.9 million </w:t>
      </w:r>
      <w:r w:rsidRPr="004126C9">
        <w:rPr>
          <w:i w:val="0"/>
          <w:color w:val="auto"/>
        </w:rPr>
        <w:t xml:space="preserve">in </w:t>
      </w:r>
      <w:r w:rsidRPr="004126C9">
        <w:rPr>
          <w:i w:val="0"/>
          <w:color w:val="auto"/>
          <w:lang w:val="en-AU"/>
        </w:rPr>
        <w:t>T</w:t>
      </w:r>
      <w:r w:rsidRPr="004126C9">
        <w:rPr>
          <w:i w:val="0"/>
          <w:color w:val="auto"/>
        </w:rPr>
        <w:t>able 3.2.2</w:t>
      </w:r>
      <w:r w:rsidRPr="004126C9">
        <w:rPr>
          <w:i w:val="0"/>
          <w:color w:val="auto"/>
          <w:lang w:val="en-AU"/>
        </w:rPr>
        <w:t>.</w:t>
      </w:r>
      <w:r>
        <w:rPr>
          <w:i w:val="0"/>
          <w:color w:val="auto"/>
          <w:lang w:val="en-AU"/>
        </w:rPr>
        <w:t xml:space="preserve">  </w:t>
      </w:r>
      <w:r w:rsidR="00F77875">
        <w:rPr>
          <w:i w:val="0"/>
          <w:color w:val="auto"/>
          <w:lang w:val="en-AU"/>
        </w:rPr>
        <w:t xml:space="preserve"> </w:t>
      </w:r>
    </w:p>
    <w:p w:rsidR="00F77875" w:rsidRDefault="00F77875" w:rsidP="00F828B5">
      <w:pPr>
        <w:pStyle w:val="Exampletext0"/>
        <w:rPr>
          <w:rFonts w:ascii="Arial" w:hAnsi="Arial"/>
          <w:b/>
          <w:i w:val="0"/>
          <w:color w:val="auto"/>
        </w:rPr>
      </w:pPr>
      <w:r>
        <w:rPr>
          <w:rFonts w:ascii="Arial" w:hAnsi="Arial"/>
          <w:b/>
          <w:i w:val="0"/>
          <w:color w:val="auto"/>
        </w:rPr>
        <w:t>Departmental capital budget statement</w:t>
      </w:r>
    </w:p>
    <w:p w:rsidR="00F77875" w:rsidRDefault="00F77875" w:rsidP="00F828B5">
      <w:pPr>
        <w:pStyle w:val="Exampletext0"/>
        <w:rPr>
          <w:i w:val="0"/>
          <w:color w:val="auto"/>
        </w:rPr>
      </w:pPr>
      <w:r>
        <w:rPr>
          <w:i w:val="0"/>
          <w:color w:val="auto"/>
        </w:rPr>
        <w:t>This statement shows all planned departmental capital expenditure on non-financial assets, whether funded through capital appropriations, additional equity, borrowings, or funds from internal sources.</w:t>
      </w:r>
    </w:p>
    <w:p w:rsidR="00F77875" w:rsidRDefault="00F77875" w:rsidP="00F828B5">
      <w:pPr>
        <w:pStyle w:val="Exampletext0"/>
        <w:rPr>
          <w:rFonts w:ascii="Arial" w:hAnsi="Arial"/>
          <w:b/>
          <w:i w:val="0"/>
          <w:color w:val="auto"/>
        </w:rPr>
      </w:pPr>
      <w:r>
        <w:rPr>
          <w:rFonts w:ascii="Arial" w:hAnsi="Arial"/>
          <w:b/>
          <w:i w:val="0"/>
          <w:color w:val="auto"/>
        </w:rPr>
        <w:t>Departmental statement of asset movements</w:t>
      </w:r>
    </w:p>
    <w:p w:rsidR="00F77875" w:rsidRDefault="00F77875" w:rsidP="00F828B5">
      <w:pPr>
        <w:pStyle w:val="Exampletext0"/>
        <w:rPr>
          <w:i w:val="0"/>
          <w:color w:val="auto"/>
        </w:rPr>
      </w:pPr>
      <w:r>
        <w:rPr>
          <w:i w:val="0"/>
          <w:color w:val="auto"/>
        </w:rPr>
        <w:t>This statement shows budgeted acquisitions and disposals of non-financial assets during the budget year.</w:t>
      </w:r>
    </w:p>
    <w:p w:rsidR="00F77875" w:rsidRDefault="00F77875" w:rsidP="00F828B5">
      <w:pPr>
        <w:pStyle w:val="Exampletext0"/>
        <w:rPr>
          <w:rFonts w:ascii="Arial" w:hAnsi="Arial"/>
          <w:b/>
          <w:i w:val="0"/>
          <w:color w:val="auto"/>
          <w:sz w:val="22"/>
        </w:rPr>
      </w:pPr>
      <w:r>
        <w:rPr>
          <w:rFonts w:ascii="Arial" w:hAnsi="Arial"/>
          <w:b/>
          <w:i w:val="0"/>
          <w:color w:val="auto"/>
          <w:sz w:val="22"/>
        </w:rPr>
        <w:lastRenderedPageBreak/>
        <w:t>Schedule of administered activity</w:t>
      </w:r>
    </w:p>
    <w:p w:rsidR="00F77875" w:rsidRDefault="00F77875" w:rsidP="00F828B5">
      <w:pPr>
        <w:pStyle w:val="Exampletext0"/>
        <w:rPr>
          <w:i w:val="0"/>
          <w:color w:val="auto"/>
        </w:rPr>
      </w:pPr>
      <w:r>
        <w:rPr>
          <w:i w:val="0"/>
          <w:color w:val="auto"/>
        </w:rPr>
        <w:t>Details of transactions administered by Austrade on behalf of the Government are shown in the following schedules to the financial statements.</w:t>
      </w:r>
    </w:p>
    <w:p w:rsidR="00F77875" w:rsidRDefault="00F77875" w:rsidP="00F828B5">
      <w:pPr>
        <w:pStyle w:val="Exampletext0"/>
        <w:rPr>
          <w:rFonts w:ascii="Arial" w:hAnsi="Arial"/>
          <w:b/>
          <w:i w:val="0"/>
          <w:color w:val="auto"/>
        </w:rPr>
      </w:pPr>
      <w:r>
        <w:rPr>
          <w:rFonts w:ascii="Arial" w:hAnsi="Arial"/>
          <w:b/>
          <w:i w:val="0"/>
          <w:color w:val="auto"/>
        </w:rPr>
        <w:t>Schedule of budgeted income and expenses administered on behalf of Government</w:t>
      </w:r>
    </w:p>
    <w:p w:rsidR="00F828B5" w:rsidRPr="006E0246" w:rsidRDefault="00F828B5" w:rsidP="00F828B5">
      <w:pPr>
        <w:pStyle w:val="Exampletext0"/>
        <w:rPr>
          <w:i w:val="0"/>
          <w:color w:val="auto"/>
        </w:rPr>
      </w:pPr>
      <w:r w:rsidRPr="00047317">
        <w:rPr>
          <w:i w:val="0"/>
          <w:color w:val="auto"/>
        </w:rPr>
        <w:t xml:space="preserve">This schedule discloses revenue and expenses administered on behalf of the </w:t>
      </w:r>
      <w:r w:rsidRPr="006E0246">
        <w:rPr>
          <w:i w:val="0"/>
          <w:color w:val="auto"/>
        </w:rPr>
        <w:t>Government.</w:t>
      </w:r>
    </w:p>
    <w:p w:rsidR="00C4165F" w:rsidRDefault="00C4165F" w:rsidP="00C4165F">
      <w:pPr>
        <w:pStyle w:val="Exampletext0"/>
        <w:rPr>
          <w:i w:val="0"/>
          <w:color w:val="auto"/>
        </w:rPr>
      </w:pPr>
      <w:r w:rsidRPr="006E0246">
        <w:rPr>
          <w:i w:val="0"/>
          <w:color w:val="auto"/>
        </w:rPr>
        <w:t>Administered expenses of $</w:t>
      </w:r>
      <w:r w:rsidRPr="006E0246">
        <w:rPr>
          <w:i w:val="0"/>
          <w:color w:val="auto"/>
          <w:lang w:val="en-AU"/>
        </w:rPr>
        <w:t>14</w:t>
      </w:r>
      <w:r>
        <w:rPr>
          <w:i w:val="0"/>
          <w:color w:val="auto"/>
          <w:lang w:val="en-AU"/>
        </w:rPr>
        <w:t>5.3</w:t>
      </w:r>
      <w:r w:rsidRPr="006E0246">
        <w:rPr>
          <w:i w:val="0"/>
          <w:color w:val="auto"/>
        </w:rPr>
        <w:t xml:space="preserve"> million for </w:t>
      </w:r>
      <w:r w:rsidRPr="006E0246">
        <w:rPr>
          <w:i w:val="0"/>
          <w:color w:val="auto"/>
          <w:lang w:val="en-AU"/>
        </w:rPr>
        <w:t>2015-16</w:t>
      </w:r>
      <w:r w:rsidRPr="006E0246">
        <w:rPr>
          <w:i w:val="0"/>
          <w:color w:val="auto"/>
        </w:rPr>
        <w:t xml:space="preserve"> relate to the EMDG Scheme ($137.9</w:t>
      </w:r>
      <w:r w:rsidRPr="006E0246">
        <w:rPr>
          <w:i w:val="0"/>
          <w:color w:val="auto"/>
          <w:lang w:val="en-AU"/>
        </w:rPr>
        <w:t> </w:t>
      </w:r>
      <w:r w:rsidRPr="006E0246">
        <w:rPr>
          <w:i w:val="0"/>
          <w:color w:val="auto"/>
        </w:rPr>
        <w:t>million)</w:t>
      </w:r>
      <w:r w:rsidRPr="006E0246">
        <w:rPr>
          <w:i w:val="0"/>
          <w:color w:val="auto"/>
          <w:lang w:val="en-AU"/>
        </w:rPr>
        <w:t>,</w:t>
      </w:r>
      <w:r w:rsidRPr="006E0246">
        <w:rPr>
          <w:i w:val="0"/>
          <w:color w:val="auto"/>
        </w:rPr>
        <w:t xml:space="preserve"> ABE Plan ($</w:t>
      </w:r>
      <w:r w:rsidRPr="006E0246">
        <w:rPr>
          <w:i w:val="0"/>
          <w:color w:val="auto"/>
          <w:lang w:val="en-AU"/>
        </w:rPr>
        <w:t>0</w:t>
      </w:r>
      <w:r w:rsidRPr="006E0246">
        <w:rPr>
          <w:i w:val="0"/>
          <w:color w:val="auto"/>
        </w:rPr>
        <w:t>.</w:t>
      </w:r>
      <w:r w:rsidRPr="006E0246">
        <w:rPr>
          <w:i w:val="0"/>
          <w:color w:val="auto"/>
          <w:lang w:val="en-AU"/>
        </w:rPr>
        <w:t>6</w:t>
      </w:r>
      <w:r w:rsidRPr="006E0246">
        <w:rPr>
          <w:i w:val="0"/>
          <w:color w:val="auto"/>
        </w:rPr>
        <w:t xml:space="preserve"> million), </w:t>
      </w:r>
      <w:r w:rsidRPr="006E0246">
        <w:rPr>
          <w:i w:val="0"/>
          <w:color w:val="auto"/>
          <w:lang w:val="en-AU"/>
        </w:rPr>
        <w:t>Free Trade Agreement</w:t>
      </w:r>
      <w:r w:rsidRPr="006E0246">
        <w:rPr>
          <w:i w:val="0"/>
          <w:color w:val="auto"/>
        </w:rPr>
        <w:t xml:space="preserve"> Promotion</w:t>
      </w:r>
      <w:r w:rsidRPr="006E0246">
        <w:rPr>
          <w:i w:val="0"/>
          <w:color w:val="auto"/>
          <w:lang w:val="en-AU"/>
        </w:rPr>
        <w:t xml:space="preserve"> ($1.4 million)</w:t>
      </w:r>
      <w:r>
        <w:rPr>
          <w:i w:val="0"/>
          <w:color w:val="auto"/>
          <w:lang w:val="en-AU"/>
        </w:rPr>
        <w:t>, Tasmania Regional Tourism Package ($4.4 million)</w:t>
      </w:r>
      <w:r w:rsidRPr="006E0246">
        <w:rPr>
          <w:i w:val="0"/>
          <w:color w:val="auto"/>
          <w:lang w:val="en-AU"/>
        </w:rPr>
        <w:t xml:space="preserve"> and Tropical Health ($1.0 million).</w:t>
      </w:r>
      <w:r w:rsidRPr="006E0246">
        <w:rPr>
          <w:i w:val="0"/>
          <w:color w:val="auto"/>
        </w:rPr>
        <w:t xml:space="preserve"> The EMDG Scheme is comprised of $</w:t>
      </w:r>
      <w:r w:rsidRPr="006E0246">
        <w:rPr>
          <w:i w:val="0"/>
          <w:color w:val="auto"/>
          <w:lang w:val="en-AU"/>
        </w:rPr>
        <w:t>131.0</w:t>
      </w:r>
      <w:r w:rsidRPr="006E0246">
        <w:rPr>
          <w:i w:val="0"/>
          <w:color w:val="auto"/>
        </w:rPr>
        <w:t xml:space="preserve"> million in grant expenditure and $</w:t>
      </w:r>
      <w:r w:rsidRPr="006E0246">
        <w:rPr>
          <w:i w:val="0"/>
          <w:color w:val="auto"/>
          <w:lang w:val="en-AU"/>
        </w:rPr>
        <w:t>6.9</w:t>
      </w:r>
      <w:r w:rsidRPr="006E0246">
        <w:rPr>
          <w:i w:val="0"/>
          <w:color w:val="auto"/>
        </w:rPr>
        <w:t xml:space="preserve"> million in expenditure for the costs of administration on behalf of the Government. ABE Plan</w:t>
      </w:r>
      <w:r w:rsidRPr="006E0246">
        <w:rPr>
          <w:i w:val="0"/>
          <w:color w:val="auto"/>
          <w:lang w:val="en-AU"/>
        </w:rPr>
        <w:t>, FTA Promotion</w:t>
      </w:r>
      <w:r>
        <w:rPr>
          <w:i w:val="0"/>
          <w:color w:val="auto"/>
          <w:lang w:val="en-AU"/>
        </w:rPr>
        <w:t>, Tasmania Regional Tourism Package</w:t>
      </w:r>
      <w:r w:rsidRPr="006E0246">
        <w:rPr>
          <w:i w:val="0"/>
          <w:color w:val="auto"/>
          <w:lang w:val="en-AU"/>
        </w:rPr>
        <w:t xml:space="preserve"> and Tropical Health</w:t>
      </w:r>
      <w:r w:rsidRPr="006E0246">
        <w:rPr>
          <w:i w:val="0"/>
          <w:color w:val="auto"/>
        </w:rPr>
        <w:t xml:space="preserve"> </w:t>
      </w:r>
      <w:r w:rsidRPr="006E0246">
        <w:rPr>
          <w:i w:val="0"/>
          <w:color w:val="auto"/>
          <w:lang w:val="en-AU"/>
        </w:rPr>
        <w:t>are</w:t>
      </w:r>
      <w:r w:rsidRPr="006E0246">
        <w:rPr>
          <w:i w:val="0"/>
          <w:color w:val="auto"/>
        </w:rPr>
        <w:t xml:space="preserve"> </w:t>
      </w:r>
      <w:r w:rsidRPr="006E0246">
        <w:rPr>
          <w:i w:val="0"/>
          <w:color w:val="auto"/>
          <w:lang w:val="en-AU"/>
        </w:rPr>
        <w:t xml:space="preserve">wholly </w:t>
      </w:r>
      <w:r w:rsidRPr="006E0246">
        <w:rPr>
          <w:i w:val="0"/>
          <w:color w:val="auto"/>
        </w:rPr>
        <w:t xml:space="preserve">comprised </w:t>
      </w:r>
      <w:r w:rsidRPr="006E0246">
        <w:rPr>
          <w:i w:val="0"/>
          <w:color w:val="auto"/>
          <w:lang w:val="en-AU"/>
        </w:rPr>
        <w:t xml:space="preserve">of </w:t>
      </w:r>
      <w:r w:rsidRPr="006E0246">
        <w:rPr>
          <w:i w:val="0"/>
          <w:color w:val="auto"/>
        </w:rPr>
        <w:t>grant expenditure.</w:t>
      </w:r>
      <w:r>
        <w:rPr>
          <w:i w:val="0"/>
          <w:color w:val="auto"/>
        </w:rPr>
        <w:t xml:space="preserve"> </w:t>
      </w:r>
    </w:p>
    <w:p w:rsidR="00F828B5" w:rsidRPr="004C1E35" w:rsidRDefault="00F828B5" w:rsidP="00F828B5">
      <w:pPr>
        <w:pStyle w:val="Exampletext0"/>
        <w:rPr>
          <w:i w:val="0"/>
          <w:color w:val="auto"/>
        </w:rPr>
      </w:pPr>
      <w:r w:rsidRPr="00047317">
        <w:rPr>
          <w:rFonts w:ascii="Arial" w:hAnsi="Arial"/>
          <w:b/>
          <w:i w:val="0"/>
          <w:color w:val="auto"/>
        </w:rPr>
        <w:t>Schedule of budgeted assets and liabilities administered on behalf of Government</w:t>
      </w:r>
    </w:p>
    <w:p w:rsidR="00F828B5" w:rsidRPr="006E0246" w:rsidRDefault="00F828B5" w:rsidP="00F828B5">
      <w:pPr>
        <w:pStyle w:val="Exampletext0"/>
        <w:rPr>
          <w:i w:val="0"/>
          <w:color w:val="auto"/>
        </w:rPr>
      </w:pPr>
      <w:r w:rsidRPr="00047317">
        <w:rPr>
          <w:i w:val="0"/>
          <w:color w:val="auto"/>
        </w:rPr>
        <w:t xml:space="preserve">This schedule identifies the assets and liabilities administered on behalf of the </w:t>
      </w:r>
      <w:r w:rsidRPr="006E0246">
        <w:rPr>
          <w:i w:val="0"/>
          <w:color w:val="auto"/>
        </w:rPr>
        <w:t>Government.</w:t>
      </w:r>
    </w:p>
    <w:p w:rsidR="00F828B5" w:rsidRPr="00D84EA0" w:rsidRDefault="00F828B5" w:rsidP="00F828B5">
      <w:pPr>
        <w:pStyle w:val="Exampletext0"/>
        <w:rPr>
          <w:i w:val="0"/>
          <w:color w:val="auto"/>
        </w:rPr>
      </w:pPr>
      <w:r w:rsidRPr="006E0246">
        <w:rPr>
          <w:i w:val="0"/>
          <w:color w:val="auto"/>
        </w:rPr>
        <w:t xml:space="preserve">Total administered assets and liabilities for </w:t>
      </w:r>
      <w:r w:rsidRPr="006E0246">
        <w:rPr>
          <w:i w:val="0"/>
          <w:color w:val="auto"/>
          <w:lang w:val="en-AU"/>
        </w:rPr>
        <w:t>2015-16</w:t>
      </w:r>
      <w:r w:rsidRPr="006E0246">
        <w:rPr>
          <w:i w:val="0"/>
          <w:color w:val="auto"/>
        </w:rPr>
        <w:t xml:space="preserve"> are estimated at $</w:t>
      </w:r>
      <w:r w:rsidRPr="006E0246">
        <w:rPr>
          <w:i w:val="0"/>
          <w:color w:val="auto"/>
          <w:lang w:val="en-AU"/>
        </w:rPr>
        <w:t>0.04</w:t>
      </w:r>
      <w:r w:rsidRPr="006E0246">
        <w:rPr>
          <w:i w:val="0"/>
          <w:color w:val="auto"/>
        </w:rPr>
        <w:t xml:space="preserve"> million and $</w:t>
      </w:r>
      <w:r w:rsidRPr="006E0246">
        <w:rPr>
          <w:i w:val="0"/>
          <w:color w:val="auto"/>
          <w:lang w:val="en-AU"/>
        </w:rPr>
        <w:t>8.8</w:t>
      </w:r>
      <w:r w:rsidRPr="006E0246">
        <w:rPr>
          <w:i w:val="0"/>
          <w:color w:val="auto"/>
        </w:rPr>
        <w:t xml:space="preserve"> million respectively.</w:t>
      </w:r>
    </w:p>
    <w:p w:rsidR="00F77875" w:rsidRDefault="00F77875" w:rsidP="00F828B5">
      <w:pPr>
        <w:pStyle w:val="Exampletext0"/>
        <w:rPr>
          <w:rFonts w:ascii="Arial" w:hAnsi="Arial"/>
          <w:b/>
          <w:i w:val="0"/>
          <w:color w:val="auto"/>
        </w:rPr>
      </w:pPr>
      <w:r>
        <w:rPr>
          <w:rFonts w:ascii="Arial" w:hAnsi="Arial"/>
          <w:b/>
          <w:i w:val="0"/>
          <w:color w:val="auto"/>
        </w:rPr>
        <w:t>Schedule of budgeted administered cash flows</w:t>
      </w:r>
    </w:p>
    <w:p w:rsidR="00F77875" w:rsidRDefault="00F77875" w:rsidP="00F828B5">
      <w:pPr>
        <w:pStyle w:val="Exampletext0"/>
        <w:spacing w:after="0" w:line="240" w:lineRule="auto"/>
        <w:rPr>
          <w:i w:val="0"/>
          <w:color w:val="auto"/>
        </w:rPr>
      </w:pPr>
      <w:r>
        <w:rPr>
          <w:i w:val="0"/>
          <w:color w:val="auto"/>
        </w:rPr>
        <w:t>This schedule shows cash flows administered on behalf of the Government. All cash received is expected to be expended on the relevant programs.</w:t>
      </w:r>
    </w:p>
    <w:p w:rsidR="00F77875" w:rsidRDefault="00F77875" w:rsidP="00F828B5">
      <w:pPr>
        <w:pStyle w:val="TableHeading"/>
        <w:spacing w:before="0"/>
        <w:rPr>
          <w:snapToGrid w:val="0"/>
        </w:rPr>
      </w:pPr>
    </w:p>
    <w:p w:rsidR="00147177" w:rsidRPr="00327424" w:rsidRDefault="00F77875" w:rsidP="00147177">
      <w:pPr>
        <w:pStyle w:val="TableHeading"/>
        <w:spacing w:before="0"/>
        <w:rPr>
          <w:snapToGrid w:val="0"/>
          <w:lang w:val="en-AU"/>
        </w:rPr>
      </w:pPr>
      <w:r>
        <w:rPr>
          <w:b w:val="0"/>
          <w:snapToGrid w:val="0"/>
        </w:rPr>
        <w:br w:type="page"/>
      </w:r>
      <w:r w:rsidR="00147177" w:rsidRPr="00014438">
        <w:rPr>
          <w:snapToGrid w:val="0"/>
        </w:rPr>
        <w:lastRenderedPageBreak/>
        <w:t>Table 3.2.1</w:t>
      </w:r>
      <w:r w:rsidR="00147177">
        <w:rPr>
          <w:snapToGrid w:val="0"/>
        </w:rPr>
        <w:t>:</w:t>
      </w:r>
      <w:r w:rsidR="00147177" w:rsidRPr="00014438">
        <w:rPr>
          <w:snapToGrid w:val="0"/>
        </w:rPr>
        <w:t xml:space="preserve"> </w:t>
      </w:r>
      <w:r w:rsidR="00147177">
        <w:rPr>
          <w:snapToGrid w:val="0"/>
        </w:rPr>
        <w:t>C</w:t>
      </w:r>
      <w:r w:rsidR="00147177" w:rsidRPr="00014438">
        <w:rPr>
          <w:snapToGrid w:val="0"/>
        </w:rPr>
        <w:t>omprehensive income statement (showing net cost of services)</w:t>
      </w:r>
      <w:r w:rsidR="00147177">
        <w:rPr>
          <w:snapToGrid w:val="0"/>
          <w:lang w:val="en-AU"/>
        </w:rPr>
        <w:t xml:space="preserve"> for the period ended 30 June</w:t>
      </w:r>
    </w:p>
    <w:p w:rsidR="00147177" w:rsidRDefault="00144A39" w:rsidP="00147177">
      <w:pPr>
        <w:pStyle w:val="Source"/>
      </w:pPr>
      <w:r w:rsidRPr="00144A39">
        <w:rPr>
          <w:noProof/>
          <w:lang w:eastAsia="zh-CN"/>
        </w:rPr>
        <w:drawing>
          <wp:inline distT="0" distB="0" distL="0" distR="0" wp14:anchorId="0E1B523E" wp14:editId="492ED423">
            <wp:extent cx="4896485" cy="44829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896485" cy="4482962"/>
                    </a:xfrm>
                    <a:prstGeom prst="rect">
                      <a:avLst/>
                    </a:prstGeom>
                    <a:noFill/>
                    <a:ln>
                      <a:noFill/>
                    </a:ln>
                  </pic:spPr>
                </pic:pic>
              </a:graphicData>
            </a:graphic>
          </wp:inline>
        </w:drawing>
      </w:r>
    </w:p>
    <w:p w:rsidR="00147177" w:rsidRPr="00062479" w:rsidRDefault="00147177" w:rsidP="00147177">
      <w:pPr>
        <w:pStyle w:val="Source"/>
        <w:rPr>
          <w:rFonts w:ascii="Book Antiqua" w:hAnsi="Book Antiqua"/>
          <w:i/>
          <w:sz w:val="20"/>
        </w:rPr>
      </w:pPr>
      <w:r w:rsidRPr="00062479">
        <w:rPr>
          <w:rFonts w:ascii="Book Antiqua" w:hAnsi="Book Antiqua"/>
          <w:i/>
          <w:sz w:val="20"/>
        </w:rPr>
        <w:t>Table continued on the following page.</w:t>
      </w:r>
    </w:p>
    <w:p w:rsidR="00F77875" w:rsidRDefault="00F77875" w:rsidP="00147177">
      <w:pPr>
        <w:pStyle w:val="TableHeading"/>
        <w:spacing w:before="0"/>
      </w:pPr>
      <w:r>
        <w:rPr>
          <w:b w:val="0"/>
        </w:rPr>
        <w:br w:type="page"/>
      </w:r>
      <w:r>
        <w:rPr>
          <w:snapToGrid w:val="0"/>
        </w:rPr>
        <w:lastRenderedPageBreak/>
        <w:t>Table 3.2.1: Comprehensive income statement (showing net cost of services)</w:t>
      </w:r>
      <w:r>
        <w:rPr>
          <w:snapToGrid w:val="0"/>
          <w:lang w:val="en-AU"/>
        </w:rPr>
        <w:t xml:space="preserve"> for the period ended 30 June (continued)</w:t>
      </w:r>
    </w:p>
    <w:p w:rsidR="00F77875" w:rsidRDefault="00523294" w:rsidP="00F77875">
      <w:pPr>
        <w:pStyle w:val="Source"/>
      </w:pPr>
      <w:r w:rsidRPr="00523294">
        <w:rPr>
          <w:noProof/>
          <w:lang w:eastAsia="zh-CN"/>
        </w:rPr>
        <w:drawing>
          <wp:inline distT="0" distB="0" distL="0" distR="0" wp14:anchorId="3FBE51BC" wp14:editId="03527829">
            <wp:extent cx="4896485" cy="2039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896485" cy="2039419"/>
                    </a:xfrm>
                    <a:prstGeom prst="rect">
                      <a:avLst/>
                    </a:prstGeom>
                    <a:noFill/>
                    <a:ln>
                      <a:noFill/>
                    </a:ln>
                  </pic:spPr>
                </pic:pic>
              </a:graphicData>
            </a:graphic>
          </wp:inline>
        </w:drawing>
      </w:r>
    </w:p>
    <w:p w:rsidR="00F77875" w:rsidRDefault="00F77875" w:rsidP="00F77875">
      <w:pPr>
        <w:pStyle w:val="Source"/>
      </w:pPr>
      <w:r>
        <w:t xml:space="preserve">(a) </w:t>
      </w:r>
      <w:r>
        <w:tab/>
        <w:t xml:space="preserve">From 2010-11, the Government introduced net cash appropriation arrangements where </w:t>
      </w:r>
      <w:r>
        <w:rPr>
          <w:i/>
        </w:rPr>
        <w:t>Appropriation Act No. 1</w:t>
      </w:r>
      <w:r>
        <w:t xml:space="preserve"> or </w:t>
      </w:r>
      <w:r w:rsidRPr="00820353">
        <w:rPr>
          <w:i/>
        </w:rPr>
        <w:t>Bill No. 3</w:t>
      </w:r>
      <w:r>
        <w:t xml:space="preserve"> revenue appropriations for the depreciation/amortisation expenses of non-corporate Commonwealth entities were replaced with a separate capital budget (the Departmental Capital Budget, or DCB) provided through </w:t>
      </w:r>
      <w:r>
        <w:rPr>
          <w:i/>
        </w:rPr>
        <w:t>Appropriation Act No. 1</w:t>
      </w:r>
      <w:r>
        <w:t xml:space="preserve"> or </w:t>
      </w:r>
      <w:r w:rsidRPr="00820353">
        <w:rPr>
          <w:i/>
        </w:rPr>
        <w:t>Bill No. 3</w:t>
      </w:r>
      <w:r>
        <w:t xml:space="preserve"> equity appropriations. For information regarding DCBs, please refer to Table 3.2.5 Departmental Capital Budget Statement.</w:t>
      </w:r>
    </w:p>
    <w:p w:rsidR="00F77875" w:rsidRDefault="00F77875" w:rsidP="00F77875">
      <w:pPr>
        <w:pStyle w:val="Source"/>
      </w:pPr>
    </w:p>
    <w:p w:rsidR="00F77875" w:rsidRDefault="00F77875" w:rsidP="00F77875">
      <w:pPr>
        <w:pStyle w:val="Source"/>
      </w:pPr>
      <w:r>
        <w:t>Prepared on Australian Accounting Standards basis.</w:t>
      </w:r>
    </w:p>
    <w:p w:rsidR="00F77875" w:rsidRDefault="00F77875" w:rsidP="00F77875">
      <w:pPr>
        <w:pStyle w:val="SingleParagraph"/>
        <w:rPr>
          <w:snapToGrid w:val="0"/>
        </w:rPr>
      </w:pPr>
    </w:p>
    <w:p w:rsidR="00F77875" w:rsidRDefault="00F77875" w:rsidP="00F77875">
      <w:pPr>
        <w:pStyle w:val="TableHeading"/>
        <w:spacing w:before="0"/>
        <w:rPr>
          <w:snapToGrid w:val="0"/>
        </w:rPr>
      </w:pPr>
      <w:r>
        <w:rPr>
          <w:b w:val="0"/>
          <w:snapToGrid w:val="0"/>
        </w:rPr>
        <w:br w:type="page"/>
      </w:r>
      <w:r>
        <w:rPr>
          <w:snapToGrid w:val="0"/>
        </w:rPr>
        <w:lastRenderedPageBreak/>
        <w:t>Table 3.2.2: Budgeted departmental balance sheet (as at 30 June)</w:t>
      </w:r>
    </w:p>
    <w:p w:rsidR="00F77875" w:rsidRDefault="007E7A17" w:rsidP="00F77875">
      <w:pPr>
        <w:pStyle w:val="TableGraphic"/>
      </w:pPr>
      <w:r w:rsidRPr="007E7A17">
        <w:rPr>
          <w:noProof/>
          <w:lang w:eastAsia="zh-CN"/>
        </w:rPr>
        <w:drawing>
          <wp:inline distT="0" distB="0" distL="0" distR="0" wp14:anchorId="5E46C4C9" wp14:editId="5BF83699">
            <wp:extent cx="4896485" cy="4952983"/>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896485" cy="4952983"/>
                    </a:xfrm>
                    <a:prstGeom prst="rect">
                      <a:avLst/>
                    </a:prstGeom>
                    <a:noFill/>
                    <a:ln>
                      <a:noFill/>
                    </a:ln>
                  </pic:spPr>
                </pic:pic>
              </a:graphicData>
            </a:graphic>
          </wp:inline>
        </w:drawing>
      </w:r>
    </w:p>
    <w:p w:rsidR="00820353" w:rsidRDefault="00820353" w:rsidP="00F77875">
      <w:pPr>
        <w:pStyle w:val="Source"/>
      </w:pPr>
      <w:r>
        <w:t>*Equity is the residual interest in assets after the deduction of liabilities.</w:t>
      </w:r>
    </w:p>
    <w:p w:rsidR="00F77875" w:rsidRDefault="00F77875" w:rsidP="00F77875">
      <w:pPr>
        <w:pStyle w:val="Source"/>
      </w:pPr>
      <w:r>
        <w:t>Prepared on Australian Accounting Standards basis.</w:t>
      </w:r>
    </w:p>
    <w:p w:rsidR="00F77875" w:rsidRDefault="00F77875" w:rsidP="00F77875">
      <w:pPr>
        <w:pStyle w:val="SingleParagraph"/>
        <w:rPr>
          <w:snapToGrid w:val="0"/>
        </w:rPr>
      </w:pPr>
    </w:p>
    <w:p w:rsidR="00F77875" w:rsidRDefault="00F77875" w:rsidP="00F77875">
      <w:pPr>
        <w:pStyle w:val="TableHeading"/>
        <w:spacing w:before="0"/>
        <w:rPr>
          <w:snapToGrid w:val="0"/>
        </w:rPr>
      </w:pPr>
      <w:r>
        <w:rPr>
          <w:b w:val="0"/>
          <w:snapToGrid w:val="0"/>
        </w:rPr>
        <w:br w:type="page"/>
      </w:r>
      <w:r>
        <w:rPr>
          <w:snapToGrid w:val="0"/>
        </w:rPr>
        <w:lastRenderedPageBreak/>
        <w:t>Table 3.2.3: Departmental statement of changes in equity — summary of movement (Budget Year 201</w:t>
      </w:r>
      <w:r>
        <w:rPr>
          <w:snapToGrid w:val="0"/>
          <w:lang w:val="en-AU"/>
        </w:rPr>
        <w:t>5</w:t>
      </w:r>
      <w:r>
        <w:rPr>
          <w:snapToGrid w:val="0"/>
        </w:rPr>
        <w:t>-1</w:t>
      </w:r>
      <w:r>
        <w:rPr>
          <w:snapToGrid w:val="0"/>
          <w:lang w:val="en-AU"/>
        </w:rPr>
        <w:t>6</w:t>
      </w:r>
      <w:r>
        <w:rPr>
          <w:snapToGrid w:val="0"/>
        </w:rPr>
        <w:t>)</w:t>
      </w:r>
    </w:p>
    <w:p w:rsidR="00F77875" w:rsidRPr="0059206B" w:rsidRDefault="008C3D0D" w:rsidP="00F77875">
      <w:pPr>
        <w:pStyle w:val="TableHeading"/>
        <w:spacing w:before="0"/>
        <w:rPr>
          <w:b w:val="0"/>
          <w:snapToGrid w:val="0"/>
          <w:sz w:val="16"/>
          <w:szCs w:val="16"/>
          <w:lang w:val="en-AU"/>
        </w:rPr>
      </w:pPr>
      <w:r>
        <w:rPr>
          <w:noProof/>
          <w:lang w:val="en-AU" w:eastAsia="zh-CN"/>
        </w:rPr>
        <w:drawing>
          <wp:inline distT="0" distB="0" distL="0" distR="0" wp14:anchorId="1537F433" wp14:editId="1EA00658">
            <wp:extent cx="4895850" cy="3533775"/>
            <wp:effectExtent l="0" t="0" r="0"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895850" cy="3533775"/>
                    </a:xfrm>
                    <a:prstGeom prst="rect">
                      <a:avLst/>
                    </a:prstGeom>
                    <a:noFill/>
                    <a:ln>
                      <a:noFill/>
                    </a:ln>
                  </pic:spPr>
                </pic:pic>
              </a:graphicData>
            </a:graphic>
          </wp:inline>
        </w:drawing>
      </w:r>
      <w:r w:rsidR="00F77875">
        <w:t xml:space="preserve"> </w:t>
      </w:r>
      <w:r w:rsidR="00F77875">
        <w:rPr>
          <w:b w:val="0"/>
          <w:sz w:val="16"/>
          <w:szCs w:val="16"/>
        </w:rPr>
        <w:t>Prepared on Australian Accounting Standards basis</w:t>
      </w:r>
      <w:r w:rsidR="0059206B">
        <w:rPr>
          <w:b w:val="0"/>
          <w:snapToGrid w:val="0"/>
          <w:sz w:val="16"/>
          <w:szCs w:val="16"/>
          <w:lang w:val="en-AU"/>
        </w:rPr>
        <w:t>.</w:t>
      </w:r>
    </w:p>
    <w:p w:rsidR="00F77875" w:rsidRPr="0059206B" w:rsidRDefault="00F77875" w:rsidP="00F77875">
      <w:pPr>
        <w:pStyle w:val="TableHeading"/>
        <w:spacing w:before="0"/>
        <w:rPr>
          <w:snapToGrid w:val="0"/>
          <w:lang w:val="en-AU"/>
        </w:rPr>
      </w:pPr>
    </w:p>
    <w:p w:rsidR="00656931" w:rsidRPr="00014438" w:rsidRDefault="00F77875" w:rsidP="00656931">
      <w:pPr>
        <w:pStyle w:val="TableHeading"/>
        <w:spacing w:before="0"/>
        <w:rPr>
          <w:snapToGrid w:val="0"/>
        </w:rPr>
      </w:pPr>
      <w:r>
        <w:rPr>
          <w:b w:val="0"/>
          <w:snapToGrid w:val="0"/>
        </w:rPr>
        <w:br w:type="page"/>
      </w:r>
      <w:r w:rsidR="00656931" w:rsidRPr="00014438">
        <w:rPr>
          <w:snapToGrid w:val="0"/>
        </w:rPr>
        <w:lastRenderedPageBreak/>
        <w:t>Table 3.2.</w:t>
      </w:r>
      <w:r w:rsidR="00656931">
        <w:rPr>
          <w:snapToGrid w:val="0"/>
        </w:rPr>
        <w:t>4</w:t>
      </w:r>
      <w:r w:rsidR="00656931" w:rsidRPr="00014438">
        <w:rPr>
          <w:snapToGrid w:val="0"/>
        </w:rPr>
        <w:t xml:space="preserve">: Budgeted </w:t>
      </w:r>
      <w:r w:rsidR="00656931">
        <w:rPr>
          <w:snapToGrid w:val="0"/>
        </w:rPr>
        <w:t>d</w:t>
      </w:r>
      <w:r w:rsidR="00656931" w:rsidRPr="00014438">
        <w:rPr>
          <w:snapToGrid w:val="0"/>
        </w:rPr>
        <w:t xml:space="preserve">epartmental </w:t>
      </w:r>
      <w:r w:rsidR="00656931">
        <w:rPr>
          <w:snapToGrid w:val="0"/>
        </w:rPr>
        <w:t>s</w:t>
      </w:r>
      <w:r w:rsidR="00656931" w:rsidRPr="00014438">
        <w:rPr>
          <w:snapToGrid w:val="0"/>
        </w:rPr>
        <w:t xml:space="preserve">tatement of </w:t>
      </w:r>
      <w:r w:rsidR="00656931">
        <w:rPr>
          <w:snapToGrid w:val="0"/>
        </w:rPr>
        <w:t>c</w:t>
      </w:r>
      <w:r w:rsidR="00656931" w:rsidRPr="00014438">
        <w:rPr>
          <w:snapToGrid w:val="0"/>
        </w:rPr>
        <w:t xml:space="preserve">ash </w:t>
      </w:r>
      <w:r w:rsidR="00656931">
        <w:rPr>
          <w:snapToGrid w:val="0"/>
        </w:rPr>
        <w:t>f</w:t>
      </w:r>
      <w:r w:rsidR="00656931" w:rsidRPr="00014438">
        <w:rPr>
          <w:snapToGrid w:val="0"/>
        </w:rPr>
        <w:t>lows (</w:t>
      </w:r>
      <w:r w:rsidR="00656931">
        <w:rPr>
          <w:snapToGrid w:val="0"/>
          <w:lang w:val="en-AU"/>
        </w:rPr>
        <w:t>for the period ended</w:t>
      </w:r>
      <w:r w:rsidR="00656931" w:rsidRPr="00014438">
        <w:rPr>
          <w:snapToGrid w:val="0"/>
        </w:rPr>
        <w:t xml:space="preserve"> 30 June)</w:t>
      </w:r>
    </w:p>
    <w:p w:rsidR="00656931" w:rsidRDefault="00656931" w:rsidP="00656931">
      <w:pPr>
        <w:pStyle w:val="Source"/>
      </w:pPr>
      <w:r>
        <w:rPr>
          <w:noProof/>
          <w:lang w:eastAsia="zh-CN"/>
        </w:rPr>
        <w:drawing>
          <wp:inline distT="0" distB="0" distL="0" distR="0">
            <wp:extent cx="4892675" cy="5498465"/>
            <wp:effectExtent l="0" t="0" r="3175" b="698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892675" cy="5498465"/>
                    </a:xfrm>
                    <a:prstGeom prst="rect">
                      <a:avLst/>
                    </a:prstGeom>
                    <a:noFill/>
                    <a:ln>
                      <a:noFill/>
                    </a:ln>
                  </pic:spPr>
                </pic:pic>
              </a:graphicData>
            </a:graphic>
          </wp:inline>
        </w:drawing>
      </w:r>
      <w:r>
        <w:t>Prepared on Australian Accounting Standards basis.</w:t>
      </w:r>
    </w:p>
    <w:p w:rsidR="00F77875" w:rsidRPr="00656931" w:rsidRDefault="00F77875" w:rsidP="00656931">
      <w:pPr>
        <w:pStyle w:val="TableHeading"/>
        <w:spacing w:before="0"/>
        <w:rPr>
          <w:snapToGrid w:val="0"/>
          <w:lang w:val="en-AU"/>
        </w:rPr>
      </w:pPr>
    </w:p>
    <w:p w:rsidR="00F77875" w:rsidRDefault="00F77875" w:rsidP="00F77875">
      <w:pPr>
        <w:pStyle w:val="TableHeading"/>
        <w:spacing w:before="0"/>
        <w:rPr>
          <w:snapToGrid w:val="0"/>
          <w:lang w:val="en-AU"/>
        </w:rPr>
      </w:pPr>
      <w:r>
        <w:rPr>
          <w:b w:val="0"/>
          <w:snapToGrid w:val="0"/>
        </w:rPr>
        <w:br w:type="page"/>
      </w:r>
      <w:r>
        <w:rPr>
          <w:snapToGrid w:val="0"/>
        </w:rPr>
        <w:lastRenderedPageBreak/>
        <w:t xml:space="preserve">Table 3.2.5: </w:t>
      </w:r>
      <w:r>
        <w:rPr>
          <w:snapToGrid w:val="0"/>
          <w:lang w:val="en-AU"/>
        </w:rPr>
        <w:t xml:space="preserve">Departmental </w:t>
      </w:r>
      <w:r>
        <w:rPr>
          <w:snapToGrid w:val="0"/>
        </w:rPr>
        <w:t>capital budget statement</w:t>
      </w:r>
      <w:r>
        <w:rPr>
          <w:snapToGrid w:val="0"/>
          <w:lang w:val="en-AU"/>
        </w:rPr>
        <w:t xml:space="preserve"> (for the period ended 30 June)</w:t>
      </w:r>
    </w:p>
    <w:p w:rsidR="00F77875" w:rsidRDefault="008C3D0D" w:rsidP="00F77875">
      <w:pPr>
        <w:pStyle w:val="Source"/>
      </w:pPr>
      <w:r>
        <w:rPr>
          <w:noProof/>
          <w:lang w:eastAsia="zh-CN"/>
        </w:rPr>
        <w:drawing>
          <wp:inline distT="0" distB="0" distL="0" distR="0">
            <wp:extent cx="4895850" cy="300037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895850" cy="3000375"/>
                    </a:xfrm>
                    <a:prstGeom prst="rect">
                      <a:avLst/>
                    </a:prstGeom>
                    <a:noFill/>
                    <a:ln>
                      <a:noFill/>
                    </a:ln>
                  </pic:spPr>
                </pic:pic>
              </a:graphicData>
            </a:graphic>
          </wp:inline>
        </w:drawing>
      </w:r>
      <w:r w:rsidR="00F77875">
        <w:t xml:space="preserve"> (a) </w:t>
      </w:r>
      <w:r w:rsidR="00F77875">
        <w:tab/>
        <w:t xml:space="preserve">Includes both current and prior Act 3 and Bills 4/6 appropriations and special capital appropriations. </w:t>
      </w:r>
    </w:p>
    <w:p w:rsidR="00F77875" w:rsidRDefault="00F77875" w:rsidP="00F77875">
      <w:pPr>
        <w:pStyle w:val="Source"/>
      </w:pPr>
      <w:r>
        <w:t xml:space="preserve">(b) </w:t>
      </w:r>
      <w:r>
        <w:tab/>
        <w:t>Does not include annual finance lease costs. Includes purchases from current and previous years’ Departmental Capital Budgets (DCBs).</w:t>
      </w:r>
    </w:p>
    <w:p w:rsidR="00F77875" w:rsidRDefault="00F77875" w:rsidP="00F77875">
      <w:pPr>
        <w:pStyle w:val="Source"/>
      </w:pPr>
      <w:r>
        <w:t>Prepared on Australian Accounting Standards basis.</w:t>
      </w:r>
    </w:p>
    <w:p w:rsidR="00F77875" w:rsidRDefault="00F77875" w:rsidP="00F77875">
      <w:pPr>
        <w:pStyle w:val="SingleParagraph"/>
        <w:rPr>
          <w:snapToGrid w:val="0"/>
        </w:rPr>
      </w:pPr>
    </w:p>
    <w:p w:rsidR="00F77875" w:rsidRDefault="00F77875" w:rsidP="00F77875">
      <w:pPr>
        <w:spacing w:after="0" w:line="240" w:lineRule="auto"/>
        <w:jc w:val="left"/>
        <w:rPr>
          <w:rFonts w:ascii="Arial" w:hAnsi="Arial"/>
          <w:b/>
          <w:snapToGrid w:val="0"/>
          <w:lang w:val="x-none"/>
        </w:rPr>
        <w:sectPr w:rsidR="00F77875" w:rsidSect="008B02C3">
          <w:headerReference w:type="even" r:id="rId125"/>
          <w:headerReference w:type="default" r:id="rId126"/>
          <w:headerReference w:type="first" r:id="rId127"/>
          <w:type w:val="oddPage"/>
          <w:pgSz w:w="11907" w:h="16840"/>
          <w:pgMar w:top="2466" w:right="2098" w:bottom="2466" w:left="2098" w:header="1899" w:footer="1899" w:gutter="0"/>
          <w:cols w:space="720"/>
          <w:titlePg/>
          <w:docGrid w:linePitch="272"/>
        </w:sectPr>
      </w:pPr>
    </w:p>
    <w:p w:rsidR="00F77875" w:rsidRDefault="00F77875" w:rsidP="00F77875">
      <w:pPr>
        <w:pStyle w:val="TableHeading"/>
        <w:spacing w:before="0"/>
        <w:rPr>
          <w:snapToGrid w:val="0"/>
        </w:rPr>
      </w:pPr>
      <w:r>
        <w:rPr>
          <w:snapToGrid w:val="0"/>
        </w:rPr>
        <w:lastRenderedPageBreak/>
        <w:t>Table 3.2.6: Statement of asset movements (201</w:t>
      </w:r>
      <w:r>
        <w:rPr>
          <w:snapToGrid w:val="0"/>
          <w:lang w:val="en-AU"/>
        </w:rPr>
        <w:t>5</w:t>
      </w:r>
      <w:r>
        <w:rPr>
          <w:snapToGrid w:val="0"/>
        </w:rPr>
        <w:t>-1</w:t>
      </w:r>
      <w:r>
        <w:rPr>
          <w:snapToGrid w:val="0"/>
          <w:lang w:val="en-AU"/>
        </w:rPr>
        <w:t>6 Budget year</w:t>
      </w:r>
      <w:r>
        <w:rPr>
          <w:snapToGrid w:val="0"/>
        </w:rPr>
        <w:t>)</w:t>
      </w:r>
    </w:p>
    <w:p w:rsidR="00F77875" w:rsidRDefault="00783CF3" w:rsidP="00F77875">
      <w:pPr>
        <w:pStyle w:val="Source"/>
        <w:ind w:left="284" w:hanging="284"/>
      </w:pPr>
      <w:r w:rsidRPr="00783CF3">
        <w:rPr>
          <w:noProof/>
          <w:lang w:eastAsia="zh-CN"/>
        </w:rPr>
        <w:drawing>
          <wp:inline distT="0" distB="0" distL="0" distR="0" wp14:anchorId="1250829A" wp14:editId="35AF1042">
            <wp:extent cx="4896485" cy="3757768"/>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896485" cy="3757768"/>
                    </a:xfrm>
                    <a:prstGeom prst="rect">
                      <a:avLst/>
                    </a:prstGeom>
                    <a:noFill/>
                    <a:ln>
                      <a:noFill/>
                    </a:ln>
                  </pic:spPr>
                </pic:pic>
              </a:graphicData>
            </a:graphic>
          </wp:inline>
        </w:drawing>
      </w:r>
    </w:p>
    <w:p w:rsidR="00F77875" w:rsidRDefault="00F77875" w:rsidP="00F77875">
      <w:pPr>
        <w:pStyle w:val="Source"/>
        <w:ind w:left="284" w:hanging="284"/>
      </w:pPr>
      <w:r>
        <w:t xml:space="preserve">(a) “Appropriation equity” refers to equity injections or Administered Assets and Liabilities appropriations provided through </w:t>
      </w:r>
      <w:r w:rsidRPr="0059206B">
        <w:rPr>
          <w:i/>
        </w:rPr>
        <w:t>Appropriation Act (No.2) 2015-16</w:t>
      </w:r>
      <w:r>
        <w:t xml:space="preserve"> and </w:t>
      </w:r>
      <w:r w:rsidRPr="0059206B">
        <w:rPr>
          <w:i/>
        </w:rPr>
        <w:t>Bill (No.4) 2015-16</w:t>
      </w:r>
      <w:r>
        <w:t>, including CDABs.</w:t>
      </w:r>
    </w:p>
    <w:p w:rsidR="00F77875" w:rsidRDefault="00F77875" w:rsidP="00F77875">
      <w:pPr>
        <w:pStyle w:val="Source"/>
        <w:ind w:left="284" w:hanging="284"/>
      </w:pPr>
      <w:r>
        <w:t xml:space="preserve">(b) </w:t>
      </w:r>
      <w:r>
        <w:tab/>
        <w:t xml:space="preserve">“Appropriation ordinary annual services” refers to funding provided through </w:t>
      </w:r>
      <w:r>
        <w:rPr>
          <w:i/>
        </w:rPr>
        <w:t>Appropriation Act (No.1) 2015-16</w:t>
      </w:r>
      <w:r>
        <w:t xml:space="preserve"> and </w:t>
      </w:r>
      <w:r w:rsidRPr="0059206B">
        <w:rPr>
          <w:i/>
        </w:rPr>
        <w:t>Bill (No.3) 2015-16</w:t>
      </w:r>
      <w:r>
        <w:t xml:space="preserve"> for depreciation/amortisation expenses, DCBs or other operational expenses. </w:t>
      </w:r>
    </w:p>
    <w:p w:rsidR="00F77875" w:rsidRDefault="00F77875" w:rsidP="00F77875">
      <w:pPr>
        <w:pStyle w:val="Source"/>
      </w:pPr>
      <w:r>
        <w:t>Prepared on Australian Accounting Standards basis.</w:t>
      </w:r>
    </w:p>
    <w:p w:rsidR="00F77875" w:rsidRDefault="00F77875" w:rsidP="00F77875">
      <w:pPr>
        <w:pStyle w:val="Source"/>
      </w:pPr>
    </w:p>
    <w:p w:rsidR="00F77875" w:rsidRDefault="00F77875" w:rsidP="00F77875">
      <w:pPr>
        <w:pStyle w:val="SingleParagraph"/>
        <w:rPr>
          <w:snapToGrid w:val="0"/>
        </w:rPr>
      </w:pPr>
    </w:p>
    <w:p w:rsidR="00F77875" w:rsidRDefault="00F77875" w:rsidP="00F77875">
      <w:pPr>
        <w:spacing w:after="0" w:line="240" w:lineRule="auto"/>
        <w:jc w:val="left"/>
        <w:rPr>
          <w:rFonts w:ascii="Arial" w:hAnsi="Arial"/>
          <w:b/>
          <w:snapToGrid w:val="0"/>
          <w:lang w:val="x-none"/>
        </w:rPr>
        <w:sectPr w:rsidR="00F77875">
          <w:pgSz w:w="11907" w:h="16840"/>
          <w:pgMar w:top="2466" w:right="2098" w:bottom="2466" w:left="2098" w:header="1531" w:footer="1531" w:gutter="0"/>
          <w:cols w:space="720"/>
        </w:sectPr>
      </w:pPr>
    </w:p>
    <w:p w:rsidR="00775B10" w:rsidRPr="007463B7" w:rsidRDefault="00775B10" w:rsidP="00775B10">
      <w:pPr>
        <w:pStyle w:val="TableHeading"/>
        <w:spacing w:before="0"/>
        <w:rPr>
          <w:snapToGrid w:val="0"/>
          <w:szCs w:val="16"/>
        </w:rPr>
      </w:pPr>
      <w:r>
        <w:rPr>
          <w:snapToGrid w:val="0"/>
        </w:rPr>
        <w:lastRenderedPageBreak/>
        <w:t xml:space="preserve">Table 3.2.7: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p>
    <w:p w:rsidR="00775B10" w:rsidRDefault="008659DB" w:rsidP="00775B10">
      <w:pPr>
        <w:pStyle w:val="Source"/>
      </w:pPr>
      <w:r>
        <w:rPr>
          <w:noProof/>
          <w:lang w:eastAsia="zh-CN"/>
        </w:rPr>
        <w:drawing>
          <wp:inline distT="0" distB="0" distL="0" distR="0">
            <wp:extent cx="4895850" cy="367665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895850" cy="3676650"/>
                    </a:xfrm>
                    <a:prstGeom prst="rect">
                      <a:avLst/>
                    </a:prstGeom>
                    <a:noFill/>
                    <a:ln>
                      <a:noFill/>
                    </a:ln>
                  </pic:spPr>
                </pic:pic>
              </a:graphicData>
            </a:graphic>
          </wp:inline>
        </w:drawing>
      </w:r>
      <w:r w:rsidR="00775B10">
        <w:t>Prepared on Australian Accounting Standards basis.</w:t>
      </w:r>
    </w:p>
    <w:p w:rsidR="00F77875" w:rsidRDefault="00F77875" w:rsidP="00F77875">
      <w:pPr>
        <w:pStyle w:val="SingleParagraph"/>
        <w:rPr>
          <w:snapToGrid w:val="0"/>
        </w:rPr>
      </w:pPr>
    </w:p>
    <w:p w:rsidR="00F77875" w:rsidRDefault="00F77875" w:rsidP="00F77875">
      <w:pPr>
        <w:pStyle w:val="TableHeading"/>
        <w:spacing w:before="0"/>
        <w:rPr>
          <w:snapToGrid w:val="0"/>
        </w:rPr>
      </w:pPr>
      <w:r>
        <w:rPr>
          <w:b w:val="0"/>
          <w:snapToGrid w:val="0"/>
        </w:rPr>
        <w:br w:type="page"/>
      </w:r>
      <w:r>
        <w:rPr>
          <w:snapToGrid w:val="0"/>
        </w:rPr>
        <w:lastRenderedPageBreak/>
        <w:t>Table 3.2.8: Schedule of budgeted assets and liabilities administered on behalf of Government (as at 30 June)</w:t>
      </w:r>
    </w:p>
    <w:p w:rsidR="00F77875" w:rsidRDefault="008C3D0D" w:rsidP="00F77875">
      <w:pPr>
        <w:pStyle w:val="Source"/>
      </w:pPr>
      <w:r>
        <w:rPr>
          <w:noProof/>
          <w:lang w:eastAsia="zh-CN"/>
        </w:rPr>
        <w:drawing>
          <wp:inline distT="0" distB="0" distL="0" distR="0">
            <wp:extent cx="4895850" cy="339090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895850" cy="3390900"/>
                    </a:xfrm>
                    <a:prstGeom prst="rect">
                      <a:avLst/>
                    </a:prstGeom>
                    <a:noFill/>
                    <a:ln>
                      <a:noFill/>
                    </a:ln>
                  </pic:spPr>
                </pic:pic>
              </a:graphicData>
            </a:graphic>
          </wp:inline>
        </w:drawing>
      </w:r>
      <w:r w:rsidR="00F77875">
        <w:t>Prepared on Australian Accounting Standards basis.</w:t>
      </w:r>
    </w:p>
    <w:p w:rsidR="00F77875" w:rsidRDefault="00F77875" w:rsidP="00F77875">
      <w:pPr>
        <w:pStyle w:val="SingleParagraph"/>
        <w:rPr>
          <w:snapToGrid w:val="0"/>
        </w:rPr>
      </w:pPr>
    </w:p>
    <w:p w:rsidR="00A97949" w:rsidRPr="00014438" w:rsidRDefault="00F77875" w:rsidP="00A97949">
      <w:pPr>
        <w:pStyle w:val="TableHeading"/>
        <w:spacing w:before="0"/>
        <w:rPr>
          <w:snapToGrid w:val="0"/>
        </w:rPr>
      </w:pPr>
      <w:r>
        <w:rPr>
          <w:b w:val="0"/>
          <w:snapToGrid w:val="0"/>
        </w:rPr>
        <w:br w:type="page"/>
      </w:r>
      <w:r w:rsidR="00A97949">
        <w:rPr>
          <w:snapToGrid w:val="0"/>
        </w:rPr>
        <w:lastRenderedPageBreak/>
        <w:t>Table 3.2.9</w:t>
      </w:r>
      <w:r w:rsidR="00A97949" w:rsidRPr="00014438">
        <w:rPr>
          <w:snapToGrid w:val="0"/>
        </w:rPr>
        <w:t xml:space="preserve">: Schedule of </w:t>
      </w:r>
      <w:r w:rsidR="00A97949">
        <w:rPr>
          <w:snapToGrid w:val="0"/>
        </w:rPr>
        <w:t>b</w:t>
      </w:r>
      <w:r w:rsidR="00A97949" w:rsidRPr="00014438">
        <w:rPr>
          <w:snapToGrid w:val="0"/>
        </w:rPr>
        <w:t xml:space="preserve">udgeted </w:t>
      </w:r>
      <w:r w:rsidR="00A97949">
        <w:rPr>
          <w:snapToGrid w:val="0"/>
        </w:rPr>
        <w:t>a</w:t>
      </w:r>
      <w:r w:rsidR="00A97949" w:rsidRPr="00014438">
        <w:rPr>
          <w:snapToGrid w:val="0"/>
        </w:rPr>
        <w:t xml:space="preserve">dministered </w:t>
      </w:r>
      <w:r w:rsidR="00A97949">
        <w:rPr>
          <w:snapToGrid w:val="0"/>
        </w:rPr>
        <w:t>c</w:t>
      </w:r>
      <w:r w:rsidR="00A97949" w:rsidRPr="00014438">
        <w:rPr>
          <w:snapToGrid w:val="0"/>
        </w:rPr>
        <w:t xml:space="preserve">ash </w:t>
      </w:r>
      <w:r w:rsidR="00A97949">
        <w:rPr>
          <w:snapToGrid w:val="0"/>
        </w:rPr>
        <w:t>f</w:t>
      </w:r>
      <w:r w:rsidR="00A97949" w:rsidRPr="00014438">
        <w:rPr>
          <w:snapToGrid w:val="0"/>
        </w:rPr>
        <w:t xml:space="preserve">lows (for the period ended 30 June)  </w:t>
      </w:r>
    </w:p>
    <w:p w:rsidR="00A97949" w:rsidRDefault="00843AF3" w:rsidP="00A97949">
      <w:pPr>
        <w:pStyle w:val="Source"/>
      </w:pPr>
      <w:r>
        <w:rPr>
          <w:noProof/>
          <w:lang w:eastAsia="zh-CN"/>
        </w:rPr>
        <w:drawing>
          <wp:inline distT="0" distB="0" distL="0" distR="0">
            <wp:extent cx="4895850" cy="381000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895850" cy="3810000"/>
                    </a:xfrm>
                    <a:prstGeom prst="rect">
                      <a:avLst/>
                    </a:prstGeom>
                    <a:noFill/>
                    <a:ln>
                      <a:noFill/>
                    </a:ln>
                  </pic:spPr>
                </pic:pic>
              </a:graphicData>
            </a:graphic>
          </wp:inline>
        </w:drawing>
      </w:r>
      <w:r w:rsidR="00A97949">
        <w:t>Prepared on Australian Accounting Standards basis.</w:t>
      </w:r>
    </w:p>
    <w:p w:rsidR="00A97949" w:rsidRDefault="00A97949" w:rsidP="00A97949">
      <w:pPr>
        <w:pStyle w:val="Source"/>
      </w:pPr>
    </w:p>
    <w:p w:rsidR="00F77875" w:rsidRPr="00A97949" w:rsidRDefault="00F77875" w:rsidP="00A97949">
      <w:pPr>
        <w:pStyle w:val="TableHeading"/>
        <w:spacing w:before="0"/>
        <w:rPr>
          <w:b w:val="0"/>
          <w:snapToGrid w:val="0"/>
          <w:lang w:val="en-AU"/>
        </w:rPr>
        <w:sectPr w:rsidR="00F77875" w:rsidRPr="00A97949">
          <w:pgSz w:w="11907" w:h="16840"/>
          <w:pgMar w:top="2466" w:right="2098" w:bottom="2466" w:left="2098" w:header="1899" w:footer="1899" w:gutter="0"/>
          <w:cols w:space="720"/>
        </w:sectPr>
      </w:pPr>
    </w:p>
    <w:p w:rsidR="00F77875" w:rsidRDefault="00F77875" w:rsidP="00F77875">
      <w:pPr>
        <w:pStyle w:val="Heading4"/>
      </w:pPr>
      <w:r>
        <w:lastRenderedPageBreak/>
        <w:t>Notes to the financial statements</w:t>
      </w:r>
    </w:p>
    <w:p w:rsidR="00F77875" w:rsidRDefault="00F77875" w:rsidP="00F77875">
      <w:r>
        <w:t xml:space="preserve">Austrade’s budgeted statements are prepared on an Australian Equivalents to International Financial Standards (AEIFRS) basis. </w:t>
      </w:r>
    </w:p>
    <w:p w:rsidR="00F77875" w:rsidRDefault="00F77875" w:rsidP="00F77875">
      <w:r>
        <w:t>Under the Government’s budgeting framework, transactions that agencies control (departmental transactions) are separately budgeted for and reported on from transactions that agencies do not have control over (administered transactions). This ensures that agencies are only held fully accountable for the transactions over which they have control.</w:t>
      </w:r>
    </w:p>
    <w:p w:rsidR="00F77875" w:rsidRDefault="00F77875" w:rsidP="00F77875">
      <w:pPr>
        <w:pStyle w:val="Heading5"/>
      </w:pPr>
      <w:r>
        <w:t>Departmental</w:t>
      </w:r>
    </w:p>
    <w:p w:rsidR="00F77875" w:rsidRDefault="00F77875" w:rsidP="00F77875">
      <w:r>
        <w:t>Departmental assets, liabilities, revenues and expenses in relation to an agency or authority are those which are controlled by the agency. Departmental expenses include employee and supplier expenses and other administrative costs which are incurred by the agency in providing its goods and services.</w:t>
      </w:r>
    </w:p>
    <w:p w:rsidR="00F77875" w:rsidRDefault="00F77875" w:rsidP="00F77875">
      <w:pPr>
        <w:pStyle w:val="Heading5"/>
      </w:pPr>
      <w:r>
        <w:t>Administered</w:t>
      </w:r>
    </w:p>
    <w:p w:rsidR="00F77875" w:rsidRDefault="00F77875" w:rsidP="00F77875">
      <w:r>
        <w:t>Administered items are revenues, expenses, assets and liabilities which are managed by an agency or authority on behalf of the Government according to set Government directions. Administered expenses include subsidies, grants and personal benefit payments and administered revenues include taxes, fees, fines and excises.</w:t>
      </w:r>
    </w:p>
    <w:p w:rsidR="00E70B6F" w:rsidRPr="00673024" w:rsidRDefault="0014715A" w:rsidP="00E70B6F">
      <w:pPr>
        <w:pStyle w:val="Heading1"/>
        <w:rPr>
          <w:lang w:val="en-AU"/>
        </w:rPr>
      </w:pPr>
      <w:r>
        <w:rPr>
          <w:lang w:val="en-AU"/>
        </w:rPr>
        <w:br w:type="page"/>
      </w:r>
      <w:r w:rsidR="00EA0CC2">
        <w:rPr>
          <w:lang w:val="en-AU"/>
        </w:rPr>
        <w:lastRenderedPageBreak/>
        <w:t>TOURISM A</w:t>
      </w:r>
      <w:r w:rsidR="00E70B6F">
        <w:rPr>
          <w:lang w:val="en-AU"/>
        </w:rPr>
        <w:t>USTRALIA</w:t>
      </w:r>
    </w:p>
    <w:p w:rsidR="00E70B6F" w:rsidRPr="00D27592" w:rsidRDefault="00E70B6F" w:rsidP="00E70B6F">
      <w:pPr>
        <w:pStyle w:val="TOC1"/>
      </w:pPr>
      <w:r w:rsidRPr="00004343">
        <w:t>Section 1</w:t>
      </w:r>
      <w:r>
        <w:t>: Entity</w:t>
      </w:r>
      <w:r w:rsidRPr="00004343">
        <w:t xml:space="preserve"> </w:t>
      </w:r>
      <w:r w:rsidR="00C41716">
        <w:t>o</w:t>
      </w:r>
      <w:r w:rsidRPr="00004343">
        <w:t xml:space="preserve">verview and </w:t>
      </w:r>
      <w:r w:rsidR="00C41716">
        <w:t>r</w:t>
      </w:r>
      <w:r w:rsidRPr="00004343">
        <w:t>esource</w:t>
      </w:r>
      <w:r>
        <w:t>s</w:t>
      </w:r>
      <w:r w:rsidRPr="00D27592">
        <w:tab/>
      </w:r>
      <w:r w:rsidR="00A13F1B">
        <w:t>90</w:t>
      </w:r>
    </w:p>
    <w:p w:rsidR="00E70B6F" w:rsidRDefault="00E70B6F" w:rsidP="00E70B6F">
      <w:pPr>
        <w:pStyle w:val="TOC2"/>
      </w:pPr>
      <w:r>
        <w:t xml:space="preserve">1.1  </w:t>
      </w:r>
      <w:r w:rsidRPr="00361120">
        <w:t>St</w:t>
      </w:r>
      <w:r>
        <w:t xml:space="preserve">rategic </w:t>
      </w:r>
      <w:r w:rsidR="00C41716">
        <w:t>d</w:t>
      </w:r>
      <w:r>
        <w:t>irection</w:t>
      </w:r>
      <w:r w:rsidR="00C41716">
        <w:t xml:space="preserve"> statement</w:t>
      </w:r>
      <w:r w:rsidRPr="00361120">
        <w:tab/>
      </w:r>
      <w:r w:rsidR="00A13F1B">
        <w:t>90</w:t>
      </w:r>
    </w:p>
    <w:p w:rsidR="00E70B6F" w:rsidRPr="00361120" w:rsidRDefault="00E70B6F" w:rsidP="00E70B6F">
      <w:pPr>
        <w:pStyle w:val="TOC2"/>
      </w:pPr>
      <w:r>
        <w:t xml:space="preserve">1.2  Entity </w:t>
      </w:r>
      <w:r w:rsidR="00C41716">
        <w:t>r</w:t>
      </w:r>
      <w:r>
        <w:t xml:space="preserve">esource </w:t>
      </w:r>
      <w:r w:rsidR="00C41716">
        <w:t>s</w:t>
      </w:r>
      <w:r>
        <w:t>tatement</w:t>
      </w:r>
      <w:r w:rsidRPr="00361120">
        <w:tab/>
      </w:r>
      <w:r w:rsidR="00A13F1B">
        <w:t>90</w:t>
      </w:r>
    </w:p>
    <w:p w:rsidR="00E70B6F" w:rsidRPr="00361120" w:rsidRDefault="00E70B6F" w:rsidP="00E70B6F">
      <w:pPr>
        <w:pStyle w:val="TOC2"/>
      </w:pPr>
      <w:r>
        <w:t>1.3  Entity</w:t>
      </w:r>
      <w:r w:rsidR="00C41716">
        <w:t xml:space="preserve"> measures</w:t>
      </w:r>
      <w:r w:rsidRPr="00361120">
        <w:tab/>
      </w:r>
      <w:r w:rsidR="00A13F1B">
        <w:t>92</w:t>
      </w:r>
    </w:p>
    <w:p w:rsidR="00E70B6F" w:rsidRPr="00361120" w:rsidRDefault="00C41716" w:rsidP="00E70B6F">
      <w:pPr>
        <w:pStyle w:val="TOC2"/>
      </w:pPr>
      <w:r>
        <w:t>1.4  Additional e</w:t>
      </w:r>
      <w:r w:rsidR="00E70B6F">
        <w:t xml:space="preserve">stimates and </w:t>
      </w:r>
      <w:r>
        <w:t>v</w:t>
      </w:r>
      <w:r w:rsidR="00E70B6F">
        <w:t>ariations</w:t>
      </w:r>
      <w:r w:rsidR="00E70B6F" w:rsidRPr="00361120">
        <w:tab/>
      </w:r>
      <w:r w:rsidR="00A13F1B">
        <w:t>93</w:t>
      </w:r>
    </w:p>
    <w:p w:rsidR="00E70B6F" w:rsidRDefault="00C41716" w:rsidP="00E70B6F">
      <w:pPr>
        <w:pStyle w:val="TOC2"/>
      </w:pPr>
      <w:r>
        <w:t>1.5  Breakdown of a</w:t>
      </w:r>
      <w:r w:rsidR="00E70B6F">
        <w:t xml:space="preserve">dditional </w:t>
      </w:r>
      <w:r>
        <w:t>e</w:t>
      </w:r>
      <w:r w:rsidR="00E70B6F">
        <w:t xml:space="preserve">stimates by </w:t>
      </w:r>
      <w:r>
        <w:t>a</w:t>
      </w:r>
      <w:r w:rsidR="00E70B6F">
        <w:t xml:space="preserve">ppropriation </w:t>
      </w:r>
      <w:r>
        <w:t>b</w:t>
      </w:r>
      <w:r w:rsidR="00E70B6F">
        <w:t>ill</w:t>
      </w:r>
      <w:r w:rsidR="00E70B6F" w:rsidRPr="00361120">
        <w:tab/>
      </w:r>
      <w:r w:rsidR="00A13F1B">
        <w:t>93</w:t>
      </w:r>
    </w:p>
    <w:p w:rsidR="00E70B6F" w:rsidRPr="00D27592" w:rsidRDefault="00E70B6F" w:rsidP="00E70B6F">
      <w:pPr>
        <w:pStyle w:val="TOC1"/>
      </w:pPr>
      <w:r w:rsidRPr="00004343">
        <w:t xml:space="preserve">Section </w:t>
      </w:r>
      <w:r>
        <w:t xml:space="preserve">2: Revisions to </w:t>
      </w:r>
      <w:r w:rsidR="00C41716">
        <w:t>o</w:t>
      </w:r>
      <w:r>
        <w:t xml:space="preserve">utcomes and </w:t>
      </w:r>
      <w:r w:rsidR="00C41716">
        <w:t>p</w:t>
      </w:r>
      <w:r>
        <w:t xml:space="preserve">lanned </w:t>
      </w:r>
      <w:r w:rsidR="00C41716">
        <w:t>p</w:t>
      </w:r>
      <w:r>
        <w:t>erformance</w:t>
      </w:r>
      <w:r w:rsidRPr="00D27592">
        <w:tab/>
      </w:r>
      <w:r w:rsidR="00A13F1B">
        <w:t>94</w:t>
      </w:r>
    </w:p>
    <w:p w:rsidR="00E70B6F" w:rsidRDefault="00E70B6F" w:rsidP="00E70B6F">
      <w:pPr>
        <w:pStyle w:val="TOC2"/>
      </w:pPr>
      <w:r>
        <w:t xml:space="preserve">2.1  </w:t>
      </w:r>
      <w:r w:rsidR="00C41716">
        <w:t>Outcomes</w:t>
      </w:r>
      <w:r>
        <w:t xml:space="preserve"> and </w:t>
      </w:r>
      <w:r w:rsidR="00C41716">
        <w:t>p</w:t>
      </w:r>
      <w:r>
        <w:t xml:space="preserve">erformance </w:t>
      </w:r>
      <w:r w:rsidR="00C41716">
        <w:t>i</w:t>
      </w:r>
      <w:r>
        <w:t>nformation</w:t>
      </w:r>
      <w:r w:rsidRPr="00361120">
        <w:tab/>
      </w:r>
      <w:r w:rsidR="00A13F1B">
        <w:t>94</w:t>
      </w:r>
    </w:p>
    <w:p w:rsidR="00E70B6F" w:rsidRPr="00B4256D" w:rsidRDefault="00E70B6F" w:rsidP="00E70B6F">
      <w:pPr>
        <w:pStyle w:val="TOC1"/>
      </w:pPr>
      <w:r w:rsidRPr="00B4256D">
        <w:t>Section 3</w:t>
      </w:r>
      <w:r>
        <w:t xml:space="preserve">: </w:t>
      </w:r>
      <w:r w:rsidRPr="00B4256D">
        <w:t xml:space="preserve">Explanatory </w:t>
      </w:r>
      <w:r w:rsidR="00C41716">
        <w:t>t</w:t>
      </w:r>
      <w:r w:rsidRPr="00B4256D">
        <w:t xml:space="preserve">ables and </w:t>
      </w:r>
      <w:r w:rsidR="00C41716">
        <w:t>b</w:t>
      </w:r>
      <w:r w:rsidRPr="00B4256D">
        <w:t xml:space="preserve">udgeted </w:t>
      </w:r>
      <w:r w:rsidR="00C41716">
        <w:t>f</w:t>
      </w:r>
      <w:r w:rsidRPr="00B4256D">
        <w:t xml:space="preserve">inancial </w:t>
      </w:r>
      <w:r w:rsidR="00C41716">
        <w:t>s</w:t>
      </w:r>
      <w:r w:rsidRPr="00B4256D">
        <w:t>tatements</w:t>
      </w:r>
      <w:r w:rsidRPr="00B4256D">
        <w:tab/>
      </w:r>
      <w:r w:rsidR="00A13F1B">
        <w:t>96</w:t>
      </w:r>
    </w:p>
    <w:p w:rsidR="00E70B6F" w:rsidRDefault="00E70B6F" w:rsidP="00E70B6F">
      <w:pPr>
        <w:pStyle w:val="TOC2"/>
      </w:pPr>
      <w:r>
        <w:t xml:space="preserve">3.1  Explanatory </w:t>
      </w:r>
      <w:r w:rsidR="00C41716">
        <w:t>t</w:t>
      </w:r>
      <w:r>
        <w:t>ables</w:t>
      </w:r>
      <w:r w:rsidRPr="00361120">
        <w:tab/>
      </w:r>
      <w:r w:rsidR="00A13F1B">
        <w:t>96</w:t>
      </w:r>
    </w:p>
    <w:p w:rsidR="00E70B6F" w:rsidRDefault="00E70B6F" w:rsidP="00E70B6F">
      <w:pPr>
        <w:pStyle w:val="TOC2"/>
      </w:pPr>
      <w:r>
        <w:t xml:space="preserve">3.2  Budgeted </w:t>
      </w:r>
      <w:r w:rsidR="00C41716">
        <w:t>f</w:t>
      </w:r>
      <w:r>
        <w:t xml:space="preserve">inancial </w:t>
      </w:r>
      <w:r w:rsidR="00C41716">
        <w:t>s</w:t>
      </w:r>
      <w:r>
        <w:t>tatements</w:t>
      </w:r>
      <w:r w:rsidRPr="00361120">
        <w:tab/>
      </w:r>
      <w:r w:rsidR="00A13F1B">
        <w:t>97</w:t>
      </w:r>
    </w:p>
    <w:p w:rsidR="00E70B6F" w:rsidRDefault="00E70B6F" w:rsidP="00E70B6F">
      <w:pPr>
        <w:sectPr w:rsidR="00E70B6F" w:rsidSect="00E70B6F">
          <w:headerReference w:type="even" r:id="rId132"/>
          <w:headerReference w:type="default" r:id="rId133"/>
          <w:headerReference w:type="first" r:id="rId134"/>
          <w:footerReference w:type="first" r:id="rId135"/>
          <w:pgSz w:w="11907" w:h="16840" w:code="9"/>
          <w:pgMar w:top="2466" w:right="2098" w:bottom="2466" w:left="2098" w:header="1899" w:footer="1899" w:gutter="0"/>
          <w:cols w:space="720"/>
          <w:titlePg/>
        </w:sectPr>
      </w:pPr>
    </w:p>
    <w:p w:rsidR="00E70B6F" w:rsidRPr="00673024" w:rsidRDefault="00E70B6F" w:rsidP="00E70B6F">
      <w:pPr>
        <w:pStyle w:val="Heading1"/>
        <w:rPr>
          <w:lang w:val="en-AU"/>
        </w:rPr>
      </w:pPr>
      <w:r>
        <w:rPr>
          <w:lang w:val="en-AU"/>
        </w:rPr>
        <w:lastRenderedPageBreak/>
        <w:t>TOURISM AUSTRALIA</w:t>
      </w:r>
    </w:p>
    <w:p w:rsidR="00E70B6F" w:rsidRPr="0090206F" w:rsidRDefault="00E70B6F" w:rsidP="00E70B6F">
      <w:pPr>
        <w:pStyle w:val="Heading2"/>
      </w:pPr>
      <w:r w:rsidRPr="0090206F">
        <w:t xml:space="preserve">Section 1: </w:t>
      </w:r>
      <w:r>
        <w:t>Entity</w:t>
      </w:r>
      <w:r w:rsidRPr="0090206F">
        <w:t xml:space="preserve"> </w:t>
      </w:r>
      <w:r w:rsidR="006020FF">
        <w:rPr>
          <w:lang w:val="en-AU"/>
        </w:rPr>
        <w:t xml:space="preserve">overview </w:t>
      </w:r>
      <w:r w:rsidRPr="0090206F">
        <w:t xml:space="preserve">and </w:t>
      </w:r>
      <w:r w:rsidR="006020FF">
        <w:rPr>
          <w:lang w:val="en-AU"/>
        </w:rPr>
        <w:t>resources</w:t>
      </w:r>
    </w:p>
    <w:p w:rsidR="00E70B6F" w:rsidRPr="006020FF" w:rsidRDefault="00E70B6F" w:rsidP="00E70B6F">
      <w:pPr>
        <w:pStyle w:val="Heading3"/>
        <w:rPr>
          <w:lang w:val="en-AU"/>
        </w:rPr>
      </w:pPr>
      <w:r>
        <w:t>1.1</w:t>
      </w:r>
      <w:r>
        <w:tab/>
      </w:r>
      <w:r w:rsidR="006020FF">
        <w:t xml:space="preserve">Strategic </w:t>
      </w:r>
      <w:r w:rsidR="006020FF">
        <w:rPr>
          <w:lang w:val="en-AU"/>
        </w:rPr>
        <w:t>direction statement</w:t>
      </w:r>
    </w:p>
    <w:p w:rsidR="00E70B6F" w:rsidRDefault="00E70B6F" w:rsidP="00E70B6F">
      <w:pPr>
        <w:pStyle w:val="Heading2"/>
        <w:spacing w:before="100" w:beforeAutospacing="1" w:after="100" w:afterAutospacing="1"/>
        <w:rPr>
          <w:rFonts w:cs="Arial"/>
        </w:rPr>
      </w:pPr>
      <w:r>
        <w:rPr>
          <w:rFonts w:ascii="Book Antiqua" w:hAnsi="Book Antiqua"/>
          <w:sz w:val="20"/>
        </w:rPr>
        <w:t>There is no change to Tourism Australia’s Strategic Direction</w:t>
      </w:r>
      <w:r w:rsidR="00ED4776">
        <w:rPr>
          <w:rFonts w:ascii="Book Antiqua" w:hAnsi="Book Antiqua"/>
          <w:sz w:val="20"/>
          <w:lang w:val="en-AU"/>
        </w:rPr>
        <w:t>. F</w:t>
      </w:r>
      <w:r>
        <w:rPr>
          <w:rFonts w:ascii="Book Antiqua" w:hAnsi="Book Antiqua"/>
          <w:sz w:val="20"/>
        </w:rPr>
        <w:t xml:space="preserve">or further details please refer to </w:t>
      </w:r>
      <w:r w:rsidRPr="00ED4776">
        <w:rPr>
          <w:rFonts w:ascii="Book Antiqua" w:hAnsi="Book Antiqua"/>
          <w:i/>
          <w:sz w:val="20"/>
        </w:rPr>
        <w:t>Portfolio Budget Statements 2015-16</w:t>
      </w:r>
      <w:r>
        <w:rPr>
          <w:rFonts w:ascii="Book Antiqua" w:hAnsi="Book Antiqua"/>
          <w:sz w:val="20"/>
        </w:rPr>
        <w:t xml:space="preserve"> Budget Related Paper No. 1.9 Foreign Affairs and Trade Portfolio.</w:t>
      </w:r>
      <w:r>
        <w:rPr>
          <w:rFonts w:cs="Arial"/>
        </w:rPr>
        <w:t xml:space="preserve"> </w:t>
      </w:r>
    </w:p>
    <w:p w:rsidR="00E70B6F" w:rsidRPr="004928FF" w:rsidRDefault="00E70B6F" w:rsidP="00E70B6F">
      <w:pPr>
        <w:pStyle w:val="Heading3"/>
      </w:pPr>
      <w:r>
        <w:t>1.2</w:t>
      </w:r>
      <w:r>
        <w:tab/>
        <w:t xml:space="preserve">Entity </w:t>
      </w:r>
      <w:r w:rsidR="006020FF">
        <w:rPr>
          <w:lang w:val="en-AU"/>
        </w:rPr>
        <w:t>resource statement</w:t>
      </w:r>
    </w:p>
    <w:p w:rsidR="00E70B6F" w:rsidRDefault="00E70B6F" w:rsidP="00E70B6F">
      <w:r>
        <w:t xml:space="preserve">The Entity Resource Statement details the resourcing for Tourism Australia at Additional Estimates. Table 1.1 outlines the total resourcing available from all sources for the 2015-16 Budget year, including variations through </w:t>
      </w:r>
      <w:r w:rsidRPr="0095283F">
        <w:rPr>
          <w:i/>
        </w:rPr>
        <w:t>Appropriation Bill Nos. 3</w:t>
      </w:r>
      <w:r>
        <w:t xml:space="preserve"> and </w:t>
      </w:r>
      <w:r w:rsidRPr="0095283F">
        <w:rPr>
          <w:i/>
        </w:rPr>
        <w:t>No. 4</w:t>
      </w:r>
      <w:r>
        <w:t>,</w:t>
      </w:r>
      <w:r w:rsidRPr="00DF4892">
        <w:t xml:space="preserve"> </w:t>
      </w:r>
      <w:r>
        <w:t xml:space="preserve">special appropriations and special accounts. </w:t>
      </w:r>
    </w:p>
    <w:p w:rsidR="00E70B6F" w:rsidRDefault="00E70B6F" w:rsidP="00E70B6F">
      <w:pPr>
        <w:pStyle w:val="TableHeading"/>
        <w:spacing w:after="120"/>
        <w:rPr>
          <w:rFonts w:ascii="Book Antiqua" w:hAnsi="Book Antiqua"/>
          <w:b w:val="0"/>
          <w:lang w:val="en-AU" w:eastAsia="zh-CN"/>
        </w:rPr>
      </w:pPr>
      <w:r w:rsidRPr="00C31E60">
        <w:rPr>
          <w:rFonts w:ascii="Book Antiqua" w:hAnsi="Book Antiqua"/>
          <w:b w:val="0"/>
          <w:lang w:eastAsia="zh-CN"/>
        </w:rPr>
        <w:t xml:space="preserve">An additional appropriation of $6.7 million </w:t>
      </w:r>
      <w:r w:rsidRPr="00C31E60">
        <w:rPr>
          <w:rFonts w:ascii="Book Antiqua" w:hAnsi="Book Antiqua"/>
          <w:b w:val="0"/>
          <w:lang w:val="en-AU" w:eastAsia="zh-CN"/>
        </w:rPr>
        <w:t xml:space="preserve">representing </w:t>
      </w:r>
      <w:r w:rsidR="00E27E30">
        <w:rPr>
          <w:rFonts w:ascii="Book Antiqua" w:hAnsi="Book Antiqua"/>
          <w:b w:val="0"/>
          <w:lang w:val="en-AU" w:eastAsia="zh-CN"/>
        </w:rPr>
        <w:t xml:space="preserve">a </w:t>
      </w:r>
      <w:r w:rsidRPr="00C31E60">
        <w:rPr>
          <w:rFonts w:ascii="Book Antiqua" w:hAnsi="Book Antiqua"/>
          <w:b w:val="0"/>
          <w:lang w:eastAsia="zh-CN"/>
        </w:rPr>
        <w:t>supplementation</w:t>
      </w:r>
      <w:r>
        <w:rPr>
          <w:rFonts w:ascii="Book Antiqua" w:hAnsi="Book Antiqua"/>
          <w:b w:val="0"/>
          <w:lang w:eastAsia="zh-CN"/>
        </w:rPr>
        <w:t xml:space="preserve"> </w:t>
      </w:r>
      <w:r>
        <w:rPr>
          <w:rFonts w:ascii="Book Antiqua" w:hAnsi="Book Antiqua"/>
          <w:b w:val="0"/>
          <w:lang w:val="en-AU" w:eastAsia="zh-CN"/>
        </w:rPr>
        <w:t>of</w:t>
      </w:r>
      <w:r w:rsidRPr="00C31E60">
        <w:rPr>
          <w:rFonts w:ascii="Book Antiqua" w:hAnsi="Book Antiqua"/>
          <w:b w:val="0"/>
          <w:lang w:eastAsia="zh-CN"/>
        </w:rPr>
        <w:t xml:space="preserve"> foreign exchange </w:t>
      </w:r>
      <w:r>
        <w:rPr>
          <w:rFonts w:ascii="Book Antiqua" w:hAnsi="Book Antiqua"/>
          <w:b w:val="0"/>
          <w:lang w:val="en-AU" w:eastAsia="zh-CN"/>
        </w:rPr>
        <w:t>loss</w:t>
      </w:r>
      <w:r w:rsidRPr="00C31E60">
        <w:rPr>
          <w:rFonts w:ascii="Book Antiqua" w:hAnsi="Book Antiqua"/>
          <w:b w:val="0"/>
          <w:lang w:eastAsia="zh-CN"/>
        </w:rPr>
        <w:t xml:space="preserve"> relate</w:t>
      </w:r>
      <w:r w:rsidR="00E27E30">
        <w:rPr>
          <w:rFonts w:ascii="Book Antiqua" w:hAnsi="Book Antiqua"/>
          <w:b w:val="0"/>
          <w:lang w:val="en-AU" w:eastAsia="zh-CN"/>
        </w:rPr>
        <w:t>s</w:t>
      </w:r>
      <w:r w:rsidRPr="00C31E60">
        <w:rPr>
          <w:rFonts w:ascii="Book Antiqua" w:hAnsi="Book Antiqua"/>
          <w:b w:val="0"/>
          <w:lang w:eastAsia="zh-CN"/>
        </w:rPr>
        <w:t xml:space="preserve"> to </w:t>
      </w:r>
      <w:r w:rsidR="00ED4776">
        <w:rPr>
          <w:rFonts w:ascii="Book Antiqua" w:hAnsi="Book Antiqua"/>
          <w:b w:val="0"/>
          <w:lang w:val="en-AU" w:eastAsia="zh-CN"/>
        </w:rPr>
        <w:t xml:space="preserve">the </w:t>
      </w:r>
      <w:r w:rsidRPr="00C31E60">
        <w:rPr>
          <w:rFonts w:ascii="Book Antiqua" w:hAnsi="Book Antiqua"/>
          <w:b w:val="0"/>
          <w:lang w:eastAsia="zh-CN"/>
        </w:rPr>
        <w:t>prior year</w:t>
      </w:r>
      <w:r w:rsidR="00ED4776">
        <w:rPr>
          <w:rFonts w:ascii="Book Antiqua" w:hAnsi="Book Antiqua"/>
          <w:b w:val="0"/>
          <w:lang w:val="en-AU" w:eastAsia="zh-CN"/>
        </w:rPr>
        <w:t>’</w:t>
      </w:r>
      <w:r w:rsidRPr="00C31E60">
        <w:rPr>
          <w:rFonts w:ascii="Book Antiqua" w:hAnsi="Book Antiqua"/>
          <w:b w:val="0"/>
          <w:lang w:eastAsia="zh-CN"/>
        </w:rPr>
        <w:t>s activities</w:t>
      </w:r>
      <w:r>
        <w:rPr>
          <w:rFonts w:ascii="Book Antiqua" w:hAnsi="Book Antiqua"/>
          <w:b w:val="0"/>
          <w:lang w:val="en-AU" w:eastAsia="zh-CN"/>
        </w:rPr>
        <w:t xml:space="preserve"> </w:t>
      </w:r>
      <w:r w:rsidRPr="00C31E60">
        <w:rPr>
          <w:rFonts w:ascii="Book Antiqua" w:hAnsi="Book Antiqua"/>
          <w:b w:val="0"/>
          <w:lang w:eastAsia="zh-CN"/>
        </w:rPr>
        <w:t>(2014-15</w:t>
      </w:r>
      <w:r w:rsidRPr="00C31E60">
        <w:rPr>
          <w:rFonts w:ascii="Book Antiqua" w:hAnsi="Book Antiqua"/>
          <w:b w:val="0"/>
          <w:lang w:val="en-AU" w:eastAsia="zh-CN"/>
        </w:rPr>
        <w:t>).</w:t>
      </w:r>
    </w:p>
    <w:p w:rsidR="00E70B6F" w:rsidRDefault="00E70B6F" w:rsidP="00E70B6F">
      <w:r>
        <w:t>Tourism Australia does not receive any special appropriations nor does it have any special accounts.</w:t>
      </w:r>
    </w:p>
    <w:p w:rsidR="00E70B6F" w:rsidRPr="00557CCF" w:rsidRDefault="00E70B6F" w:rsidP="00E70B6F"/>
    <w:p w:rsidR="00E70B6F" w:rsidRPr="00175572" w:rsidRDefault="00E70B6F" w:rsidP="00E70B6F">
      <w:pPr>
        <w:pStyle w:val="TableHeading"/>
        <w:rPr>
          <w:lang w:val="en-AU"/>
        </w:rPr>
      </w:pPr>
      <w:r>
        <w:br w:type="page"/>
      </w:r>
      <w:r>
        <w:lastRenderedPageBreak/>
        <w:t xml:space="preserve">Table 1.1: </w:t>
      </w:r>
      <w:r>
        <w:rPr>
          <w:lang w:val="en-AU"/>
        </w:rPr>
        <w:t>CAC Act Body</w:t>
      </w:r>
      <w:r>
        <w:t xml:space="preserve"> </w:t>
      </w:r>
      <w:r>
        <w:rPr>
          <w:lang w:val="en-AU"/>
        </w:rPr>
        <w:t>Tourism Australia</w:t>
      </w:r>
      <w:r>
        <w:t xml:space="preserve"> </w:t>
      </w:r>
      <w:r w:rsidR="00314AFF">
        <w:rPr>
          <w:lang w:val="en-AU"/>
        </w:rPr>
        <w:t xml:space="preserve">Resource Statement </w:t>
      </w:r>
      <w:r w:rsidR="00175572">
        <w:t>— Additional Estimates for 201</w:t>
      </w:r>
      <w:r w:rsidR="00175572">
        <w:rPr>
          <w:lang w:val="en-AU"/>
        </w:rPr>
        <w:t>5</w:t>
      </w:r>
      <w:r w:rsidR="00175572">
        <w:t>-1</w:t>
      </w:r>
      <w:r w:rsidR="00175572">
        <w:rPr>
          <w:lang w:val="en-AU"/>
        </w:rPr>
        <w:t>6</w:t>
      </w:r>
      <w:r w:rsidR="00175572" w:rsidRPr="00E13E65">
        <w:t xml:space="preserve"> as at Additional Estimates </w:t>
      </w:r>
      <w:r w:rsidR="00175572" w:rsidRPr="003962BF">
        <w:t>February 201</w:t>
      </w:r>
      <w:r w:rsidR="00175572" w:rsidRPr="003962BF">
        <w:rPr>
          <w:lang w:val="en-AU"/>
        </w:rPr>
        <w:t>6</w:t>
      </w:r>
    </w:p>
    <w:p w:rsidR="00E70B6F" w:rsidRDefault="0059206B" w:rsidP="00E70B6F">
      <w:pPr>
        <w:pStyle w:val="TableHeading"/>
        <w:rPr>
          <w:lang w:val="en-AU"/>
        </w:rPr>
      </w:pPr>
      <w:r w:rsidRPr="0059206B">
        <w:rPr>
          <w:noProof/>
          <w:lang w:val="en-AU" w:eastAsia="zh-CN"/>
        </w:rPr>
        <w:drawing>
          <wp:inline distT="0" distB="0" distL="0" distR="0">
            <wp:extent cx="4713904" cy="3076575"/>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725133" cy="3083904"/>
                    </a:xfrm>
                    <a:prstGeom prst="rect">
                      <a:avLst/>
                    </a:prstGeom>
                    <a:noFill/>
                    <a:ln>
                      <a:noFill/>
                    </a:ln>
                  </pic:spPr>
                </pic:pic>
              </a:graphicData>
            </a:graphic>
          </wp:inline>
        </w:drawing>
      </w:r>
    </w:p>
    <w:p w:rsidR="0059206B" w:rsidRPr="00867314" w:rsidRDefault="0059206B" w:rsidP="00867314">
      <w:pPr>
        <w:pStyle w:val="TableGraphic"/>
        <w:rPr>
          <w:rFonts w:ascii="Arial" w:hAnsi="Arial" w:cs="Arial"/>
          <w:color w:val="auto"/>
          <w:sz w:val="16"/>
          <w:szCs w:val="16"/>
        </w:rPr>
      </w:pPr>
      <w:r w:rsidRPr="00867314">
        <w:rPr>
          <w:rFonts w:ascii="Arial" w:hAnsi="Arial" w:cs="Arial"/>
          <w:color w:val="auto"/>
          <w:sz w:val="16"/>
          <w:szCs w:val="16"/>
        </w:rPr>
        <w:t xml:space="preserve">(a) Appropriation Act (No. 1 </w:t>
      </w:r>
      <w:r w:rsidRPr="00867314">
        <w:rPr>
          <w:rFonts w:ascii="Arial" w:hAnsi="Arial" w:cs="Arial"/>
          <w:i w:val="0"/>
          <w:color w:val="auto"/>
          <w:sz w:val="16"/>
          <w:szCs w:val="16"/>
        </w:rPr>
        <w:t>and</w:t>
      </w:r>
      <w:r w:rsidRPr="00867314">
        <w:rPr>
          <w:rFonts w:ascii="Arial" w:hAnsi="Arial" w:cs="Arial"/>
          <w:color w:val="auto"/>
          <w:sz w:val="16"/>
          <w:szCs w:val="16"/>
        </w:rPr>
        <w:t xml:space="preserve"> No. 3) 2015-2016</w:t>
      </w:r>
      <w:r w:rsidR="005568B4">
        <w:rPr>
          <w:rFonts w:ascii="Arial" w:hAnsi="Arial" w:cs="Arial"/>
          <w:color w:val="auto"/>
          <w:sz w:val="16"/>
          <w:szCs w:val="16"/>
        </w:rPr>
        <w:t>.</w:t>
      </w:r>
    </w:p>
    <w:p w:rsidR="0059206B" w:rsidRPr="00867314" w:rsidRDefault="0059206B" w:rsidP="00867314">
      <w:pPr>
        <w:spacing w:after="0" w:line="240" w:lineRule="auto"/>
        <w:rPr>
          <w:rFonts w:ascii="Arial" w:hAnsi="Arial" w:cs="Arial"/>
          <w:sz w:val="16"/>
          <w:szCs w:val="16"/>
        </w:rPr>
      </w:pPr>
      <w:r w:rsidRPr="00867314">
        <w:rPr>
          <w:rFonts w:ascii="Arial" w:hAnsi="Arial" w:cs="Arial"/>
          <w:sz w:val="16"/>
          <w:szCs w:val="16"/>
        </w:rPr>
        <w:t>(b) Estimated adjusted balance carried from previous year for annual appropriations. Reader note: All figures are GST exclusive.</w:t>
      </w:r>
    </w:p>
    <w:p w:rsidR="00E70B6F" w:rsidRDefault="00E70B6F" w:rsidP="00E70B6F">
      <w:pPr>
        <w:pStyle w:val="Heading3"/>
      </w:pPr>
      <w:r w:rsidRPr="006D6BD2">
        <w:br w:type="page"/>
      </w:r>
      <w:r>
        <w:lastRenderedPageBreak/>
        <w:t>1.3</w:t>
      </w:r>
      <w:r>
        <w:tab/>
        <w:t>Entity Measures table</w:t>
      </w:r>
    </w:p>
    <w:p w:rsidR="00E70B6F" w:rsidRPr="009952A1" w:rsidRDefault="009952A1" w:rsidP="009952A1">
      <w:r w:rsidRPr="009952A1">
        <w:t>Tourism Australia</w:t>
      </w:r>
      <w:r>
        <w:rPr>
          <w:i/>
        </w:rPr>
        <w:t xml:space="preserve"> </w:t>
      </w:r>
      <w:r>
        <w:t xml:space="preserve">has no new </w:t>
      </w:r>
      <w:r w:rsidR="00E70B6F">
        <w:t>measures</w:t>
      </w:r>
      <w:r>
        <w:t>, and no new decisions taken but not yet announced,</w:t>
      </w:r>
      <w:r w:rsidR="00E70B6F">
        <w:t xml:space="preserve"> since the 2015-16 Budget. </w:t>
      </w:r>
    </w:p>
    <w:p w:rsidR="00E70B6F" w:rsidRPr="00007854" w:rsidRDefault="00E70B6F" w:rsidP="00E70B6F">
      <w:pPr>
        <w:pStyle w:val="ChartandTableFootnote"/>
        <w:jc w:val="center"/>
        <w:rPr>
          <w:b/>
        </w:rPr>
      </w:pPr>
    </w:p>
    <w:p w:rsidR="00E70B6F" w:rsidRPr="00597122" w:rsidRDefault="00E70B6F" w:rsidP="00E70B6F">
      <w:pPr>
        <w:pStyle w:val="Heading3"/>
      </w:pPr>
      <w:r>
        <w:t>1.4</w:t>
      </w:r>
      <w:r>
        <w:tab/>
        <w:t>Additional Estimates and v</w:t>
      </w:r>
      <w:r w:rsidRPr="00597122">
        <w:t>ariations</w:t>
      </w:r>
    </w:p>
    <w:p w:rsidR="00E70B6F" w:rsidRPr="001A75A9" w:rsidRDefault="00E70B6F" w:rsidP="00E70B6F">
      <w:r>
        <w:t>The following table detail</w:t>
      </w:r>
      <w:r w:rsidR="008B0F40">
        <w:t>s</w:t>
      </w:r>
      <w:r>
        <w:t xml:space="preserve"> the changes to the resourcing for Tourism Australia at Additional Estimates, by outcome</w:t>
      </w:r>
      <w:r w:rsidR="008B0F40">
        <w:t xml:space="preserve">. </w:t>
      </w:r>
      <w:r>
        <w:t xml:space="preserve">Table 1.4 details Additional Estimates </w:t>
      </w:r>
      <w:r w:rsidR="00E23495">
        <w:t xml:space="preserve">or variations through factors such as </w:t>
      </w:r>
      <w:r>
        <w:t>parameter adjustments.</w:t>
      </w:r>
    </w:p>
    <w:p w:rsidR="00E70B6F" w:rsidRPr="00200041" w:rsidRDefault="00E70B6F" w:rsidP="00E70B6F">
      <w:pPr>
        <w:pStyle w:val="TableGraphic"/>
        <w:rPr>
          <w:lang w:val="x-none"/>
        </w:rPr>
      </w:pPr>
    </w:p>
    <w:p w:rsidR="00E70B6F" w:rsidRPr="00CF1762" w:rsidRDefault="00E70B6F" w:rsidP="00C77523">
      <w:pPr>
        <w:pStyle w:val="TableHeading"/>
      </w:pPr>
      <w:r w:rsidRPr="000B1F3F">
        <w:t xml:space="preserve">Table 1.4: </w:t>
      </w:r>
      <w:r w:rsidR="00C77523" w:rsidRPr="000B1F3F">
        <w:t xml:space="preserve">Additional </w:t>
      </w:r>
      <w:r w:rsidR="00C77523">
        <w:t>e</w:t>
      </w:r>
      <w:r w:rsidR="00C77523" w:rsidRPr="000B1F3F">
        <w:t xml:space="preserve">stimates and </w:t>
      </w:r>
      <w:r w:rsidR="00C77523">
        <w:t>v</w:t>
      </w:r>
      <w:r w:rsidR="00C77523" w:rsidRPr="000B1F3F">
        <w:t xml:space="preserve">ariations to </w:t>
      </w:r>
      <w:r w:rsidR="00C77523">
        <w:t>o</w:t>
      </w:r>
      <w:r w:rsidR="00C77523" w:rsidRPr="000B1F3F">
        <w:t xml:space="preserve">utcomes from </w:t>
      </w:r>
      <w:r w:rsidR="00C77523">
        <w:t>o</w:t>
      </w:r>
      <w:r w:rsidR="00C77523" w:rsidRPr="000B1F3F">
        <w:t xml:space="preserve">ther </w:t>
      </w:r>
      <w:r w:rsidR="00C77523">
        <w:t>v</w:t>
      </w:r>
      <w:r w:rsidR="00C77523" w:rsidRPr="000B1F3F">
        <w:t>ariations</w:t>
      </w:r>
      <w:r w:rsidR="00C77523">
        <w:t xml:space="preserve"> </w:t>
      </w:r>
      <w:r w:rsidR="008C3D0D">
        <w:rPr>
          <w:noProof/>
          <w:lang w:val="en-AU" w:eastAsia="zh-CN"/>
        </w:rPr>
        <w:drawing>
          <wp:inline distT="0" distB="0" distL="0" distR="0">
            <wp:extent cx="4880759" cy="1324778"/>
            <wp:effectExtent l="0" t="0" r="0" b="889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911937" cy="1333241"/>
                    </a:xfrm>
                    <a:prstGeom prst="rect">
                      <a:avLst/>
                    </a:prstGeom>
                    <a:noFill/>
                    <a:ln>
                      <a:noFill/>
                    </a:ln>
                  </pic:spPr>
                </pic:pic>
              </a:graphicData>
            </a:graphic>
          </wp:inline>
        </w:drawing>
      </w:r>
    </w:p>
    <w:p w:rsidR="00E70B6F" w:rsidRDefault="00E70B6F" w:rsidP="00E70B6F">
      <w:pPr>
        <w:pStyle w:val="Heading3"/>
      </w:pPr>
      <w:r>
        <w:br w:type="page"/>
      </w:r>
      <w:r>
        <w:lastRenderedPageBreak/>
        <w:t>1.5</w:t>
      </w:r>
      <w:r>
        <w:tab/>
      </w:r>
      <w:r w:rsidRPr="004928FF">
        <w:t>Breakdown of additional estimates by appropriation bill</w:t>
      </w:r>
    </w:p>
    <w:p w:rsidR="00E70B6F" w:rsidRDefault="00E70B6F" w:rsidP="00E70B6F">
      <w:r>
        <w:t xml:space="preserve">The following tables detail the Additional Estimates sought for Tourism Australia through </w:t>
      </w:r>
      <w:r w:rsidRPr="00C2199C">
        <w:rPr>
          <w:i/>
        </w:rPr>
        <w:t>Appropriation Bills Nos. 3</w:t>
      </w:r>
      <w:r>
        <w:t xml:space="preserve"> and </w:t>
      </w:r>
      <w:r w:rsidRPr="00C2199C">
        <w:rPr>
          <w:i/>
        </w:rPr>
        <w:t>4</w:t>
      </w:r>
      <w:r>
        <w:t>.</w:t>
      </w:r>
    </w:p>
    <w:p w:rsidR="00E70B6F" w:rsidRDefault="00E70B6F" w:rsidP="00E70B6F">
      <w:pPr>
        <w:pStyle w:val="TableHeading"/>
        <w:rPr>
          <w:lang w:val="en-AU"/>
        </w:rPr>
      </w:pPr>
      <w:r>
        <w:t>Table 1.5: Appropriation Bill (No. 3) 201</w:t>
      </w:r>
      <w:r>
        <w:rPr>
          <w:lang w:val="en-AU"/>
        </w:rPr>
        <w:t>5</w:t>
      </w:r>
      <w:r>
        <w:t>-16</w:t>
      </w:r>
    </w:p>
    <w:p w:rsidR="006E539A" w:rsidRPr="006E539A" w:rsidRDefault="006E539A" w:rsidP="006E539A">
      <w:pPr>
        <w:pStyle w:val="TableGraphic"/>
      </w:pPr>
      <w:r w:rsidRPr="006E539A">
        <w:rPr>
          <w:noProof/>
          <w:lang w:eastAsia="zh-CN"/>
        </w:rPr>
        <w:drawing>
          <wp:inline distT="0" distB="0" distL="0" distR="0">
            <wp:extent cx="4857008" cy="2231526"/>
            <wp:effectExtent l="0" t="0" r="127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90781" cy="2247043"/>
                    </a:xfrm>
                    <a:prstGeom prst="rect">
                      <a:avLst/>
                    </a:prstGeom>
                    <a:noFill/>
                    <a:ln>
                      <a:noFill/>
                    </a:ln>
                  </pic:spPr>
                </pic:pic>
              </a:graphicData>
            </a:graphic>
          </wp:inline>
        </w:drawing>
      </w:r>
    </w:p>
    <w:p w:rsidR="00E70B6F" w:rsidRDefault="00715CE3" w:rsidP="00715CE3">
      <w:pPr>
        <w:pStyle w:val="SingleParagraph"/>
        <w:spacing w:line="240" w:lineRule="auto"/>
        <w:rPr>
          <w:rFonts w:ascii="Arial" w:hAnsi="Arial" w:cs="Arial"/>
          <w:color w:val="000000"/>
          <w:sz w:val="16"/>
          <w:szCs w:val="16"/>
          <w:lang w:eastAsia="zh-CN"/>
        </w:rPr>
      </w:pPr>
      <w:r w:rsidRPr="006E539A">
        <w:rPr>
          <w:rFonts w:ascii="Arial" w:hAnsi="Arial" w:cs="Arial"/>
          <w:b/>
          <w:bCs/>
          <w:color w:val="000000"/>
          <w:sz w:val="16"/>
          <w:szCs w:val="16"/>
          <w:lang w:eastAsia="zh-CN"/>
        </w:rPr>
        <w:t>Note 1:</w:t>
      </w:r>
      <w:r w:rsidRPr="006E539A">
        <w:rPr>
          <w:rFonts w:ascii="Arial" w:hAnsi="Arial" w:cs="Arial"/>
          <w:color w:val="000000"/>
          <w:sz w:val="16"/>
          <w:szCs w:val="16"/>
          <w:lang w:eastAsia="zh-CN"/>
        </w:rPr>
        <w:t xml:space="preserve"> 2015-16 available appropriation is included to allow a comparison of this year's</w:t>
      </w:r>
      <w:r>
        <w:rPr>
          <w:rFonts w:ascii="Arial" w:hAnsi="Arial" w:cs="Arial"/>
          <w:color w:val="000000"/>
          <w:sz w:val="16"/>
          <w:szCs w:val="16"/>
          <w:lang w:eastAsia="zh-CN"/>
        </w:rPr>
        <w:t xml:space="preserve"> </w:t>
      </w:r>
      <w:r w:rsidRPr="006E539A">
        <w:rPr>
          <w:rFonts w:ascii="Arial" w:hAnsi="Arial" w:cs="Arial"/>
          <w:color w:val="000000"/>
          <w:sz w:val="16"/>
          <w:szCs w:val="16"/>
          <w:lang w:eastAsia="zh-CN"/>
        </w:rPr>
        <w:t>appropriation with what was made available for use in the previous year.</w:t>
      </w:r>
      <w:r>
        <w:rPr>
          <w:rFonts w:ascii="Arial" w:hAnsi="Arial" w:cs="Arial"/>
          <w:color w:val="000000"/>
          <w:sz w:val="16"/>
          <w:szCs w:val="16"/>
          <w:lang w:eastAsia="zh-CN"/>
        </w:rPr>
        <w:t xml:space="preserve"> </w:t>
      </w:r>
      <w:r w:rsidRPr="006E539A">
        <w:rPr>
          <w:rFonts w:ascii="Arial" w:hAnsi="Arial" w:cs="Arial"/>
          <w:color w:val="000000"/>
          <w:sz w:val="16"/>
          <w:szCs w:val="16"/>
          <w:lang w:eastAsia="zh-CN"/>
        </w:rPr>
        <w:t>Available appropriation is the amount available to be drawn down, and is equal to:</w:t>
      </w:r>
    </w:p>
    <w:p w:rsidR="00715CE3" w:rsidRDefault="00715CE3" w:rsidP="00715CE3">
      <w:pPr>
        <w:pStyle w:val="SingleParagraph"/>
        <w:spacing w:line="240" w:lineRule="auto"/>
        <w:rPr>
          <w:rFonts w:ascii="Arial" w:hAnsi="Arial" w:cs="Arial"/>
          <w:i/>
          <w:iCs/>
          <w:color w:val="000000"/>
          <w:sz w:val="16"/>
          <w:szCs w:val="16"/>
          <w:lang w:eastAsia="zh-CN"/>
        </w:rPr>
      </w:pPr>
      <w:r w:rsidRPr="006E539A">
        <w:rPr>
          <w:rFonts w:ascii="Arial" w:hAnsi="Arial" w:cs="Arial"/>
          <w:i/>
          <w:iCs/>
          <w:color w:val="000000"/>
          <w:sz w:val="16"/>
          <w:szCs w:val="16"/>
          <w:lang w:eastAsia="zh-CN"/>
        </w:rPr>
        <w:t xml:space="preserve">Budget Appropriation + Additional Estimates Appropriation + AFM </w:t>
      </w:r>
      <w:r>
        <w:rPr>
          <w:rFonts w:ascii="Arial" w:hAnsi="Arial" w:cs="Arial"/>
          <w:i/>
          <w:iCs/>
          <w:color w:val="000000"/>
          <w:sz w:val="16"/>
          <w:szCs w:val="16"/>
          <w:lang w:eastAsia="zh-CN"/>
        </w:rPr>
        <w:t>–</w:t>
      </w:r>
      <w:r w:rsidRPr="006E539A">
        <w:rPr>
          <w:rFonts w:ascii="Arial" w:hAnsi="Arial" w:cs="Arial"/>
          <w:i/>
          <w:iCs/>
          <w:color w:val="000000"/>
          <w:sz w:val="16"/>
          <w:szCs w:val="16"/>
          <w:lang w:eastAsia="zh-CN"/>
        </w:rPr>
        <w:t xml:space="preserve"> Savings</w:t>
      </w:r>
      <w:r w:rsidRPr="006E539A">
        <w:rPr>
          <w:rFonts w:ascii="Arial" w:hAnsi="Arial" w:cs="Arial"/>
          <w:color w:val="000000"/>
          <w:sz w:val="16"/>
          <w:szCs w:val="16"/>
          <w:lang w:eastAsia="zh-CN"/>
        </w:rPr>
        <w:t xml:space="preserve"> </w:t>
      </w:r>
      <w:r w:rsidRPr="006E539A">
        <w:rPr>
          <w:rFonts w:ascii="Arial" w:hAnsi="Arial" w:cs="Arial"/>
          <w:i/>
          <w:iCs/>
          <w:color w:val="000000"/>
          <w:sz w:val="16"/>
          <w:szCs w:val="16"/>
          <w:lang w:eastAsia="zh-CN"/>
        </w:rPr>
        <w:t>- Other Reductions (includes all quarantines + movement of funds) +/- Machinery of</w:t>
      </w:r>
      <w:r>
        <w:rPr>
          <w:rFonts w:ascii="Arial" w:hAnsi="Arial" w:cs="Arial"/>
          <w:i/>
          <w:iCs/>
          <w:color w:val="000000"/>
          <w:sz w:val="16"/>
          <w:szCs w:val="16"/>
          <w:lang w:eastAsia="zh-CN"/>
        </w:rPr>
        <w:t xml:space="preserve"> </w:t>
      </w:r>
      <w:r w:rsidRPr="006E539A">
        <w:rPr>
          <w:rFonts w:ascii="Arial" w:hAnsi="Arial" w:cs="Arial"/>
          <w:i/>
          <w:iCs/>
          <w:color w:val="000000"/>
          <w:sz w:val="16"/>
          <w:szCs w:val="16"/>
          <w:lang w:eastAsia="zh-CN"/>
        </w:rPr>
        <w:t>Government transfers - formal reductions determined by the Finance Minister</w:t>
      </w:r>
      <w:r w:rsidR="004D73F0">
        <w:rPr>
          <w:rFonts w:ascii="Arial" w:hAnsi="Arial" w:cs="Arial"/>
          <w:i/>
          <w:iCs/>
          <w:color w:val="000000"/>
          <w:sz w:val="16"/>
          <w:szCs w:val="16"/>
          <w:lang w:eastAsia="zh-CN"/>
        </w:rPr>
        <w:t>.</w:t>
      </w:r>
    </w:p>
    <w:p w:rsidR="00715CE3" w:rsidRDefault="00715CE3" w:rsidP="00715CE3">
      <w:pPr>
        <w:pStyle w:val="SingleParagraph"/>
        <w:spacing w:line="240" w:lineRule="auto"/>
      </w:pPr>
    </w:p>
    <w:p w:rsidR="006202C1" w:rsidRPr="00564C0F" w:rsidRDefault="006202C1" w:rsidP="006202C1">
      <w:pPr>
        <w:pStyle w:val="TableHeading"/>
        <w:rPr>
          <w:lang w:val="en-AU"/>
        </w:rPr>
      </w:pPr>
      <w:r w:rsidRPr="00564C0F">
        <w:t>Table 1.6: Appropriation Bill (No. 4) 201</w:t>
      </w:r>
      <w:r w:rsidRPr="00564C0F">
        <w:rPr>
          <w:lang w:val="en-AU"/>
        </w:rPr>
        <w:t>5</w:t>
      </w:r>
      <w:r w:rsidRPr="00564C0F">
        <w:t>-1</w:t>
      </w:r>
      <w:r w:rsidRPr="00564C0F">
        <w:rPr>
          <w:lang w:val="en-AU"/>
        </w:rPr>
        <w:t>6</w:t>
      </w:r>
    </w:p>
    <w:p w:rsidR="006202C1" w:rsidRPr="006202C1" w:rsidRDefault="006202C1" w:rsidP="006202C1">
      <w:pPr>
        <w:pStyle w:val="TableGraphic"/>
        <w:rPr>
          <w:color w:val="auto"/>
        </w:rPr>
      </w:pPr>
    </w:p>
    <w:p w:rsidR="006202C1" w:rsidRPr="00030772" w:rsidRDefault="006202C1" w:rsidP="006202C1">
      <w:pPr>
        <w:rPr>
          <w:iCs/>
        </w:rPr>
      </w:pPr>
      <w:r w:rsidRPr="006202C1">
        <w:rPr>
          <w:iCs/>
          <w:lang w:val="x-none"/>
        </w:rPr>
        <w:t xml:space="preserve">There is no </w:t>
      </w:r>
      <w:r w:rsidRPr="006202C1">
        <w:rPr>
          <w:iCs/>
        </w:rPr>
        <w:t xml:space="preserve">change to </w:t>
      </w:r>
      <w:r>
        <w:rPr>
          <w:iCs/>
        </w:rPr>
        <w:t>Tourism Australia</w:t>
      </w:r>
      <w:r w:rsidRPr="006202C1">
        <w:rPr>
          <w:iCs/>
        </w:rPr>
        <w:t xml:space="preserve"> information supplied in the </w:t>
      </w:r>
      <w:r w:rsidRPr="006202C1">
        <w:rPr>
          <w:i/>
          <w:iCs/>
        </w:rPr>
        <w:t>Portfolio Budget</w:t>
      </w:r>
      <w:r w:rsidRPr="006202C1">
        <w:rPr>
          <w:iCs/>
        </w:rPr>
        <w:t xml:space="preserve"> </w:t>
      </w:r>
      <w:r w:rsidRPr="006202C1">
        <w:rPr>
          <w:i/>
          <w:iCs/>
          <w:lang w:val="x-none"/>
        </w:rPr>
        <w:t>Statements 201</w:t>
      </w:r>
      <w:r w:rsidRPr="006202C1">
        <w:rPr>
          <w:i/>
          <w:iCs/>
        </w:rPr>
        <w:t>5</w:t>
      </w:r>
      <w:r>
        <w:rPr>
          <w:i/>
          <w:iCs/>
        </w:rPr>
        <w:t>-16</w:t>
      </w:r>
      <w:r w:rsidRPr="00030772">
        <w:rPr>
          <w:iCs/>
          <w:lang w:val="x-none"/>
        </w:rPr>
        <w:t xml:space="preserve">. </w:t>
      </w:r>
    </w:p>
    <w:p w:rsidR="006202C1" w:rsidRDefault="006202C1" w:rsidP="00E70B6F">
      <w:pPr>
        <w:pStyle w:val="SingleParagraph"/>
      </w:pPr>
    </w:p>
    <w:p w:rsidR="006202C1" w:rsidRDefault="006202C1" w:rsidP="00E70B6F">
      <w:pPr>
        <w:pStyle w:val="SingleParagraph"/>
      </w:pPr>
    </w:p>
    <w:p w:rsidR="00E70B6F" w:rsidRPr="005C40C9" w:rsidRDefault="00E70B6F" w:rsidP="00E70B6F">
      <w:pPr>
        <w:pStyle w:val="Heading2"/>
      </w:pPr>
      <w:r>
        <w:br w:type="page"/>
      </w:r>
      <w:r w:rsidRPr="00735019">
        <w:lastRenderedPageBreak/>
        <w:t>Section 2</w:t>
      </w:r>
      <w:r>
        <w:t xml:space="preserve">: </w:t>
      </w:r>
      <w:r w:rsidRPr="00735019">
        <w:t xml:space="preserve">Revisions to </w:t>
      </w:r>
      <w:r w:rsidR="00C77523">
        <w:rPr>
          <w:lang w:val="en-AU"/>
        </w:rPr>
        <w:t>outcomes and planned performance</w:t>
      </w:r>
    </w:p>
    <w:p w:rsidR="00E70B6F" w:rsidRPr="004928FF" w:rsidRDefault="00E70B6F" w:rsidP="00E70B6F">
      <w:pPr>
        <w:pStyle w:val="Heading3"/>
      </w:pPr>
      <w:r>
        <w:t>2.1</w:t>
      </w:r>
      <w:r>
        <w:tab/>
      </w:r>
      <w:r w:rsidR="00C77523">
        <w:rPr>
          <w:lang w:val="en-AU"/>
        </w:rPr>
        <w:t xml:space="preserve">Outcomes and performance information </w:t>
      </w:r>
    </w:p>
    <w:p w:rsidR="006E539A" w:rsidRPr="0067461D" w:rsidRDefault="006E539A" w:rsidP="006E539A">
      <w:pPr>
        <w:pStyle w:val="Outcomeheading"/>
        <w:jc w:val="both"/>
        <w:rPr>
          <w:rFonts w:ascii="Book Antiqua" w:hAnsi="Book Antiqua"/>
          <w:lang w:val="en-AU"/>
        </w:rPr>
      </w:pPr>
      <w:r>
        <w:rPr>
          <w:rFonts w:ascii="Book Antiqua" w:hAnsi="Book Antiqua"/>
          <w:b w:val="0"/>
          <w:smallCaps w:val="0"/>
          <w:sz w:val="20"/>
          <w:lang w:val="en-AU"/>
        </w:rPr>
        <w:t>There is no change to Tourism Australia’s outcomes and performance i</w:t>
      </w:r>
      <w:r w:rsidRPr="0067461D">
        <w:rPr>
          <w:rFonts w:ascii="Book Antiqua" w:hAnsi="Book Antiqua"/>
          <w:b w:val="0"/>
          <w:smallCaps w:val="0"/>
          <w:sz w:val="20"/>
          <w:lang w:val="en-AU"/>
        </w:rPr>
        <w:t xml:space="preserve">nformation as expressed in the </w:t>
      </w:r>
      <w:r>
        <w:rPr>
          <w:rFonts w:ascii="Book Antiqua" w:hAnsi="Book Antiqua"/>
          <w:b w:val="0"/>
          <w:i/>
          <w:smallCaps w:val="0"/>
          <w:sz w:val="20"/>
          <w:lang w:val="en-AU"/>
        </w:rPr>
        <w:t>Portfolio Budget Statements 2015-16</w:t>
      </w:r>
      <w:r w:rsidRPr="0067461D">
        <w:rPr>
          <w:rFonts w:ascii="Book Antiqua" w:hAnsi="Book Antiqua"/>
          <w:b w:val="0"/>
          <w:i/>
          <w:smallCaps w:val="0"/>
          <w:sz w:val="20"/>
          <w:lang w:val="en-AU"/>
        </w:rPr>
        <w:t xml:space="preserve">. </w:t>
      </w:r>
      <w:r w:rsidRPr="0067461D">
        <w:rPr>
          <w:rFonts w:ascii="Book Antiqua" w:hAnsi="Book Antiqua"/>
          <w:b w:val="0"/>
          <w:smallCaps w:val="0"/>
          <w:sz w:val="20"/>
          <w:lang w:val="en-AU"/>
        </w:rPr>
        <w:t xml:space="preserve"> </w:t>
      </w:r>
      <w:r w:rsidRPr="0067461D">
        <w:rPr>
          <w:rFonts w:ascii="Book Antiqua" w:hAnsi="Book Antiqua"/>
          <w:lang w:val="en-AU"/>
        </w:rPr>
        <w:t xml:space="preserve"> </w:t>
      </w:r>
    </w:p>
    <w:p w:rsidR="00E70B6F" w:rsidRPr="00C77523" w:rsidRDefault="00E70B6F" w:rsidP="00E70B6F">
      <w:pPr>
        <w:pStyle w:val="Outcomeheading"/>
        <w:rPr>
          <w:lang w:val="en-AU"/>
        </w:rPr>
      </w:pPr>
      <w:r w:rsidRPr="004928FF">
        <w:t>Outcome 1</w:t>
      </w:r>
      <w:r w:rsidR="00C77523">
        <w:rPr>
          <w:lang w:val="en-AU"/>
        </w:rPr>
        <w:t>: Grow demand and foster a competitive and sustainable Australian tourism industry through partnership marketing to targeted global consumers in key markets</w:t>
      </w:r>
    </w:p>
    <w:p w:rsidR="00E70B6F" w:rsidRPr="00D93D96" w:rsidRDefault="00C77523" w:rsidP="00E70B6F">
      <w:pPr>
        <w:pStyle w:val="Heading4"/>
      </w:pPr>
      <w:r>
        <w:t xml:space="preserve">Outcome 1 </w:t>
      </w:r>
      <w:r>
        <w:rPr>
          <w:lang w:val="en-AU"/>
        </w:rPr>
        <w:t xml:space="preserve">strategy </w:t>
      </w:r>
    </w:p>
    <w:p w:rsidR="00FA352C" w:rsidRPr="00FA352C" w:rsidRDefault="00FA352C" w:rsidP="00FA352C">
      <w:pPr>
        <w:pStyle w:val="ExampleText"/>
        <w:jc w:val="both"/>
        <w:rPr>
          <w:i w:val="0"/>
          <w:color w:val="auto"/>
        </w:rPr>
      </w:pPr>
      <w:r w:rsidRPr="00FA352C">
        <w:rPr>
          <w:i w:val="0"/>
          <w:color w:val="auto"/>
        </w:rPr>
        <w:t xml:space="preserve">There is no change to Tourism Australia’s Outcome Strategy as expressed in the </w:t>
      </w:r>
      <w:r w:rsidRPr="00400772">
        <w:rPr>
          <w:color w:val="auto"/>
        </w:rPr>
        <w:t>Portfolio Budget Statements 2015-16</w:t>
      </w:r>
      <w:r w:rsidRPr="00FA352C">
        <w:rPr>
          <w:i w:val="0"/>
          <w:color w:val="auto"/>
        </w:rPr>
        <w:t xml:space="preserve">. For further details please refer to </w:t>
      </w:r>
      <w:r w:rsidRPr="00465252">
        <w:rPr>
          <w:color w:val="auto"/>
        </w:rPr>
        <w:t>Portfolio Budget Statements 2015-16</w:t>
      </w:r>
      <w:r w:rsidRPr="00FA352C">
        <w:rPr>
          <w:i w:val="0"/>
          <w:color w:val="auto"/>
        </w:rPr>
        <w:t xml:space="preserve"> Budget Related Paper No. 1.9 Foreign Affairs and Trade Portfolio.</w:t>
      </w:r>
    </w:p>
    <w:p w:rsidR="00E70B6F" w:rsidRDefault="00C77523" w:rsidP="00E70B6F">
      <w:pPr>
        <w:pStyle w:val="TableHeading"/>
      </w:pPr>
      <w:r>
        <w:t xml:space="preserve">Table 2.1 </w:t>
      </w:r>
      <w:r w:rsidR="00175572" w:rsidRPr="00D93D96">
        <w:t>Budgeted expenses</w:t>
      </w:r>
      <w:r w:rsidR="00175572">
        <w:rPr>
          <w:lang w:val="en-AU"/>
        </w:rPr>
        <w:t xml:space="preserve"> for</w:t>
      </w:r>
      <w:r w:rsidR="00175572" w:rsidRPr="00D93D96">
        <w:t xml:space="preserve"> Outcome </w:t>
      </w:r>
      <w:r w:rsidR="00E70B6F" w:rsidRPr="00D93D96">
        <w:t>1</w:t>
      </w:r>
    </w:p>
    <w:p w:rsidR="00E70B6F" w:rsidRPr="00EA1E1E" w:rsidRDefault="008C3D0D" w:rsidP="00E70B6F">
      <w:pPr>
        <w:pStyle w:val="TableGraphic"/>
        <w:rPr>
          <w:lang w:val="x-none"/>
        </w:rPr>
      </w:pPr>
      <w:r>
        <w:rPr>
          <w:noProof/>
          <w:lang w:eastAsia="zh-CN"/>
        </w:rPr>
        <w:drawing>
          <wp:inline distT="0" distB="0" distL="0" distR="0">
            <wp:extent cx="4892634" cy="2863745"/>
            <wp:effectExtent l="0" t="0" r="381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906489" cy="2871855"/>
                    </a:xfrm>
                    <a:prstGeom prst="rect">
                      <a:avLst/>
                    </a:prstGeom>
                    <a:noFill/>
                    <a:ln>
                      <a:noFill/>
                    </a:ln>
                  </pic:spPr>
                </pic:pic>
              </a:graphicData>
            </a:graphic>
          </wp:inline>
        </w:drawing>
      </w:r>
    </w:p>
    <w:p w:rsidR="00E70B6F" w:rsidRDefault="00E70B6F" w:rsidP="00E70B6F"/>
    <w:p w:rsidR="00E70B6F" w:rsidRDefault="00E70B6F" w:rsidP="00E70B6F"/>
    <w:p w:rsidR="00E70B6F" w:rsidRPr="009F1AEC" w:rsidRDefault="00175572" w:rsidP="00E70B6F">
      <w:pPr>
        <w:pStyle w:val="Heading5"/>
        <w:rPr>
          <w:lang w:val="en-AU"/>
        </w:rPr>
      </w:pPr>
      <w:r>
        <w:lastRenderedPageBreak/>
        <w:t>Programme obje</w:t>
      </w:r>
      <w:r>
        <w:rPr>
          <w:lang w:val="en-AU"/>
        </w:rPr>
        <w:t xml:space="preserve">ctive </w:t>
      </w:r>
      <w:r w:rsidR="00E70B6F">
        <w:t>1</w:t>
      </w:r>
      <w:r>
        <w:rPr>
          <w:lang w:val="en-AU"/>
        </w:rPr>
        <w:t>.1</w:t>
      </w:r>
    </w:p>
    <w:p w:rsidR="00E70B6F" w:rsidRPr="00EA2AEA" w:rsidRDefault="0016544D" w:rsidP="00E70B6F">
      <w:pPr>
        <w:pStyle w:val="Exampletext0"/>
        <w:rPr>
          <w:iCs/>
          <w:color w:val="auto"/>
          <w:lang w:val="en-AU"/>
        </w:rPr>
      </w:pPr>
      <w:r w:rsidRPr="00EA2AEA">
        <w:rPr>
          <w:i w:val="0"/>
          <w:iCs/>
          <w:color w:val="auto"/>
          <w:lang w:val="en-AU"/>
        </w:rPr>
        <w:t>Programme objective, deliverables and key performance i</w:t>
      </w:r>
      <w:r w:rsidR="00E70B6F" w:rsidRPr="00EA2AEA">
        <w:rPr>
          <w:i w:val="0"/>
          <w:iCs/>
          <w:color w:val="auto"/>
          <w:lang w:val="en-AU"/>
        </w:rPr>
        <w:t xml:space="preserve">ndicators remain consistent with those published in the </w:t>
      </w:r>
      <w:r w:rsidR="00E70B6F" w:rsidRPr="00EA2AEA">
        <w:rPr>
          <w:iCs/>
          <w:color w:val="auto"/>
          <w:lang w:val="en-AU"/>
        </w:rPr>
        <w:t>Portfolio Budget Statements 2015-16</w:t>
      </w:r>
      <w:r w:rsidR="00E70B6F" w:rsidRPr="00EA2AEA">
        <w:rPr>
          <w:i w:val="0"/>
          <w:iCs/>
          <w:color w:val="auto"/>
          <w:lang w:val="en-AU"/>
        </w:rPr>
        <w:t>.</w:t>
      </w:r>
    </w:p>
    <w:p w:rsidR="00E70B6F" w:rsidRPr="00175572" w:rsidRDefault="00E70B6F" w:rsidP="00E70B6F">
      <w:pPr>
        <w:pStyle w:val="Heading5"/>
        <w:rPr>
          <w:lang w:val="en-AU"/>
        </w:rPr>
      </w:pPr>
      <w:r>
        <w:t>Pr</w:t>
      </w:r>
      <w:r w:rsidR="00175572">
        <w:t>ogramme expenses</w:t>
      </w:r>
      <w:r>
        <w:t xml:space="preserve"> 1</w:t>
      </w:r>
      <w:r w:rsidR="00175572">
        <w:rPr>
          <w:lang w:val="en-AU"/>
        </w:rPr>
        <w:t>.1</w:t>
      </w:r>
    </w:p>
    <w:p w:rsidR="00E70B6F" w:rsidRDefault="00E70B6F" w:rsidP="00E70B6F">
      <w:r>
        <w:t>Table 2.2 provides a breakdown of programme 1 expenses by component.</w:t>
      </w:r>
    </w:p>
    <w:p w:rsidR="00E70B6F" w:rsidRDefault="00E70B6F" w:rsidP="00E70B6F">
      <w:pPr>
        <w:pStyle w:val="TableHeading"/>
        <w:rPr>
          <w:lang w:val="en-AU"/>
        </w:rPr>
      </w:pPr>
      <w:r>
        <w:t>Table 2.</w:t>
      </w:r>
      <w:r>
        <w:rPr>
          <w:lang w:val="en-AU"/>
        </w:rPr>
        <w:t>2</w:t>
      </w:r>
      <w:r w:rsidRPr="00D93D96">
        <w:t xml:space="preserve"> </w:t>
      </w:r>
      <w:r>
        <w:rPr>
          <w:lang w:val="en-AU"/>
        </w:rPr>
        <w:t>Programme 1 Expenses by Component</w:t>
      </w:r>
    </w:p>
    <w:p w:rsidR="00E70B6F" w:rsidRPr="00200041" w:rsidRDefault="00820353" w:rsidP="00E70B6F">
      <w:pPr>
        <w:pStyle w:val="TableGraphic"/>
      </w:pPr>
      <w:r>
        <w:rPr>
          <w:noProof/>
          <w:lang w:eastAsia="zh-CN"/>
        </w:rPr>
        <w:drawing>
          <wp:inline distT="0" distB="0" distL="0" distR="0" wp14:anchorId="5CBCAC2C" wp14:editId="4D26081F">
            <wp:extent cx="4857008" cy="2017650"/>
            <wp:effectExtent l="0" t="0" r="127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857008" cy="2017650"/>
                    </a:xfrm>
                    <a:prstGeom prst="rect">
                      <a:avLst/>
                    </a:prstGeom>
                    <a:noFill/>
                    <a:ln>
                      <a:noFill/>
                    </a:ln>
                  </pic:spPr>
                </pic:pic>
              </a:graphicData>
            </a:graphic>
          </wp:inline>
        </w:drawing>
      </w:r>
    </w:p>
    <w:p w:rsidR="00E70B6F" w:rsidRDefault="00175572" w:rsidP="00E70B6F">
      <w:pPr>
        <w:pStyle w:val="Heading2"/>
      </w:pPr>
      <w:r>
        <w:br w:type="page"/>
      </w:r>
      <w:r w:rsidR="00E70B6F" w:rsidRPr="004928FF">
        <w:lastRenderedPageBreak/>
        <w:t>Section 3</w:t>
      </w:r>
      <w:r w:rsidR="00E70B6F">
        <w:t>: Explanatory T</w:t>
      </w:r>
      <w:r w:rsidR="00E70B6F" w:rsidRPr="004928FF">
        <w:t xml:space="preserve">ables and </w:t>
      </w:r>
      <w:r w:rsidR="00E70B6F">
        <w:t>B</w:t>
      </w:r>
      <w:r w:rsidR="00E70B6F" w:rsidRPr="004928FF">
        <w:t xml:space="preserve">udgeted </w:t>
      </w:r>
      <w:r w:rsidR="00E70B6F">
        <w:t>F</w:t>
      </w:r>
      <w:r w:rsidR="00E70B6F" w:rsidRPr="004928FF">
        <w:t xml:space="preserve">inancial </w:t>
      </w:r>
      <w:r w:rsidR="00E70B6F">
        <w:t>S</w:t>
      </w:r>
      <w:r w:rsidR="00E70B6F" w:rsidRPr="004928FF">
        <w:t>tatements</w:t>
      </w:r>
    </w:p>
    <w:p w:rsidR="00E70B6F" w:rsidRDefault="00E70B6F" w:rsidP="00E70B6F">
      <w:pPr>
        <w:pStyle w:val="Heading3"/>
      </w:pPr>
      <w:r>
        <w:t>3.1</w:t>
      </w:r>
      <w:r>
        <w:tab/>
        <w:t>Explanatory Tables</w:t>
      </w:r>
    </w:p>
    <w:p w:rsidR="00E70B6F" w:rsidRDefault="00E70B6F" w:rsidP="00E70B6F">
      <w:pPr>
        <w:pStyle w:val="Heading4"/>
      </w:pPr>
      <w:r w:rsidRPr="004928FF">
        <w:t xml:space="preserve">Estimates </w:t>
      </w:r>
      <w:r w:rsidR="00C73DE0" w:rsidRPr="004928FF">
        <w:t xml:space="preserve">of </w:t>
      </w:r>
      <w:r w:rsidR="00C73DE0">
        <w:t>s</w:t>
      </w:r>
      <w:r w:rsidR="00C73DE0" w:rsidRPr="004928FF">
        <w:t xml:space="preserve">pecial </w:t>
      </w:r>
      <w:r w:rsidR="00C73DE0">
        <w:t>a</w:t>
      </w:r>
      <w:r w:rsidR="00C73DE0" w:rsidRPr="004928FF">
        <w:t xml:space="preserve">ccount </w:t>
      </w:r>
      <w:r w:rsidR="00C73DE0">
        <w:t>f</w:t>
      </w:r>
      <w:r w:rsidR="00C73DE0" w:rsidRPr="004928FF">
        <w:t>lows</w:t>
      </w:r>
    </w:p>
    <w:p w:rsidR="00E70B6F" w:rsidRDefault="00175572" w:rsidP="00E70B6F">
      <w:r>
        <w:t xml:space="preserve">A </w:t>
      </w:r>
      <w:r w:rsidR="00E70B6F">
        <w:t>Special Account Statement is not applicable</w:t>
      </w:r>
      <w:r w:rsidR="00C15D73">
        <w:t xml:space="preserve"> as</w:t>
      </w:r>
      <w:r w:rsidR="00E70B6F">
        <w:t xml:space="preserve"> Tourism Australia has no special accounts.</w:t>
      </w:r>
      <w:r w:rsidR="00E70B6F" w:rsidRPr="00C31E60">
        <w:t xml:space="preserve"> </w:t>
      </w:r>
    </w:p>
    <w:p w:rsidR="00E70B6F" w:rsidRDefault="00E70B6F" w:rsidP="00E70B6F"/>
    <w:p w:rsidR="00E70B6F" w:rsidRDefault="00C73DE0" w:rsidP="00E70B6F">
      <w:pPr>
        <w:pStyle w:val="Heading3"/>
      </w:pPr>
      <w:r>
        <w:br w:type="page"/>
      </w:r>
      <w:r w:rsidR="00E70B6F">
        <w:lastRenderedPageBreak/>
        <w:t>3.2</w:t>
      </w:r>
      <w:r w:rsidR="00E70B6F">
        <w:tab/>
        <w:t>Budgeted financial statements</w:t>
      </w:r>
    </w:p>
    <w:p w:rsidR="00E70B6F" w:rsidRPr="00E473B5" w:rsidRDefault="00E70B6F" w:rsidP="00E70B6F">
      <w:pPr>
        <w:pStyle w:val="Heading4"/>
        <w:rPr>
          <w:lang w:val="en-AU"/>
        </w:rPr>
      </w:pPr>
      <w:r>
        <w:t>3.2.1</w:t>
      </w:r>
      <w:r>
        <w:tab/>
      </w:r>
      <w:r w:rsidRPr="004928FF">
        <w:t xml:space="preserve">Analysis </w:t>
      </w:r>
      <w:r w:rsidR="00E473B5" w:rsidRPr="004928FF">
        <w:t xml:space="preserve">of </w:t>
      </w:r>
      <w:r w:rsidR="00E473B5">
        <w:t>b</w:t>
      </w:r>
      <w:r w:rsidR="00E473B5" w:rsidRPr="004928FF">
        <w:t xml:space="preserve">udgeted </w:t>
      </w:r>
      <w:r w:rsidR="00E473B5">
        <w:t>f</w:t>
      </w:r>
      <w:r w:rsidR="00E473B5" w:rsidRPr="004928FF">
        <w:t xml:space="preserve">inancial </w:t>
      </w:r>
      <w:r w:rsidR="00E473B5">
        <w:t>s</w:t>
      </w:r>
      <w:r w:rsidR="00E473B5" w:rsidRPr="004928FF">
        <w:t>tatements</w:t>
      </w:r>
    </w:p>
    <w:p w:rsidR="00E70B6F" w:rsidRDefault="00E70B6F" w:rsidP="00E70B6F">
      <w:pPr>
        <w:pStyle w:val="ExampleText"/>
        <w:rPr>
          <w:i w:val="0"/>
          <w:color w:val="auto"/>
        </w:rPr>
      </w:pPr>
      <w:r>
        <w:rPr>
          <w:i w:val="0"/>
          <w:color w:val="auto"/>
        </w:rPr>
        <w:t>The financial framework upon which the financial statements are based has not changed since the 2015-16 Budget</w:t>
      </w:r>
      <w:r w:rsidRPr="00E83D3B">
        <w:rPr>
          <w:i w:val="0"/>
          <w:color w:val="auto"/>
        </w:rPr>
        <w:t>.</w:t>
      </w:r>
      <w:r>
        <w:rPr>
          <w:i w:val="0"/>
          <w:color w:val="auto"/>
        </w:rPr>
        <w:t xml:space="preserve"> </w:t>
      </w:r>
    </w:p>
    <w:p w:rsidR="00E70B6F" w:rsidRDefault="00E70B6F" w:rsidP="00E70B6F">
      <w:pPr>
        <w:pStyle w:val="Heading5"/>
      </w:pPr>
      <w:r w:rsidRPr="004928FF">
        <w:t xml:space="preserve">Departmental </w:t>
      </w:r>
      <w:r w:rsidR="00E473B5">
        <w:t>f</w:t>
      </w:r>
      <w:r w:rsidR="00E473B5" w:rsidRPr="004928FF">
        <w:t xml:space="preserve">inancial </w:t>
      </w:r>
      <w:r w:rsidR="00E473B5">
        <w:t>s</w:t>
      </w:r>
      <w:r w:rsidR="00E473B5" w:rsidRPr="004928FF">
        <w:t>tatements</w:t>
      </w:r>
    </w:p>
    <w:p w:rsidR="00E70B6F" w:rsidRDefault="00E70B6F" w:rsidP="0020615E">
      <w:pPr>
        <w:pStyle w:val="TableHeading"/>
        <w:numPr>
          <w:ilvl w:val="0"/>
          <w:numId w:val="3"/>
        </w:numPr>
        <w:spacing w:after="120"/>
        <w:rPr>
          <w:rFonts w:ascii="Book Antiqua" w:hAnsi="Book Antiqua"/>
          <w:b w:val="0"/>
          <w:lang w:val="en-AU" w:eastAsia="zh-CN"/>
        </w:rPr>
      </w:pPr>
      <w:r w:rsidRPr="00C31E60">
        <w:rPr>
          <w:rFonts w:ascii="Book Antiqua" w:hAnsi="Book Antiqua"/>
          <w:b w:val="0"/>
          <w:lang w:eastAsia="zh-CN"/>
        </w:rPr>
        <w:t>An additional appropriation of $6.7 million</w:t>
      </w:r>
      <w:r w:rsidR="007C38DE">
        <w:rPr>
          <w:rFonts w:ascii="Book Antiqua" w:hAnsi="Book Antiqua"/>
          <w:b w:val="0"/>
          <w:lang w:val="en-AU" w:eastAsia="zh-CN"/>
        </w:rPr>
        <w:t>,</w:t>
      </w:r>
      <w:r w:rsidRPr="00C31E60">
        <w:rPr>
          <w:rFonts w:ascii="Book Antiqua" w:hAnsi="Book Antiqua"/>
          <w:b w:val="0"/>
          <w:lang w:eastAsia="zh-CN"/>
        </w:rPr>
        <w:t xml:space="preserve"> </w:t>
      </w:r>
      <w:r w:rsidRPr="00C31E60">
        <w:rPr>
          <w:rFonts w:ascii="Book Antiqua" w:hAnsi="Book Antiqua"/>
          <w:b w:val="0"/>
          <w:lang w:val="en-AU" w:eastAsia="zh-CN"/>
        </w:rPr>
        <w:t xml:space="preserve">representing </w:t>
      </w:r>
      <w:r w:rsidRPr="00C31E60">
        <w:rPr>
          <w:rFonts w:ascii="Book Antiqua" w:hAnsi="Book Antiqua"/>
          <w:b w:val="0"/>
          <w:lang w:eastAsia="zh-CN"/>
        </w:rPr>
        <w:t>supplementation</w:t>
      </w:r>
      <w:r>
        <w:rPr>
          <w:rFonts w:ascii="Book Antiqua" w:hAnsi="Book Antiqua"/>
          <w:b w:val="0"/>
          <w:lang w:eastAsia="zh-CN"/>
        </w:rPr>
        <w:t xml:space="preserve"> </w:t>
      </w:r>
      <w:r>
        <w:rPr>
          <w:rFonts w:ascii="Book Antiqua" w:hAnsi="Book Antiqua"/>
          <w:b w:val="0"/>
          <w:lang w:val="en-AU" w:eastAsia="zh-CN"/>
        </w:rPr>
        <w:t>of</w:t>
      </w:r>
      <w:r w:rsidRPr="00C31E60">
        <w:rPr>
          <w:rFonts w:ascii="Book Antiqua" w:hAnsi="Book Antiqua"/>
          <w:b w:val="0"/>
          <w:lang w:eastAsia="zh-CN"/>
        </w:rPr>
        <w:t xml:space="preserve"> </w:t>
      </w:r>
      <w:r w:rsidR="007C38DE">
        <w:rPr>
          <w:rFonts w:ascii="Book Antiqua" w:hAnsi="Book Antiqua"/>
          <w:b w:val="0"/>
          <w:lang w:val="en-AU" w:eastAsia="zh-CN"/>
        </w:rPr>
        <w:t xml:space="preserve">a </w:t>
      </w:r>
      <w:r w:rsidRPr="00C31E60">
        <w:rPr>
          <w:rFonts w:ascii="Book Antiqua" w:hAnsi="Book Antiqua"/>
          <w:b w:val="0"/>
          <w:lang w:eastAsia="zh-CN"/>
        </w:rPr>
        <w:t xml:space="preserve">foreign exchange </w:t>
      </w:r>
      <w:r>
        <w:rPr>
          <w:rFonts w:ascii="Book Antiqua" w:hAnsi="Book Antiqua"/>
          <w:b w:val="0"/>
          <w:lang w:val="en-AU" w:eastAsia="zh-CN"/>
        </w:rPr>
        <w:t>loss</w:t>
      </w:r>
      <w:r w:rsidR="007C38DE">
        <w:rPr>
          <w:rFonts w:ascii="Book Antiqua" w:hAnsi="Book Antiqua"/>
          <w:b w:val="0"/>
          <w:lang w:val="en-AU" w:eastAsia="zh-CN"/>
        </w:rPr>
        <w:t>,</w:t>
      </w:r>
      <w:r w:rsidRPr="00C31E60">
        <w:rPr>
          <w:rFonts w:ascii="Book Antiqua" w:hAnsi="Book Antiqua"/>
          <w:b w:val="0"/>
          <w:lang w:eastAsia="zh-CN"/>
        </w:rPr>
        <w:t xml:space="preserve"> relate</w:t>
      </w:r>
      <w:r w:rsidR="007C38DE">
        <w:rPr>
          <w:rFonts w:ascii="Book Antiqua" w:hAnsi="Book Antiqua"/>
          <w:b w:val="0"/>
          <w:lang w:val="en-AU" w:eastAsia="zh-CN"/>
        </w:rPr>
        <w:t>s</w:t>
      </w:r>
      <w:r w:rsidRPr="00C31E60">
        <w:rPr>
          <w:rFonts w:ascii="Book Antiqua" w:hAnsi="Book Antiqua"/>
          <w:b w:val="0"/>
          <w:lang w:eastAsia="zh-CN"/>
        </w:rPr>
        <w:t xml:space="preserve"> to </w:t>
      </w:r>
      <w:r w:rsidR="00F9561A">
        <w:rPr>
          <w:rFonts w:ascii="Book Antiqua" w:hAnsi="Book Antiqua"/>
          <w:b w:val="0"/>
          <w:lang w:val="en-AU" w:eastAsia="zh-CN"/>
        </w:rPr>
        <w:t xml:space="preserve">the </w:t>
      </w:r>
      <w:r w:rsidRPr="00C31E60">
        <w:rPr>
          <w:rFonts w:ascii="Book Antiqua" w:hAnsi="Book Antiqua"/>
          <w:b w:val="0"/>
          <w:lang w:eastAsia="zh-CN"/>
        </w:rPr>
        <w:t>prior year</w:t>
      </w:r>
      <w:r w:rsidR="00E221A8">
        <w:rPr>
          <w:rFonts w:ascii="Book Antiqua" w:hAnsi="Book Antiqua"/>
          <w:b w:val="0"/>
          <w:lang w:val="en-AU" w:eastAsia="zh-CN"/>
        </w:rPr>
        <w:t>’</w:t>
      </w:r>
      <w:r w:rsidRPr="00C31E60">
        <w:rPr>
          <w:rFonts w:ascii="Book Antiqua" w:hAnsi="Book Antiqua"/>
          <w:b w:val="0"/>
          <w:lang w:eastAsia="zh-CN"/>
        </w:rPr>
        <w:t>s activities</w:t>
      </w:r>
      <w:r>
        <w:rPr>
          <w:rFonts w:ascii="Book Antiqua" w:hAnsi="Book Antiqua"/>
          <w:b w:val="0"/>
          <w:lang w:val="en-AU" w:eastAsia="zh-CN"/>
        </w:rPr>
        <w:t xml:space="preserve"> </w:t>
      </w:r>
      <w:r w:rsidRPr="00C31E60">
        <w:rPr>
          <w:rFonts w:ascii="Book Antiqua" w:hAnsi="Book Antiqua"/>
          <w:b w:val="0"/>
          <w:lang w:eastAsia="zh-CN"/>
        </w:rPr>
        <w:t>(2014-15</w:t>
      </w:r>
      <w:r w:rsidRPr="00C31E60">
        <w:rPr>
          <w:rFonts w:ascii="Book Antiqua" w:hAnsi="Book Antiqua"/>
          <w:b w:val="0"/>
          <w:lang w:val="en-AU" w:eastAsia="zh-CN"/>
        </w:rPr>
        <w:t>).</w:t>
      </w:r>
    </w:p>
    <w:p w:rsidR="00E70B6F" w:rsidRDefault="00E70B6F" w:rsidP="0020615E">
      <w:pPr>
        <w:pStyle w:val="TableHeading"/>
        <w:numPr>
          <w:ilvl w:val="0"/>
          <w:numId w:val="3"/>
        </w:numPr>
        <w:spacing w:after="120"/>
        <w:rPr>
          <w:rFonts w:ascii="Book Antiqua" w:hAnsi="Book Antiqua"/>
          <w:b w:val="0"/>
          <w:lang w:val="en-AU" w:eastAsia="zh-CN"/>
        </w:rPr>
      </w:pPr>
      <w:r>
        <w:rPr>
          <w:rFonts w:ascii="Book Antiqua" w:hAnsi="Book Antiqua"/>
          <w:b w:val="0"/>
          <w:lang w:val="en-AU" w:eastAsia="zh-CN"/>
        </w:rPr>
        <w:t xml:space="preserve">Total </w:t>
      </w:r>
      <w:r w:rsidR="007C38DE">
        <w:rPr>
          <w:rFonts w:ascii="Book Antiqua" w:hAnsi="Book Antiqua"/>
          <w:b w:val="0"/>
          <w:lang w:eastAsia="zh-CN"/>
        </w:rPr>
        <w:t xml:space="preserve">additional appropriation </w:t>
      </w:r>
      <w:r>
        <w:rPr>
          <w:rFonts w:ascii="Book Antiqua" w:hAnsi="Book Antiqua"/>
          <w:b w:val="0"/>
          <w:lang w:val="en-AU" w:eastAsia="zh-CN"/>
        </w:rPr>
        <w:t xml:space="preserve">of </w:t>
      </w:r>
      <w:r>
        <w:rPr>
          <w:rFonts w:ascii="Book Antiqua" w:hAnsi="Book Antiqua"/>
          <w:b w:val="0"/>
          <w:lang w:eastAsia="zh-CN"/>
        </w:rPr>
        <w:t>$13.</w:t>
      </w:r>
      <w:r>
        <w:rPr>
          <w:rFonts w:ascii="Book Antiqua" w:hAnsi="Book Antiqua"/>
          <w:b w:val="0"/>
          <w:lang w:val="en-AU" w:eastAsia="zh-CN"/>
        </w:rPr>
        <w:t>2</w:t>
      </w:r>
      <w:r w:rsidRPr="00C31E60">
        <w:rPr>
          <w:rFonts w:ascii="Book Antiqua" w:hAnsi="Book Antiqua"/>
          <w:b w:val="0"/>
          <w:lang w:eastAsia="zh-CN"/>
        </w:rPr>
        <w:t xml:space="preserve"> million </w:t>
      </w:r>
      <w:r w:rsidRPr="00C31E60">
        <w:rPr>
          <w:rFonts w:ascii="Book Antiqua" w:hAnsi="Book Antiqua"/>
          <w:b w:val="0"/>
          <w:lang w:val="en-AU" w:eastAsia="zh-CN"/>
        </w:rPr>
        <w:t>represent</w:t>
      </w:r>
      <w:r w:rsidR="00B10953">
        <w:rPr>
          <w:rFonts w:ascii="Book Antiqua" w:hAnsi="Book Antiqua"/>
          <w:b w:val="0"/>
          <w:lang w:val="en-AU" w:eastAsia="zh-CN"/>
        </w:rPr>
        <w:t>s</w:t>
      </w:r>
      <w:r w:rsidRPr="00C31E60">
        <w:rPr>
          <w:rFonts w:ascii="Book Antiqua" w:hAnsi="Book Antiqua"/>
          <w:b w:val="0"/>
          <w:lang w:val="en-AU" w:eastAsia="zh-CN"/>
        </w:rPr>
        <w:t xml:space="preserve"> </w:t>
      </w:r>
      <w:r w:rsidRPr="00C31E60">
        <w:rPr>
          <w:rFonts w:ascii="Book Antiqua" w:hAnsi="Book Antiqua"/>
          <w:b w:val="0"/>
          <w:lang w:eastAsia="zh-CN"/>
        </w:rPr>
        <w:t>supplementation</w:t>
      </w:r>
      <w:r>
        <w:rPr>
          <w:rFonts w:ascii="Book Antiqua" w:hAnsi="Book Antiqua"/>
          <w:b w:val="0"/>
          <w:lang w:eastAsia="zh-CN"/>
        </w:rPr>
        <w:t xml:space="preserve"> of</w:t>
      </w:r>
      <w:r w:rsidRPr="00C31E60">
        <w:rPr>
          <w:rFonts w:ascii="Book Antiqua" w:hAnsi="Book Antiqua"/>
          <w:b w:val="0"/>
          <w:lang w:eastAsia="zh-CN"/>
        </w:rPr>
        <w:t xml:space="preserve"> foreign exchange movement </w:t>
      </w:r>
      <w:r>
        <w:rPr>
          <w:rFonts w:ascii="Book Antiqua" w:hAnsi="Book Antiqua"/>
          <w:b w:val="0"/>
          <w:lang w:val="en-AU" w:eastAsia="zh-CN"/>
        </w:rPr>
        <w:t>in</w:t>
      </w:r>
      <w:r w:rsidR="00E473B5">
        <w:rPr>
          <w:rFonts w:ascii="Book Antiqua" w:hAnsi="Book Antiqua"/>
          <w:b w:val="0"/>
          <w:lang w:val="en-AU" w:eastAsia="zh-CN"/>
        </w:rPr>
        <w:t xml:space="preserve"> the</w:t>
      </w:r>
      <w:r>
        <w:rPr>
          <w:rFonts w:ascii="Book Antiqua" w:hAnsi="Book Antiqua"/>
          <w:b w:val="0"/>
          <w:lang w:val="en-AU" w:eastAsia="zh-CN"/>
        </w:rPr>
        <w:t xml:space="preserve"> following forward Budget years: 2016-17 ($4.3m), 2017-18 ($4.2</w:t>
      </w:r>
      <w:r w:rsidR="00F9561A">
        <w:rPr>
          <w:rFonts w:ascii="Book Antiqua" w:hAnsi="Book Antiqua"/>
          <w:b w:val="0"/>
          <w:lang w:val="en-AU" w:eastAsia="zh-CN"/>
        </w:rPr>
        <w:t>m) and 2018-19 ($4.7</w:t>
      </w:r>
      <w:r>
        <w:rPr>
          <w:rFonts w:ascii="Book Antiqua" w:hAnsi="Book Antiqua"/>
          <w:b w:val="0"/>
          <w:lang w:val="en-AU" w:eastAsia="zh-CN"/>
        </w:rPr>
        <w:t>m) periods.</w:t>
      </w:r>
      <w:r w:rsidRPr="00C31E60">
        <w:rPr>
          <w:rFonts w:ascii="Book Antiqua" w:hAnsi="Book Antiqua"/>
          <w:b w:val="0"/>
          <w:lang w:eastAsia="zh-CN"/>
        </w:rPr>
        <w:t xml:space="preserve"> </w:t>
      </w:r>
    </w:p>
    <w:p w:rsidR="00E70B6F" w:rsidRPr="00430C2B" w:rsidRDefault="00E70B6F" w:rsidP="00E70B6F">
      <w:pPr>
        <w:pStyle w:val="TableGraphic"/>
        <w:rPr>
          <w:lang w:eastAsia="zh-CN"/>
        </w:rPr>
      </w:pPr>
    </w:p>
    <w:p w:rsidR="0075310E" w:rsidRDefault="0075310E" w:rsidP="0075310E">
      <w:pPr>
        <w:pStyle w:val="Heading4"/>
      </w:pPr>
      <w:bookmarkStart w:id="398" w:name="_Toc533506539"/>
      <w:bookmarkStart w:id="399" w:name="_Toc533506614"/>
      <w:bookmarkStart w:id="400" w:name="_Toc533507064"/>
      <w:r>
        <w:lastRenderedPageBreak/>
        <w:t>3.2.2</w:t>
      </w:r>
      <w:r>
        <w:tab/>
      </w:r>
      <w:r w:rsidRPr="004928FF">
        <w:t xml:space="preserve">Budgeted </w:t>
      </w:r>
      <w:r>
        <w:t>f</w:t>
      </w:r>
      <w:r w:rsidRPr="004928FF">
        <w:t xml:space="preserve">inancial </w:t>
      </w:r>
      <w:r>
        <w:t>s</w:t>
      </w:r>
      <w:r w:rsidRPr="004928FF">
        <w:t>tatements</w:t>
      </w:r>
    </w:p>
    <w:p w:rsidR="00E70B6F" w:rsidRPr="00430C2B" w:rsidRDefault="00E70B6F" w:rsidP="0075310E">
      <w:pPr>
        <w:pStyle w:val="TableHeading"/>
        <w:spacing w:before="0"/>
        <w:rPr>
          <w:snapToGrid w:val="0"/>
          <w:lang w:val="en-AU"/>
        </w:rPr>
      </w:pPr>
      <w:r w:rsidRPr="00014438">
        <w:rPr>
          <w:snapToGrid w:val="0"/>
        </w:rPr>
        <w:t>Table 3.2.1</w:t>
      </w:r>
      <w:r>
        <w:rPr>
          <w:snapToGrid w:val="0"/>
        </w:rPr>
        <w:t>:</w:t>
      </w:r>
      <w:r w:rsidRPr="00014438">
        <w:rPr>
          <w:snapToGrid w:val="0"/>
        </w:rPr>
        <w:t xml:space="preserve"> </w:t>
      </w:r>
      <w:r w:rsidR="0075310E">
        <w:rPr>
          <w:snapToGrid w:val="0"/>
        </w:rPr>
        <w:t>C</w:t>
      </w:r>
      <w:r w:rsidR="0075310E" w:rsidRPr="00014438">
        <w:rPr>
          <w:snapToGrid w:val="0"/>
        </w:rPr>
        <w:t>omprehensive income statement (showing net cost of services)</w:t>
      </w:r>
      <w:r w:rsidR="00C15D73">
        <w:rPr>
          <w:snapToGrid w:val="0"/>
          <w:lang w:val="en-AU"/>
        </w:rPr>
        <w:t xml:space="preserve"> for the period ended 30 June</w:t>
      </w:r>
    </w:p>
    <w:p w:rsidR="00F27602" w:rsidRDefault="00712C09" w:rsidP="00F27602">
      <w:pPr>
        <w:pStyle w:val="Source"/>
      </w:pPr>
      <w:r w:rsidRPr="00712C09">
        <w:rPr>
          <w:noProof/>
          <w:lang w:eastAsia="zh-CN"/>
        </w:rPr>
        <w:drawing>
          <wp:inline distT="0" distB="0" distL="0" distR="0">
            <wp:extent cx="4880610" cy="6163310"/>
            <wp:effectExtent l="0" t="0" r="0" b="889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880610" cy="6163310"/>
                    </a:xfrm>
                    <a:prstGeom prst="rect">
                      <a:avLst/>
                    </a:prstGeom>
                    <a:noFill/>
                    <a:ln>
                      <a:noFill/>
                    </a:ln>
                  </pic:spPr>
                </pic:pic>
              </a:graphicData>
            </a:graphic>
          </wp:inline>
        </w:drawing>
      </w:r>
      <w:r w:rsidR="00F27602" w:rsidRPr="00F27602">
        <w:t xml:space="preserve"> </w:t>
      </w:r>
    </w:p>
    <w:p w:rsidR="00D3006C" w:rsidRPr="00D3006C" w:rsidRDefault="00D3006C" w:rsidP="00090025">
      <w:pPr>
        <w:pStyle w:val="TableGraphic"/>
        <w:rPr>
          <w:color w:val="auto"/>
          <w:sz w:val="6"/>
          <w:szCs w:val="6"/>
        </w:rPr>
      </w:pPr>
    </w:p>
    <w:p w:rsidR="00090025" w:rsidRPr="00FF2DAE" w:rsidRDefault="00090025" w:rsidP="00090025">
      <w:pPr>
        <w:pStyle w:val="TableGraphic"/>
        <w:rPr>
          <w:color w:val="auto"/>
        </w:rPr>
      </w:pPr>
      <w:r w:rsidRPr="00FF2DAE">
        <w:rPr>
          <w:color w:val="auto"/>
        </w:rPr>
        <w:t>Table continued on the following page.</w:t>
      </w:r>
    </w:p>
    <w:p w:rsidR="00090025" w:rsidRDefault="00090025" w:rsidP="00F27602">
      <w:pPr>
        <w:pStyle w:val="Source"/>
      </w:pPr>
    </w:p>
    <w:p w:rsidR="00F27602" w:rsidRDefault="00F27602" w:rsidP="00F27602">
      <w:pPr>
        <w:pStyle w:val="Source"/>
      </w:pPr>
      <w:r>
        <w:t>Prepared on Australian Accounting Standards basis.</w:t>
      </w:r>
    </w:p>
    <w:p w:rsidR="00BD4AAE" w:rsidRDefault="00BD4AAE" w:rsidP="00F27602">
      <w:pPr>
        <w:pStyle w:val="Source"/>
      </w:pPr>
    </w:p>
    <w:p w:rsidR="0066574C" w:rsidRPr="00712C09" w:rsidRDefault="0066574C" w:rsidP="0066574C">
      <w:pPr>
        <w:pStyle w:val="TableHeading"/>
        <w:spacing w:before="0"/>
        <w:rPr>
          <w:rFonts w:cs="Arial"/>
          <w:lang w:val="en-AU"/>
        </w:rPr>
      </w:pPr>
      <w:r w:rsidRPr="00712C09">
        <w:rPr>
          <w:rFonts w:cs="Arial"/>
          <w:lang w:val="en-AU"/>
        </w:rPr>
        <w:lastRenderedPageBreak/>
        <w:t>Table 3.2.1: Comprehensive income statement (showing net cost of services) for the period ended 30 June</w:t>
      </w:r>
      <w:r>
        <w:rPr>
          <w:rFonts w:cs="Arial"/>
          <w:lang w:val="en-AU"/>
        </w:rPr>
        <w:t xml:space="preserve"> (continued)</w:t>
      </w:r>
    </w:p>
    <w:p w:rsidR="00E70B6F" w:rsidRPr="00F27602" w:rsidRDefault="007662CD" w:rsidP="00E70B6F">
      <w:pPr>
        <w:pStyle w:val="TableHeading"/>
        <w:spacing w:before="0"/>
        <w:rPr>
          <w:lang w:val="en-AU"/>
        </w:rPr>
      </w:pPr>
      <w:r w:rsidRPr="007662CD">
        <w:rPr>
          <w:noProof/>
          <w:lang w:val="en-AU" w:eastAsia="zh-CN"/>
        </w:rPr>
        <w:drawing>
          <wp:inline distT="0" distB="0" distL="0" distR="0" wp14:anchorId="5847A201" wp14:editId="4F1ED901">
            <wp:extent cx="4896485" cy="1831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896485" cy="1831510"/>
                    </a:xfrm>
                    <a:prstGeom prst="rect">
                      <a:avLst/>
                    </a:prstGeom>
                    <a:noFill/>
                    <a:ln>
                      <a:noFill/>
                    </a:ln>
                  </pic:spPr>
                </pic:pic>
              </a:graphicData>
            </a:graphic>
          </wp:inline>
        </w:drawing>
      </w:r>
    </w:p>
    <w:p w:rsidR="0066574C" w:rsidRDefault="00386558">
      <w:pPr>
        <w:spacing w:after="0" w:line="240" w:lineRule="auto"/>
        <w:jc w:val="left"/>
        <w:rPr>
          <w:rFonts w:ascii="Arial" w:hAnsi="Arial" w:cs="Arial"/>
          <w:snapToGrid w:val="0"/>
          <w:sz w:val="16"/>
          <w:szCs w:val="16"/>
        </w:rPr>
      </w:pPr>
      <w:r>
        <w:rPr>
          <w:rFonts w:ascii="Arial" w:hAnsi="Arial" w:cs="Arial"/>
          <w:snapToGrid w:val="0"/>
          <w:sz w:val="16"/>
          <w:szCs w:val="16"/>
        </w:rPr>
        <w:t>(a</w:t>
      </w:r>
      <w:r w:rsidR="0066574C" w:rsidRPr="0066574C">
        <w:rPr>
          <w:rFonts w:ascii="Arial" w:hAnsi="Arial" w:cs="Arial"/>
          <w:snapToGrid w:val="0"/>
          <w:sz w:val="16"/>
          <w:szCs w:val="16"/>
        </w:rPr>
        <w:t xml:space="preserve">) From 2009-10, the Government replaced </w:t>
      </w:r>
      <w:r w:rsidR="0066574C" w:rsidRPr="00511325">
        <w:rPr>
          <w:rFonts w:ascii="Arial" w:hAnsi="Arial" w:cs="Arial"/>
          <w:i/>
          <w:snapToGrid w:val="0"/>
          <w:sz w:val="16"/>
          <w:szCs w:val="16"/>
        </w:rPr>
        <w:t>Appropriation Act No</w:t>
      </w:r>
      <w:r w:rsidR="0066574C" w:rsidRPr="0066574C">
        <w:rPr>
          <w:rFonts w:ascii="Arial" w:hAnsi="Arial" w:cs="Arial"/>
          <w:snapToGrid w:val="0"/>
          <w:sz w:val="16"/>
          <w:szCs w:val="16"/>
        </w:rPr>
        <w:t>.</w:t>
      </w:r>
      <w:r w:rsidR="0066574C" w:rsidRPr="00511325">
        <w:rPr>
          <w:rFonts w:ascii="Arial" w:hAnsi="Arial" w:cs="Arial"/>
          <w:i/>
          <w:snapToGrid w:val="0"/>
          <w:sz w:val="16"/>
          <w:szCs w:val="16"/>
        </w:rPr>
        <w:t xml:space="preserve"> 1</w:t>
      </w:r>
      <w:r w:rsidR="0066574C" w:rsidRPr="0066574C">
        <w:rPr>
          <w:rFonts w:ascii="Arial" w:hAnsi="Arial" w:cs="Arial"/>
          <w:snapToGrid w:val="0"/>
          <w:sz w:val="16"/>
          <w:szCs w:val="16"/>
        </w:rPr>
        <w:t xml:space="preserve"> and </w:t>
      </w:r>
      <w:r w:rsidR="0066574C" w:rsidRPr="00511325">
        <w:rPr>
          <w:rFonts w:ascii="Arial" w:hAnsi="Arial" w:cs="Arial"/>
          <w:i/>
          <w:snapToGrid w:val="0"/>
          <w:sz w:val="16"/>
          <w:szCs w:val="16"/>
        </w:rPr>
        <w:t>Bill No. 3</w:t>
      </w:r>
      <w:r w:rsidR="0066574C" w:rsidRPr="0066574C">
        <w:rPr>
          <w:rFonts w:ascii="Arial" w:hAnsi="Arial" w:cs="Arial"/>
          <w:snapToGrid w:val="0"/>
          <w:sz w:val="16"/>
          <w:szCs w:val="16"/>
        </w:rPr>
        <w:t xml:space="preserve"> revenue appropriations for the heritage and cultural depreciation expenses of Designated Collection Institutions, with a separate capital budget (the Collection Development Acquisition Budget, or CDAB) provided through </w:t>
      </w:r>
      <w:r w:rsidR="0066574C" w:rsidRPr="00511325">
        <w:rPr>
          <w:rFonts w:ascii="Arial" w:hAnsi="Arial" w:cs="Arial"/>
          <w:i/>
          <w:snapToGrid w:val="0"/>
          <w:sz w:val="16"/>
          <w:szCs w:val="16"/>
        </w:rPr>
        <w:t>Appropriation Act No. 2</w:t>
      </w:r>
      <w:r w:rsidR="0066574C" w:rsidRPr="0066574C">
        <w:rPr>
          <w:rFonts w:ascii="Arial" w:hAnsi="Arial" w:cs="Arial"/>
          <w:snapToGrid w:val="0"/>
          <w:sz w:val="16"/>
          <w:szCs w:val="16"/>
        </w:rPr>
        <w:t xml:space="preserve"> and </w:t>
      </w:r>
      <w:r w:rsidR="0066574C" w:rsidRPr="00511325">
        <w:rPr>
          <w:rFonts w:ascii="Arial" w:hAnsi="Arial" w:cs="Arial"/>
          <w:i/>
          <w:snapToGrid w:val="0"/>
          <w:sz w:val="16"/>
          <w:szCs w:val="16"/>
        </w:rPr>
        <w:t>Bill No. 4</w:t>
      </w:r>
      <w:r w:rsidR="0066574C" w:rsidRPr="0066574C">
        <w:rPr>
          <w:rFonts w:ascii="Arial" w:hAnsi="Arial" w:cs="Arial"/>
          <w:snapToGrid w:val="0"/>
          <w:sz w:val="16"/>
          <w:szCs w:val="16"/>
        </w:rPr>
        <w:t xml:space="preserve"> equity appropriations. For information regarding CDABs, please refer to Table 3.2.5 Departmental Capital Budget Statement.                                              </w:t>
      </w:r>
    </w:p>
    <w:p w:rsidR="0066574C" w:rsidRPr="0066574C" w:rsidRDefault="0066574C">
      <w:pPr>
        <w:spacing w:after="0" w:line="240" w:lineRule="auto"/>
        <w:jc w:val="left"/>
        <w:rPr>
          <w:rFonts w:ascii="Arial" w:hAnsi="Arial" w:cs="Arial"/>
          <w:b/>
          <w:snapToGrid w:val="0"/>
          <w:sz w:val="16"/>
          <w:szCs w:val="16"/>
          <w:lang w:val="x-none"/>
        </w:rPr>
      </w:pPr>
      <w:r w:rsidRPr="0066574C">
        <w:rPr>
          <w:rFonts w:ascii="Arial" w:hAnsi="Arial" w:cs="Arial"/>
          <w:snapToGrid w:val="0"/>
          <w:sz w:val="16"/>
          <w:szCs w:val="16"/>
        </w:rPr>
        <w:t>Prepared on Australian Accounting Standards basis.</w:t>
      </w:r>
      <w:r w:rsidRPr="0066574C">
        <w:rPr>
          <w:rFonts w:ascii="Arial" w:hAnsi="Arial" w:cs="Arial"/>
          <w:snapToGrid w:val="0"/>
          <w:sz w:val="16"/>
          <w:szCs w:val="16"/>
        </w:rPr>
        <w:br w:type="page"/>
      </w:r>
    </w:p>
    <w:p w:rsidR="00E70B6F" w:rsidRDefault="00E70B6F" w:rsidP="00E70B6F">
      <w:pPr>
        <w:pStyle w:val="TableHeading"/>
        <w:spacing w:before="0"/>
        <w:rPr>
          <w:snapToGrid w:val="0"/>
        </w:rPr>
      </w:pPr>
      <w:r w:rsidRPr="00014438">
        <w:rPr>
          <w:snapToGrid w:val="0"/>
        </w:rPr>
        <w:lastRenderedPageBreak/>
        <w:t>Table 3.2.2:</w:t>
      </w:r>
      <w:r w:rsidR="0075310E" w:rsidRPr="0075310E">
        <w:rPr>
          <w:snapToGrid w:val="0"/>
        </w:rPr>
        <w:t xml:space="preserve"> </w:t>
      </w:r>
      <w:r w:rsidR="0075310E" w:rsidRPr="00014438">
        <w:rPr>
          <w:snapToGrid w:val="0"/>
        </w:rPr>
        <w:t xml:space="preserve">Budgeted </w:t>
      </w:r>
      <w:r w:rsidR="0075310E">
        <w:rPr>
          <w:snapToGrid w:val="0"/>
        </w:rPr>
        <w:t>d</w:t>
      </w:r>
      <w:r w:rsidR="0075310E" w:rsidRPr="00014438">
        <w:rPr>
          <w:snapToGrid w:val="0"/>
        </w:rPr>
        <w:t xml:space="preserve">epartmental </w:t>
      </w:r>
      <w:r w:rsidR="0075310E">
        <w:rPr>
          <w:snapToGrid w:val="0"/>
        </w:rPr>
        <w:t>b</w:t>
      </w:r>
      <w:r w:rsidR="0075310E" w:rsidRPr="00014438">
        <w:rPr>
          <w:snapToGrid w:val="0"/>
        </w:rPr>
        <w:t xml:space="preserve">alance </w:t>
      </w:r>
      <w:r w:rsidR="0075310E">
        <w:rPr>
          <w:snapToGrid w:val="0"/>
        </w:rPr>
        <w:t>s</w:t>
      </w:r>
      <w:r w:rsidR="0075310E" w:rsidRPr="00014438">
        <w:rPr>
          <w:snapToGrid w:val="0"/>
        </w:rPr>
        <w:t>heet (as at 30 June)</w:t>
      </w:r>
    </w:p>
    <w:p w:rsidR="00E70B6F" w:rsidRPr="00BD4022" w:rsidRDefault="00255381" w:rsidP="00E70B6F">
      <w:pPr>
        <w:pStyle w:val="TableGraphic"/>
        <w:rPr>
          <w:lang w:val="x-none"/>
        </w:rPr>
      </w:pPr>
      <w:r w:rsidRPr="00255381">
        <w:rPr>
          <w:noProof/>
          <w:lang w:eastAsia="zh-CN"/>
        </w:rPr>
        <w:drawing>
          <wp:inline distT="0" distB="0" distL="0" distR="0">
            <wp:extent cx="4868883" cy="5135338"/>
            <wp:effectExtent l="0" t="0" r="8255" b="8255"/>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884194" cy="5151487"/>
                    </a:xfrm>
                    <a:prstGeom prst="rect">
                      <a:avLst/>
                    </a:prstGeom>
                    <a:noFill/>
                    <a:ln>
                      <a:noFill/>
                    </a:ln>
                  </pic:spPr>
                </pic:pic>
              </a:graphicData>
            </a:graphic>
          </wp:inline>
        </w:drawing>
      </w:r>
    </w:p>
    <w:p w:rsidR="00090025" w:rsidRPr="00FF2DAE" w:rsidRDefault="00090025" w:rsidP="00090025">
      <w:pPr>
        <w:pStyle w:val="TableGraphic"/>
        <w:rPr>
          <w:color w:val="auto"/>
        </w:rPr>
      </w:pPr>
      <w:r w:rsidRPr="00FF2DAE">
        <w:rPr>
          <w:color w:val="auto"/>
        </w:rPr>
        <w:t>Table continued on the following page.</w:t>
      </w:r>
    </w:p>
    <w:p w:rsidR="00090025" w:rsidRDefault="00090025" w:rsidP="00255381">
      <w:pPr>
        <w:spacing w:after="0" w:line="240" w:lineRule="auto"/>
        <w:jc w:val="left"/>
        <w:rPr>
          <w:rFonts w:ascii="Arial" w:hAnsi="Arial" w:cs="Arial"/>
          <w:snapToGrid w:val="0"/>
          <w:sz w:val="16"/>
          <w:szCs w:val="16"/>
        </w:rPr>
      </w:pPr>
    </w:p>
    <w:p w:rsidR="00BD4AAE" w:rsidRDefault="00255381" w:rsidP="00255381">
      <w:pPr>
        <w:spacing w:after="0" w:line="240" w:lineRule="auto"/>
        <w:jc w:val="left"/>
        <w:rPr>
          <w:rFonts w:ascii="Arial" w:hAnsi="Arial" w:cs="Arial"/>
          <w:snapToGrid w:val="0"/>
          <w:sz w:val="16"/>
          <w:szCs w:val="16"/>
        </w:rPr>
      </w:pPr>
      <w:r w:rsidRPr="0066574C">
        <w:rPr>
          <w:rFonts w:ascii="Arial" w:hAnsi="Arial" w:cs="Arial"/>
          <w:snapToGrid w:val="0"/>
          <w:sz w:val="16"/>
          <w:szCs w:val="16"/>
        </w:rPr>
        <w:t>Prepared on Australian Accounting Standards basis.</w:t>
      </w:r>
    </w:p>
    <w:p w:rsidR="00255381" w:rsidRPr="0066574C" w:rsidRDefault="00255381" w:rsidP="00255381">
      <w:pPr>
        <w:spacing w:after="0" w:line="240" w:lineRule="auto"/>
        <w:jc w:val="left"/>
        <w:rPr>
          <w:rFonts w:ascii="Arial" w:hAnsi="Arial" w:cs="Arial"/>
          <w:b/>
          <w:snapToGrid w:val="0"/>
          <w:sz w:val="16"/>
          <w:szCs w:val="16"/>
          <w:lang w:val="x-none"/>
        </w:rPr>
      </w:pPr>
      <w:r w:rsidRPr="0066574C">
        <w:rPr>
          <w:rFonts w:ascii="Arial" w:hAnsi="Arial" w:cs="Arial"/>
          <w:snapToGrid w:val="0"/>
          <w:sz w:val="16"/>
          <w:szCs w:val="16"/>
        </w:rPr>
        <w:br w:type="page"/>
      </w:r>
    </w:p>
    <w:p w:rsidR="00E70B6F" w:rsidRPr="00185F58" w:rsidRDefault="00E70B6F" w:rsidP="00E70B6F">
      <w:pPr>
        <w:spacing w:after="0" w:line="240" w:lineRule="auto"/>
        <w:rPr>
          <w:rFonts w:ascii="Arial" w:hAnsi="Arial" w:cs="Arial"/>
          <w:b/>
          <w:bCs/>
          <w:color w:val="000000"/>
          <w:lang w:eastAsia="zh-CN"/>
        </w:rPr>
      </w:pPr>
      <w:r w:rsidRPr="00185F58">
        <w:rPr>
          <w:rFonts w:ascii="Arial" w:hAnsi="Arial" w:cs="Arial"/>
          <w:b/>
          <w:bCs/>
          <w:color w:val="000000"/>
          <w:lang w:eastAsia="zh-CN"/>
        </w:rPr>
        <w:lastRenderedPageBreak/>
        <w:t xml:space="preserve">Table 3.2.2: Budgeted </w:t>
      </w:r>
      <w:r w:rsidR="00185F58" w:rsidRPr="00185F58">
        <w:rPr>
          <w:rFonts w:ascii="Arial" w:hAnsi="Arial" w:cs="Arial"/>
          <w:b/>
          <w:snapToGrid w:val="0"/>
        </w:rPr>
        <w:t>departmental balance sheet (as at 30 June)</w:t>
      </w:r>
      <w:r w:rsidR="00185F58" w:rsidRPr="00185F58">
        <w:rPr>
          <w:rFonts w:ascii="Arial" w:hAnsi="Arial" w:cs="Arial"/>
          <w:b/>
          <w:bCs/>
          <w:color w:val="000000"/>
          <w:lang w:eastAsia="zh-CN"/>
        </w:rPr>
        <w:t xml:space="preserve"> </w:t>
      </w:r>
      <w:r w:rsidRPr="00185F58">
        <w:rPr>
          <w:rFonts w:ascii="Arial" w:hAnsi="Arial" w:cs="Arial"/>
          <w:b/>
          <w:bCs/>
          <w:color w:val="000000"/>
          <w:lang w:eastAsia="zh-CN"/>
        </w:rPr>
        <w:t>(</w:t>
      </w:r>
      <w:r w:rsidR="008E41A1" w:rsidRPr="008E41A1">
        <w:rPr>
          <w:rFonts w:ascii="Arial" w:hAnsi="Arial" w:cs="Arial"/>
          <w:b/>
        </w:rPr>
        <w:t>continued</w:t>
      </w:r>
      <w:r w:rsidRPr="00185F58">
        <w:rPr>
          <w:rFonts w:ascii="Arial" w:hAnsi="Arial" w:cs="Arial"/>
          <w:b/>
          <w:bCs/>
          <w:color w:val="000000"/>
          <w:lang w:eastAsia="zh-CN"/>
        </w:rPr>
        <w:t>)</w:t>
      </w:r>
    </w:p>
    <w:p w:rsidR="00E70B6F" w:rsidRPr="00CB1BF6" w:rsidRDefault="000D4CD4" w:rsidP="00E70B6F">
      <w:pPr>
        <w:spacing w:after="0" w:line="240" w:lineRule="auto"/>
        <w:rPr>
          <w:rFonts w:ascii="Arial" w:hAnsi="Arial" w:cs="Arial"/>
          <w:b/>
          <w:bCs/>
          <w:color w:val="000000"/>
          <w:sz w:val="16"/>
          <w:szCs w:val="16"/>
          <w:lang w:eastAsia="zh-CN"/>
        </w:rPr>
      </w:pPr>
      <w:r w:rsidRPr="000D4CD4">
        <w:rPr>
          <w:noProof/>
          <w:lang w:eastAsia="zh-CN"/>
        </w:rPr>
        <w:drawing>
          <wp:inline distT="0" distB="0" distL="0" distR="0">
            <wp:extent cx="4857008" cy="1876893"/>
            <wp:effectExtent l="0" t="0" r="1270" b="952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877927" cy="1884977"/>
                    </a:xfrm>
                    <a:prstGeom prst="rect">
                      <a:avLst/>
                    </a:prstGeom>
                    <a:noFill/>
                    <a:ln>
                      <a:noFill/>
                    </a:ln>
                  </pic:spPr>
                </pic:pic>
              </a:graphicData>
            </a:graphic>
          </wp:inline>
        </w:drawing>
      </w:r>
    </w:p>
    <w:p w:rsidR="007355B2" w:rsidRDefault="007355B2" w:rsidP="000D4CD4">
      <w:pPr>
        <w:pStyle w:val="Source"/>
        <w:rPr>
          <w:rFonts w:cs="Arial"/>
        </w:rPr>
      </w:pPr>
      <w:r>
        <w:rPr>
          <w:rFonts w:cs="Arial"/>
          <w:i/>
        </w:rPr>
        <w:t>*</w:t>
      </w:r>
      <w:r w:rsidRPr="00770881">
        <w:rPr>
          <w:rFonts w:cs="Arial"/>
        </w:rPr>
        <w:t>Equity is the residual interest in assets after deduction of liabilities.</w:t>
      </w:r>
    </w:p>
    <w:p w:rsidR="000D4CD4" w:rsidRDefault="000D4CD4" w:rsidP="000D4CD4">
      <w:pPr>
        <w:pStyle w:val="Source"/>
      </w:pPr>
      <w:r>
        <w:t>Prepared on Australian Accounting Standards basis.</w:t>
      </w:r>
    </w:p>
    <w:p w:rsidR="00E70B6F" w:rsidRDefault="00E70B6F" w:rsidP="00E70B6F">
      <w:pPr>
        <w:pStyle w:val="SingleParagraph"/>
        <w:rPr>
          <w:snapToGrid w:val="0"/>
        </w:rPr>
      </w:pPr>
    </w:p>
    <w:p w:rsidR="00351256" w:rsidRDefault="00351256">
      <w:pPr>
        <w:spacing w:after="0" w:line="240" w:lineRule="auto"/>
        <w:jc w:val="left"/>
        <w:rPr>
          <w:rFonts w:ascii="Arial" w:hAnsi="Arial"/>
          <w:b/>
          <w:snapToGrid w:val="0"/>
          <w:lang w:val="x-none"/>
        </w:rPr>
      </w:pPr>
      <w:r>
        <w:rPr>
          <w:snapToGrid w:val="0"/>
        </w:rPr>
        <w:br w:type="page"/>
      </w:r>
    </w:p>
    <w:p w:rsidR="00E70B6F" w:rsidRPr="00185F58" w:rsidRDefault="00E70B6F" w:rsidP="00E70B6F">
      <w:pPr>
        <w:pStyle w:val="TableHeading"/>
        <w:spacing w:before="0"/>
        <w:rPr>
          <w:snapToGrid w:val="0"/>
        </w:rPr>
      </w:pPr>
      <w:r w:rsidRPr="00014438">
        <w:rPr>
          <w:snapToGrid w:val="0"/>
        </w:rPr>
        <w:lastRenderedPageBreak/>
        <w:t>Table 3.2.</w:t>
      </w:r>
      <w:r>
        <w:rPr>
          <w:snapToGrid w:val="0"/>
        </w:rPr>
        <w:t xml:space="preserve">3: </w:t>
      </w:r>
      <w:r w:rsidR="00185F58" w:rsidRPr="00014438">
        <w:rPr>
          <w:snapToGrid w:val="0"/>
        </w:rPr>
        <w:t xml:space="preserve">Departmental </w:t>
      </w:r>
      <w:r w:rsidR="00185F58">
        <w:rPr>
          <w:snapToGrid w:val="0"/>
        </w:rPr>
        <w:t>s</w:t>
      </w:r>
      <w:r w:rsidR="00185F58" w:rsidRPr="00014438">
        <w:rPr>
          <w:snapToGrid w:val="0"/>
        </w:rPr>
        <w:t xml:space="preserve">tatement of </w:t>
      </w:r>
      <w:r w:rsidR="00185F58">
        <w:rPr>
          <w:snapToGrid w:val="0"/>
        </w:rPr>
        <w:t>c</w:t>
      </w:r>
      <w:r w:rsidR="00185F58" w:rsidRPr="00014438">
        <w:rPr>
          <w:snapToGrid w:val="0"/>
        </w:rPr>
        <w:t xml:space="preserve">hanges in </w:t>
      </w:r>
      <w:r w:rsidR="00185F58">
        <w:rPr>
          <w:snapToGrid w:val="0"/>
        </w:rPr>
        <w:t>e</w:t>
      </w:r>
      <w:r w:rsidR="00185F58" w:rsidRPr="00014438">
        <w:rPr>
          <w:snapToGrid w:val="0"/>
        </w:rPr>
        <w:t xml:space="preserve">quity — </w:t>
      </w:r>
      <w:r w:rsidR="00185F58">
        <w:rPr>
          <w:snapToGrid w:val="0"/>
        </w:rPr>
        <w:t>s</w:t>
      </w:r>
      <w:r w:rsidR="00185F58" w:rsidRPr="00014438">
        <w:rPr>
          <w:snapToGrid w:val="0"/>
        </w:rPr>
        <w:t xml:space="preserve">ummary of </w:t>
      </w:r>
      <w:r w:rsidR="00185F58">
        <w:rPr>
          <w:snapToGrid w:val="0"/>
        </w:rPr>
        <w:t>m</w:t>
      </w:r>
      <w:r w:rsidR="00185F58" w:rsidRPr="00014438">
        <w:rPr>
          <w:snapToGrid w:val="0"/>
        </w:rPr>
        <w:t xml:space="preserve">ovement (Budget </w:t>
      </w:r>
      <w:r w:rsidR="00185F58">
        <w:rPr>
          <w:snapToGrid w:val="0"/>
        </w:rPr>
        <w:t>Y</w:t>
      </w:r>
      <w:r w:rsidR="00185F58" w:rsidRPr="00014438">
        <w:rPr>
          <w:snapToGrid w:val="0"/>
        </w:rPr>
        <w:t xml:space="preserve">ear </w:t>
      </w:r>
      <w:r w:rsidR="00185F58">
        <w:rPr>
          <w:snapToGrid w:val="0"/>
        </w:rPr>
        <w:t>201</w:t>
      </w:r>
      <w:r w:rsidR="00185F58">
        <w:rPr>
          <w:snapToGrid w:val="0"/>
          <w:lang w:val="en-AU"/>
        </w:rPr>
        <w:t>5</w:t>
      </w:r>
      <w:r w:rsidR="00185F58">
        <w:rPr>
          <w:snapToGrid w:val="0"/>
        </w:rPr>
        <w:t>-1</w:t>
      </w:r>
      <w:r w:rsidR="00185F58">
        <w:rPr>
          <w:snapToGrid w:val="0"/>
          <w:lang w:val="en-AU"/>
        </w:rPr>
        <w:t>6</w:t>
      </w:r>
      <w:r w:rsidR="00185F58" w:rsidRPr="00014438">
        <w:rPr>
          <w:snapToGrid w:val="0"/>
        </w:rPr>
        <w:t>)</w:t>
      </w:r>
    </w:p>
    <w:p w:rsidR="00E70B6F" w:rsidRPr="000B3B5F" w:rsidRDefault="000D4CD4" w:rsidP="00E70B6F">
      <w:pPr>
        <w:pStyle w:val="TableGraphic"/>
        <w:rPr>
          <w:lang w:val="x-none"/>
        </w:rPr>
      </w:pPr>
      <w:r w:rsidRPr="000D4CD4">
        <w:rPr>
          <w:noProof/>
          <w:lang w:eastAsia="zh-CN"/>
        </w:rPr>
        <w:drawing>
          <wp:inline distT="0" distB="0" distL="0" distR="0">
            <wp:extent cx="4845133" cy="3564552"/>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860405" cy="3575788"/>
                    </a:xfrm>
                    <a:prstGeom prst="rect">
                      <a:avLst/>
                    </a:prstGeom>
                    <a:noFill/>
                    <a:ln>
                      <a:noFill/>
                    </a:ln>
                  </pic:spPr>
                </pic:pic>
              </a:graphicData>
            </a:graphic>
          </wp:inline>
        </w:drawing>
      </w:r>
    </w:p>
    <w:p w:rsidR="000D4CD4" w:rsidRPr="000D4CD4" w:rsidRDefault="000D4CD4" w:rsidP="000D4CD4">
      <w:pPr>
        <w:spacing w:after="0" w:line="240" w:lineRule="auto"/>
        <w:jc w:val="left"/>
        <w:rPr>
          <w:rFonts w:ascii="Arial" w:hAnsi="Arial" w:cs="Arial"/>
          <w:color w:val="000000"/>
          <w:sz w:val="16"/>
          <w:szCs w:val="16"/>
          <w:lang w:eastAsia="zh-CN"/>
        </w:rPr>
      </w:pPr>
      <w:r w:rsidRPr="000D4CD4">
        <w:rPr>
          <w:rFonts w:ascii="Arial" w:hAnsi="Arial" w:cs="Arial"/>
          <w:color w:val="000000"/>
          <w:sz w:val="16"/>
          <w:szCs w:val="16"/>
          <w:lang w:eastAsia="zh-CN"/>
        </w:rPr>
        <w:t xml:space="preserve">* This disclosure is not required if an entity does not have non-controlling interests. </w:t>
      </w:r>
    </w:p>
    <w:p w:rsidR="000D4CD4" w:rsidRDefault="000D4CD4" w:rsidP="000D4CD4">
      <w:pPr>
        <w:pStyle w:val="Source"/>
      </w:pPr>
      <w:r>
        <w:t>Prepared on Australian Accounting Standards basis.</w:t>
      </w:r>
    </w:p>
    <w:p w:rsidR="00E70B6F" w:rsidRPr="000D4CD4" w:rsidRDefault="00E70B6F" w:rsidP="00E70B6F">
      <w:pPr>
        <w:pStyle w:val="TableHeading"/>
        <w:spacing w:before="0"/>
        <w:rPr>
          <w:lang w:val="en-AU"/>
        </w:rPr>
      </w:pPr>
    </w:p>
    <w:p w:rsidR="00E70B6F" w:rsidRPr="00FA4915" w:rsidRDefault="00E70B6F" w:rsidP="00E70B6F">
      <w:pPr>
        <w:pStyle w:val="TableHeading"/>
        <w:spacing w:before="0"/>
        <w:rPr>
          <w:b w:val="0"/>
          <w:snapToGrid w:val="0"/>
          <w:sz w:val="16"/>
          <w:szCs w:val="16"/>
        </w:rPr>
      </w:pPr>
      <w:r w:rsidRPr="001B1E37">
        <w:rPr>
          <w:b w:val="0"/>
          <w:snapToGrid w:val="0"/>
          <w:sz w:val="16"/>
          <w:szCs w:val="16"/>
        </w:rPr>
        <w:t xml:space="preserve"> </w:t>
      </w:r>
    </w:p>
    <w:p w:rsidR="00E70B6F" w:rsidRDefault="00E70B6F" w:rsidP="00E70B6F">
      <w:pPr>
        <w:pStyle w:val="TableHeading"/>
        <w:spacing w:before="0"/>
        <w:rPr>
          <w:snapToGrid w:val="0"/>
        </w:rPr>
      </w:pPr>
    </w:p>
    <w:p w:rsidR="00E70B6F" w:rsidRDefault="00E70B6F" w:rsidP="00E70B6F">
      <w:pPr>
        <w:pStyle w:val="TableHeading"/>
        <w:spacing w:before="0"/>
        <w:rPr>
          <w:snapToGrid w:val="0"/>
        </w:rPr>
      </w:pPr>
    </w:p>
    <w:p w:rsidR="00E70B6F" w:rsidRPr="00CB1BF6" w:rsidRDefault="00E70B6F" w:rsidP="00E70B6F">
      <w:pPr>
        <w:pStyle w:val="TableGraphic"/>
        <w:rPr>
          <w:lang w:val="x-none"/>
        </w:rPr>
      </w:pPr>
    </w:p>
    <w:p w:rsidR="00E70B6F" w:rsidRDefault="00E70B6F" w:rsidP="00E70B6F">
      <w:pPr>
        <w:pStyle w:val="TableHeading"/>
        <w:spacing w:before="0"/>
        <w:rPr>
          <w:snapToGrid w:val="0"/>
        </w:rPr>
      </w:pPr>
    </w:p>
    <w:p w:rsidR="00E70B6F" w:rsidRPr="00CB1BF6" w:rsidRDefault="00E70B6F" w:rsidP="00E70B6F">
      <w:pPr>
        <w:pStyle w:val="TableGraphic"/>
        <w:rPr>
          <w:lang w:val="x-none"/>
        </w:rPr>
      </w:pPr>
    </w:p>
    <w:p w:rsidR="00236E61" w:rsidRPr="00014438" w:rsidRDefault="00E70B6F" w:rsidP="00236E61">
      <w:pPr>
        <w:pStyle w:val="TableHeading"/>
        <w:spacing w:before="0"/>
        <w:rPr>
          <w:snapToGrid w:val="0"/>
        </w:rPr>
      </w:pPr>
      <w:r w:rsidRPr="00014438">
        <w:rPr>
          <w:snapToGrid w:val="0"/>
        </w:rPr>
        <w:lastRenderedPageBreak/>
        <w:t>Table 3.2.</w:t>
      </w:r>
      <w:r>
        <w:rPr>
          <w:snapToGrid w:val="0"/>
        </w:rPr>
        <w:t>4</w:t>
      </w:r>
      <w:r w:rsidRPr="00014438">
        <w:rPr>
          <w:snapToGrid w:val="0"/>
        </w:rPr>
        <w:t xml:space="preserve">: </w:t>
      </w:r>
      <w:r w:rsidR="00236E61" w:rsidRPr="00014438">
        <w:rPr>
          <w:snapToGrid w:val="0"/>
        </w:rPr>
        <w:t xml:space="preserve">Budgeted </w:t>
      </w:r>
      <w:r w:rsidR="00236E61">
        <w:rPr>
          <w:snapToGrid w:val="0"/>
        </w:rPr>
        <w:t>d</w:t>
      </w:r>
      <w:r w:rsidR="00236E61" w:rsidRPr="00014438">
        <w:rPr>
          <w:snapToGrid w:val="0"/>
        </w:rPr>
        <w:t xml:space="preserve">epartmental </w:t>
      </w:r>
      <w:r w:rsidR="00236E61">
        <w:rPr>
          <w:snapToGrid w:val="0"/>
        </w:rPr>
        <w:t>s</w:t>
      </w:r>
      <w:r w:rsidR="00236E61" w:rsidRPr="00014438">
        <w:rPr>
          <w:snapToGrid w:val="0"/>
        </w:rPr>
        <w:t xml:space="preserve">tatement of </w:t>
      </w:r>
      <w:r w:rsidR="00236E61">
        <w:rPr>
          <w:snapToGrid w:val="0"/>
        </w:rPr>
        <w:t>c</w:t>
      </w:r>
      <w:r w:rsidR="00236E61" w:rsidRPr="00014438">
        <w:rPr>
          <w:snapToGrid w:val="0"/>
        </w:rPr>
        <w:t xml:space="preserve">ash </w:t>
      </w:r>
      <w:r w:rsidR="00236E61">
        <w:rPr>
          <w:snapToGrid w:val="0"/>
        </w:rPr>
        <w:t>f</w:t>
      </w:r>
      <w:r w:rsidR="00236E61" w:rsidRPr="00014438">
        <w:rPr>
          <w:snapToGrid w:val="0"/>
        </w:rPr>
        <w:t>lows (</w:t>
      </w:r>
      <w:r w:rsidR="00236E61">
        <w:rPr>
          <w:snapToGrid w:val="0"/>
          <w:lang w:val="en-AU"/>
        </w:rPr>
        <w:t>for the period ended</w:t>
      </w:r>
      <w:r w:rsidR="00236E61" w:rsidRPr="00014438">
        <w:rPr>
          <w:snapToGrid w:val="0"/>
        </w:rPr>
        <w:t xml:space="preserve"> 30 June)</w:t>
      </w:r>
    </w:p>
    <w:p w:rsidR="00B10953" w:rsidRPr="00B10953" w:rsidRDefault="000D4CD4" w:rsidP="00B10953">
      <w:pPr>
        <w:pStyle w:val="TableGraphic"/>
      </w:pPr>
      <w:r w:rsidRPr="000D4CD4">
        <w:rPr>
          <w:noProof/>
          <w:lang w:eastAsia="zh-CN"/>
        </w:rPr>
        <w:drawing>
          <wp:inline distT="0" distB="0" distL="0" distR="0" wp14:anchorId="7481915A" wp14:editId="29B21585">
            <wp:extent cx="4880759" cy="3674352"/>
            <wp:effectExtent l="0" t="0" r="0" b="254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91457" cy="3682406"/>
                    </a:xfrm>
                    <a:prstGeom prst="rect">
                      <a:avLst/>
                    </a:prstGeom>
                    <a:noFill/>
                    <a:ln>
                      <a:noFill/>
                    </a:ln>
                  </pic:spPr>
                </pic:pic>
              </a:graphicData>
            </a:graphic>
          </wp:inline>
        </w:drawing>
      </w:r>
    </w:p>
    <w:p w:rsidR="00090025" w:rsidRPr="00FF2DAE" w:rsidRDefault="00090025" w:rsidP="00090025">
      <w:pPr>
        <w:pStyle w:val="TableGraphic"/>
        <w:rPr>
          <w:color w:val="auto"/>
        </w:rPr>
      </w:pPr>
      <w:r w:rsidRPr="00FF2DAE">
        <w:rPr>
          <w:color w:val="auto"/>
        </w:rPr>
        <w:t>Table continued on the following page.</w:t>
      </w:r>
    </w:p>
    <w:p w:rsidR="00090025" w:rsidRDefault="00090025" w:rsidP="000D4CD4">
      <w:pPr>
        <w:pStyle w:val="Source"/>
      </w:pPr>
    </w:p>
    <w:p w:rsidR="00E70B6F" w:rsidRPr="000D4CD4" w:rsidRDefault="000D4CD4" w:rsidP="000D4CD4">
      <w:pPr>
        <w:pStyle w:val="Source"/>
      </w:pPr>
      <w:r>
        <w:t>Prepared on Australian Accounting Standards basis.</w:t>
      </w:r>
    </w:p>
    <w:p w:rsidR="00E70B6F" w:rsidRPr="00BD4AAE" w:rsidRDefault="00E70B6F" w:rsidP="00E70B6F">
      <w:pPr>
        <w:spacing w:after="0"/>
        <w:rPr>
          <w:rFonts w:ascii="Arial" w:hAnsi="Arial"/>
          <w:b/>
          <w:snapToGrid w:val="0"/>
        </w:rPr>
      </w:pPr>
    </w:p>
    <w:p w:rsidR="00E70B6F" w:rsidRPr="00090025" w:rsidRDefault="00E70B6F" w:rsidP="00E70B6F">
      <w:pPr>
        <w:spacing w:after="0"/>
        <w:rPr>
          <w:rFonts w:ascii="Arial" w:hAnsi="Arial"/>
          <w:b/>
          <w:snapToGrid w:val="0"/>
        </w:rPr>
      </w:pPr>
    </w:p>
    <w:p w:rsidR="00E70B6F" w:rsidRDefault="00E70B6F" w:rsidP="00E70B6F">
      <w:pPr>
        <w:spacing w:after="0"/>
        <w:rPr>
          <w:rFonts w:ascii="Arial" w:hAnsi="Arial"/>
          <w:b/>
          <w:snapToGrid w:val="0"/>
          <w:lang w:val="x-none"/>
        </w:rPr>
      </w:pPr>
    </w:p>
    <w:p w:rsidR="00E70B6F" w:rsidRDefault="00E70B6F" w:rsidP="00E70B6F">
      <w:pPr>
        <w:spacing w:after="0"/>
        <w:rPr>
          <w:rFonts w:ascii="Arial" w:hAnsi="Arial"/>
          <w:b/>
          <w:snapToGrid w:val="0"/>
          <w:lang w:val="x-none"/>
        </w:rPr>
      </w:pPr>
    </w:p>
    <w:p w:rsidR="00E70B6F" w:rsidRDefault="00E70B6F" w:rsidP="00E70B6F">
      <w:pPr>
        <w:spacing w:after="0"/>
        <w:rPr>
          <w:rFonts w:ascii="Arial" w:hAnsi="Arial"/>
          <w:b/>
          <w:snapToGrid w:val="0"/>
          <w:lang w:val="x-none"/>
        </w:rPr>
      </w:pPr>
    </w:p>
    <w:p w:rsidR="00E70B6F" w:rsidRDefault="00E70B6F" w:rsidP="00E70B6F">
      <w:pPr>
        <w:spacing w:after="0"/>
        <w:rPr>
          <w:rFonts w:ascii="Arial" w:hAnsi="Arial"/>
          <w:b/>
          <w:snapToGrid w:val="0"/>
          <w:lang w:val="x-none"/>
        </w:rPr>
      </w:pPr>
    </w:p>
    <w:p w:rsidR="00E70B6F" w:rsidRDefault="00E70B6F" w:rsidP="00E70B6F">
      <w:pPr>
        <w:spacing w:after="0"/>
        <w:rPr>
          <w:rFonts w:ascii="Arial" w:hAnsi="Arial"/>
          <w:b/>
          <w:snapToGrid w:val="0"/>
          <w:lang w:val="x-none"/>
        </w:rPr>
      </w:pPr>
    </w:p>
    <w:p w:rsidR="00E70B6F" w:rsidRDefault="00E70B6F" w:rsidP="00E70B6F">
      <w:pPr>
        <w:spacing w:after="0"/>
        <w:rPr>
          <w:rFonts w:ascii="Arial" w:hAnsi="Arial"/>
          <w:b/>
          <w:snapToGrid w:val="0"/>
          <w:lang w:val="x-none"/>
        </w:rPr>
      </w:pPr>
    </w:p>
    <w:p w:rsidR="00E70B6F" w:rsidRDefault="00E70B6F" w:rsidP="00E70B6F">
      <w:pPr>
        <w:spacing w:after="0"/>
        <w:rPr>
          <w:rFonts w:ascii="Arial" w:hAnsi="Arial"/>
          <w:b/>
          <w:snapToGrid w:val="0"/>
          <w:lang w:val="x-none"/>
        </w:rPr>
      </w:pPr>
    </w:p>
    <w:p w:rsidR="00E70B6F" w:rsidRPr="000D4CD4" w:rsidRDefault="00AE237F" w:rsidP="00E70B6F">
      <w:pPr>
        <w:spacing w:after="0"/>
        <w:rPr>
          <w:rFonts w:ascii="Arial" w:hAnsi="Arial"/>
          <w:b/>
          <w:snapToGrid w:val="0"/>
        </w:rPr>
      </w:pPr>
      <w:r>
        <w:rPr>
          <w:rFonts w:ascii="Arial" w:hAnsi="Arial" w:cs="Arial"/>
          <w:b/>
          <w:snapToGrid w:val="0"/>
          <w:lang w:val="x-none"/>
        </w:rPr>
        <w:br w:type="page"/>
      </w:r>
      <w:r w:rsidR="00E70B6F" w:rsidRPr="00236E61">
        <w:rPr>
          <w:rFonts w:ascii="Arial" w:hAnsi="Arial" w:cs="Arial"/>
          <w:b/>
          <w:snapToGrid w:val="0"/>
          <w:lang w:val="x-none"/>
        </w:rPr>
        <w:lastRenderedPageBreak/>
        <w:t xml:space="preserve">Table 3.2.4: </w:t>
      </w:r>
      <w:r w:rsidR="00236E61" w:rsidRPr="00236E61">
        <w:rPr>
          <w:rFonts w:ascii="Arial" w:hAnsi="Arial" w:cs="Arial"/>
          <w:b/>
          <w:snapToGrid w:val="0"/>
        </w:rPr>
        <w:t>Budgeted departmental statement of cash flows</w:t>
      </w:r>
      <w:r w:rsidR="00236E61">
        <w:rPr>
          <w:rFonts w:ascii="Arial" w:hAnsi="Arial" w:cs="Arial"/>
          <w:b/>
          <w:snapToGrid w:val="0"/>
        </w:rPr>
        <w:t xml:space="preserve"> </w:t>
      </w:r>
      <w:r w:rsidR="00E70B6F">
        <w:rPr>
          <w:rFonts w:ascii="Arial" w:hAnsi="Arial"/>
          <w:b/>
          <w:snapToGrid w:val="0"/>
        </w:rPr>
        <w:t>(f</w:t>
      </w:r>
      <w:r w:rsidR="00E70B6F" w:rsidRPr="00A54FD3">
        <w:rPr>
          <w:rFonts w:ascii="Arial" w:hAnsi="Arial"/>
          <w:b/>
          <w:snapToGrid w:val="0"/>
          <w:lang w:val="x-none"/>
        </w:rPr>
        <w:t xml:space="preserve">or </w:t>
      </w:r>
      <w:r w:rsidR="00236E61">
        <w:rPr>
          <w:rFonts w:ascii="Arial" w:hAnsi="Arial"/>
          <w:b/>
          <w:snapToGrid w:val="0"/>
          <w:lang w:val="x-none"/>
        </w:rPr>
        <w:t xml:space="preserve">the period ended 30 June) </w:t>
      </w:r>
      <w:r w:rsidR="000D4CD4">
        <w:rPr>
          <w:rFonts w:ascii="Arial" w:hAnsi="Arial"/>
          <w:b/>
          <w:snapToGrid w:val="0"/>
        </w:rPr>
        <w:t>(continued)</w:t>
      </w:r>
    </w:p>
    <w:p w:rsidR="00E70B6F" w:rsidRDefault="00CA31FB" w:rsidP="00E70B6F">
      <w:pPr>
        <w:pStyle w:val="TableHeading"/>
        <w:spacing w:before="0"/>
      </w:pPr>
      <w:r w:rsidRPr="00CA31FB">
        <w:rPr>
          <w:noProof/>
          <w:lang w:val="en-AU" w:eastAsia="zh-CN"/>
        </w:rPr>
        <w:drawing>
          <wp:inline distT="0" distB="0" distL="0" distR="0">
            <wp:extent cx="4868883" cy="3419706"/>
            <wp:effectExtent l="0" t="0" r="8255"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888747" cy="3433657"/>
                    </a:xfrm>
                    <a:prstGeom prst="rect">
                      <a:avLst/>
                    </a:prstGeom>
                    <a:noFill/>
                    <a:ln>
                      <a:noFill/>
                    </a:ln>
                  </pic:spPr>
                </pic:pic>
              </a:graphicData>
            </a:graphic>
          </wp:inline>
        </w:drawing>
      </w:r>
    </w:p>
    <w:p w:rsidR="00CA31FB" w:rsidRPr="000D4CD4" w:rsidRDefault="00CA31FB" w:rsidP="00CA31FB">
      <w:pPr>
        <w:pStyle w:val="Source"/>
      </w:pPr>
      <w:r>
        <w:t>Prepared on Australian Accounting Standards basis.</w:t>
      </w:r>
    </w:p>
    <w:p w:rsidR="00E70B6F" w:rsidRPr="00CA31FB" w:rsidRDefault="00E70B6F" w:rsidP="00E70B6F">
      <w:pPr>
        <w:pStyle w:val="TableHeading"/>
        <w:spacing w:before="0"/>
        <w:rPr>
          <w:lang w:val="en-AU"/>
        </w:rPr>
      </w:pPr>
    </w:p>
    <w:p w:rsidR="00E70B6F" w:rsidRDefault="00E70B6F" w:rsidP="00E70B6F">
      <w:pPr>
        <w:pStyle w:val="TableGraphic"/>
        <w:rPr>
          <w:lang w:val="x-none"/>
        </w:rPr>
      </w:pPr>
    </w:p>
    <w:p w:rsidR="00E70B6F" w:rsidRDefault="00E70B6F" w:rsidP="00E70B6F">
      <w:pPr>
        <w:rPr>
          <w:lang w:val="x-none"/>
        </w:rPr>
      </w:pPr>
    </w:p>
    <w:p w:rsidR="00E70B6F" w:rsidRPr="00406235" w:rsidRDefault="00E70B6F" w:rsidP="00E70B6F">
      <w:pPr>
        <w:rPr>
          <w:lang w:val="x-none"/>
        </w:rPr>
      </w:pPr>
    </w:p>
    <w:p w:rsidR="00E70B6F" w:rsidRDefault="00E70B6F" w:rsidP="00E70B6F">
      <w:pPr>
        <w:pStyle w:val="TableHeading"/>
        <w:spacing w:before="0"/>
        <w:rPr>
          <w:snapToGrid w:val="0"/>
          <w:lang w:val="en-AU"/>
        </w:rPr>
      </w:pPr>
      <w:r w:rsidRPr="00014438">
        <w:rPr>
          <w:snapToGrid w:val="0"/>
        </w:rPr>
        <w:lastRenderedPageBreak/>
        <w:t>Table 3.2.5</w:t>
      </w:r>
      <w:r>
        <w:rPr>
          <w:snapToGrid w:val="0"/>
        </w:rPr>
        <w:t>:</w:t>
      </w:r>
      <w:r w:rsidR="00134E61" w:rsidRPr="00014438">
        <w:rPr>
          <w:snapToGrid w:val="0"/>
        </w:rPr>
        <w:t xml:space="preserve"> </w:t>
      </w:r>
      <w:r w:rsidR="00134E61">
        <w:rPr>
          <w:snapToGrid w:val="0"/>
          <w:lang w:val="en-AU"/>
        </w:rPr>
        <w:t xml:space="preserve">Departmental </w:t>
      </w:r>
      <w:r w:rsidR="00134E61" w:rsidRPr="00014438">
        <w:rPr>
          <w:snapToGrid w:val="0"/>
        </w:rPr>
        <w:t>capital budget statement</w:t>
      </w:r>
      <w:r w:rsidR="00134E61">
        <w:rPr>
          <w:snapToGrid w:val="0"/>
          <w:lang w:val="en-AU"/>
        </w:rPr>
        <w:t xml:space="preserve"> (for the period ended 30 June)</w:t>
      </w:r>
    </w:p>
    <w:p w:rsidR="000D4CD4" w:rsidRDefault="000D4CD4" w:rsidP="000D4CD4">
      <w:pPr>
        <w:pStyle w:val="TableGraphic"/>
      </w:pPr>
      <w:r w:rsidRPr="000D4CD4">
        <w:rPr>
          <w:noProof/>
          <w:lang w:eastAsia="zh-CN"/>
        </w:rPr>
        <w:drawing>
          <wp:inline distT="0" distB="0" distL="0" distR="0">
            <wp:extent cx="4861081" cy="3598224"/>
            <wp:effectExtent l="0" t="0" r="0" b="254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869098" cy="3604158"/>
                    </a:xfrm>
                    <a:prstGeom prst="rect">
                      <a:avLst/>
                    </a:prstGeom>
                    <a:noFill/>
                    <a:ln>
                      <a:noFill/>
                    </a:ln>
                  </pic:spPr>
                </pic:pic>
              </a:graphicData>
            </a:graphic>
          </wp:inline>
        </w:drawing>
      </w:r>
    </w:p>
    <w:p w:rsidR="000D4CD4" w:rsidRPr="00444CCF" w:rsidRDefault="000D4CD4" w:rsidP="000D4CD4">
      <w:pPr>
        <w:pStyle w:val="TableGraphic"/>
        <w:numPr>
          <w:ilvl w:val="0"/>
          <w:numId w:val="30"/>
        </w:numPr>
        <w:jc w:val="left"/>
        <w:rPr>
          <w:rFonts w:ascii="Arial" w:hAnsi="Arial" w:cs="Arial"/>
          <w:i w:val="0"/>
          <w:color w:val="auto"/>
          <w:sz w:val="16"/>
          <w:szCs w:val="16"/>
        </w:rPr>
      </w:pPr>
      <w:r w:rsidRPr="00444CCF">
        <w:rPr>
          <w:rFonts w:ascii="Arial" w:hAnsi="Arial" w:cs="Arial"/>
          <w:i w:val="0"/>
          <w:color w:val="auto"/>
          <w:sz w:val="16"/>
          <w:szCs w:val="16"/>
        </w:rPr>
        <w:t xml:space="preserve">Includes </w:t>
      </w:r>
      <w:r w:rsidRPr="00444CCF">
        <w:rPr>
          <w:rFonts w:ascii="Arial" w:hAnsi="Arial" w:cs="Arial"/>
          <w:color w:val="auto"/>
          <w:sz w:val="16"/>
          <w:szCs w:val="16"/>
        </w:rPr>
        <w:t>Appropriation Bills</w:t>
      </w:r>
      <w:r w:rsidRPr="00444CCF">
        <w:rPr>
          <w:rFonts w:ascii="Arial" w:hAnsi="Arial" w:cs="Arial"/>
          <w:i w:val="0"/>
          <w:color w:val="auto"/>
          <w:sz w:val="16"/>
          <w:szCs w:val="16"/>
        </w:rPr>
        <w:t xml:space="preserve"> (</w:t>
      </w:r>
      <w:r w:rsidRPr="00444CCF">
        <w:rPr>
          <w:rFonts w:ascii="Arial" w:hAnsi="Arial" w:cs="Arial"/>
          <w:color w:val="auto"/>
          <w:sz w:val="16"/>
          <w:szCs w:val="16"/>
        </w:rPr>
        <w:t>No</w:t>
      </w:r>
      <w:r w:rsidRPr="00444CCF">
        <w:rPr>
          <w:rFonts w:ascii="Arial" w:hAnsi="Arial" w:cs="Arial"/>
          <w:i w:val="0"/>
          <w:color w:val="auto"/>
          <w:sz w:val="16"/>
          <w:szCs w:val="16"/>
        </w:rPr>
        <w:t>.</w:t>
      </w:r>
      <w:r w:rsidRPr="00444CCF">
        <w:rPr>
          <w:rFonts w:ascii="Arial" w:hAnsi="Arial" w:cs="Arial"/>
          <w:color w:val="auto"/>
          <w:sz w:val="16"/>
          <w:szCs w:val="16"/>
        </w:rPr>
        <w:t xml:space="preserve"> 2</w:t>
      </w:r>
      <w:r w:rsidRPr="00444CCF">
        <w:rPr>
          <w:rFonts w:ascii="Arial" w:hAnsi="Arial" w:cs="Arial"/>
          <w:i w:val="0"/>
          <w:color w:val="auto"/>
          <w:sz w:val="16"/>
          <w:szCs w:val="16"/>
        </w:rPr>
        <w:t xml:space="preserve"> and </w:t>
      </w:r>
      <w:r w:rsidRPr="00444CCF">
        <w:rPr>
          <w:rFonts w:ascii="Arial" w:hAnsi="Arial" w:cs="Arial"/>
          <w:color w:val="auto"/>
          <w:sz w:val="16"/>
          <w:szCs w:val="16"/>
        </w:rPr>
        <w:t>No. 4</w:t>
      </w:r>
      <w:r w:rsidRPr="00444CCF">
        <w:rPr>
          <w:rFonts w:ascii="Arial" w:hAnsi="Arial" w:cs="Arial"/>
          <w:i w:val="0"/>
          <w:color w:val="auto"/>
          <w:sz w:val="16"/>
          <w:szCs w:val="16"/>
        </w:rPr>
        <w:t xml:space="preserve">) and prior </w:t>
      </w:r>
      <w:r w:rsidRPr="00444CCF">
        <w:rPr>
          <w:rFonts w:ascii="Arial" w:hAnsi="Arial" w:cs="Arial"/>
          <w:color w:val="auto"/>
          <w:sz w:val="16"/>
          <w:szCs w:val="16"/>
        </w:rPr>
        <w:t>Appropriation Bills</w:t>
      </w:r>
      <w:r w:rsidRPr="00444CCF">
        <w:rPr>
          <w:rFonts w:ascii="Arial" w:hAnsi="Arial" w:cs="Arial"/>
          <w:i w:val="0"/>
          <w:color w:val="auto"/>
          <w:sz w:val="16"/>
          <w:szCs w:val="16"/>
        </w:rPr>
        <w:t xml:space="preserve"> (</w:t>
      </w:r>
      <w:r w:rsidRPr="00444CCF">
        <w:rPr>
          <w:rFonts w:ascii="Arial" w:hAnsi="Arial" w:cs="Arial"/>
          <w:color w:val="auto"/>
          <w:sz w:val="16"/>
          <w:szCs w:val="16"/>
        </w:rPr>
        <w:t>No. 2</w:t>
      </w:r>
      <w:r w:rsidRPr="00444CCF">
        <w:rPr>
          <w:rFonts w:ascii="Arial" w:hAnsi="Arial" w:cs="Arial"/>
          <w:i w:val="0"/>
          <w:color w:val="auto"/>
          <w:sz w:val="16"/>
          <w:szCs w:val="16"/>
        </w:rPr>
        <w:t xml:space="preserve"> and </w:t>
      </w:r>
      <w:r w:rsidRPr="00444CCF">
        <w:rPr>
          <w:rFonts w:ascii="Arial" w:hAnsi="Arial" w:cs="Arial"/>
          <w:color w:val="auto"/>
          <w:sz w:val="16"/>
          <w:szCs w:val="16"/>
        </w:rPr>
        <w:t>No. 4</w:t>
      </w:r>
      <w:r w:rsidRPr="00444CCF">
        <w:rPr>
          <w:rFonts w:ascii="Arial" w:hAnsi="Arial" w:cs="Arial"/>
          <w:i w:val="0"/>
          <w:color w:val="auto"/>
          <w:sz w:val="16"/>
          <w:szCs w:val="16"/>
        </w:rPr>
        <w:t>) and special capital appropriations.</w:t>
      </w:r>
    </w:p>
    <w:p w:rsidR="00444CCF" w:rsidRPr="00444CCF" w:rsidRDefault="000D4CD4" w:rsidP="00444CCF">
      <w:pPr>
        <w:pStyle w:val="TableGraphic"/>
        <w:numPr>
          <w:ilvl w:val="0"/>
          <w:numId w:val="30"/>
        </w:numPr>
        <w:jc w:val="left"/>
        <w:rPr>
          <w:rFonts w:ascii="Arial" w:hAnsi="Arial" w:cs="Arial"/>
          <w:i w:val="0"/>
          <w:color w:val="auto"/>
          <w:sz w:val="16"/>
          <w:szCs w:val="16"/>
        </w:rPr>
      </w:pPr>
      <w:r w:rsidRPr="00444CCF">
        <w:rPr>
          <w:rFonts w:ascii="Arial" w:hAnsi="Arial" w:cs="Arial"/>
          <w:color w:val="auto"/>
          <w:sz w:val="16"/>
          <w:szCs w:val="16"/>
        </w:rPr>
        <w:t xml:space="preserve"> </w:t>
      </w:r>
      <w:r w:rsidRPr="00444CCF">
        <w:rPr>
          <w:rFonts w:ascii="Arial" w:hAnsi="Arial" w:cs="Arial"/>
          <w:i w:val="0"/>
          <w:color w:val="auto"/>
          <w:sz w:val="16"/>
          <w:szCs w:val="16"/>
        </w:rPr>
        <w:t>Includes the f</w:t>
      </w:r>
      <w:r w:rsidR="00444CCF" w:rsidRPr="00444CCF">
        <w:rPr>
          <w:rFonts w:ascii="Arial" w:hAnsi="Arial" w:cs="Arial"/>
          <w:i w:val="0"/>
          <w:color w:val="auto"/>
          <w:sz w:val="16"/>
          <w:szCs w:val="16"/>
        </w:rPr>
        <w:t>ollowing sources of funding:</w:t>
      </w:r>
    </w:p>
    <w:p w:rsidR="00444CCF" w:rsidRPr="00444CCF" w:rsidRDefault="000D4CD4" w:rsidP="00444CCF">
      <w:pPr>
        <w:pStyle w:val="TableGraphic"/>
        <w:numPr>
          <w:ilvl w:val="1"/>
          <w:numId w:val="30"/>
        </w:numPr>
        <w:jc w:val="left"/>
        <w:rPr>
          <w:rFonts w:ascii="Arial" w:hAnsi="Arial" w:cs="Arial"/>
          <w:i w:val="0"/>
          <w:color w:val="auto"/>
          <w:sz w:val="16"/>
          <w:szCs w:val="16"/>
        </w:rPr>
      </w:pPr>
      <w:r w:rsidRPr="00444CCF">
        <w:rPr>
          <w:rFonts w:ascii="Arial" w:hAnsi="Arial" w:cs="Arial"/>
          <w:i w:val="0"/>
          <w:color w:val="auto"/>
          <w:sz w:val="16"/>
          <w:szCs w:val="16"/>
        </w:rPr>
        <w:t xml:space="preserve">current and prior </w:t>
      </w:r>
      <w:r w:rsidRPr="00444CCF">
        <w:rPr>
          <w:rFonts w:ascii="Arial" w:hAnsi="Arial" w:cs="Arial"/>
          <w:color w:val="auto"/>
          <w:sz w:val="16"/>
          <w:szCs w:val="16"/>
        </w:rPr>
        <w:t>Appropriation Bills</w:t>
      </w:r>
      <w:r w:rsidRPr="00444CCF">
        <w:rPr>
          <w:rFonts w:ascii="Arial" w:hAnsi="Arial" w:cs="Arial"/>
          <w:i w:val="0"/>
          <w:color w:val="auto"/>
          <w:sz w:val="16"/>
          <w:szCs w:val="16"/>
        </w:rPr>
        <w:t xml:space="preserve"> (</w:t>
      </w:r>
      <w:r w:rsidRPr="00444CCF">
        <w:rPr>
          <w:rFonts w:ascii="Arial" w:hAnsi="Arial" w:cs="Arial"/>
          <w:color w:val="auto"/>
          <w:sz w:val="16"/>
          <w:szCs w:val="16"/>
        </w:rPr>
        <w:t>No. 3</w:t>
      </w:r>
      <w:r w:rsidRPr="00444CCF">
        <w:rPr>
          <w:rFonts w:ascii="Arial" w:hAnsi="Arial" w:cs="Arial"/>
          <w:i w:val="0"/>
          <w:color w:val="auto"/>
          <w:sz w:val="16"/>
          <w:szCs w:val="16"/>
        </w:rPr>
        <w:t xml:space="preserve"> and </w:t>
      </w:r>
      <w:r w:rsidRPr="00444CCF">
        <w:rPr>
          <w:rFonts w:ascii="Arial" w:hAnsi="Arial" w:cs="Arial"/>
          <w:color w:val="auto"/>
          <w:sz w:val="16"/>
          <w:szCs w:val="16"/>
        </w:rPr>
        <w:t>No. 5</w:t>
      </w:r>
      <w:r w:rsidRPr="00444CCF">
        <w:rPr>
          <w:rFonts w:ascii="Arial" w:hAnsi="Arial" w:cs="Arial"/>
          <w:i w:val="0"/>
          <w:color w:val="auto"/>
          <w:sz w:val="16"/>
          <w:szCs w:val="16"/>
        </w:rPr>
        <w:t xml:space="preserve">) (excluding amounts from </w:t>
      </w:r>
      <w:r w:rsidR="00444CCF" w:rsidRPr="00444CCF">
        <w:rPr>
          <w:rFonts w:ascii="Arial" w:hAnsi="Arial" w:cs="Arial"/>
          <w:i w:val="0"/>
          <w:color w:val="auto"/>
          <w:sz w:val="16"/>
          <w:szCs w:val="16"/>
        </w:rPr>
        <w:t>the Departmental Capital Budget)</w:t>
      </w:r>
    </w:p>
    <w:p w:rsidR="00444CCF" w:rsidRPr="00444CCF" w:rsidRDefault="00444CCF" w:rsidP="00444CCF">
      <w:pPr>
        <w:pStyle w:val="ListParagraph"/>
        <w:numPr>
          <w:ilvl w:val="1"/>
          <w:numId w:val="30"/>
        </w:numPr>
        <w:rPr>
          <w:rFonts w:ascii="Arial" w:hAnsi="Arial" w:cs="Arial"/>
          <w:sz w:val="16"/>
          <w:szCs w:val="16"/>
        </w:rPr>
      </w:pPr>
      <w:r w:rsidRPr="00444CCF">
        <w:rPr>
          <w:rFonts w:ascii="Arial" w:hAnsi="Arial" w:cs="Arial"/>
          <w:sz w:val="16"/>
          <w:szCs w:val="16"/>
        </w:rPr>
        <w:t>donations and contributions</w:t>
      </w:r>
    </w:p>
    <w:p w:rsidR="00444CCF" w:rsidRPr="00444CCF" w:rsidRDefault="00444CCF" w:rsidP="00444CCF">
      <w:pPr>
        <w:pStyle w:val="ListParagraph"/>
        <w:numPr>
          <w:ilvl w:val="1"/>
          <w:numId w:val="30"/>
        </w:numPr>
        <w:rPr>
          <w:rFonts w:ascii="Arial" w:hAnsi="Arial" w:cs="Arial"/>
          <w:sz w:val="16"/>
          <w:szCs w:val="16"/>
        </w:rPr>
      </w:pPr>
      <w:r w:rsidRPr="00444CCF">
        <w:rPr>
          <w:rFonts w:ascii="Arial" w:hAnsi="Arial" w:cs="Arial"/>
          <w:sz w:val="16"/>
          <w:szCs w:val="16"/>
        </w:rPr>
        <w:t>gifts</w:t>
      </w:r>
    </w:p>
    <w:p w:rsidR="00444CCF" w:rsidRPr="00444CCF" w:rsidRDefault="00444CCF" w:rsidP="00444CCF">
      <w:pPr>
        <w:pStyle w:val="ListParagraph"/>
        <w:numPr>
          <w:ilvl w:val="1"/>
          <w:numId w:val="30"/>
        </w:numPr>
        <w:rPr>
          <w:rFonts w:ascii="Arial" w:hAnsi="Arial" w:cs="Arial"/>
          <w:sz w:val="16"/>
          <w:szCs w:val="16"/>
        </w:rPr>
      </w:pPr>
      <w:r w:rsidRPr="00444CCF">
        <w:rPr>
          <w:rFonts w:ascii="Arial" w:hAnsi="Arial" w:cs="Arial"/>
          <w:sz w:val="16"/>
          <w:szCs w:val="16"/>
        </w:rPr>
        <w:t>internally developed assets</w:t>
      </w:r>
    </w:p>
    <w:p w:rsidR="00444CCF" w:rsidRPr="00444CCF" w:rsidRDefault="00444CCF" w:rsidP="00444CCF">
      <w:pPr>
        <w:pStyle w:val="ListParagraph"/>
        <w:numPr>
          <w:ilvl w:val="1"/>
          <w:numId w:val="30"/>
        </w:numPr>
        <w:rPr>
          <w:rFonts w:ascii="Arial" w:hAnsi="Arial" w:cs="Arial"/>
          <w:sz w:val="16"/>
          <w:szCs w:val="16"/>
        </w:rPr>
      </w:pPr>
      <w:r w:rsidRPr="00444CCF">
        <w:rPr>
          <w:rFonts w:ascii="Arial" w:hAnsi="Arial" w:cs="Arial"/>
          <w:sz w:val="16"/>
          <w:szCs w:val="16"/>
        </w:rPr>
        <w:t>s74 Retained Revenue Receipts</w:t>
      </w:r>
    </w:p>
    <w:p w:rsidR="00444CCF" w:rsidRPr="00444CCF" w:rsidRDefault="00444CCF" w:rsidP="00444CCF">
      <w:pPr>
        <w:pStyle w:val="ListParagraph"/>
        <w:numPr>
          <w:ilvl w:val="1"/>
          <w:numId w:val="30"/>
        </w:numPr>
        <w:rPr>
          <w:rFonts w:ascii="Arial" w:hAnsi="Arial" w:cs="Arial"/>
          <w:sz w:val="16"/>
          <w:szCs w:val="16"/>
        </w:rPr>
      </w:pPr>
      <w:r w:rsidRPr="00444CCF">
        <w:rPr>
          <w:rFonts w:ascii="Arial" w:hAnsi="Arial" w:cs="Arial"/>
          <w:sz w:val="16"/>
          <w:szCs w:val="16"/>
        </w:rPr>
        <w:t>proceeds from the sale of assets.</w:t>
      </w:r>
    </w:p>
    <w:p w:rsidR="00444CCF" w:rsidRPr="000D4CD4" w:rsidRDefault="00444CCF" w:rsidP="00444CCF">
      <w:pPr>
        <w:pStyle w:val="Source"/>
      </w:pPr>
      <w:r>
        <w:t>Prepared on Australian Accounting Standards basis.</w:t>
      </w:r>
    </w:p>
    <w:p w:rsidR="00422992" w:rsidRDefault="00422992">
      <w:pPr>
        <w:spacing w:after="0" w:line="240" w:lineRule="auto"/>
        <w:jc w:val="left"/>
      </w:pPr>
      <w:r>
        <w:br w:type="page"/>
      </w:r>
    </w:p>
    <w:p w:rsidR="00E70B6F" w:rsidRPr="00331396" w:rsidRDefault="00E70B6F" w:rsidP="00E70B6F">
      <w:pPr>
        <w:pStyle w:val="TableHeading"/>
        <w:spacing w:before="0"/>
        <w:rPr>
          <w:snapToGrid w:val="0"/>
          <w:lang w:val="en-AU"/>
        </w:rPr>
      </w:pPr>
      <w:r>
        <w:rPr>
          <w:snapToGrid w:val="0"/>
        </w:rPr>
        <w:lastRenderedPageBreak/>
        <w:t>Table 3.2.</w:t>
      </w:r>
      <w:r>
        <w:rPr>
          <w:snapToGrid w:val="0"/>
          <w:lang w:val="en-AU"/>
        </w:rPr>
        <w:t>6</w:t>
      </w:r>
      <w:r>
        <w:rPr>
          <w:snapToGrid w:val="0"/>
        </w:rPr>
        <w:t>:</w:t>
      </w:r>
      <w:r w:rsidRPr="00014438">
        <w:rPr>
          <w:snapToGrid w:val="0"/>
        </w:rPr>
        <w:t xml:space="preserve"> </w:t>
      </w:r>
      <w:r w:rsidR="00331396" w:rsidRPr="00014438">
        <w:rPr>
          <w:snapToGrid w:val="0"/>
        </w:rPr>
        <w:t>Statement of asset movements (</w:t>
      </w:r>
      <w:r w:rsidR="00331396">
        <w:rPr>
          <w:snapToGrid w:val="0"/>
        </w:rPr>
        <w:t>201</w:t>
      </w:r>
      <w:r w:rsidR="00331396">
        <w:rPr>
          <w:snapToGrid w:val="0"/>
          <w:lang w:val="en-AU"/>
        </w:rPr>
        <w:t>5</w:t>
      </w:r>
      <w:r w:rsidR="00331396">
        <w:rPr>
          <w:snapToGrid w:val="0"/>
        </w:rPr>
        <w:t>-1</w:t>
      </w:r>
      <w:r w:rsidR="00331396">
        <w:rPr>
          <w:snapToGrid w:val="0"/>
          <w:lang w:val="en-AU"/>
        </w:rPr>
        <w:t>6 Budget year</w:t>
      </w:r>
      <w:r w:rsidR="00331396" w:rsidRPr="00014438">
        <w:rPr>
          <w:snapToGrid w:val="0"/>
        </w:rPr>
        <w:t>)</w:t>
      </w:r>
    </w:p>
    <w:p w:rsidR="00E70B6F" w:rsidRDefault="007775DF" w:rsidP="00E70B6F">
      <w:pPr>
        <w:pStyle w:val="Heading4"/>
        <w:rPr>
          <w:bCs/>
          <w:lang w:val="en-AU"/>
        </w:rPr>
      </w:pPr>
      <w:r w:rsidRPr="007775DF">
        <w:rPr>
          <w:noProof/>
          <w:lang w:val="en-AU" w:eastAsia="zh-CN"/>
        </w:rPr>
        <w:drawing>
          <wp:inline distT="0" distB="0" distL="0" distR="0">
            <wp:extent cx="4572000" cy="331470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572000" cy="3314700"/>
                    </a:xfrm>
                    <a:prstGeom prst="rect">
                      <a:avLst/>
                    </a:prstGeom>
                    <a:noFill/>
                    <a:ln>
                      <a:noFill/>
                    </a:ln>
                  </pic:spPr>
                </pic:pic>
              </a:graphicData>
            </a:graphic>
          </wp:inline>
        </w:drawing>
      </w:r>
    </w:p>
    <w:p w:rsidR="00E70B6F" w:rsidRDefault="00E70B6F" w:rsidP="00E70B6F">
      <w:pPr>
        <w:pStyle w:val="Source"/>
      </w:pPr>
      <w:r>
        <w:t>Prepared on Australian Accounting Standards basis.</w:t>
      </w: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Default="00E70B6F" w:rsidP="00E70B6F">
      <w:pPr>
        <w:pStyle w:val="Heading4"/>
        <w:rPr>
          <w:bCs/>
          <w:lang w:val="en-AU"/>
        </w:rPr>
      </w:pPr>
    </w:p>
    <w:p w:rsidR="00E70B6F" w:rsidRPr="00CB1BF6" w:rsidRDefault="00E70B6F" w:rsidP="00E70B6F"/>
    <w:p w:rsidR="00E70B6F" w:rsidRDefault="00015981" w:rsidP="00E70B6F">
      <w:pPr>
        <w:pStyle w:val="Heading4"/>
        <w:rPr>
          <w:bCs/>
        </w:rPr>
      </w:pPr>
      <w:r>
        <w:rPr>
          <w:bCs/>
          <w:lang w:val="en-AU"/>
        </w:rPr>
        <w:br w:type="page"/>
      </w:r>
      <w:r w:rsidR="00E70B6F" w:rsidRPr="004928FF">
        <w:rPr>
          <w:bCs/>
        </w:rPr>
        <w:lastRenderedPageBreak/>
        <w:t>Notes to the financial statements</w:t>
      </w:r>
    </w:p>
    <w:p w:rsidR="00E70B6F" w:rsidRDefault="00E70B6F" w:rsidP="00E70B6F">
      <w:pPr>
        <w:pStyle w:val="Exampletext0"/>
        <w:rPr>
          <w:i w:val="0"/>
          <w:color w:val="auto"/>
        </w:rPr>
      </w:pPr>
      <w:r>
        <w:rPr>
          <w:i w:val="0"/>
          <w:color w:val="auto"/>
        </w:rPr>
        <w:t>The financial statements have been prepared in accordance with:</w:t>
      </w:r>
    </w:p>
    <w:p w:rsidR="00E70B6F" w:rsidRPr="00422992" w:rsidRDefault="00E70B6F" w:rsidP="00422992">
      <w:pPr>
        <w:pStyle w:val="Exampletext0"/>
        <w:numPr>
          <w:ilvl w:val="0"/>
          <w:numId w:val="31"/>
        </w:numPr>
        <w:rPr>
          <w:i w:val="0"/>
          <w:color w:val="auto"/>
        </w:rPr>
      </w:pPr>
      <w:r>
        <w:rPr>
          <w:i w:val="0"/>
          <w:color w:val="auto"/>
        </w:rPr>
        <w:t>Finance Minister’s Orders;</w:t>
      </w:r>
    </w:p>
    <w:p w:rsidR="00422992" w:rsidRPr="00422992" w:rsidRDefault="00E70B6F" w:rsidP="00422992">
      <w:pPr>
        <w:pStyle w:val="Exampletext0"/>
        <w:numPr>
          <w:ilvl w:val="0"/>
          <w:numId w:val="31"/>
        </w:numPr>
        <w:rPr>
          <w:i w:val="0"/>
          <w:color w:val="auto"/>
        </w:rPr>
      </w:pPr>
      <w:r w:rsidRPr="00422992">
        <w:rPr>
          <w:i w:val="0"/>
          <w:color w:val="auto"/>
        </w:rPr>
        <w:t>Australian Accounting Standards and Accounting Interpretations issued by the Australian Accounting Board; and</w:t>
      </w:r>
    </w:p>
    <w:p w:rsidR="00E70B6F" w:rsidRPr="00422992" w:rsidRDefault="00E70B6F" w:rsidP="00422992">
      <w:pPr>
        <w:pStyle w:val="Exampletext0"/>
        <w:numPr>
          <w:ilvl w:val="0"/>
          <w:numId w:val="31"/>
        </w:numPr>
        <w:rPr>
          <w:i w:val="0"/>
          <w:color w:val="auto"/>
        </w:rPr>
      </w:pPr>
      <w:r w:rsidRPr="00422992">
        <w:rPr>
          <w:i w:val="0"/>
          <w:color w:val="auto"/>
        </w:rPr>
        <w:t>Consensus Views of the Urgent Issues Group.</w:t>
      </w:r>
    </w:p>
    <w:p w:rsidR="00E70B6F" w:rsidRDefault="00E70B6F" w:rsidP="00E70B6F">
      <w:pPr>
        <w:pStyle w:val="Exampletext0"/>
        <w:rPr>
          <w:i w:val="0"/>
          <w:color w:val="auto"/>
          <w:lang w:eastAsia="zh-CN"/>
        </w:rPr>
      </w:pPr>
      <w:bookmarkStart w:id="401" w:name="OLE_LINK5"/>
      <w:r>
        <w:rPr>
          <w:i w:val="0"/>
          <w:color w:val="auto"/>
          <w:lang w:eastAsia="zh-CN"/>
        </w:rPr>
        <w:t>Assets and liabilities are recognised in the Balance Sheet when and only when it is probable that future economic benefits will flow and the amounts of the assets or liabilities can be reliably measured.</w:t>
      </w:r>
    </w:p>
    <w:bookmarkEnd w:id="401"/>
    <w:p w:rsidR="00E70B6F" w:rsidRDefault="00E70B6F" w:rsidP="00E70B6F">
      <w:pPr>
        <w:pStyle w:val="Exampletext0"/>
        <w:rPr>
          <w:i w:val="0"/>
          <w:color w:val="auto"/>
          <w:lang w:eastAsia="zh-CN"/>
        </w:rPr>
      </w:pPr>
      <w:r>
        <w:rPr>
          <w:i w:val="0"/>
          <w:color w:val="auto"/>
          <w:lang w:eastAsia="zh-CN"/>
        </w:rPr>
        <w:t>Revenues and expenses are recognised in the Income Statement when and only when the flow or consumption or loss of economic benefits has occurred and can be reliably measured.</w:t>
      </w:r>
    </w:p>
    <w:p w:rsidR="00E70B6F" w:rsidRDefault="00E70B6F" w:rsidP="00E70B6F">
      <w:pPr>
        <w:pStyle w:val="Exampletext0"/>
      </w:pPr>
      <w:r>
        <w:rPr>
          <w:i w:val="0"/>
          <w:color w:val="auto"/>
          <w:lang w:eastAsia="zh-CN"/>
        </w:rPr>
        <w:t xml:space="preserve">The Analysis of Budgeted Financial Statements provides an overview of the key elements of </w:t>
      </w:r>
      <w:r w:rsidRPr="009E600F">
        <w:rPr>
          <w:i w:val="0"/>
          <w:color w:val="auto"/>
          <w:lang w:eastAsia="zh-CN"/>
        </w:rPr>
        <w:t>Tourism Australia</w:t>
      </w:r>
      <w:r>
        <w:rPr>
          <w:i w:val="0"/>
          <w:color w:val="auto"/>
          <w:lang w:eastAsia="zh-CN"/>
        </w:rPr>
        <w:t>’s financial statements, including variations in major aggregates from actual of 201</w:t>
      </w:r>
      <w:r>
        <w:rPr>
          <w:i w:val="0"/>
          <w:color w:val="auto"/>
          <w:lang w:val="en-AU" w:eastAsia="zh-CN"/>
        </w:rPr>
        <w:t>4</w:t>
      </w:r>
      <w:r>
        <w:rPr>
          <w:i w:val="0"/>
          <w:color w:val="auto"/>
          <w:lang w:eastAsia="zh-CN"/>
        </w:rPr>
        <w:t>-15 to budget estimate of 201</w:t>
      </w:r>
      <w:r>
        <w:rPr>
          <w:i w:val="0"/>
          <w:color w:val="auto"/>
          <w:lang w:val="en-AU" w:eastAsia="zh-CN"/>
        </w:rPr>
        <w:t>5</w:t>
      </w:r>
      <w:r>
        <w:rPr>
          <w:i w:val="0"/>
          <w:color w:val="auto"/>
          <w:lang w:eastAsia="zh-CN"/>
        </w:rPr>
        <w:t>-16.</w:t>
      </w:r>
      <w:bookmarkEnd w:id="398"/>
      <w:bookmarkEnd w:id="399"/>
      <w:bookmarkEnd w:id="400"/>
    </w:p>
    <w:p w:rsidR="00E70B6F" w:rsidRPr="00E70B6F" w:rsidRDefault="00E70B6F" w:rsidP="0036637F">
      <w:pPr>
        <w:pStyle w:val="Exampletext0"/>
      </w:pPr>
    </w:p>
    <w:p w:rsidR="00E70B6F" w:rsidRPr="00716FDA" w:rsidRDefault="00E70B6F" w:rsidP="0036637F">
      <w:pPr>
        <w:pStyle w:val="Exampletext0"/>
        <w:rPr>
          <w:lang w:val="en-AU"/>
        </w:rPr>
        <w:sectPr w:rsidR="00E70B6F" w:rsidRPr="00716FDA" w:rsidSect="00D62BC6">
          <w:headerReference w:type="even" r:id="rId150"/>
          <w:headerReference w:type="default" r:id="rId151"/>
          <w:headerReference w:type="first" r:id="rId152"/>
          <w:footerReference w:type="first" r:id="rId153"/>
          <w:pgSz w:w="11907" w:h="16840" w:code="9"/>
          <w:pgMar w:top="2466" w:right="2098" w:bottom="2466" w:left="2098" w:header="1899" w:footer="1899" w:gutter="0"/>
          <w:cols w:space="708"/>
          <w:titlePg/>
          <w:docGrid w:linePitch="360"/>
        </w:sectPr>
      </w:pPr>
    </w:p>
    <w:p w:rsidR="00B710A4" w:rsidRDefault="00B710A4" w:rsidP="00B710A4">
      <w:pPr>
        <w:pStyle w:val="Heading1"/>
      </w:pPr>
      <w:r>
        <w:rPr>
          <w:lang w:val="en-AU"/>
        </w:rPr>
        <w:lastRenderedPageBreak/>
        <w:t xml:space="preserve">Portfolio </w:t>
      </w:r>
      <w:r>
        <w:t>glossary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760"/>
      </w:tblGrid>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Term</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Meaning</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Accrual accounting</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 xml:space="preserve">System of accounting where items are brought to account and included in the financial statements as they are earned or incurred, rather than as they are received or paid. </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Accumulated depreciation</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The aggregate depreciation recorded for a particular depreciating asset.</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 xml:space="preserve">Additional Estimates </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 xml:space="preserve">Where amounts appropriated at Budget time are insufficient, Parliament may appropriate more funds to portfolios through the Additional Estimates Acts. </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Administered</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Revenues, expenses,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Annual appropriation</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Appropriation</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An authorisation by Parliament to spend monies from the Consolidated Revenue Fund for a particular purpose.</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Capital expenditure</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Expenditure by an agency on capital projects, for example purchasing a building.</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Consolidated Revenue Fund</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 xml:space="preserve">Section 81 of the Constitution stipulates that all revenue raised or money received by the Commonwealth forms the one consolidated revenue fund (CRF).  </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Departmental</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 xml:space="preserve">Revenue, expenses, assets and liabilities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lastRenderedPageBreak/>
              <w:t>Depreciation</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Apportionment of an asset’s capital value as an expense over its estimated useful life to take account of normal usage, obsolescence, or the passage of time.</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Effectiveness indicators</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Measure the joint or independent contribution of programmes to the achievement of their specified outcome.</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Efficiency indicators</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Measure the adequacy of an agency’s management of its programmes.  Includes price, quality and quantity indicators. The interrelationship between the three efficiency indicators of any one programme should be considered when judging efficiency.</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Equity or net assets</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Residual interest in the assets of an entity after deduction of its liabilities.</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 xml:space="preserve">Expense </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Total value of all of the resources consumed in producing goods and services or the loss of future economic benefits in the form of reductions in assets or increases in liabilities of an entity.</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Fair value</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Operating result</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Equals revenue less expense.</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Outcomes</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Price</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One of the three key efficien</w:t>
            </w:r>
            <w:r w:rsidR="009565A1">
              <w:t>cy indicators.  The amount the G</w:t>
            </w:r>
            <w:r>
              <w:t>overnment or the community pays for the delivery of programmes.</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Programme</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Activity that delivers benefits, services or transfer payments to individuals, industry and/or the community as a whole, with the aim of achieving the intended result specified in an outcome statement.</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Quality</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 xml:space="preserve">One of the three key efficiency indicators.  Relates to the characteristics by which customers or stakeholders judge an </w:t>
            </w:r>
            <w:r>
              <w:lastRenderedPageBreak/>
              <w:t>organisation, product or service.  Assessment of quality involves use of information gathered from interested parties to identify differences between the user’s expectations and experiences.</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lastRenderedPageBreak/>
              <w:t>Quantity</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One of the three key efficiency indicators.  Examples include: the size of a programme; count or volume measures; how many or how much.</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Revenue</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Total value of resources earned or received to cover the production of goods and services.</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r>
              <w:t>Special Account</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4D73F0">
            <w:r w:rsidRPr="00056553">
              <w:t>Special Accounts allow money in</w:t>
            </w:r>
            <w:r w:rsidR="004D73F0">
              <w:t xml:space="preserve"> the Consolidated Revenue Fund</w:t>
            </w:r>
            <w:r w:rsidRPr="00056553">
              <w:t xml:space="preserve"> to be acknowledged as set</w:t>
            </w:r>
            <w:r w:rsidRPr="00056553">
              <w:noBreakHyphen/>
              <w:t xml:space="preserve">aside (hypothecated) for a particular purpose. </w:t>
            </w:r>
            <w:r>
              <w:t xml:space="preserve"> </w:t>
            </w:r>
            <w:r w:rsidRPr="00056553">
              <w:t xml:space="preserve">Amounts credited to a Special Account may only be spent for the purposes of the Special Account. </w:t>
            </w:r>
            <w:r>
              <w:t xml:space="preserve"> </w:t>
            </w:r>
            <w:r w:rsidRPr="00056553">
              <w:t xml:space="preserve">Special Accounts can only be established by a written determination of the Finance Minister (section 78 of the </w:t>
            </w:r>
            <w:r w:rsidRPr="00056553">
              <w:rPr>
                <w:i/>
              </w:rPr>
              <w:t>Public Governance, Performance and Accountability (PGPA)</w:t>
            </w:r>
            <w:r w:rsidRPr="00056553">
              <w:t xml:space="preserve"> </w:t>
            </w:r>
            <w:r w:rsidRPr="00056553">
              <w:rPr>
                <w:i/>
              </w:rPr>
              <w:t>Act 2013</w:t>
            </w:r>
            <w:r w:rsidRPr="00056553">
              <w:t xml:space="preserve">) or through an Act of Parliament (section 80 of the </w:t>
            </w:r>
            <w:r w:rsidRPr="00056553">
              <w:rPr>
                <w:i/>
              </w:rPr>
              <w:t>PGPA Act 2013</w:t>
            </w:r>
            <w:r w:rsidRPr="00056553">
              <w:t>).</w:t>
            </w:r>
          </w:p>
        </w:tc>
      </w:tr>
      <w:tr w:rsidR="00B710A4" w:rsidTr="00C62694">
        <w:tc>
          <w:tcPr>
            <w:tcW w:w="1980" w:type="dxa"/>
            <w:tcBorders>
              <w:top w:val="single" w:sz="4" w:space="0" w:color="auto"/>
              <w:left w:val="single" w:sz="4" w:space="0" w:color="auto"/>
              <w:bottom w:val="single" w:sz="4" w:space="0" w:color="auto"/>
              <w:right w:val="single" w:sz="4" w:space="0" w:color="auto"/>
            </w:tcBorders>
            <w:hideMark/>
          </w:tcPr>
          <w:p w:rsidR="00B710A4" w:rsidRDefault="00B710A4" w:rsidP="00C62694">
            <w:pPr>
              <w:jc w:val="left"/>
            </w:pPr>
            <w:r>
              <w:t>Special Appropriations (including Standing Appropriations)</w:t>
            </w:r>
          </w:p>
        </w:tc>
        <w:tc>
          <w:tcPr>
            <w:tcW w:w="5760" w:type="dxa"/>
            <w:tcBorders>
              <w:top w:val="single" w:sz="4" w:space="0" w:color="auto"/>
              <w:left w:val="single" w:sz="4" w:space="0" w:color="auto"/>
              <w:bottom w:val="single" w:sz="4" w:space="0" w:color="auto"/>
              <w:right w:val="single" w:sz="4" w:space="0" w:color="auto"/>
            </w:tcBorders>
            <w:hideMark/>
          </w:tcPr>
          <w:p w:rsidR="00B710A4" w:rsidRDefault="00B710A4" w:rsidP="00C62694">
            <w: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noBreakHyphen/>
              <w:t>category consisting of ongoing Special Appropriations - the amount appropriated will depend on circumstances specified in the legislation.</w:t>
            </w:r>
          </w:p>
        </w:tc>
      </w:tr>
    </w:tbl>
    <w:p w:rsidR="002354AC" w:rsidRPr="00B710A4" w:rsidRDefault="002354AC" w:rsidP="00B710A4">
      <w:pPr>
        <w:pStyle w:val="Heading1"/>
        <w:jc w:val="both"/>
        <w:rPr>
          <w:lang w:val="en-AU"/>
        </w:rPr>
      </w:pPr>
    </w:p>
    <w:sectPr w:rsidR="002354AC" w:rsidRPr="00B710A4" w:rsidSect="00484CB3">
      <w:headerReference w:type="even" r:id="rId154"/>
      <w:headerReference w:type="default" r:id="rId155"/>
      <w:headerReference w:type="first" r:id="rId156"/>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35" w:rsidRDefault="00D76E35" w:rsidP="00F51DAC">
      <w:pPr>
        <w:spacing w:after="0" w:line="240" w:lineRule="auto"/>
      </w:pPr>
      <w:r>
        <w:separator/>
      </w:r>
    </w:p>
  </w:endnote>
  <w:endnote w:type="continuationSeparator" w:id="0">
    <w:p w:rsidR="00D76E35" w:rsidRDefault="00D76E35"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F33D2A" w:rsidRDefault="00D76E35" w:rsidP="004C04C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B766AA" w:rsidRDefault="00D76E35" w:rsidP="004C04CB">
    <w:pPr>
      <w:pStyle w:val="Footer"/>
    </w:pPr>
    <w:r>
      <w:fldChar w:fldCharType="begin"/>
    </w:r>
    <w:r>
      <w:instrText xml:space="preserve"> PAGE   \* MERGEFORMAT </w:instrText>
    </w:r>
    <w:r>
      <w:fldChar w:fldCharType="separate"/>
    </w:r>
    <w:r w:rsidR="002C5992">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4951BE" w:rsidRDefault="00D76E35" w:rsidP="004C04CB">
    <w:pPr>
      <w:pStyle w:val="Footer"/>
      <w:rPr>
        <w:lang w:val="en-AU"/>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F33D2A" w:rsidRDefault="00D76E35" w:rsidP="004C04CB">
    <w:pPr>
      <w:pStyle w:val="Footer"/>
    </w:pPr>
    <w:r>
      <w:fldChar w:fldCharType="begin"/>
    </w:r>
    <w:r>
      <w:instrText xml:space="preserve"> PAGE   \* MERGEFORMAT </w:instrText>
    </w:r>
    <w:r>
      <w:fldChar w:fldCharType="separate"/>
    </w:r>
    <w:r w:rsidR="002C5992">
      <w:rPr>
        <w:noProof/>
      </w:rPr>
      <w:t>9</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DD283B" w:rsidRDefault="00D76E35" w:rsidP="004C04CB">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2C5992">
      <w:rPr>
        <w:rStyle w:val="PageNumber"/>
        <w:noProof/>
      </w:rPr>
      <w:t>11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225158"/>
      <w:docPartObj>
        <w:docPartGallery w:val="Page Numbers (Bottom of Page)"/>
        <w:docPartUnique/>
      </w:docPartObj>
    </w:sdtPr>
    <w:sdtEndPr>
      <w:rPr>
        <w:noProof/>
      </w:rPr>
    </w:sdtEndPr>
    <w:sdtContent>
      <w:p w:rsidR="00D76E35" w:rsidRPr="005F7A63" w:rsidRDefault="00D76E35" w:rsidP="005F7A63">
        <w:pPr>
          <w:pStyle w:val="Footer"/>
        </w:pPr>
        <w:r>
          <w:fldChar w:fldCharType="begin"/>
        </w:r>
        <w:r>
          <w:instrText xml:space="preserve"> PAGE   \* MERGEFORMAT </w:instrText>
        </w:r>
        <w:r>
          <w:fldChar w:fldCharType="separate"/>
        </w:r>
        <w:r w:rsidR="002C5992">
          <w:rPr>
            <w:noProof/>
          </w:rPr>
          <w:t>52</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B42A65" w:rsidRDefault="00D76E35" w:rsidP="004C04CB">
    <w:pPr>
      <w:pStyle w:val="Footer"/>
    </w:pPr>
    <w:r>
      <w:rPr>
        <w:rStyle w:val="PageNumber"/>
      </w:rPr>
      <w:fldChar w:fldCharType="begin"/>
    </w:r>
    <w:r>
      <w:rPr>
        <w:rStyle w:val="PageNumber"/>
      </w:rPr>
      <w:instrText xml:space="preserve"> PAGE </w:instrText>
    </w:r>
    <w:r>
      <w:rPr>
        <w:rStyle w:val="PageNumber"/>
      </w:rPr>
      <w:fldChar w:fldCharType="separate"/>
    </w:r>
    <w:r w:rsidR="002C5992">
      <w:rPr>
        <w:rStyle w:val="PageNumber"/>
        <w:noProof/>
      </w:rPr>
      <w:t>63</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F33D2A" w:rsidRDefault="00D76E35" w:rsidP="004C04CB">
    <w:pPr>
      <w:pStyle w:val="Footer"/>
    </w:pPr>
    <w:r>
      <w:fldChar w:fldCharType="begin"/>
    </w:r>
    <w:r>
      <w:instrText xml:space="preserve"> PAGE   \* MERGEFORMAT </w:instrText>
    </w:r>
    <w:r>
      <w:fldChar w:fldCharType="separate"/>
    </w:r>
    <w:r w:rsidR="002C5992">
      <w:rPr>
        <w:noProof/>
      </w:rPr>
      <w:t>88</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F51DAC" w:rsidRDefault="00D76E35" w:rsidP="00F51DAC">
    <w:pPr>
      <w:pStyle w:val="Footer"/>
    </w:pPr>
    <w:r>
      <w:fldChar w:fldCharType="begin"/>
    </w:r>
    <w:r>
      <w:instrText xml:space="preserve"> PAGE   \* MERGEFORMAT </w:instrText>
    </w:r>
    <w:r>
      <w:fldChar w:fldCharType="separate"/>
    </w:r>
    <w:r w:rsidR="00487DB2">
      <w:rPr>
        <w:noProof/>
      </w:rPr>
      <w:t>109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487DB2">
      <w:rPr>
        <w:rStyle w:val="PageNumber"/>
        <w:noProof/>
      </w:rPr>
      <w:t>iii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4C186B" w:rsidRDefault="00D76E35">
    <w:pPr>
      <w:pStyle w:val="Footer"/>
      <w:rPr>
        <w:lang w:val="en-AU"/>
      </w:rPr>
    </w:pPr>
    <w:r>
      <w:fldChar w:fldCharType="begin"/>
    </w:r>
    <w:r>
      <w:instrText xml:space="preserve"> PAGE   \* MERGEFORMAT </w:instrText>
    </w:r>
    <w:r>
      <w:fldChar w:fldCharType="separate"/>
    </w:r>
    <w:r w:rsidR="00487DB2">
      <w:rPr>
        <w:noProof/>
      </w:rPr>
      <w:t>110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r>
      <w:rPr>
        <w:rStyle w:val="PageNumber"/>
      </w:rPr>
      <w:fldChar w:fldCharType="begin"/>
    </w:r>
    <w:r>
      <w:rPr>
        <w:rStyle w:val="PageNumber"/>
      </w:rPr>
      <w:instrText xml:space="preserve"> PAGE </w:instrText>
    </w:r>
    <w:r>
      <w:rPr>
        <w:rStyle w:val="PageNumber"/>
      </w:rPr>
      <w:fldChar w:fldCharType="separate"/>
    </w:r>
    <w:r w:rsidR="00487DB2">
      <w:rPr>
        <w:rStyle w:val="PageNumber"/>
        <w:noProof/>
      </w:rPr>
      <w:t>iv</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r>
      <w:fldChar w:fldCharType="begin"/>
    </w:r>
    <w:r>
      <w:instrText xml:space="preserve"> PAGE   \* MERGEFORMAT </w:instrText>
    </w:r>
    <w:r>
      <w:fldChar w:fldCharType="separate"/>
    </w:r>
    <w:r w:rsidR="00487DB2">
      <w:rPr>
        <w:noProof/>
      </w:rPr>
      <w:t>111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Footer"/>
    </w:pPr>
    <w:r>
      <w:fldChar w:fldCharType="begin"/>
    </w:r>
    <w:r>
      <w:instrText xml:space="preserve"> PAGE   \* MERGEFORMAT </w:instrText>
    </w:r>
    <w:r>
      <w:fldChar w:fldCharType="separate"/>
    </w:r>
    <w:r w:rsidR="00487DB2">
      <w:rPr>
        <w:noProof/>
      </w:rPr>
      <w:t>vii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35" w:rsidRDefault="00D76E35" w:rsidP="00F51DAC">
      <w:pPr>
        <w:spacing w:after="0" w:line="240" w:lineRule="auto"/>
      </w:pPr>
      <w:r>
        <w:separator/>
      </w:r>
    </w:p>
  </w:footnote>
  <w:footnote w:type="continuationSeparator" w:id="0">
    <w:p w:rsidR="00D76E35" w:rsidRDefault="00D76E35" w:rsidP="00F51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53600" w:rsidRDefault="00D76E35" w:rsidP="001C1A5D">
    <w:pPr>
      <w:pStyle w:val="Header"/>
      <w:rPr>
        <w:lang w:val="en-AU"/>
      </w:rPr>
    </w:pPr>
    <w:r>
      <w:rPr>
        <w:lang w:val="en-AU"/>
      </w:rPr>
      <w:t>Portfolio Overview</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rsidP="004C04CB">
    <w:pPr>
      <w:pStyle w:val="HeaderOdd"/>
    </w:pPr>
    <w:r>
      <w:t>Portfolio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8A2684" w:rsidRDefault="00D76E35" w:rsidP="008A268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53600" w:rsidRDefault="00D76E35" w:rsidP="0075360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framePr w:wrap="around" w:vAnchor="page" w:hAnchor="margin" w:x="14460" w:y="7939" w:anchorLock="1"/>
    </w:pPr>
    <w:r>
      <w:fldChar w:fldCharType="begin"/>
    </w:r>
    <w:r>
      <w:instrText xml:space="preserve"> TITLE  \* MERGEFORMAT </w:instrText>
    </w:r>
    <w:r>
      <w:fldChar w:fldCharType="end"/>
    </w:r>
  </w:p>
  <w:p w:rsidR="00D76E35" w:rsidRDefault="00D76E35">
    <w:pPr>
      <w:pStyle w:val="HeaderOdd"/>
    </w:pPr>
    <w:r>
      <w:t>Part C:  Agency Additional Estimates Statements — Agency name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F2353" w:rsidRDefault="00D76E35" w:rsidP="00D23CB9">
    <w:pPr>
      <w:pStyle w:val="Header"/>
      <w:rPr>
        <w:lang w:val="en-AU"/>
      </w:rPr>
    </w:pPr>
    <w:r w:rsidRPr="007F2353">
      <w:rPr>
        <w:lang w:val="en-AU"/>
      </w:rPr>
      <w:t>DFAT Additional Estimates Statements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545D5E" w:rsidRDefault="00D76E35" w:rsidP="00545D5E">
    <w:pPr>
      <w:pStyle w:val="Header"/>
      <w:jc w:val="right"/>
      <w:rPr>
        <w:lang w:val="en-AU"/>
      </w:rPr>
    </w:pPr>
    <w:r w:rsidRPr="007F2353">
      <w:rPr>
        <w:lang w:val="en-AU"/>
      </w:rPr>
      <w:t>DFAT Additional Estimates Statements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F2353" w:rsidRDefault="00D76E35" w:rsidP="009C7197">
    <w:pPr>
      <w:pStyle w:val="Header"/>
      <w:rPr>
        <w:lang w:val="en-AU"/>
      </w:rPr>
    </w:pPr>
    <w:r w:rsidRPr="007F2353">
      <w:rPr>
        <w:lang w:val="en-AU"/>
      </w:rPr>
      <w:t>DFAT Additional Estimates Statements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F2353" w:rsidRDefault="00D76E35" w:rsidP="006B2FA6">
    <w:pPr>
      <w:pStyle w:val="Header"/>
      <w:jc w:val="right"/>
      <w:rPr>
        <w:lang w:val="en-AU"/>
      </w:rPr>
    </w:pPr>
    <w:r w:rsidRPr="007F2353">
      <w:rPr>
        <w:lang w:val="en-AU"/>
      </w:rPr>
      <w:t>DFAT Additional Estimates Statements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9A2DB9" w:rsidRDefault="00D76E35" w:rsidP="009A2DB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F2353" w:rsidRDefault="00D76E35" w:rsidP="009A2DB9">
    <w:pPr>
      <w:pStyle w:val="Header"/>
      <w:jc w:val="right"/>
      <w:rPr>
        <w:lang w:val="en-AU"/>
      </w:rPr>
    </w:pPr>
    <w:r w:rsidRPr="007F2353">
      <w:rPr>
        <w:lang w:val="en-AU"/>
      </w:rPr>
      <w:t>DFAT Additional Estimates Statements</w:t>
    </w:r>
  </w:p>
  <w:p w:rsidR="00D76E35" w:rsidRPr="009A2DB9" w:rsidRDefault="00D76E35" w:rsidP="009A2DB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F2353" w:rsidRDefault="00D76E35" w:rsidP="006B2FA6">
    <w:pPr>
      <w:pStyle w:val="Header"/>
      <w:rPr>
        <w:lang w:val="en-AU"/>
      </w:rPr>
    </w:pPr>
    <w:r w:rsidRPr="007F2353">
      <w:rPr>
        <w:lang w:val="en-AU"/>
      </w:rPr>
      <w:t>DFAT Additional Estimates Statements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D97377" w:rsidRDefault="00D76E35" w:rsidP="00D97377">
    <w:pPr>
      <w:pStyle w:val="Header"/>
      <w:rPr>
        <w:lang w:val="en-AU"/>
      </w:rPr>
    </w:pPr>
    <w:r>
      <w:rPr>
        <w:lang w:val="en-AU"/>
      </w:rPr>
      <w:t>Austrade Additional Estimates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B235D5" w:rsidRDefault="00D76E35" w:rsidP="008B02C3">
    <w:pPr>
      <w:pStyle w:val="Header"/>
      <w:jc w:val="right"/>
    </w:pPr>
    <w:r>
      <w:rPr>
        <w:lang w:val="en-AU"/>
      </w:rPr>
      <w:t>Austrade Additional Estimates Statements</w:t>
    </w:r>
  </w:p>
  <w:p w:rsidR="00D76E35" w:rsidRPr="008B02C3" w:rsidRDefault="00D76E35" w:rsidP="008B02C3">
    <w:pPr>
      <w:pStyle w:val="Heade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8B02C3" w:rsidRDefault="00D76E35" w:rsidP="008B02C3">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F2353" w:rsidRDefault="00D76E35" w:rsidP="007F235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726582" w:rsidRDefault="00D76E35" w:rsidP="0072658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F77875" w:rsidRDefault="00D76E35" w:rsidP="00C03C62">
    <w:pPr>
      <w:pStyle w:val="Header"/>
    </w:pPr>
    <w:r w:rsidRPr="00956D03">
      <w:rPr>
        <w:lang w:val="en-AU"/>
      </w:rPr>
      <w:t>Austrade</w:t>
    </w:r>
    <w:r>
      <w:rPr>
        <w:lang w:val="en-AU"/>
      </w:rPr>
      <w:t xml:space="preserve"> Additional Estimates Statements</w:t>
    </w:r>
  </w:p>
  <w:p w:rsidR="00D76E35" w:rsidRPr="00C03C62" w:rsidRDefault="00D76E35" w:rsidP="00C03C6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rsidP="00B10953">
    <w:pPr>
      <w:pStyle w:val="Header"/>
    </w:pPr>
    <w:r>
      <w:rPr>
        <w:lang w:val="en-AU"/>
      </w:rPr>
      <w:t>Tourism Australia Additional Estimates Statements</w:t>
    </w:r>
  </w:p>
  <w:p w:rsidR="00D76E35" w:rsidRPr="006D115B" w:rsidRDefault="00D76E35" w:rsidP="006D115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rsidP="004C04CB">
    <w:pPr>
      <w:pStyle w:val="HeaderOdd"/>
    </w:pPr>
    <w:r>
      <w:t>Tourism Australia Additional Estimates Statements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D23CB9" w:rsidRDefault="00D76E35" w:rsidP="00D23CB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B710A4" w:rsidRDefault="00D76E35">
    <w:pPr>
      <w:pStyle w:val="Header"/>
      <w:rPr>
        <w:lang w:val="en-AU"/>
      </w:rPr>
    </w:pPr>
    <w:r>
      <w:rPr>
        <w:lang w:val="en-AU"/>
      </w:rPr>
      <w:t>Glossary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rsidP="004C04CB">
    <w:pPr>
      <w:pStyle w:val="HeaderOdd"/>
    </w:pPr>
    <w:r>
      <w:t>Glossary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F53464" w:rsidRDefault="00D76E35" w:rsidP="00F53464">
    <w:pPr>
      <w:pStyle w:val="Header"/>
      <w:jc w:val="center"/>
    </w:pPr>
    <w:r>
      <w:rPr>
        <w:noProof/>
        <w:lang w:val="en-AU" w:eastAsia="zh-CN"/>
      </w:rPr>
      <w:drawing>
        <wp:inline distT="0" distB="0" distL="0" distR="0">
          <wp:extent cx="885825" cy="695325"/>
          <wp:effectExtent l="0" t="0" r="9525" b="9525"/>
          <wp:docPr id="361"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B710A4" w:rsidRDefault="00D76E35" w:rsidP="00484CB3">
    <w:pPr>
      <w:pStyle w:val="Header"/>
      <w:rPr>
        <w:lang w:val="en-AU"/>
      </w:rPr>
    </w:pPr>
    <w:r>
      <w:rPr>
        <w:lang w:val="en-AU"/>
      </w:rPr>
      <w:t>Glossary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Pr="00F53464" w:rsidRDefault="00D76E35" w:rsidP="00F534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35" w:rsidRDefault="00D76E35">
    <w:pPr>
      <w:pStyle w:val="Header"/>
    </w:pPr>
    <w:r>
      <w:t>User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E16"/>
    <w:multiLevelType w:val="hybridMultilevel"/>
    <w:tmpl w:val="B25E2DDC"/>
    <w:lvl w:ilvl="0" w:tplc="04C071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36157F5"/>
    <w:multiLevelType w:val="hybridMultilevel"/>
    <w:tmpl w:val="3FA28A3A"/>
    <w:lvl w:ilvl="0" w:tplc="4B60FF52">
      <w:start w:val="1"/>
      <w:numFmt w:val="lowerLetter"/>
      <w:lvlText w:val="(%1)"/>
      <w:lvlJc w:val="left"/>
      <w:pPr>
        <w:ind w:left="720" w:hanging="360"/>
      </w:pPr>
      <w:rPr>
        <w:rFonts w:ascii="Arial" w:eastAsia="Times New Roman" w:hAnsi="Arial"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566141"/>
    <w:multiLevelType w:val="hybridMultilevel"/>
    <w:tmpl w:val="854C338A"/>
    <w:lvl w:ilvl="0" w:tplc="A7F4A8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D32698C"/>
    <w:multiLevelType w:val="hybridMultilevel"/>
    <w:tmpl w:val="1BEC90C2"/>
    <w:lvl w:ilvl="0" w:tplc="0C347E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3E2FF7"/>
    <w:multiLevelType w:val="hybridMultilevel"/>
    <w:tmpl w:val="F556821C"/>
    <w:lvl w:ilvl="0" w:tplc="F7369178">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E108AA"/>
    <w:multiLevelType w:val="hybridMultilevel"/>
    <w:tmpl w:val="57409FAC"/>
    <w:lvl w:ilvl="0" w:tplc="04C071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10106A2"/>
    <w:multiLevelType w:val="hybridMultilevel"/>
    <w:tmpl w:val="8B247724"/>
    <w:lvl w:ilvl="0" w:tplc="8E168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AE10BC"/>
    <w:multiLevelType w:val="hybridMultilevel"/>
    <w:tmpl w:val="B25E2DDC"/>
    <w:lvl w:ilvl="0" w:tplc="04C071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84C4D0A"/>
    <w:multiLevelType w:val="hybridMultilevel"/>
    <w:tmpl w:val="20524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8D1BB1"/>
    <w:multiLevelType w:val="hybridMultilevel"/>
    <w:tmpl w:val="28E8D65E"/>
    <w:lvl w:ilvl="0" w:tplc="04C071E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C80E66"/>
    <w:multiLevelType w:val="hybridMultilevel"/>
    <w:tmpl w:val="3A484F38"/>
    <w:lvl w:ilvl="0" w:tplc="CAA241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38977F6"/>
    <w:multiLevelType w:val="hybridMultilevel"/>
    <w:tmpl w:val="C402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E659EF"/>
    <w:multiLevelType w:val="hybridMultilevel"/>
    <w:tmpl w:val="B7AA9C24"/>
    <w:lvl w:ilvl="0" w:tplc="8AB4BD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964895"/>
    <w:multiLevelType w:val="hybridMultilevel"/>
    <w:tmpl w:val="9E9A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950761"/>
    <w:multiLevelType w:val="hybridMultilevel"/>
    <w:tmpl w:val="66425EE6"/>
    <w:lvl w:ilvl="0" w:tplc="4B60FF52">
      <w:start w:val="1"/>
      <w:numFmt w:val="lowerLetter"/>
      <w:lvlText w:val="(%1)"/>
      <w:lvlJc w:val="left"/>
      <w:pPr>
        <w:ind w:left="720" w:hanging="360"/>
      </w:pPr>
      <w:rPr>
        <w:rFonts w:ascii="Arial" w:eastAsia="Times New Roman" w:hAnsi="Arial"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694AF2"/>
    <w:multiLevelType w:val="hybridMultilevel"/>
    <w:tmpl w:val="CA0A8EF6"/>
    <w:lvl w:ilvl="0" w:tplc="8E5E19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5BC1EDF"/>
    <w:multiLevelType w:val="hybridMultilevel"/>
    <w:tmpl w:val="0498955A"/>
    <w:lvl w:ilvl="0" w:tplc="0C347E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7DD568C"/>
    <w:multiLevelType w:val="hybridMultilevel"/>
    <w:tmpl w:val="1BEC90C2"/>
    <w:lvl w:ilvl="0" w:tplc="0C347E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B027C7D"/>
    <w:multiLevelType w:val="hybridMultilevel"/>
    <w:tmpl w:val="509E3D44"/>
    <w:lvl w:ilvl="0" w:tplc="FEE0904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BC30AE"/>
    <w:multiLevelType w:val="hybridMultilevel"/>
    <w:tmpl w:val="640C8B46"/>
    <w:lvl w:ilvl="0" w:tplc="9FAC1210">
      <w:start w:val="1"/>
      <w:numFmt w:val="lowerLetter"/>
      <w:lvlText w:val="(%1)"/>
      <w:lvlJc w:val="left"/>
      <w:pPr>
        <w:ind w:left="360" w:hanging="360"/>
      </w:pPr>
      <w:rPr>
        <w:rFonts w:ascii="Arial" w:eastAsia="Times New Roman" w:hAnsi="Arial" w:cs="Arial"/>
      </w:rPr>
    </w:lvl>
    <w:lvl w:ilvl="1" w:tplc="60D8CA4A">
      <w:start w:val="1"/>
      <w:numFmt w:val="bullet"/>
      <w:lvlText w:val="-"/>
      <w:lvlJc w:val="left"/>
      <w:pPr>
        <w:ind w:left="1080" w:hanging="360"/>
      </w:pPr>
      <w:rPr>
        <w:rFonts w:ascii="Courier New" w:hAnsi="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DB87B97"/>
    <w:multiLevelType w:val="hybridMultilevel"/>
    <w:tmpl w:val="C0A27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DC5858"/>
    <w:multiLevelType w:val="hybridMultilevel"/>
    <w:tmpl w:val="4D7294F8"/>
    <w:lvl w:ilvl="0" w:tplc="370416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61B4FD0"/>
    <w:multiLevelType w:val="hybridMultilevel"/>
    <w:tmpl w:val="9E5E2E6C"/>
    <w:lvl w:ilvl="0" w:tplc="04C071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6AE4DB8"/>
    <w:multiLevelType w:val="hybridMultilevel"/>
    <w:tmpl w:val="01FC5E86"/>
    <w:lvl w:ilvl="0" w:tplc="8AB4B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AF0306A"/>
    <w:multiLevelType w:val="hybridMultilevel"/>
    <w:tmpl w:val="251E4206"/>
    <w:lvl w:ilvl="0" w:tplc="60D8CA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713A6B"/>
    <w:multiLevelType w:val="hybridMultilevel"/>
    <w:tmpl w:val="D54C61FE"/>
    <w:lvl w:ilvl="0" w:tplc="61EC0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542064F"/>
    <w:multiLevelType w:val="hybridMultilevel"/>
    <w:tmpl w:val="DA186CD6"/>
    <w:lvl w:ilvl="0" w:tplc="76D689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7492FF9"/>
    <w:multiLevelType w:val="hybridMultilevel"/>
    <w:tmpl w:val="8760FF74"/>
    <w:lvl w:ilvl="0" w:tplc="8AB4B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9BD4D54"/>
    <w:multiLevelType w:val="hybridMultilevel"/>
    <w:tmpl w:val="AA96C942"/>
    <w:lvl w:ilvl="0" w:tplc="04C071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03573CC"/>
    <w:multiLevelType w:val="hybridMultilevel"/>
    <w:tmpl w:val="C0FADF34"/>
    <w:lvl w:ilvl="0" w:tplc="FCC23D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5D124EF"/>
    <w:multiLevelType w:val="hybridMultilevel"/>
    <w:tmpl w:val="22F2F4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5D841EC"/>
    <w:multiLevelType w:val="hybridMultilevel"/>
    <w:tmpl w:val="0DAAAB4C"/>
    <w:lvl w:ilvl="0" w:tplc="6B5AB220">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9F5B1D"/>
    <w:multiLevelType w:val="hybridMultilevel"/>
    <w:tmpl w:val="63D68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77D27776"/>
    <w:multiLevelType w:val="hybridMultilevel"/>
    <w:tmpl w:val="6BFC25CC"/>
    <w:lvl w:ilvl="0" w:tplc="8AB4B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94A4D0D"/>
    <w:multiLevelType w:val="hybridMultilevel"/>
    <w:tmpl w:val="882A3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755C0F"/>
    <w:multiLevelType w:val="hybridMultilevel"/>
    <w:tmpl w:val="F3268FF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AB3044E"/>
    <w:multiLevelType w:val="hybridMultilevel"/>
    <w:tmpl w:val="DEC48B18"/>
    <w:lvl w:ilvl="0" w:tplc="0C347E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1"/>
  </w:num>
  <w:num w:numId="3">
    <w:abstractNumId w:val="8"/>
  </w:num>
  <w:num w:numId="4">
    <w:abstractNumId w:val="36"/>
  </w:num>
  <w:num w:numId="5">
    <w:abstractNumId w:val="13"/>
  </w:num>
  <w:num w:numId="6">
    <w:abstractNumId w:val="11"/>
  </w:num>
  <w:num w:numId="7">
    <w:abstractNumId w:val="21"/>
  </w:num>
  <w:num w:numId="8">
    <w:abstractNumId w:val="33"/>
  </w:num>
  <w:num w:numId="9">
    <w:abstractNumId w:val="1"/>
  </w:num>
  <w:num w:numId="10">
    <w:abstractNumId w:val="32"/>
  </w:num>
  <w:num w:numId="11">
    <w:abstractNumId w:val="15"/>
  </w:num>
  <w:num w:numId="12">
    <w:abstractNumId w:val="24"/>
  </w:num>
  <w:num w:numId="13">
    <w:abstractNumId w:val="34"/>
  </w:num>
  <w:num w:numId="14">
    <w:abstractNumId w:val="28"/>
  </w:num>
  <w:num w:numId="15">
    <w:abstractNumId w:val="12"/>
  </w:num>
  <w:num w:numId="16">
    <w:abstractNumId w:val="29"/>
  </w:num>
  <w:num w:numId="17">
    <w:abstractNumId w:val="30"/>
  </w:num>
  <w:num w:numId="18">
    <w:abstractNumId w:val="4"/>
  </w:num>
  <w:num w:numId="19">
    <w:abstractNumId w:val="22"/>
  </w:num>
  <w:num w:numId="20">
    <w:abstractNumId w:val="16"/>
  </w:num>
  <w:num w:numId="21">
    <w:abstractNumId w:val="27"/>
  </w:num>
  <w:num w:numId="22">
    <w:abstractNumId w:val="37"/>
  </w:num>
  <w:num w:numId="23">
    <w:abstractNumId w:val="17"/>
  </w:num>
  <w:num w:numId="24">
    <w:abstractNumId w:val="19"/>
  </w:num>
  <w:num w:numId="25">
    <w:abstractNumId w:val="3"/>
  </w:num>
  <w:num w:numId="26">
    <w:abstractNumId w:val="18"/>
  </w:num>
  <w:num w:numId="27">
    <w:abstractNumId w:val="7"/>
  </w:num>
  <w:num w:numId="28">
    <w:abstractNumId w:val="5"/>
  </w:num>
  <w:num w:numId="29">
    <w:abstractNumId w:val="23"/>
  </w:num>
  <w:num w:numId="30">
    <w:abstractNumId w:val="20"/>
  </w:num>
  <w:num w:numId="31">
    <w:abstractNumId w:val="25"/>
  </w:num>
  <w:num w:numId="32">
    <w:abstractNumId w:val="6"/>
  </w:num>
  <w:num w:numId="33">
    <w:abstractNumId w:val="35"/>
  </w:num>
  <w:num w:numId="34">
    <w:abstractNumId w:val="2"/>
  </w:num>
  <w:num w:numId="35">
    <w:abstractNumId w:val="10"/>
  </w:num>
  <w:num w:numId="36">
    <w:abstractNumId w:val="0"/>
  </w:num>
  <w:num w:numId="37">
    <w:abstractNumId w:val="9"/>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0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4CE4"/>
    <w:rsid w:val="00005E29"/>
    <w:rsid w:val="00007854"/>
    <w:rsid w:val="0001125D"/>
    <w:rsid w:val="000158E2"/>
    <w:rsid w:val="00015981"/>
    <w:rsid w:val="00017483"/>
    <w:rsid w:val="000267FC"/>
    <w:rsid w:val="00030BDE"/>
    <w:rsid w:val="00033692"/>
    <w:rsid w:val="00037677"/>
    <w:rsid w:val="0004015F"/>
    <w:rsid w:val="00044078"/>
    <w:rsid w:val="000612FC"/>
    <w:rsid w:val="00061377"/>
    <w:rsid w:val="00062479"/>
    <w:rsid w:val="00065897"/>
    <w:rsid w:val="000663E4"/>
    <w:rsid w:val="00066C8B"/>
    <w:rsid w:val="00070E92"/>
    <w:rsid w:val="00075329"/>
    <w:rsid w:val="0007721A"/>
    <w:rsid w:val="00083198"/>
    <w:rsid w:val="00084EF4"/>
    <w:rsid w:val="00086502"/>
    <w:rsid w:val="00090025"/>
    <w:rsid w:val="0009010F"/>
    <w:rsid w:val="00090B4D"/>
    <w:rsid w:val="000914E7"/>
    <w:rsid w:val="000929C7"/>
    <w:rsid w:val="000953FA"/>
    <w:rsid w:val="00096050"/>
    <w:rsid w:val="00096D8B"/>
    <w:rsid w:val="000A4175"/>
    <w:rsid w:val="000A5A99"/>
    <w:rsid w:val="000A7CAB"/>
    <w:rsid w:val="000B5844"/>
    <w:rsid w:val="000C0433"/>
    <w:rsid w:val="000C4BC7"/>
    <w:rsid w:val="000D06B5"/>
    <w:rsid w:val="000D4CD4"/>
    <w:rsid w:val="000D6AA7"/>
    <w:rsid w:val="000D7280"/>
    <w:rsid w:val="000E17D8"/>
    <w:rsid w:val="000E27EB"/>
    <w:rsid w:val="000E33CD"/>
    <w:rsid w:val="000E55F5"/>
    <w:rsid w:val="000F00EB"/>
    <w:rsid w:val="000F5860"/>
    <w:rsid w:val="000F6716"/>
    <w:rsid w:val="000F7ED4"/>
    <w:rsid w:val="00106558"/>
    <w:rsid w:val="00107F3E"/>
    <w:rsid w:val="001130AC"/>
    <w:rsid w:val="00114E90"/>
    <w:rsid w:val="00123BFB"/>
    <w:rsid w:val="00126251"/>
    <w:rsid w:val="001268F7"/>
    <w:rsid w:val="00132389"/>
    <w:rsid w:val="00134869"/>
    <w:rsid w:val="00134E61"/>
    <w:rsid w:val="001354A7"/>
    <w:rsid w:val="00135C33"/>
    <w:rsid w:val="0013756B"/>
    <w:rsid w:val="001436E5"/>
    <w:rsid w:val="00143B06"/>
    <w:rsid w:val="00144A39"/>
    <w:rsid w:val="00144CE4"/>
    <w:rsid w:val="0014715A"/>
    <w:rsid w:val="00147177"/>
    <w:rsid w:val="00147274"/>
    <w:rsid w:val="001542D4"/>
    <w:rsid w:val="001555E8"/>
    <w:rsid w:val="00164E70"/>
    <w:rsid w:val="0016544D"/>
    <w:rsid w:val="00165D31"/>
    <w:rsid w:val="00166AB8"/>
    <w:rsid w:val="001709D2"/>
    <w:rsid w:val="001720E1"/>
    <w:rsid w:val="00175572"/>
    <w:rsid w:val="001779AF"/>
    <w:rsid w:val="00184590"/>
    <w:rsid w:val="00185F58"/>
    <w:rsid w:val="00195563"/>
    <w:rsid w:val="001A186D"/>
    <w:rsid w:val="001A1C55"/>
    <w:rsid w:val="001B1E37"/>
    <w:rsid w:val="001B27CF"/>
    <w:rsid w:val="001B2F3B"/>
    <w:rsid w:val="001C1A5D"/>
    <w:rsid w:val="001C53F2"/>
    <w:rsid w:val="001C7715"/>
    <w:rsid w:val="001D1D26"/>
    <w:rsid w:val="001D491D"/>
    <w:rsid w:val="001D5109"/>
    <w:rsid w:val="001D79CF"/>
    <w:rsid w:val="001E2260"/>
    <w:rsid w:val="001E37C9"/>
    <w:rsid w:val="001E4A2D"/>
    <w:rsid w:val="001E53F9"/>
    <w:rsid w:val="001E7035"/>
    <w:rsid w:val="001F0092"/>
    <w:rsid w:val="001F1E0A"/>
    <w:rsid w:val="001F444F"/>
    <w:rsid w:val="001F766E"/>
    <w:rsid w:val="0020615E"/>
    <w:rsid w:val="00206BBA"/>
    <w:rsid w:val="0021125B"/>
    <w:rsid w:val="002116DE"/>
    <w:rsid w:val="0021386E"/>
    <w:rsid w:val="00213A28"/>
    <w:rsid w:val="002157A7"/>
    <w:rsid w:val="00221A5A"/>
    <w:rsid w:val="00221D76"/>
    <w:rsid w:val="0022327D"/>
    <w:rsid w:val="00224688"/>
    <w:rsid w:val="0022500B"/>
    <w:rsid w:val="00226D1C"/>
    <w:rsid w:val="00230083"/>
    <w:rsid w:val="002322E9"/>
    <w:rsid w:val="00233AE8"/>
    <w:rsid w:val="00234E5B"/>
    <w:rsid w:val="002354AC"/>
    <w:rsid w:val="002368F9"/>
    <w:rsid w:val="00236E61"/>
    <w:rsid w:val="002406AD"/>
    <w:rsid w:val="0024247A"/>
    <w:rsid w:val="00243797"/>
    <w:rsid w:val="00243A1A"/>
    <w:rsid w:val="002449B7"/>
    <w:rsid w:val="00244E40"/>
    <w:rsid w:val="002510CF"/>
    <w:rsid w:val="00252DC2"/>
    <w:rsid w:val="00253307"/>
    <w:rsid w:val="00255381"/>
    <w:rsid w:val="002639F1"/>
    <w:rsid w:val="002647E0"/>
    <w:rsid w:val="00270030"/>
    <w:rsid w:val="00270203"/>
    <w:rsid w:val="002717A1"/>
    <w:rsid w:val="00272B20"/>
    <w:rsid w:val="00273E70"/>
    <w:rsid w:val="00274EB3"/>
    <w:rsid w:val="0027775B"/>
    <w:rsid w:val="002817CE"/>
    <w:rsid w:val="00286697"/>
    <w:rsid w:val="00293B49"/>
    <w:rsid w:val="00294BCA"/>
    <w:rsid w:val="00295BE3"/>
    <w:rsid w:val="002A14ED"/>
    <w:rsid w:val="002A70ED"/>
    <w:rsid w:val="002C2651"/>
    <w:rsid w:val="002C48C5"/>
    <w:rsid w:val="002C505F"/>
    <w:rsid w:val="002C5992"/>
    <w:rsid w:val="002D2ADD"/>
    <w:rsid w:val="002D5545"/>
    <w:rsid w:val="002D69C3"/>
    <w:rsid w:val="002E474B"/>
    <w:rsid w:val="002E5E71"/>
    <w:rsid w:val="002E72F5"/>
    <w:rsid w:val="002F0C7B"/>
    <w:rsid w:val="002F246C"/>
    <w:rsid w:val="002F36D9"/>
    <w:rsid w:val="00300261"/>
    <w:rsid w:val="00300CD3"/>
    <w:rsid w:val="00301001"/>
    <w:rsid w:val="00301121"/>
    <w:rsid w:val="00306FF4"/>
    <w:rsid w:val="00307A5C"/>
    <w:rsid w:val="00312FF8"/>
    <w:rsid w:val="0031455F"/>
    <w:rsid w:val="00314AFF"/>
    <w:rsid w:val="00314BA6"/>
    <w:rsid w:val="003203F2"/>
    <w:rsid w:val="0032211E"/>
    <w:rsid w:val="00322254"/>
    <w:rsid w:val="00323672"/>
    <w:rsid w:val="00327424"/>
    <w:rsid w:val="0033021C"/>
    <w:rsid w:val="00331396"/>
    <w:rsid w:val="0033357F"/>
    <w:rsid w:val="00335FE6"/>
    <w:rsid w:val="00336EAC"/>
    <w:rsid w:val="0034347C"/>
    <w:rsid w:val="0034356C"/>
    <w:rsid w:val="00343A22"/>
    <w:rsid w:val="0034440E"/>
    <w:rsid w:val="00345375"/>
    <w:rsid w:val="00351256"/>
    <w:rsid w:val="00351674"/>
    <w:rsid w:val="0035358C"/>
    <w:rsid w:val="003553EB"/>
    <w:rsid w:val="00356318"/>
    <w:rsid w:val="00357D7F"/>
    <w:rsid w:val="00360F07"/>
    <w:rsid w:val="00361B35"/>
    <w:rsid w:val="0036285B"/>
    <w:rsid w:val="0036637F"/>
    <w:rsid w:val="00370629"/>
    <w:rsid w:val="00371CA8"/>
    <w:rsid w:val="00373526"/>
    <w:rsid w:val="00374745"/>
    <w:rsid w:val="003756BD"/>
    <w:rsid w:val="0037791C"/>
    <w:rsid w:val="003829CC"/>
    <w:rsid w:val="00386558"/>
    <w:rsid w:val="00390354"/>
    <w:rsid w:val="00391CDB"/>
    <w:rsid w:val="0039259E"/>
    <w:rsid w:val="00393180"/>
    <w:rsid w:val="003962BF"/>
    <w:rsid w:val="003A168A"/>
    <w:rsid w:val="003A2F11"/>
    <w:rsid w:val="003B40DF"/>
    <w:rsid w:val="003B5B95"/>
    <w:rsid w:val="003C0470"/>
    <w:rsid w:val="003C0E26"/>
    <w:rsid w:val="003C5C6A"/>
    <w:rsid w:val="003D3793"/>
    <w:rsid w:val="003E364D"/>
    <w:rsid w:val="003E4BAB"/>
    <w:rsid w:val="003E5422"/>
    <w:rsid w:val="003F44F1"/>
    <w:rsid w:val="003F4E1C"/>
    <w:rsid w:val="003F5D25"/>
    <w:rsid w:val="003F6E7B"/>
    <w:rsid w:val="003F7225"/>
    <w:rsid w:val="00400772"/>
    <w:rsid w:val="00401D29"/>
    <w:rsid w:val="00406719"/>
    <w:rsid w:val="00406B1F"/>
    <w:rsid w:val="00407D72"/>
    <w:rsid w:val="00420013"/>
    <w:rsid w:val="00422025"/>
    <w:rsid w:val="00422992"/>
    <w:rsid w:val="00423500"/>
    <w:rsid w:val="004249BD"/>
    <w:rsid w:val="00426060"/>
    <w:rsid w:val="00430179"/>
    <w:rsid w:val="00432642"/>
    <w:rsid w:val="004332D0"/>
    <w:rsid w:val="00436120"/>
    <w:rsid w:val="00444CCF"/>
    <w:rsid w:val="00446FD1"/>
    <w:rsid w:val="00447CB3"/>
    <w:rsid w:val="00447FEF"/>
    <w:rsid w:val="004503FA"/>
    <w:rsid w:val="00450FCB"/>
    <w:rsid w:val="004534C6"/>
    <w:rsid w:val="00456A63"/>
    <w:rsid w:val="00457B07"/>
    <w:rsid w:val="004600AE"/>
    <w:rsid w:val="00464D9D"/>
    <w:rsid w:val="00465252"/>
    <w:rsid w:val="004658C5"/>
    <w:rsid w:val="004726ED"/>
    <w:rsid w:val="004754EE"/>
    <w:rsid w:val="004778F7"/>
    <w:rsid w:val="0048140A"/>
    <w:rsid w:val="00484590"/>
    <w:rsid w:val="00484CB3"/>
    <w:rsid w:val="0048620D"/>
    <w:rsid w:val="00487DB2"/>
    <w:rsid w:val="004951BE"/>
    <w:rsid w:val="004977B2"/>
    <w:rsid w:val="004A4980"/>
    <w:rsid w:val="004A5D4C"/>
    <w:rsid w:val="004B1472"/>
    <w:rsid w:val="004B31C5"/>
    <w:rsid w:val="004B68B7"/>
    <w:rsid w:val="004C04CB"/>
    <w:rsid w:val="004C186B"/>
    <w:rsid w:val="004C39C7"/>
    <w:rsid w:val="004D11B6"/>
    <w:rsid w:val="004D70FE"/>
    <w:rsid w:val="004D73F0"/>
    <w:rsid w:val="004E017C"/>
    <w:rsid w:val="004E0D2B"/>
    <w:rsid w:val="004E1603"/>
    <w:rsid w:val="004E1872"/>
    <w:rsid w:val="004E25DF"/>
    <w:rsid w:val="004E4187"/>
    <w:rsid w:val="004F14E4"/>
    <w:rsid w:val="004F2D66"/>
    <w:rsid w:val="00502B76"/>
    <w:rsid w:val="0050731A"/>
    <w:rsid w:val="00511325"/>
    <w:rsid w:val="00512831"/>
    <w:rsid w:val="0051350D"/>
    <w:rsid w:val="005151B0"/>
    <w:rsid w:val="005205B0"/>
    <w:rsid w:val="0052227C"/>
    <w:rsid w:val="00522428"/>
    <w:rsid w:val="00523294"/>
    <w:rsid w:val="00523531"/>
    <w:rsid w:val="005247CB"/>
    <w:rsid w:val="005269F0"/>
    <w:rsid w:val="0054206A"/>
    <w:rsid w:val="0054210A"/>
    <w:rsid w:val="005435A2"/>
    <w:rsid w:val="005457F9"/>
    <w:rsid w:val="00545D5E"/>
    <w:rsid w:val="005462C5"/>
    <w:rsid w:val="00547016"/>
    <w:rsid w:val="00547308"/>
    <w:rsid w:val="00550253"/>
    <w:rsid w:val="00552630"/>
    <w:rsid w:val="005568B4"/>
    <w:rsid w:val="00557137"/>
    <w:rsid w:val="00560E64"/>
    <w:rsid w:val="0056424E"/>
    <w:rsid w:val="005643CE"/>
    <w:rsid w:val="00564C0F"/>
    <w:rsid w:val="005678C3"/>
    <w:rsid w:val="005724F4"/>
    <w:rsid w:val="005728A1"/>
    <w:rsid w:val="00574D0D"/>
    <w:rsid w:val="00575B11"/>
    <w:rsid w:val="005762FE"/>
    <w:rsid w:val="005814FA"/>
    <w:rsid w:val="00584B6E"/>
    <w:rsid w:val="00584EEB"/>
    <w:rsid w:val="00585924"/>
    <w:rsid w:val="00587D0A"/>
    <w:rsid w:val="00590C3B"/>
    <w:rsid w:val="00591700"/>
    <w:rsid w:val="0059206B"/>
    <w:rsid w:val="00593B0B"/>
    <w:rsid w:val="00594BB0"/>
    <w:rsid w:val="00596C82"/>
    <w:rsid w:val="005A374D"/>
    <w:rsid w:val="005A5F6A"/>
    <w:rsid w:val="005B1F84"/>
    <w:rsid w:val="005B2FBA"/>
    <w:rsid w:val="005B3016"/>
    <w:rsid w:val="005B3CAB"/>
    <w:rsid w:val="005B3EA0"/>
    <w:rsid w:val="005B574A"/>
    <w:rsid w:val="005C5FC5"/>
    <w:rsid w:val="005D1BDD"/>
    <w:rsid w:val="005D233B"/>
    <w:rsid w:val="005D7698"/>
    <w:rsid w:val="005D78DB"/>
    <w:rsid w:val="005E1356"/>
    <w:rsid w:val="005E49E3"/>
    <w:rsid w:val="005F2824"/>
    <w:rsid w:val="005F384B"/>
    <w:rsid w:val="005F3DC1"/>
    <w:rsid w:val="005F513B"/>
    <w:rsid w:val="005F6D5F"/>
    <w:rsid w:val="005F6E8D"/>
    <w:rsid w:val="005F7A63"/>
    <w:rsid w:val="00601A87"/>
    <w:rsid w:val="006020FF"/>
    <w:rsid w:val="00602E46"/>
    <w:rsid w:val="00607B29"/>
    <w:rsid w:val="0061166F"/>
    <w:rsid w:val="00613791"/>
    <w:rsid w:val="006202C1"/>
    <w:rsid w:val="00622A38"/>
    <w:rsid w:val="00623714"/>
    <w:rsid w:val="00626AFD"/>
    <w:rsid w:val="00631AC1"/>
    <w:rsid w:val="00633070"/>
    <w:rsid w:val="0063528A"/>
    <w:rsid w:val="0064123B"/>
    <w:rsid w:val="00642EC1"/>
    <w:rsid w:val="00643B7D"/>
    <w:rsid w:val="00647C7D"/>
    <w:rsid w:val="00650545"/>
    <w:rsid w:val="00656931"/>
    <w:rsid w:val="006620D5"/>
    <w:rsid w:val="006641EE"/>
    <w:rsid w:val="00664A11"/>
    <w:rsid w:val="0066574C"/>
    <w:rsid w:val="006665FC"/>
    <w:rsid w:val="00671E3B"/>
    <w:rsid w:val="0067461D"/>
    <w:rsid w:val="00674FF1"/>
    <w:rsid w:val="00682961"/>
    <w:rsid w:val="00682A1D"/>
    <w:rsid w:val="00683C76"/>
    <w:rsid w:val="0068481B"/>
    <w:rsid w:val="00686F5C"/>
    <w:rsid w:val="006930EB"/>
    <w:rsid w:val="00695B1B"/>
    <w:rsid w:val="006A0CAD"/>
    <w:rsid w:val="006A46FF"/>
    <w:rsid w:val="006A6F14"/>
    <w:rsid w:val="006B1397"/>
    <w:rsid w:val="006B2FA6"/>
    <w:rsid w:val="006C0464"/>
    <w:rsid w:val="006C4D86"/>
    <w:rsid w:val="006C5EC4"/>
    <w:rsid w:val="006D115B"/>
    <w:rsid w:val="006E26A4"/>
    <w:rsid w:val="006E4CE9"/>
    <w:rsid w:val="006E539A"/>
    <w:rsid w:val="006E5E5D"/>
    <w:rsid w:val="006E6F50"/>
    <w:rsid w:val="006E7940"/>
    <w:rsid w:val="006F1A28"/>
    <w:rsid w:val="006F3070"/>
    <w:rsid w:val="006F4760"/>
    <w:rsid w:val="006F4FF8"/>
    <w:rsid w:val="006F6F1E"/>
    <w:rsid w:val="00701B3C"/>
    <w:rsid w:val="00701EBE"/>
    <w:rsid w:val="007021C0"/>
    <w:rsid w:val="00705DF7"/>
    <w:rsid w:val="0071086F"/>
    <w:rsid w:val="00711504"/>
    <w:rsid w:val="00712C09"/>
    <w:rsid w:val="00715CE3"/>
    <w:rsid w:val="00716FDA"/>
    <w:rsid w:val="00717857"/>
    <w:rsid w:val="00721FB5"/>
    <w:rsid w:val="00726582"/>
    <w:rsid w:val="00726A60"/>
    <w:rsid w:val="00732143"/>
    <w:rsid w:val="00733403"/>
    <w:rsid w:val="00733BE5"/>
    <w:rsid w:val="007355B2"/>
    <w:rsid w:val="0073762B"/>
    <w:rsid w:val="00737722"/>
    <w:rsid w:val="00740B2E"/>
    <w:rsid w:val="00742339"/>
    <w:rsid w:val="007429CD"/>
    <w:rsid w:val="00742CB6"/>
    <w:rsid w:val="0075310E"/>
    <w:rsid w:val="00753600"/>
    <w:rsid w:val="00754E60"/>
    <w:rsid w:val="00755EB5"/>
    <w:rsid w:val="00756547"/>
    <w:rsid w:val="0076466B"/>
    <w:rsid w:val="007662CD"/>
    <w:rsid w:val="00770881"/>
    <w:rsid w:val="00771BEB"/>
    <w:rsid w:val="00775B10"/>
    <w:rsid w:val="0077617D"/>
    <w:rsid w:val="007775DF"/>
    <w:rsid w:val="00780FCA"/>
    <w:rsid w:val="00783CF3"/>
    <w:rsid w:val="00783D9C"/>
    <w:rsid w:val="007927F1"/>
    <w:rsid w:val="00792DB1"/>
    <w:rsid w:val="007963D7"/>
    <w:rsid w:val="00797BBD"/>
    <w:rsid w:val="00797E8B"/>
    <w:rsid w:val="007A027C"/>
    <w:rsid w:val="007A1C30"/>
    <w:rsid w:val="007A2311"/>
    <w:rsid w:val="007A250D"/>
    <w:rsid w:val="007A29F8"/>
    <w:rsid w:val="007A369D"/>
    <w:rsid w:val="007A46ED"/>
    <w:rsid w:val="007A49F4"/>
    <w:rsid w:val="007B1343"/>
    <w:rsid w:val="007B1908"/>
    <w:rsid w:val="007B3EB8"/>
    <w:rsid w:val="007B419B"/>
    <w:rsid w:val="007B4EA6"/>
    <w:rsid w:val="007B59FB"/>
    <w:rsid w:val="007B7E8E"/>
    <w:rsid w:val="007C38DE"/>
    <w:rsid w:val="007C521E"/>
    <w:rsid w:val="007D18F8"/>
    <w:rsid w:val="007D3602"/>
    <w:rsid w:val="007E13FE"/>
    <w:rsid w:val="007E7A17"/>
    <w:rsid w:val="007F1B6A"/>
    <w:rsid w:val="007F2353"/>
    <w:rsid w:val="007F438C"/>
    <w:rsid w:val="007F5DF7"/>
    <w:rsid w:val="007F7756"/>
    <w:rsid w:val="00800CC3"/>
    <w:rsid w:val="00805484"/>
    <w:rsid w:val="00805D3A"/>
    <w:rsid w:val="00806890"/>
    <w:rsid w:val="00813025"/>
    <w:rsid w:val="008144A2"/>
    <w:rsid w:val="00815915"/>
    <w:rsid w:val="00815D64"/>
    <w:rsid w:val="0081629D"/>
    <w:rsid w:val="008162B1"/>
    <w:rsid w:val="0081640E"/>
    <w:rsid w:val="00817126"/>
    <w:rsid w:val="00820353"/>
    <w:rsid w:val="00820EAC"/>
    <w:rsid w:val="00821375"/>
    <w:rsid w:val="008252CB"/>
    <w:rsid w:val="00827075"/>
    <w:rsid w:val="0083015C"/>
    <w:rsid w:val="00834FCE"/>
    <w:rsid w:val="00835DDC"/>
    <w:rsid w:val="0084271E"/>
    <w:rsid w:val="00843AF3"/>
    <w:rsid w:val="00843D6A"/>
    <w:rsid w:val="00845E3E"/>
    <w:rsid w:val="0085079C"/>
    <w:rsid w:val="0085098A"/>
    <w:rsid w:val="00852F42"/>
    <w:rsid w:val="00855D3C"/>
    <w:rsid w:val="00856F55"/>
    <w:rsid w:val="008607E2"/>
    <w:rsid w:val="00860DD3"/>
    <w:rsid w:val="00863373"/>
    <w:rsid w:val="008659DB"/>
    <w:rsid w:val="00867314"/>
    <w:rsid w:val="008715DF"/>
    <w:rsid w:val="00871C50"/>
    <w:rsid w:val="00876289"/>
    <w:rsid w:val="0087654A"/>
    <w:rsid w:val="00877DFE"/>
    <w:rsid w:val="0088364B"/>
    <w:rsid w:val="008846DB"/>
    <w:rsid w:val="008867DB"/>
    <w:rsid w:val="00887129"/>
    <w:rsid w:val="008A0393"/>
    <w:rsid w:val="008A2684"/>
    <w:rsid w:val="008A43F2"/>
    <w:rsid w:val="008A5F47"/>
    <w:rsid w:val="008A62CD"/>
    <w:rsid w:val="008A7458"/>
    <w:rsid w:val="008B02C3"/>
    <w:rsid w:val="008B07EE"/>
    <w:rsid w:val="008B0F40"/>
    <w:rsid w:val="008C0282"/>
    <w:rsid w:val="008C114C"/>
    <w:rsid w:val="008C386B"/>
    <w:rsid w:val="008C3D0D"/>
    <w:rsid w:val="008C472D"/>
    <w:rsid w:val="008C521E"/>
    <w:rsid w:val="008C7F1F"/>
    <w:rsid w:val="008D30B9"/>
    <w:rsid w:val="008D4F88"/>
    <w:rsid w:val="008D520C"/>
    <w:rsid w:val="008E0062"/>
    <w:rsid w:val="008E107A"/>
    <w:rsid w:val="008E41A1"/>
    <w:rsid w:val="008E4882"/>
    <w:rsid w:val="008F4CAB"/>
    <w:rsid w:val="008F649F"/>
    <w:rsid w:val="00901970"/>
    <w:rsid w:val="0090206F"/>
    <w:rsid w:val="009111C4"/>
    <w:rsid w:val="009138A0"/>
    <w:rsid w:val="009161E8"/>
    <w:rsid w:val="009166EF"/>
    <w:rsid w:val="0092018A"/>
    <w:rsid w:val="00921101"/>
    <w:rsid w:val="009223F8"/>
    <w:rsid w:val="0092657C"/>
    <w:rsid w:val="009335FC"/>
    <w:rsid w:val="00941438"/>
    <w:rsid w:val="00941EB5"/>
    <w:rsid w:val="00943706"/>
    <w:rsid w:val="00944023"/>
    <w:rsid w:val="0094415D"/>
    <w:rsid w:val="00945357"/>
    <w:rsid w:val="00945975"/>
    <w:rsid w:val="00951960"/>
    <w:rsid w:val="0095283F"/>
    <w:rsid w:val="00954B7B"/>
    <w:rsid w:val="009565A1"/>
    <w:rsid w:val="00956D03"/>
    <w:rsid w:val="00960353"/>
    <w:rsid w:val="009631BB"/>
    <w:rsid w:val="00966AA9"/>
    <w:rsid w:val="0096764F"/>
    <w:rsid w:val="00970C13"/>
    <w:rsid w:val="009758F8"/>
    <w:rsid w:val="00976C31"/>
    <w:rsid w:val="00980B2C"/>
    <w:rsid w:val="00980F8F"/>
    <w:rsid w:val="00982D6D"/>
    <w:rsid w:val="00991B19"/>
    <w:rsid w:val="009926C7"/>
    <w:rsid w:val="00992804"/>
    <w:rsid w:val="009952A1"/>
    <w:rsid w:val="009A2DB9"/>
    <w:rsid w:val="009A6716"/>
    <w:rsid w:val="009A75DA"/>
    <w:rsid w:val="009A79C1"/>
    <w:rsid w:val="009B3FDD"/>
    <w:rsid w:val="009C5AC1"/>
    <w:rsid w:val="009C5C83"/>
    <w:rsid w:val="009C7197"/>
    <w:rsid w:val="009D2566"/>
    <w:rsid w:val="009D4599"/>
    <w:rsid w:val="009D4B20"/>
    <w:rsid w:val="009D54F9"/>
    <w:rsid w:val="009D5DEE"/>
    <w:rsid w:val="009D5FE2"/>
    <w:rsid w:val="009E00E9"/>
    <w:rsid w:val="009E152E"/>
    <w:rsid w:val="009E5300"/>
    <w:rsid w:val="009F0350"/>
    <w:rsid w:val="009F0DB5"/>
    <w:rsid w:val="009F23BC"/>
    <w:rsid w:val="009F363C"/>
    <w:rsid w:val="00A023DA"/>
    <w:rsid w:val="00A034DB"/>
    <w:rsid w:val="00A05127"/>
    <w:rsid w:val="00A069B5"/>
    <w:rsid w:val="00A110CB"/>
    <w:rsid w:val="00A1234B"/>
    <w:rsid w:val="00A13F1B"/>
    <w:rsid w:val="00A14CD6"/>
    <w:rsid w:val="00A15CBD"/>
    <w:rsid w:val="00A163C5"/>
    <w:rsid w:val="00A20746"/>
    <w:rsid w:val="00A25E7B"/>
    <w:rsid w:val="00A32C0D"/>
    <w:rsid w:val="00A34FE1"/>
    <w:rsid w:val="00A357EB"/>
    <w:rsid w:val="00A402DB"/>
    <w:rsid w:val="00A40EBD"/>
    <w:rsid w:val="00A55F1D"/>
    <w:rsid w:val="00A577E7"/>
    <w:rsid w:val="00A61DFC"/>
    <w:rsid w:val="00A64635"/>
    <w:rsid w:val="00A67139"/>
    <w:rsid w:val="00A71B28"/>
    <w:rsid w:val="00A804ED"/>
    <w:rsid w:val="00A805EC"/>
    <w:rsid w:val="00A9014C"/>
    <w:rsid w:val="00A9267F"/>
    <w:rsid w:val="00A9394D"/>
    <w:rsid w:val="00A94D4A"/>
    <w:rsid w:val="00A94F3F"/>
    <w:rsid w:val="00A9780E"/>
    <w:rsid w:val="00A97949"/>
    <w:rsid w:val="00AA5656"/>
    <w:rsid w:val="00AB0D64"/>
    <w:rsid w:val="00AB2F5F"/>
    <w:rsid w:val="00AC32A4"/>
    <w:rsid w:val="00AC331E"/>
    <w:rsid w:val="00AC5077"/>
    <w:rsid w:val="00AD1826"/>
    <w:rsid w:val="00AD19A8"/>
    <w:rsid w:val="00AE1672"/>
    <w:rsid w:val="00AE22AB"/>
    <w:rsid w:val="00AE237F"/>
    <w:rsid w:val="00AE6133"/>
    <w:rsid w:val="00AE7172"/>
    <w:rsid w:val="00AF18AD"/>
    <w:rsid w:val="00AF2DC9"/>
    <w:rsid w:val="00AF309F"/>
    <w:rsid w:val="00B02760"/>
    <w:rsid w:val="00B10953"/>
    <w:rsid w:val="00B13D65"/>
    <w:rsid w:val="00B20B8C"/>
    <w:rsid w:val="00B22435"/>
    <w:rsid w:val="00B235D5"/>
    <w:rsid w:val="00B26357"/>
    <w:rsid w:val="00B3505B"/>
    <w:rsid w:val="00B354E1"/>
    <w:rsid w:val="00B361EB"/>
    <w:rsid w:val="00B43532"/>
    <w:rsid w:val="00B44586"/>
    <w:rsid w:val="00B50972"/>
    <w:rsid w:val="00B55D66"/>
    <w:rsid w:val="00B567F0"/>
    <w:rsid w:val="00B62847"/>
    <w:rsid w:val="00B64E47"/>
    <w:rsid w:val="00B67FBC"/>
    <w:rsid w:val="00B710A4"/>
    <w:rsid w:val="00B7550E"/>
    <w:rsid w:val="00B808E9"/>
    <w:rsid w:val="00B80993"/>
    <w:rsid w:val="00B908BF"/>
    <w:rsid w:val="00B9466C"/>
    <w:rsid w:val="00B94A83"/>
    <w:rsid w:val="00B94BE6"/>
    <w:rsid w:val="00BB7FC9"/>
    <w:rsid w:val="00BC5B41"/>
    <w:rsid w:val="00BC7B32"/>
    <w:rsid w:val="00BD01AD"/>
    <w:rsid w:val="00BD3FDE"/>
    <w:rsid w:val="00BD48EE"/>
    <w:rsid w:val="00BD4AAE"/>
    <w:rsid w:val="00BD507F"/>
    <w:rsid w:val="00BD66F7"/>
    <w:rsid w:val="00BE0F28"/>
    <w:rsid w:val="00BE3F93"/>
    <w:rsid w:val="00BE7E2E"/>
    <w:rsid w:val="00BF1F44"/>
    <w:rsid w:val="00BF478F"/>
    <w:rsid w:val="00BF5857"/>
    <w:rsid w:val="00BF5E8A"/>
    <w:rsid w:val="00BF696F"/>
    <w:rsid w:val="00BF7565"/>
    <w:rsid w:val="00C03C62"/>
    <w:rsid w:val="00C05D7E"/>
    <w:rsid w:val="00C10DE5"/>
    <w:rsid w:val="00C12CE2"/>
    <w:rsid w:val="00C15D73"/>
    <w:rsid w:val="00C20167"/>
    <w:rsid w:val="00C21344"/>
    <w:rsid w:val="00C2199C"/>
    <w:rsid w:val="00C22EF2"/>
    <w:rsid w:val="00C24F1D"/>
    <w:rsid w:val="00C255F5"/>
    <w:rsid w:val="00C264AC"/>
    <w:rsid w:val="00C33583"/>
    <w:rsid w:val="00C34E4C"/>
    <w:rsid w:val="00C40515"/>
    <w:rsid w:val="00C4165F"/>
    <w:rsid w:val="00C41716"/>
    <w:rsid w:val="00C42434"/>
    <w:rsid w:val="00C46874"/>
    <w:rsid w:val="00C50B0C"/>
    <w:rsid w:val="00C56AD2"/>
    <w:rsid w:val="00C61E74"/>
    <w:rsid w:val="00C62694"/>
    <w:rsid w:val="00C666BC"/>
    <w:rsid w:val="00C7148E"/>
    <w:rsid w:val="00C71726"/>
    <w:rsid w:val="00C73DE0"/>
    <w:rsid w:val="00C77523"/>
    <w:rsid w:val="00C81AD1"/>
    <w:rsid w:val="00C8459D"/>
    <w:rsid w:val="00C97848"/>
    <w:rsid w:val="00CA14C0"/>
    <w:rsid w:val="00CA31FB"/>
    <w:rsid w:val="00CA4ACB"/>
    <w:rsid w:val="00CA7967"/>
    <w:rsid w:val="00CB0C07"/>
    <w:rsid w:val="00CB31A8"/>
    <w:rsid w:val="00CB3F14"/>
    <w:rsid w:val="00CC1331"/>
    <w:rsid w:val="00CC7C2C"/>
    <w:rsid w:val="00CC7FF7"/>
    <w:rsid w:val="00CE1BDD"/>
    <w:rsid w:val="00CE396F"/>
    <w:rsid w:val="00CE3A76"/>
    <w:rsid w:val="00CE4C22"/>
    <w:rsid w:val="00CE7428"/>
    <w:rsid w:val="00CE756B"/>
    <w:rsid w:val="00CF751C"/>
    <w:rsid w:val="00D00549"/>
    <w:rsid w:val="00D01EA8"/>
    <w:rsid w:val="00D03479"/>
    <w:rsid w:val="00D05E3C"/>
    <w:rsid w:val="00D06697"/>
    <w:rsid w:val="00D1390F"/>
    <w:rsid w:val="00D16EDC"/>
    <w:rsid w:val="00D20281"/>
    <w:rsid w:val="00D23CB9"/>
    <w:rsid w:val="00D244B6"/>
    <w:rsid w:val="00D3006C"/>
    <w:rsid w:val="00D30325"/>
    <w:rsid w:val="00D32D05"/>
    <w:rsid w:val="00D333D3"/>
    <w:rsid w:val="00D35707"/>
    <w:rsid w:val="00D42815"/>
    <w:rsid w:val="00D44B7B"/>
    <w:rsid w:val="00D51E42"/>
    <w:rsid w:val="00D52F41"/>
    <w:rsid w:val="00D57F9F"/>
    <w:rsid w:val="00D62BC6"/>
    <w:rsid w:val="00D64E3F"/>
    <w:rsid w:val="00D71AEE"/>
    <w:rsid w:val="00D72273"/>
    <w:rsid w:val="00D72565"/>
    <w:rsid w:val="00D76E35"/>
    <w:rsid w:val="00D779A8"/>
    <w:rsid w:val="00D815DE"/>
    <w:rsid w:val="00D90C06"/>
    <w:rsid w:val="00D936FF"/>
    <w:rsid w:val="00D97377"/>
    <w:rsid w:val="00D97876"/>
    <w:rsid w:val="00DA25BD"/>
    <w:rsid w:val="00DB16CB"/>
    <w:rsid w:val="00DB2C89"/>
    <w:rsid w:val="00DB3B0D"/>
    <w:rsid w:val="00DB60BB"/>
    <w:rsid w:val="00DB68D2"/>
    <w:rsid w:val="00DB71B0"/>
    <w:rsid w:val="00DC09D6"/>
    <w:rsid w:val="00DC3A29"/>
    <w:rsid w:val="00DC41A8"/>
    <w:rsid w:val="00DC46F5"/>
    <w:rsid w:val="00DC7D7A"/>
    <w:rsid w:val="00DD042D"/>
    <w:rsid w:val="00DD0C12"/>
    <w:rsid w:val="00DD283B"/>
    <w:rsid w:val="00DD3FDE"/>
    <w:rsid w:val="00DD5008"/>
    <w:rsid w:val="00DD5B0C"/>
    <w:rsid w:val="00DD667D"/>
    <w:rsid w:val="00DE2037"/>
    <w:rsid w:val="00DE2E60"/>
    <w:rsid w:val="00DE30DD"/>
    <w:rsid w:val="00DE4BDD"/>
    <w:rsid w:val="00DE5883"/>
    <w:rsid w:val="00E040C1"/>
    <w:rsid w:val="00E14944"/>
    <w:rsid w:val="00E15CF3"/>
    <w:rsid w:val="00E2105B"/>
    <w:rsid w:val="00E21838"/>
    <w:rsid w:val="00E221A8"/>
    <w:rsid w:val="00E23495"/>
    <w:rsid w:val="00E25360"/>
    <w:rsid w:val="00E26676"/>
    <w:rsid w:val="00E27E30"/>
    <w:rsid w:val="00E35AEB"/>
    <w:rsid w:val="00E40F1F"/>
    <w:rsid w:val="00E43A39"/>
    <w:rsid w:val="00E450DE"/>
    <w:rsid w:val="00E46D7C"/>
    <w:rsid w:val="00E473B5"/>
    <w:rsid w:val="00E6008A"/>
    <w:rsid w:val="00E623D1"/>
    <w:rsid w:val="00E65AAB"/>
    <w:rsid w:val="00E70B6F"/>
    <w:rsid w:val="00E73A27"/>
    <w:rsid w:val="00E73EF3"/>
    <w:rsid w:val="00E81CE6"/>
    <w:rsid w:val="00E84DF3"/>
    <w:rsid w:val="00E9083B"/>
    <w:rsid w:val="00E90BF6"/>
    <w:rsid w:val="00E9202B"/>
    <w:rsid w:val="00E9493C"/>
    <w:rsid w:val="00E95167"/>
    <w:rsid w:val="00EA0CC2"/>
    <w:rsid w:val="00EA2AEA"/>
    <w:rsid w:val="00EA3FDB"/>
    <w:rsid w:val="00EA64B7"/>
    <w:rsid w:val="00EA7DDF"/>
    <w:rsid w:val="00EA7F56"/>
    <w:rsid w:val="00EB162D"/>
    <w:rsid w:val="00EB36D8"/>
    <w:rsid w:val="00EC4790"/>
    <w:rsid w:val="00EC4F96"/>
    <w:rsid w:val="00ED0235"/>
    <w:rsid w:val="00ED1E7B"/>
    <w:rsid w:val="00ED4776"/>
    <w:rsid w:val="00ED76E6"/>
    <w:rsid w:val="00EE1ECD"/>
    <w:rsid w:val="00EE317F"/>
    <w:rsid w:val="00EE4E08"/>
    <w:rsid w:val="00EF1881"/>
    <w:rsid w:val="00EF3C43"/>
    <w:rsid w:val="00EF416F"/>
    <w:rsid w:val="00F00BA6"/>
    <w:rsid w:val="00F040E9"/>
    <w:rsid w:val="00F047C6"/>
    <w:rsid w:val="00F0682F"/>
    <w:rsid w:val="00F07784"/>
    <w:rsid w:val="00F11EF2"/>
    <w:rsid w:val="00F14287"/>
    <w:rsid w:val="00F14437"/>
    <w:rsid w:val="00F16D5C"/>
    <w:rsid w:val="00F21894"/>
    <w:rsid w:val="00F27602"/>
    <w:rsid w:val="00F3116B"/>
    <w:rsid w:val="00F34385"/>
    <w:rsid w:val="00F47E7F"/>
    <w:rsid w:val="00F50B89"/>
    <w:rsid w:val="00F51DAC"/>
    <w:rsid w:val="00F53464"/>
    <w:rsid w:val="00F634AD"/>
    <w:rsid w:val="00F63C53"/>
    <w:rsid w:val="00F704C6"/>
    <w:rsid w:val="00F71AE1"/>
    <w:rsid w:val="00F76AB0"/>
    <w:rsid w:val="00F77875"/>
    <w:rsid w:val="00F819B5"/>
    <w:rsid w:val="00F828B5"/>
    <w:rsid w:val="00F82BA7"/>
    <w:rsid w:val="00F82D79"/>
    <w:rsid w:val="00F8335C"/>
    <w:rsid w:val="00F84592"/>
    <w:rsid w:val="00F84A3C"/>
    <w:rsid w:val="00F8568F"/>
    <w:rsid w:val="00F856DF"/>
    <w:rsid w:val="00F8636B"/>
    <w:rsid w:val="00F876D9"/>
    <w:rsid w:val="00F9561A"/>
    <w:rsid w:val="00F95F5E"/>
    <w:rsid w:val="00FA352C"/>
    <w:rsid w:val="00FA4915"/>
    <w:rsid w:val="00FB47DF"/>
    <w:rsid w:val="00FC12CD"/>
    <w:rsid w:val="00FC21D2"/>
    <w:rsid w:val="00FC3D02"/>
    <w:rsid w:val="00FC5CDE"/>
    <w:rsid w:val="00FD02CA"/>
    <w:rsid w:val="00FD1569"/>
    <w:rsid w:val="00FD28D2"/>
    <w:rsid w:val="00FD351B"/>
    <w:rsid w:val="00FD4A9C"/>
    <w:rsid w:val="00FE0DF9"/>
    <w:rsid w:val="00FE0F7D"/>
    <w:rsid w:val="00FE184D"/>
    <w:rsid w:val="00FE35EC"/>
    <w:rsid w:val="00FE4A38"/>
    <w:rsid w:val="00FE5ECE"/>
    <w:rsid w:val="00FF2DAE"/>
    <w:rsid w:val="00FF44DE"/>
    <w:rsid w:val="00FF520C"/>
    <w:rsid w:val="00FF7E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C"/>
    <w:pPr>
      <w:spacing w:after="240" w:line="260" w:lineRule="exact"/>
      <w:jc w:val="both"/>
    </w:pPr>
    <w:rPr>
      <w:rFonts w:ascii="Book Antiqua" w:hAnsi="Book Antiqua"/>
      <w:lang w:eastAsia="en-AU"/>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eastAsia="en-AU"/>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eastAsia="en-AU"/>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ListParagraph">
    <w:name w:val="List Paragraph"/>
    <w:basedOn w:val="Normal"/>
    <w:uiPriority w:val="34"/>
    <w:qFormat/>
    <w:rsid w:val="00647C7D"/>
    <w:pPr>
      <w:spacing w:after="0" w:line="240" w:lineRule="auto"/>
      <w:ind w:left="720"/>
      <w:jc w:val="left"/>
    </w:pPr>
    <w:rPr>
      <w:rFonts w:ascii="Calibri" w:eastAsia="SimSun" w:hAnsi="Calibri"/>
      <w:sz w:val="22"/>
      <w:szCs w:val="22"/>
      <w:lang w:eastAsia="zh-CN"/>
    </w:rPr>
  </w:style>
  <w:style w:type="paragraph" w:styleId="NoSpacing">
    <w:name w:val="No Spacing"/>
    <w:uiPriority w:val="1"/>
    <w:qFormat/>
    <w:rsid w:val="00F77875"/>
    <w:pPr>
      <w:jc w:val="both"/>
    </w:pPr>
    <w:rPr>
      <w:rFonts w:ascii="Book Antiqua" w:hAnsi="Book Antiqua"/>
      <w:lang w:eastAsia="en-AU"/>
    </w:rPr>
  </w:style>
  <w:style w:type="table" w:styleId="TableGrid">
    <w:name w:val="Table Grid"/>
    <w:basedOn w:val="TableNormal"/>
    <w:uiPriority w:val="59"/>
    <w:rsid w:val="0063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C"/>
    <w:pPr>
      <w:spacing w:after="240" w:line="260" w:lineRule="exact"/>
      <w:jc w:val="both"/>
    </w:pPr>
    <w:rPr>
      <w:rFonts w:ascii="Book Antiqua" w:hAnsi="Book Antiqua"/>
      <w:lang w:eastAsia="en-AU"/>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eastAsia="en-AU"/>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eastAsia="en-AU"/>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ListParagraph">
    <w:name w:val="List Paragraph"/>
    <w:basedOn w:val="Normal"/>
    <w:uiPriority w:val="34"/>
    <w:qFormat/>
    <w:rsid w:val="00647C7D"/>
    <w:pPr>
      <w:spacing w:after="0" w:line="240" w:lineRule="auto"/>
      <w:ind w:left="720"/>
      <w:jc w:val="left"/>
    </w:pPr>
    <w:rPr>
      <w:rFonts w:ascii="Calibri" w:eastAsia="SimSun" w:hAnsi="Calibri"/>
      <w:sz w:val="22"/>
      <w:szCs w:val="22"/>
      <w:lang w:eastAsia="zh-CN"/>
    </w:rPr>
  </w:style>
  <w:style w:type="paragraph" w:styleId="NoSpacing">
    <w:name w:val="No Spacing"/>
    <w:uiPriority w:val="1"/>
    <w:qFormat/>
    <w:rsid w:val="00F77875"/>
    <w:pPr>
      <w:jc w:val="both"/>
    </w:pPr>
    <w:rPr>
      <w:rFonts w:ascii="Book Antiqua" w:hAnsi="Book Antiqua"/>
      <w:lang w:eastAsia="en-AU"/>
    </w:rPr>
  </w:style>
  <w:style w:type="table" w:styleId="TableGrid">
    <w:name w:val="Table Grid"/>
    <w:basedOn w:val="TableNormal"/>
    <w:uiPriority w:val="59"/>
    <w:rsid w:val="0063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657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44539592">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82761087">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6350779">
      <w:bodyDiv w:val="1"/>
      <w:marLeft w:val="0"/>
      <w:marRight w:val="0"/>
      <w:marTop w:val="0"/>
      <w:marBottom w:val="0"/>
      <w:divBdr>
        <w:top w:val="none" w:sz="0" w:space="0" w:color="auto"/>
        <w:left w:val="none" w:sz="0" w:space="0" w:color="auto"/>
        <w:bottom w:val="none" w:sz="0" w:space="0" w:color="auto"/>
        <w:right w:val="none" w:sz="0" w:space="0" w:color="auto"/>
      </w:divBdr>
    </w:div>
    <w:div w:id="649940385">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98647649">
      <w:bodyDiv w:val="1"/>
      <w:marLeft w:val="0"/>
      <w:marRight w:val="0"/>
      <w:marTop w:val="0"/>
      <w:marBottom w:val="0"/>
      <w:divBdr>
        <w:top w:val="none" w:sz="0" w:space="0" w:color="auto"/>
        <w:left w:val="none" w:sz="0" w:space="0" w:color="auto"/>
        <w:bottom w:val="none" w:sz="0" w:space="0" w:color="auto"/>
        <w:right w:val="none" w:sz="0" w:space="0" w:color="auto"/>
      </w:divBdr>
    </w:div>
    <w:div w:id="820460685">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32402">
      <w:bodyDiv w:val="1"/>
      <w:marLeft w:val="0"/>
      <w:marRight w:val="0"/>
      <w:marTop w:val="0"/>
      <w:marBottom w:val="0"/>
      <w:divBdr>
        <w:top w:val="none" w:sz="0" w:space="0" w:color="auto"/>
        <w:left w:val="none" w:sz="0" w:space="0" w:color="auto"/>
        <w:bottom w:val="none" w:sz="0" w:space="0" w:color="auto"/>
        <w:right w:val="none" w:sz="0" w:space="0" w:color="auto"/>
      </w:divBdr>
    </w:div>
    <w:div w:id="936136486">
      <w:bodyDiv w:val="1"/>
      <w:marLeft w:val="0"/>
      <w:marRight w:val="0"/>
      <w:marTop w:val="0"/>
      <w:marBottom w:val="0"/>
      <w:divBdr>
        <w:top w:val="none" w:sz="0" w:space="0" w:color="auto"/>
        <w:left w:val="none" w:sz="0" w:space="0" w:color="auto"/>
        <w:bottom w:val="none" w:sz="0" w:space="0" w:color="auto"/>
        <w:right w:val="none" w:sz="0" w:space="0" w:color="auto"/>
      </w:divBdr>
    </w:div>
    <w:div w:id="990910219">
      <w:bodyDiv w:val="1"/>
      <w:marLeft w:val="0"/>
      <w:marRight w:val="0"/>
      <w:marTop w:val="0"/>
      <w:marBottom w:val="0"/>
      <w:divBdr>
        <w:top w:val="none" w:sz="0" w:space="0" w:color="auto"/>
        <w:left w:val="none" w:sz="0" w:space="0" w:color="auto"/>
        <w:bottom w:val="none" w:sz="0" w:space="0" w:color="auto"/>
        <w:right w:val="none" w:sz="0" w:space="0" w:color="auto"/>
      </w:divBdr>
    </w:div>
    <w:div w:id="1153989262">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99480299">
      <w:bodyDiv w:val="1"/>
      <w:marLeft w:val="0"/>
      <w:marRight w:val="0"/>
      <w:marTop w:val="0"/>
      <w:marBottom w:val="0"/>
      <w:divBdr>
        <w:top w:val="none" w:sz="0" w:space="0" w:color="auto"/>
        <w:left w:val="none" w:sz="0" w:space="0" w:color="auto"/>
        <w:bottom w:val="none" w:sz="0" w:space="0" w:color="auto"/>
        <w:right w:val="none" w:sz="0" w:space="0" w:color="auto"/>
      </w:divBdr>
    </w:div>
    <w:div w:id="1477256468">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43978563">
      <w:bodyDiv w:val="1"/>
      <w:marLeft w:val="0"/>
      <w:marRight w:val="0"/>
      <w:marTop w:val="0"/>
      <w:marBottom w:val="0"/>
      <w:divBdr>
        <w:top w:val="none" w:sz="0" w:space="0" w:color="auto"/>
        <w:left w:val="none" w:sz="0" w:space="0" w:color="auto"/>
        <w:bottom w:val="none" w:sz="0" w:space="0" w:color="auto"/>
        <w:right w:val="none" w:sz="0" w:space="0" w:color="auto"/>
      </w:divBdr>
    </w:div>
    <w:div w:id="1568564477">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93648720">
      <w:bodyDiv w:val="1"/>
      <w:marLeft w:val="0"/>
      <w:marRight w:val="0"/>
      <w:marTop w:val="0"/>
      <w:marBottom w:val="0"/>
      <w:divBdr>
        <w:top w:val="none" w:sz="0" w:space="0" w:color="auto"/>
        <w:left w:val="none" w:sz="0" w:space="0" w:color="auto"/>
        <w:bottom w:val="none" w:sz="0" w:space="0" w:color="auto"/>
        <w:right w:val="none" w:sz="0" w:space="0" w:color="auto"/>
      </w:divBdr>
    </w:div>
    <w:div w:id="1723603510">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811365716">
      <w:bodyDiv w:val="1"/>
      <w:marLeft w:val="0"/>
      <w:marRight w:val="0"/>
      <w:marTop w:val="0"/>
      <w:marBottom w:val="0"/>
      <w:divBdr>
        <w:top w:val="none" w:sz="0" w:space="0" w:color="auto"/>
        <w:left w:val="none" w:sz="0" w:space="0" w:color="auto"/>
        <w:bottom w:val="none" w:sz="0" w:space="0" w:color="auto"/>
        <w:right w:val="none" w:sz="0" w:space="0" w:color="auto"/>
      </w:divBdr>
    </w:div>
    <w:div w:id="1818957677">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72437906">
      <w:bodyDiv w:val="1"/>
      <w:marLeft w:val="0"/>
      <w:marRight w:val="0"/>
      <w:marTop w:val="0"/>
      <w:marBottom w:val="0"/>
      <w:divBdr>
        <w:top w:val="none" w:sz="0" w:space="0" w:color="auto"/>
        <w:left w:val="none" w:sz="0" w:space="0" w:color="auto"/>
        <w:bottom w:val="none" w:sz="0" w:space="0" w:color="auto"/>
        <w:right w:val="none" w:sz="0" w:space="0" w:color="auto"/>
      </w:divBdr>
    </w:div>
    <w:div w:id="20915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emf"/><Relationship Id="rId21" Type="http://schemas.openxmlformats.org/officeDocument/2006/relationships/image" Target="media/image1.wmf"/><Relationship Id="rId42" Type="http://schemas.openxmlformats.org/officeDocument/2006/relationships/header" Target="header14.xml"/><Relationship Id="rId63" Type="http://schemas.openxmlformats.org/officeDocument/2006/relationships/image" Target="media/image13.emf"/><Relationship Id="rId84" Type="http://schemas.openxmlformats.org/officeDocument/2006/relationships/image" Target="media/image34.emf"/><Relationship Id="rId138" Type="http://schemas.openxmlformats.org/officeDocument/2006/relationships/image" Target="media/image70.emf"/><Relationship Id="rId107" Type="http://schemas.openxmlformats.org/officeDocument/2006/relationships/header" Target="header28.xml"/><Relationship Id="rId11" Type="http://schemas.openxmlformats.org/officeDocument/2006/relationships/settings" Target="settings.xml"/><Relationship Id="rId32" Type="http://schemas.openxmlformats.org/officeDocument/2006/relationships/header" Target="header8.xml"/><Relationship Id="rId53" Type="http://schemas.openxmlformats.org/officeDocument/2006/relationships/header" Target="header20.xml"/><Relationship Id="rId74" Type="http://schemas.openxmlformats.org/officeDocument/2006/relationships/image" Target="media/image24.emf"/><Relationship Id="rId128" Type="http://schemas.openxmlformats.org/officeDocument/2006/relationships/image" Target="media/image64.emf"/><Relationship Id="rId149" Type="http://schemas.openxmlformats.org/officeDocument/2006/relationships/image" Target="media/image81.emf"/><Relationship Id="rId5" Type="http://schemas.openxmlformats.org/officeDocument/2006/relationships/customXml" Target="../customXml/item5.xml"/><Relationship Id="rId95" Type="http://schemas.openxmlformats.org/officeDocument/2006/relationships/footer" Target="footer15.xml"/><Relationship Id="rId22" Type="http://schemas.openxmlformats.org/officeDocument/2006/relationships/hyperlink" Target="http://creativecommons.org/licenses/by/3.0/au/deed.en" TargetMode="External"/><Relationship Id="rId43" Type="http://schemas.openxmlformats.org/officeDocument/2006/relationships/footer" Target="footer10.xml"/><Relationship Id="rId64" Type="http://schemas.openxmlformats.org/officeDocument/2006/relationships/image" Target="media/image14.emf"/><Relationship Id="rId118" Type="http://schemas.openxmlformats.org/officeDocument/2006/relationships/image" Target="media/image57.emf"/><Relationship Id="rId139" Type="http://schemas.openxmlformats.org/officeDocument/2006/relationships/image" Target="media/image71.emf"/><Relationship Id="rId80" Type="http://schemas.openxmlformats.org/officeDocument/2006/relationships/image" Target="media/image30.emf"/><Relationship Id="rId85" Type="http://schemas.openxmlformats.org/officeDocument/2006/relationships/image" Target="media/image35.emf"/><Relationship Id="rId150" Type="http://schemas.openxmlformats.org/officeDocument/2006/relationships/header" Target="header35.xml"/><Relationship Id="rId155" Type="http://schemas.openxmlformats.org/officeDocument/2006/relationships/header" Target="header39.xml"/><Relationship Id="rId12" Type="http://schemas.openxmlformats.org/officeDocument/2006/relationships/webSettings" Target="webSettings.xml"/><Relationship Id="rId17" Type="http://schemas.openxmlformats.org/officeDocument/2006/relationships/footer" Target="footer1.xml"/><Relationship Id="rId33" Type="http://schemas.openxmlformats.org/officeDocument/2006/relationships/footer" Target="footer6.xml"/><Relationship Id="rId38" Type="http://schemas.openxmlformats.org/officeDocument/2006/relationships/footer" Target="footer8.xml"/><Relationship Id="rId59" Type="http://schemas.openxmlformats.org/officeDocument/2006/relationships/image" Target="media/image9.emf"/><Relationship Id="rId103" Type="http://schemas.openxmlformats.org/officeDocument/2006/relationships/footer" Target="footer16.xml"/><Relationship Id="rId108" Type="http://schemas.openxmlformats.org/officeDocument/2006/relationships/image" Target="media/image47.emf"/><Relationship Id="rId124" Type="http://schemas.openxmlformats.org/officeDocument/2006/relationships/image" Target="media/image63.emf"/><Relationship Id="rId129" Type="http://schemas.openxmlformats.org/officeDocument/2006/relationships/image" Target="media/image65.emf"/><Relationship Id="rId54" Type="http://schemas.openxmlformats.org/officeDocument/2006/relationships/footer" Target="footer13.xml"/><Relationship Id="rId70" Type="http://schemas.openxmlformats.org/officeDocument/2006/relationships/image" Target="media/image20.emf"/><Relationship Id="rId75" Type="http://schemas.openxmlformats.org/officeDocument/2006/relationships/image" Target="media/image25.emf"/><Relationship Id="rId91" Type="http://schemas.openxmlformats.org/officeDocument/2006/relationships/header" Target="header23.xml"/><Relationship Id="rId96" Type="http://schemas.openxmlformats.org/officeDocument/2006/relationships/image" Target="media/image40.emf"/><Relationship Id="rId140" Type="http://schemas.openxmlformats.org/officeDocument/2006/relationships/image" Target="media/image72.emf"/><Relationship Id="rId145" Type="http://schemas.openxmlformats.org/officeDocument/2006/relationships/image" Target="media/image77.e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itsanhonour.gov.au" TargetMode="External"/><Relationship Id="rId28" Type="http://schemas.openxmlformats.org/officeDocument/2006/relationships/header" Target="header6.xml"/><Relationship Id="rId49" Type="http://schemas.openxmlformats.org/officeDocument/2006/relationships/footer" Target="footer11.xml"/><Relationship Id="rId114" Type="http://schemas.openxmlformats.org/officeDocument/2006/relationships/image" Target="media/image53.emf"/><Relationship Id="rId119" Type="http://schemas.openxmlformats.org/officeDocument/2006/relationships/image" Target="media/image58.emf"/><Relationship Id="rId44" Type="http://schemas.openxmlformats.org/officeDocument/2006/relationships/image" Target="media/image3.wmf"/><Relationship Id="rId60" Type="http://schemas.openxmlformats.org/officeDocument/2006/relationships/image" Target="media/image10.emf"/><Relationship Id="rId65" Type="http://schemas.openxmlformats.org/officeDocument/2006/relationships/image" Target="media/image15.emf"/><Relationship Id="rId81" Type="http://schemas.openxmlformats.org/officeDocument/2006/relationships/image" Target="media/image31.emf"/><Relationship Id="rId86" Type="http://schemas.openxmlformats.org/officeDocument/2006/relationships/image" Target="media/image36.emf"/><Relationship Id="rId130" Type="http://schemas.openxmlformats.org/officeDocument/2006/relationships/image" Target="media/image66.emf"/><Relationship Id="rId135" Type="http://schemas.openxmlformats.org/officeDocument/2006/relationships/footer" Target="footer17.xml"/><Relationship Id="rId151" Type="http://schemas.openxmlformats.org/officeDocument/2006/relationships/header" Target="header36.xml"/><Relationship Id="rId156" Type="http://schemas.openxmlformats.org/officeDocument/2006/relationships/header" Target="header40.xml"/><Relationship Id="rId13" Type="http://schemas.openxmlformats.org/officeDocument/2006/relationships/footnotes" Target="footnotes.xml"/><Relationship Id="rId18" Type="http://schemas.openxmlformats.org/officeDocument/2006/relationships/footer" Target="footer2.xml"/><Relationship Id="rId39" Type="http://schemas.openxmlformats.org/officeDocument/2006/relationships/footer" Target="footer9.xml"/><Relationship Id="rId109" Type="http://schemas.openxmlformats.org/officeDocument/2006/relationships/image" Target="media/image48.emf"/><Relationship Id="rId34" Type="http://schemas.openxmlformats.org/officeDocument/2006/relationships/header" Target="header9.xml"/><Relationship Id="rId50" Type="http://schemas.openxmlformats.org/officeDocument/2006/relationships/header" Target="header18.xml"/><Relationship Id="rId55" Type="http://schemas.openxmlformats.org/officeDocument/2006/relationships/image" Target="media/image5.emf"/><Relationship Id="rId76" Type="http://schemas.openxmlformats.org/officeDocument/2006/relationships/image" Target="media/image26.emf"/><Relationship Id="rId97" Type="http://schemas.openxmlformats.org/officeDocument/2006/relationships/image" Target="media/image41.emf"/><Relationship Id="rId104" Type="http://schemas.openxmlformats.org/officeDocument/2006/relationships/image" Target="media/image46.emf"/><Relationship Id="rId120" Type="http://schemas.openxmlformats.org/officeDocument/2006/relationships/image" Target="media/image59.emf"/><Relationship Id="rId125" Type="http://schemas.openxmlformats.org/officeDocument/2006/relationships/header" Target="header29.xml"/><Relationship Id="rId141" Type="http://schemas.openxmlformats.org/officeDocument/2006/relationships/image" Target="media/image73.emf"/><Relationship Id="rId146" Type="http://schemas.openxmlformats.org/officeDocument/2006/relationships/image" Target="media/image78.emf"/><Relationship Id="rId7" Type="http://schemas.openxmlformats.org/officeDocument/2006/relationships/customXml" Target="../customXml/item7.xml"/><Relationship Id="rId71" Type="http://schemas.openxmlformats.org/officeDocument/2006/relationships/image" Target="media/image21.emf"/><Relationship Id="rId92" Type="http://schemas.openxmlformats.org/officeDocument/2006/relationships/footer" Target="footer14.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header" Target="header3.xml"/><Relationship Id="rId40" Type="http://schemas.openxmlformats.org/officeDocument/2006/relationships/header" Target="header12.xml"/><Relationship Id="rId45" Type="http://schemas.openxmlformats.org/officeDocument/2006/relationships/image" Target="media/image4.emf"/><Relationship Id="rId66" Type="http://schemas.openxmlformats.org/officeDocument/2006/relationships/image" Target="media/image16.emf"/><Relationship Id="rId87" Type="http://schemas.openxmlformats.org/officeDocument/2006/relationships/image" Target="media/image37.emf"/><Relationship Id="rId110" Type="http://schemas.openxmlformats.org/officeDocument/2006/relationships/image" Target="media/image49.emf"/><Relationship Id="rId115" Type="http://schemas.openxmlformats.org/officeDocument/2006/relationships/image" Target="media/image54.emf"/><Relationship Id="rId131" Type="http://schemas.openxmlformats.org/officeDocument/2006/relationships/image" Target="media/image67.emf"/><Relationship Id="rId136" Type="http://schemas.openxmlformats.org/officeDocument/2006/relationships/image" Target="media/image68.emf"/><Relationship Id="rId157" Type="http://schemas.openxmlformats.org/officeDocument/2006/relationships/fontTable" Target="fontTable.xml"/><Relationship Id="rId61" Type="http://schemas.openxmlformats.org/officeDocument/2006/relationships/image" Target="media/image11.emf"/><Relationship Id="rId82" Type="http://schemas.openxmlformats.org/officeDocument/2006/relationships/image" Target="media/image32.emf"/><Relationship Id="rId152" Type="http://schemas.openxmlformats.org/officeDocument/2006/relationships/header" Target="header37.xml"/><Relationship Id="rId19" Type="http://schemas.openxmlformats.org/officeDocument/2006/relationships/hyperlink" Target="http://creativecommons.org/licenses/by/3.0/au/deed.en" TargetMode="External"/><Relationship Id="rId14" Type="http://schemas.openxmlformats.org/officeDocument/2006/relationships/endnotes" Target="endnotes.xml"/><Relationship Id="rId30" Type="http://schemas.openxmlformats.org/officeDocument/2006/relationships/footer" Target="footer4.xml"/><Relationship Id="rId35" Type="http://schemas.openxmlformats.org/officeDocument/2006/relationships/header" Target="header10.xml"/><Relationship Id="rId56" Type="http://schemas.openxmlformats.org/officeDocument/2006/relationships/image" Target="media/image6.emf"/><Relationship Id="rId77" Type="http://schemas.openxmlformats.org/officeDocument/2006/relationships/image" Target="media/image27.emf"/><Relationship Id="rId100" Type="http://schemas.openxmlformats.org/officeDocument/2006/relationships/image" Target="media/image44.emf"/><Relationship Id="rId105" Type="http://schemas.openxmlformats.org/officeDocument/2006/relationships/header" Target="header26.xml"/><Relationship Id="rId126" Type="http://schemas.openxmlformats.org/officeDocument/2006/relationships/header" Target="header30.xml"/><Relationship Id="rId147" Type="http://schemas.openxmlformats.org/officeDocument/2006/relationships/image" Target="media/image79.emf"/><Relationship Id="rId8" Type="http://schemas.openxmlformats.org/officeDocument/2006/relationships/numbering" Target="numbering.xml"/><Relationship Id="rId51" Type="http://schemas.openxmlformats.org/officeDocument/2006/relationships/header" Target="header19.xml"/><Relationship Id="rId72" Type="http://schemas.openxmlformats.org/officeDocument/2006/relationships/image" Target="media/image22.emf"/><Relationship Id="rId93" Type="http://schemas.openxmlformats.org/officeDocument/2006/relationships/image" Target="media/image39.emf"/><Relationship Id="rId98" Type="http://schemas.openxmlformats.org/officeDocument/2006/relationships/image" Target="media/image42.emf"/><Relationship Id="rId121" Type="http://schemas.openxmlformats.org/officeDocument/2006/relationships/image" Target="media/image60.emf"/><Relationship Id="rId142" Type="http://schemas.openxmlformats.org/officeDocument/2006/relationships/image" Target="media/image74.emf"/><Relationship Id="rId25" Type="http://schemas.openxmlformats.org/officeDocument/2006/relationships/header" Target="header4.xml"/><Relationship Id="rId46" Type="http://schemas.openxmlformats.org/officeDocument/2006/relationships/header" Target="header15.xml"/><Relationship Id="rId67" Type="http://schemas.openxmlformats.org/officeDocument/2006/relationships/image" Target="media/image17.emf"/><Relationship Id="rId116" Type="http://schemas.openxmlformats.org/officeDocument/2006/relationships/image" Target="media/image55.emf"/><Relationship Id="rId137" Type="http://schemas.openxmlformats.org/officeDocument/2006/relationships/image" Target="media/image69.emf"/><Relationship Id="rId158" Type="http://schemas.openxmlformats.org/officeDocument/2006/relationships/theme" Target="theme/theme1.xml"/><Relationship Id="rId20" Type="http://schemas.openxmlformats.org/officeDocument/2006/relationships/hyperlink" Target="http://creativecommons.org/licenses/by/3.0/au/legalcode" TargetMode="External"/><Relationship Id="rId41" Type="http://schemas.openxmlformats.org/officeDocument/2006/relationships/header" Target="header13.xml"/><Relationship Id="rId62" Type="http://schemas.openxmlformats.org/officeDocument/2006/relationships/image" Target="media/image12.emf"/><Relationship Id="rId83" Type="http://schemas.openxmlformats.org/officeDocument/2006/relationships/image" Target="media/image33.emf"/><Relationship Id="rId88" Type="http://schemas.openxmlformats.org/officeDocument/2006/relationships/image" Target="media/image38.emf"/><Relationship Id="rId111" Type="http://schemas.openxmlformats.org/officeDocument/2006/relationships/image" Target="media/image50.emf"/><Relationship Id="rId132" Type="http://schemas.openxmlformats.org/officeDocument/2006/relationships/header" Target="header32.xml"/><Relationship Id="rId153" Type="http://schemas.openxmlformats.org/officeDocument/2006/relationships/footer" Target="footer18.xml"/><Relationship Id="rId15" Type="http://schemas.openxmlformats.org/officeDocument/2006/relationships/header" Target="header1.xml"/><Relationship Id="rId36" Type="http://schemas.openxmlformats.org/officeDocument/2006/relationships/footer" Target="footer7.xml"/><Relationship Id="rId57" Type="http://schemas.openxmlformats.org/officeDocument/2006/relationships/image" Target="media/image7.emf"/><Relationship Id="rId106" Type="http://schemas.openxmlformats.org/officeDocument/2006/relationships/header" Target="header27.xml"/><Relationship Id="rId127" Type="http://schemas.openxmlformats.org/officeDocument/2006/relationships/header" Target="header31.xml"/><Relationship Id="rId10" Type="http://schemas.microsoft.com/office/2007/relationships/stylesWithEffects" Target="stylesWithEffects.xml"/><Relationship Id="rId31" Type="http://schemas.openxmlformats.org/officeDocument/2006/relationships/footer" Target="footer5.xml"/><Relationship Id="rId52" Type="http://schemas.openxmlformats.org/officeDocument/2006/relationships/footer" Target="footer12.xml"/><Relationship Id="rId73" Type="http://schemas.openxmlformats.org/officeDocument/2006/relationships/image" Target="media/image23.emf"/><Relationship Id="rId78" Type="http://schemas.openxmlformats.org/officeDocument/2006/relationships/image" Target="media/image28.emf"/><Relationship Id="rId94" Type="http://schemas.openxmlformats.org/officeDocument/2006/relationships/header" Target="header24.xml"/><Relationship Id="rId99" Type="http://schemas.openxmlformats.org/officeDocument/2006/relationships/image" Target="media/image43.emf"/><Relationship Id="rId101" Type="http://schemas.openxmlformats.org/officeDocument/2006/relationships/image" Target="media/image45.emf"/><Relationship Id="rId122" Type="http://schemas.openxmlformats.org/officeDocument/2006/relationships/image" Target="media/image61.emf"/><Relationship Id="rId143" Type="http://schemas.openxmlformats.org/officeDocument/2006/relationships/image" Target="media/image75.emf"/><Relationship Id="rId148" Type="http://schemas.openxmlformats.org/officeDocument/2006/relationships/image" Target="media/image80.emf"/><Relationship Id="rId9" Type="http://schemas.openxmlformats.org/officeDocument/2006/relationships/styles" Target="styles.xml"/><Relationship Id="rId26" Type="http://schemas.openxmlformats.org/officeDocument/2006/relationships/header" Target="header5.xml"/><Relationship Id="rId47" Type="http://schemas.openxmlformats.org/officeDocument/2006/relationships/header" Target="header16.xml"/><Relationship Id="rId68" Type="http://schemas.openxmlformats.org/officeDocument/2006/relationships/image" Target="media/image18.emf"/><Relationship Id="rId89" Type="http://schemas.openxmlformats.org/officeDocument/2006/relationships/header" Target="header21.xml"/><Relationship Id="rId112" Type="http://schemas.openxmlformats.org/officeDocument/2006/relationships/image" Target="media/image51.emf"/><Relationship Id="rId133" Type="http://schemas.openxmlformats.org/officeDocument/2006/relationships/header" Target="header33.xml"/><Relationship Id="rId154" Type="http://schemas.openxmlformats.org/officeDocument/2006/relationships/header" Target="header38.xml"/><Relationship Id="rId16" Type="http://schemas.openxmlformats.org/officeDocument/2006/relationships/header" Target="header2.xml"/><Relationship Id="rId37" Type="http://schemas.openxmlformats.org/officeDocument/2006/relationships/header" Target="header11.xml"/><Relationship Id="rId58" Type="http://schemas.openxmlformats.org/officeDocument/2006/relationships/image" Target="media/image8.emf"/><Relationship Id="rId79" Type="http://schemas.openxmlformats.org/officeDocument/2006/relationships/image" Target="media/image29.emf"/><Relationship Id="rId102" Type="http://schemas.openxmlformats.org/officeDocument/2006/relationships/header" Target="header25.xml"/><Relationship Id="rId123" Type="http://schemas.openxmlformats.org/officeDocument/2006/relationships/image" Target="media/image62.emf"/><Relationship Id="rId144" Type="http://schemas.openxmlformats.org/officeDocument/2006/relationships/image" Target="media/image76.emf"/><Relationship Id="rId90" Type="http://schemas.openxmlformats.org/officeDocument/2006/relationships/header" Target="header22.xml"/><Relationship Id="rId27" Type="http://schemas.openxmlformats.org/officeDocument/2006/relationships/footer" Target="footer3.xml"/><Relationship Id="rId48" Type="http://schemas.openxmlformats.org/officeDocument/2006/relationships/header" Target="header17.xml"/><Relationship Id="rId69" Type="http://schemas.openxmlformats.org/officeDocument/2006/relationships/image" Target="media/image19.emf"/><Relationship Id="rId113" Type="http://schemas.openxmlformats.org/officeDocument/2006/relationships/image" Target="media/image52.emf"/><Relationship Id="rId134" Type="http://schemas.openxmlformats.org/officeDocument/2006/relationships/header" Target="header34.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0600A6B3F814ABEB919D5BDF01FD1" ma:contentTypeVersion="1" ma:contentTypeDescription="Create a new document." ma:contentTypeScope="" ma:versionID="d8be000ddf6e45c4c2670556ad520d5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20" ma:contentTypeDescription="" ma:contentTypeScope="" ma:versionID="26dbf412825655bc94bc8270cdf44202">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2094fa0f18de3ba782c805eeb945b61d"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4831F-3C09-4F42-BDDB-EE446EE9DF2D}"/>
</file>

<file path=customXml/itemProps2.xml><?xml version="1.0" encoding="utf-8"?>
<ds:datastoreItem xmlns:ds="http://schemas.openxmlformats.org/officeDocument/2006/customXml" ds:itemID="{F80B0B92-677D-47F2-AEEE-593E33FB59F9}"/>
</file>

<file path=customXml/itemProps3.xml><?xml version="1.0" encoding="utf-8"?>
<ds:datastoreItem xmlns:ds="http://schemas.openxmlformats.org/officeDocument/2006/customXml" ds:itemID="{1A88DF15-A7C7-4AF7-AA29-9FD8214F6AF3}">
  <ds:schemaRefs>
    <ds:schemaRef ds:uri="http://schemas.microsoft.com/sharepoint/events"/>
  </ds:schemaRefs>
</ds:datastoreItem>
</file>

<file path=customXml/itemProps4.xml><?xml version="1.0" encoding="utf-8"?>
<ds:datastoreItem xmlns:ds="http://schemas.openxmlformats.org/officeDocument/2006/customXml" ds:itemID="{5A239E11-29F2-481B-BF5E-E4EB96D6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D29A-A976-426C-8109-33C8A30C48FD}"/>
</file>

<file path=customXml/itemProps6.xml><?xml version="1.0" encoding="utf-8"?>
<ds:datastoreItem xmlns:ds="http://schemas.openxmlformats.org/officeDocument/2006/customXml" ds:itemID="{B38F462D-27A3-4E8C-9263-98A1B3599668}"/>
</file>

<file path=customXml/itemProps7.xml><?xml version="1.0" encoding="utf-8"?>
<ds:datastoreItem xmlns:ds="http://schemas.openxmlformats.org/officeDocument/2006/customXml" ds:itemID="{230F079B-BF34-419F-B351-762992EB00E9}"/>
</file>

<file path=docProps/app.xml><?xml version="1.0" encoding="utf-8"?>
<Properties xmlns="http://schemas.openxmlformats.org/officeDocument/2006/extended-properties" xmlns:vt="http://schemas.openxmlformats.org/officeDocument/2006/docPropsVTypes">
  <Template>PAES Template</Template>
  <TotalTime>1</TotalTime>
  <Pages>121</Pages>
  <Words>9623</Words>
  <Characters>57656</Characters>
  <Application>Microsoft Office Word</Application>
  <DocSecurity>0</DocSecurity>
  <Lines>1583</Lines>
  <Paragraphs>709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66820</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Pan</dc:creator>
  <cp:lastModifiedBy>Adams, Richard</cp:lastModifiedBy>
  <cp:revision>2</cp:revision>
  <cp:lastPrinted>2016-01-29T00:57:00Z</cp:lastPrinted>
  <dcterms:created xsi:type="dcterms:W3CDTF">2016-01-29T03:33:00Z</dcterms:created>
  <dcterms:modified xsi:type="dcterms:W3CDTF">2016-01-29T03:33:00Z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0x010100C3F0600A6B3F814ABEB919D5BDF01FD1</vt:lpwstr>
  </property>
  <property fmtid="{D5CDD505-2E9C-101B-9397-08002B2CF9AE}" pid="3" name="_NewReviewCycle">
    <vt:lpwstr/>
  </property>
  <property fmtid="{D5CDD505-2E9C-101B-9397-08002B2CF9AE}" pid="4" name="TSYRecordClass">
    <vt:lpwstr>75</vt:lpwstr>
  </property>
  <property fmtid="{D5CDD505-2E9C-101B-9397-08002B2CF9AE}" pid="5" name="_dlc_DocId">
    <vt:lpwstr>2015CSSG-727-1965</vt:lpwstr>
  </property>
  <property fmtid="{D5CDD505-2E9C-101B-9397-08002B2CF9AE}" pid="6" name="_dlc_DocIdItemGuid">
    <vt:lpwstr>b7809b60-bead-4861-9dea-594128a5f383</vt:lpwstr>
  </property>
  <property fmtid="{D5CDD505-2E9C-101B-9397-08002B2CF9AE}" pid="7" name="_dlc_DocIdUrl">
    <vt:lpwstr>http://tweb/sites/cssg/ped/pu/pt/_layouts/15/DocIdRedir.aspx?ID=2015CSSG-727-1965, 2015CSSG-727-1965</vt:lpwstr>
  </property>
  <property fmtid="{D5CDD505-2E9C-101B-9397-08002B2CF9AE}" pid="8" name="RecordPoint_WorkflowType">
    <vt:lpwstr>ActiveSubmitStub</vt:lpwstr>
  </property>
  <property fmtid="{D5CDD505-2E9C-101B-9397-08002B2CF9AE}" pid="9" name="RecordPoint_ActiveItemUniqueId">
    <vt:lpwstr>{b7809b60-bead-4861-9dea-594128a5f383}</vt:lpwstr>
  </property>
  <property fmtid="{D5CDD505-2E9C-101B-9397-08002B2CF9AE}" pid="10" name="RecordPoint_SubmissionCompleted">
    <vt:lpwstr>2015-12-01T17:03:55.4831175+11:00</vt:lpwstr>
  </property>
  <property fmtid="{D5CDD505-2E9C-101B-9397-08002B2CF9AE}" pid="11" name="RecordPoint_ActiveItemSiteId">
    <vt:lpwstr>{de902461-0703-410e-906b-a2e3a4f5dd57}</vt:lpwstr>
  </property>
  <property fmtid="{D5CDD505-2E9C-101B-9397-08002B2CF9AE}" pid="12" name="RecordPoint_ActiveItemListId">
    <vt:lpwstr>{cbc2ebd0-59c1-4002-a83f-92737a87f681}</vt:lpwstr>
  </property>
  <property fmtid="{D5CDD505-2E9C-101B-9397-08002B2CF9AE}" pid="13" name="RecordPoint_ActiveItemWebId">
    <vt:lpwstr>{e237d495-0881-4849-ae62-ddc8a8132df5}</vt:lpwstr>
  </property>
  <property fmtid="{D5CDD505-2E9C-101B-9397-08002B2CF9AE}" pid="14" name="RecordPoint_RecordNumberSubmitted">
    <vt:lpwstr>R0000247904</vt:lpwstr>
  </property>
  <property fmtid="{D5CDD505-2E9C-101B-9397-08002B2CF9AE}" pid="15" name="TitusGUID">
    <vt:lpwstr>20c0d6a7-38f2-42ee-9bbd-b15ca668ddfb</vt:lpwstr>
  </property>
  <property fmtid="{D5CDD505-2E9C-101B-9397-08002B2CF9AE}" pid="16" name="SEC">
    <vt:lpwstr>UNCLASSIFIED</vt:lpwstr>
  </property>
  <property fmtid="{D5CDD505-2E9C-101B-9397-08002B2CF9AE}" pid="17" name="DLM">
    <vt:lpwstr>No DLM</vt:lpwstr>
  </property>
  <property fmtid="{D5CDD505-2E9C-101B-9397-08002B2CF9AE}" pid="18" name="Order">
    <vt:r8>5200</vt:r8>
  </property>
  <property fmtid="{D5CDD505-2E9C-101B-9397-08002B2CF9AE}" pid="19" name="xd_Signature">
    <vt:bool>false</vt:bool>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TemplateUrl">
    <vt:lpwstr/>
  </property>
</Properties>
</file>