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harts/chart13.xml" ContentType="application/vnd.openxmlformats-officedocument.drawingml.chart+xml"/>
  <Override PartName="/word/charts/chart12.xml" ContentType="application/vnd.openxmlformats-officedocument.drawingml.chart+xml"/>
  <Override PartName="/word/charts/chart6.xml" ContentType="application/vnd.openxmlformats-officedocument.drawingml.chart+xml"/>
  <Override PartName="/word/charts/chart11.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charts/chart9.xml" ContentType="application/vnd.openxmlformats-officedocument.drawingml.chart+xml"/>
  <Override PartName="/word/charts/chart8.xml" ContentType="application/vnd.openxmlformats-officedocument.drawingml.chart+xml"/>
  <Override PartName="/word/charts/chart7.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D3" w:rsidRPr="00031E7B" w:rsidRDefault="0015309E" w:rsidP="00FA7B11">
      <w:pPr>
        <w:pStyle w:val="Title"/>
      </w:pPr>
      <w:bookmarkStart w:id="0" w:name="_GoBack"/>
      <w:bookmarkEnd w:id="0"/>
      <w:r>
        <w:rPr>
          <w:lang w:val="en-AU" w:eastAsia="en-AU"/>
        </w:rPr>
        <w:drawing>
          <wp:anchor distT="0" distB="0" distL="114300" distR="114300" simplePos="0" relativeHeight="251702272" behindDoc="1" locked="0" layoutInCell="1" allowOverlap="1" wp14:anchorId="249202A0" wp14:editId="107B7760">
            <wp:simplePos x="0" y="0"/>
            <wp:positionH relativeFrom="column">
              <wp:posOffset>-2744470</wp:posOffset>
            </wp:positionH>
            <wp:positionV relativeFrom="paragraph">
              <wp:posOffset>-1025271</wp:posOffset>
            </wp:positionV>
            <wp:extent cx="9996160" cy="107902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ODE-Headers-03-(19Mar2014)-ReportFrontv2.wmf"/>
                    <pic:cNvPicPr/>
                  </pic:nvPicPr>
                  <pic:blipFill>
                    <a:blip r:embed="rId9">
                      <a:extLst>
                        <a:ext uri="{28A0092B-C50C-407E-A947-70E740481C1C}">
                          <a14:useLocalDpi xmlns:a14="http://schemas.microsoft.com/office/drawing/2010/main" val="0"/>
                        </a:ext>
                      </a:extLst>
                    </a:blip>
                    <a:stretch>
                      <a:fillRect/>
                    </a:stretch>
                  </pic:blipFill>
                  <pic:spPr>
                    <a:xfrm>
                      <a:off x="0" y="0"/>
                      <a:ext cx="9996160" cy="10790227"/>
                    </a:xfrm>
                    <a:prstGeom prst="rect">
                      <a:avLst/>
                    </a:prstGeom>
                  </pic:spPr>
                </pic:pic>
              </a:graphicData>
            </a:graphic>
          </wp:anchor>
        </w:drawing>
      </w:r>
      <w:r w:rsidR="000C1CA7">
        <w:t xml:space="preserve">2014 </w:t>
      </w:r>
      <w:r w:rsidR="00F36C24">
        <w:t>Q</w:t>
      </w:r>
      <w:r w:rsidR="000C1CA7">
        <w:t xml:space="preserve">uality </w:t>
      </w:r>
      <w:r w:rsidR="00651F25">
        <w:t>R</w:t>
      </w:r>
      <w:r w:rsidR="003B153C">
        <w:t xml:space="preserve">eview of </w:t>
      </w:r>
      <w:r w:rsidR="003B153C">
        <w:br/>
        <w:t>Aid Program Performance Reports</w:t>
      </w:r>
    </w:p>
    <w:p w:rsidR="0036126B" w:rsidRDefault="0036126B" w:rsidP="00FA7B11">
      <w:pPr>
        <w:pStyle w:val="Subtitle"/>
      </w:pPr>
    </w:p>
    <w:p w:rsidR="00056C28" w:rsidRDefault="00056C28" w:rsidP="00FA7B11">
      <w:pPr>
        <w:pStyle w:val="Subtitle"/>
      </w:pPr>
    </w:p>
    <w:p w:rsidR="003B153C" w:rsidRDefault="003B153C" w:rsidP="00881A92">
      <w:pPr>
        <w:pStyle w:val="Subtitle"/>
        <w:spacing w:before="240"/>
      </w:pPr>
    </w:p>
    <w:p w:rsidR="005B7FD3" w:rsidRPr="00031E7B" w:rsidRDefault="005B7FD3" w:rsidP="00881A92">
      <w:pPr>
        <w:pStyle w:val="Subtitle"/>
        <w:spacing w:before="240"/>
      </w:pPr>
      <w:r>
        <w:t xml:space="preserve">Office of </w:t>
      </w:r>
      <w:r w:rsidRPr="00E3214A">
        <w:t>Development</w:t>
      </w:r>
      <w:r>
        <w:t xml:space="preserve"> </w:t>
      </w:r>
      <w:r w:rsidRPr="00FA7B11">
        <w:t>Effectiveness</w:t>
      </w:r>
    </w:p>
    <w:p w:rsidR="005B7FD3" w:rsidRDefault="003B153C" w:rsidP="00FA7B11">
      <w:pPr>
        <w:pStyle w:val="Date"/>
      </w:pPr>
      <w:r>
        <w:t>April 2015</w:t>
      </w:r>
      <w:r w:rsidR="00DD0969">
        <w:t xml:space="preserve"> </w:t>
      </w:r>
    </w:p>
    <w:p w:rsidR="00580055" w:rsidRPr="00580055" w:rsidRDefault="00580055" w:rsidP="00580055">
      <w:pPr>
        <w:rPr>
          <w:lang w:val="en-US" w:eastAsia="en-US"/>
        </w:rPr>
        <w:sectPr w:rsidR="00580055" w:rsidRPr="00580055" w:rsidSect="007D0C2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576" w:footer="576" w:gutter="0"/>
          <w:pgNumType w:fmt="lowerRoman"/>
          <w:cols w:space="720"/>
          <w:titlePg/>
        </w:sectPr>
      </w:pPr>
    </w:p>
    <w:p w:rsidR="00FA0759" w:rsidRDefault="00FA0759" w:rsidP="00FA0759">
      <w:pPr>
        <w:pStyle w:val="BodyText"/>
      </w:pPr>
    </w:p>
    <w:p w:rsidR="00FA0759" w:rsidRDefault="00FA0759" w:rsidP="0068612A">
      <w:pPr>
        <w:pStyle w:val="ImprintText-Copyright"/>
        <w:pBdr>
          <w:top w:val="none" w:sz="0" w:space="0" w:color="auto"/>
        </w:pBdr>
      </w:pPr>
      <w:r w:rsidRPr="00033C14">
        <w:t>© Commonwealth</w:t>
      </w:r>
      <w:r>
        <w:t xml:space="preserve"> </w:t>
      </w:r>
      <w:r w:rsidRPr="00033C14">
        <w:t xml:space="preserve">of Australia </w:t>
      </w:r>
      <w:r w:rsidRPr="00FA0759">
        <w:t>2015</w:t>
      </w:r>
      <w:r w:rsidRPr="00033C14">
        <w:t xml:space="preserve"> </w:t>
      </w:r>
    </w:p>
    <w:p w:rsidR="00FA0759" w:rsidRPr="00033C14" w:rsidRDefault="00FA0759" w:rsidP="0068612A">
      <w:pPr>
        <w:pStyle w:val="ImprintText-Copyright"/>
        <w:pBdr>
          <w:top w:val="none" w:sz="0" w:space="0" w:color="auto"/>
        </w:pBdr>
      </w:pPr>
      <w:r w:rsidRPr="00033C14">
        <w:rPr>
          <w:rStyle w:val="Strong"/>
        </w:rPr>
        <w:t>ISBN</w:t>
      </w:r>
      <w:r>
        <w:rPr>
          <w:rStyle w:val="Strong"/>
        </w:rPr>
        <w:t xml:space="preserve"> </w:t>
      </w:r>
      <w:r w:rsidRPr="00B256FF">
        <w:rPr>
          <w:noProof/>
        </w:rPr>
        <w:t>978-0-9874848-5-7</w:t>
      </w:r>
      <w:r w:rsidRPr="00033C14">
        <w:t> </w:t>
      </w:r>
    </w:p>
    <w:p w:rsidR="00FA0759" w:rsidRPr="00033C14" w:rsidRDefault="00FA0759" w:rsidP="00FA0759">
      <w:pPr>
        <w:pStyle w:val="ImprintText"/>
      </w:pPr>
      <w:proofErr w:type="gramStart"/>
      <w:r w:rsidRPr="00033C14">
        <w:t xml:space="preserve">Published by the Department of Foreign Affairs and Trade, Canberra, </w:t>
      </w:r>
      <w:r w:rsidRPr="00FA0759">
        <w:t>2015</w:t>
      </w:r>
      <w:r w:rsidRPr="00033C14">
        <w:t>.</w:t>
      </w:r>
      <w:proofErr w:type="gramEnd"/>
    </w:p>
    <w:p w:rsidR="00FA0759" w:rsidRPr="00033C14" w:rsidRDefault="00FA0759" w:rsidP="00FA0759">
      <w:pPr>
        <w:pStyle w:val="ImprintText"/>
      </w:pPr>
      <w:r w:rsidRPr="00033C14">
        <w:rPr>
          <w:rStyle w:val="Strong"/>
        </w:rPr>
        <w:t>Disclaimer:</w:t>
      </w:r>
      <w:r w:rsidRPr="00033C14">
        <w:t xml:space="preserve"> The views contained in this report do not necessarily represent those of the Australian Government. </w:t>
      </w:r>
    </w:p>
    <w:p w:rsidR="00FA0759" w:rsidRPr="00FA0759" w:rsidRDefault="00FA0759" w:rsidP="00FA0759">
      <w:pPr>
        <w:pStyle w:val="ImprintText"/>
      </w:pPr>
      <w:r w:rsidRPr="00033C14">
        <w:t>With the exception of the Commonwealth Coat of Arms and where otherwise noted all material presented in this document is provided under a Creative Commons Attribution 3.0 Australia (</w:t>
      </w:r>
      <w:hyperlink r:id="rId16" w:history="1">
        <w:r w:rsidRPr="00033C14">
          <w:rPr>
            <w:rStyle w:val="Hyperlink"/>
          </w:rPr>
          <w:t>http://creativecommons.org/licenses/by/3.0/au/</w:t>
        </w:r>
      </w:hyperlink>
      <w:r w:rsidRPr="00033C14">
        <w:t>) licence. The</w:t>
      </w:r>
      <w:r>
        <w:t> </w:t>
      </w:r>
      <w:r w:rsidRPr="00033C14">
        <w:t xml:space="preserve">details of the relevant licence conditions are available on the Creative Commons website (accessible using the links provided) as is the full legal code for the CC BY 3.0 AU licence </w:t>
      </w:r>
      <w:r w:rsidRPr="00033C14">
        <w:rPr>
          <w:rStyle w:val="Hyperlink"/>
        </w:rPr>
        <w:t>(</w:t>
      </w:r>
      <w:hyperlink r:id="rId17" w:history="1">
        <w:r w:rsidRPr="00033C14">
          <w:rPr>
            <w:rStyle w:val="Hyperlink"/>
          </w:rPr>
          <w:t>http://creativecommons.org/licenses/by/3.0/au/legalcode</w:t>
        </w:r>
      </w:hyperlink>
      <w:r w:rsidRPr="00033C14">
        <w:t>). The</w:t>
      </w:r>
      <w:r>
        <w:t> </w:t>
      </w:r>
      <w:r w:rsidRPr="00033C14">
        <w:t>document must be attributed as</w:t>
      </w:r>
      <w:r>
        <w:t xml:space="preserve"> </w:t>
      </w:r>
      <w:r w:rsidRPr="00B256FF">
        <w:rPr>
          <w:rStyle w:val="Emphasis"/>
          <w:noProof/>
        </w:rPr>
        <w:t xml:space="preserve">Office of Development Effectiveness (2015). </w:t>
      </w:r>
      <w:r w:rsidRPr="00017C0F">
        <w:rPr>
          <w:rStyle w:val="Emphasis"/>
          <w:noProof/>
        </w:rPr>
        <w:t xml:space="preserve">2014 </w:t>
      </w:r>
      <w:r w:rsidR="00561BD2">
        <w:rPr>
          <w:rStyle w:val="Emphasis"/>
          <w:noProof/>
        </w:rPr>
        <w:t>Quality Review</w:t>
      </w:r>
      <w:r w:rsidRPr="00017C0F">
        <w:rPr>
          <w:rStyle w:val="Emphasis"/>
          <w:noProof/>
        </w:rPr>
        <w:t xml:space="preserve"> of Aid Program Performance Reports</w:t>
      </w:r>
      <w:r w:rsidRPr="00B256FF">
        <w:rPr>
          <w:rStyle w:val="Emphasis"/>
          <w:noProof/>
        </w:rPr>
        <w:t xml:space="preserve">, </w:t>
      </w:r>
      <w:r w:rsidRPr="00FA0759">
        <w:rPr>
          <w:rStyle w:val="Emphasis"/>
          <w:i w:val="0"/>
          <w:noProof/>
        </w:rPr>
        <w:t>ODE, Australian Government Department of Foreign Affairs and Trade, Canberra</w:t>
      </w:r>
      <w:r w:rsidRPr="00FA0759">
        <w:rPr>
          <w:rStyle w:val="Emphasis"/>
          <w:noProof/>
        </w:rPr>
        <w:t>.</w:t>
      </w:r>
    </w:p>
    <w:p w:rsidR="00BF501E" w:rsidRDefault="00BF501E" w:rsidP="00BF501E">
      <w:pPr>
        <w:pStyle w:val="BodyText"/>
      </w:pPr>
    </w:p>
    <w:p w:rsidR="00FA0759" w:rsidRDefault="00FA0759" w:rsidP="00BF501E">
      <w:pPr>
        <w:pStyle w:val="BodyText"/>
      </w:pPr>
    </w:p>
    <w:p w:rsidR="00FA0759" w:rsidRDefault="00FA0759" w:rsidP="00BF501E">
      <w:pPr>
        <w:pStyle w:val="BodyText"/>
      </w:pPr>
    </w:p>
    <w:p w:rsidR="00FA0759" w:rsidRDefault="00FA0759" w:rsidP="00BF501E">
      <w:pPr>
        <w:pStyle w:val="BodyText"/>
      </w:pPr>
    </w:p>
    <w:p w:rsidR="00FA0759" w:rsidRDefault="00FA0759" w:rsidP="00BF501E">
      <w:pPr>
        <w:pStyle w:val="BodyText"/>
      </w:pPr>
    </w:p>
    <w:p w:rsidR="00FA0759" w:rsidRDefault="00FA0759" w:rsidP="00BF501E">
      <w:pPr>
        <w:pStyle w:val="BodyText"/>
      </w:pPr>
    </w:p>
    <w:p w:rsidR="00FA0759" w:rsidRDefault="00FA0759" w:rsidP="00BF501E">
      <w:pPr>
        <w:pStyle w:val="BodyText"/>
      </w:pPr>
    </w:p>
    <w:p w:rsidR="0068612A" w:rsidRDefault="0068612A" w:rsidP="00BF501E">
      <w:pPr>
        <w:pStyle w:val="BodyText"/>
      </w:pPr>
    </w:p>
    <w:p w:rsidR="0068612A" w:rsidRDefault="0068612A" w:rsidP="00BF501E">
      <w:pPr>
        <w:pStyle w:val="BodyText"/>
      </w:pPr>
    </w:p>
    <w:p w:rsidR="0068612A" w:rsidRDefault="0068612A" w:rsidP="00BF501E">
      <w:pPr>
        <w:pStyle w:val="BodyText"/>
      </w:pPr>
    </w:p>
    <w:p w:rsidR="0068612A" w:rsidRDefault="0068612A" w:rsidP="00BF501E">
      <w:pPr>
        <w:pStyle w:val="BodyText"/>
      </w:pPr>
    </w:p>
    <w:p w:rsidR="0068612A" w:rsidRDefault="0068612A" w:rsidP="00BF501E">
      <w:pPr>
        <w:pStyle w:val="BodyText"/>
      </w:pPr>
    </w:p>
    <w:p w:rsidR="0068612A" w:rsidRDefault="0068612A" w:rsidP="00BF501E">
      <w:pPr>
        <w:pStyle w:val="BodyText"/>
      </w:pPr>
    </w:p>
    <w:p w:rsidR="0068612A" w:rsidRDefault="0068612A" w:rsidP="00BF501E">
      <w:pPr>
        <w:pStyle w:val="BodyText"/>
      </w:pPr>
    </w:p>
    <w:p w:rsidR="00AF693F" w:rsidRDefault="00AF693F" w:rsidP="00BF501E">
      <w:pPr>
        <w:pStyle w:val="BodyText"/>
      </w:pPr>
    </w:p>
    <w:p w:rsidR="00AF693F" w:rsidRDefault="00AF693F" w:rsidP="00BF501E">
      <w:pPr>
        <w:pStyle w:val="BodyText"/>
      </w:pPr>
    </w:p>
    <w:p w:rsidR="00AF693F" w:rsidRDefault="00AF693F" w:rsidP="00BF501E">
      <w:pPr>
        <w:pStyle w:val="BodyText"/>
      </w:pPr>
    </w:p>
    <w:p w:rsidR="0068612A" w:rsidRDefault="0068612A" w:rsidP="00BF501E">
      <w:pPr>
        <w:pStyle w:val="BodyText"/>
      </w:pPr>
    </w:p>
    <w:p w:rsidR="0068612A" w:rsidRDefault="0068612A" w:rsidP="00BF501E">
      <w:pPr>
        <w:pStyle w:val="BodyText"/>
      </w:pPr>
    </w:p>
    <w:p w:rsidR="00AF693F" w:rsidRDefault="00AF693F" w:rsidP="00AF693F">
      <w:pPr>
        <w:pStyle w:val="BodyText"/>
      </w:pPr>
    </w:p>
    <w:p w:rsidR="00AF693F" w:rsidRPr="00320C61" w:rsidRDefault="00AF693F" w:rsidP="00AF693F">
      <w:pPr>
        <w:pStyle w:val="BoxHeading1"/>
      </w:pPr>
      <w:r w:rsidRPr="00320C61">
        <w:t>Office of Development Effectiveness</w:t>
      </w:r>
    </w:p>
    <w:p w:rsidR="00AF693F" w:rsidRPr="00320C61" w:rsidRDefault="00AF693F" w:rsidP="00AF693F">
      <w:pPr>
        <w:pStyle w:val="BoxText"/>
      </w:pPr>
      <w:r w:rsidRPr="00320C61">
        <w:t>The Office of Development Effectiveness (ODE) is an independent branch within the Australian Government Department of Foreign Affairs and Trade (DFAT). ODE monitors the Australian aid program’s performance, evaluates its impact, and contributes to international evidence and debate about aid and development effectiveness. ODE’s work is overseen by the Independent Evaluation Committee (IEC), an advisory body that provides independent expert advice on ODE’s evaluation strategy, work plan, analysis and reports.</w:t>
      </w:r>
    </w:p>
    <w:p w:rsidR="00AF693F" w:rsidRPr="00BE3345" w:rsidRDefault="009B4D82" w:rsidP="00AF693F">
      <w:pPr>
        <w:pStyle w:val="BoxText"/>
      </w:pPr>
      <w:hyperlink r:id="rId18" w:history="1">
        <w:r w:rsidR="00AF693F" w:rsidRPr="00320C61">
          <w:rPr>
            <w:rStyle w:val="Hyperlink"/>
          </w:rPr>
          <w:t>www.ode.dfat.gov.au</w:t>
        </w:r>
      </w:hyperlink>
    </w:p>
    <w:p w:rsidR="00AF693F" w:rsidRDefault="00AF693F" w:rsidP="00AF693F">
      <w:pPr>
        <w:sectPr w:rsidR="00AF693F" w:rsidSect="00AF693F">
          <w:headerReference w:type="even" r:id="rId19"/>
          <w:footnotePr>
            <w:numFmt w:val="chicago"/>
            <w:numRestart w:val="eachPage"/>
          </w:footnotePr>
          <w:endnotePr>
            <w:numFmt w:val="decimal"/>
          </w:endnotePr>
          <w:type w:val="continuous"/>
          <w:pgSz w:w="11907" w:h="16840" w:code="9"/>
          <w:pgMar w:top="1298" w:right="1701" w:bottom="907" w:left="1701" w:header="851" w:footer="567" w:gutter="0"/>
          <w:pgNumType w:fmt="lowerRoman"/>
          <w:cols w:space="720"/>
          <w:docGrid w:linePitch="326"/>
        </w:sectPr>
      </w:pPr>
    </w:p>
    <w:p w:rsidR="00721229" w:rsidRDefault="00721229" w:rsidP="00CC5FAE">
      <w:pPr>
        <w:sectPr w:rsidR="00721229" w:rsidSect="008E2B34">
          <w:headerReference w:type="even" r:id="rId20"/>
          <w:headerReference w:type="default" r:id="rId21"/>
          <w:headerReference w:type="first" r:id="rId22"/>
          <w:footnotePr>
            <w:numFmt w:val="chicago"/>
            <w:numRestart w:val="eachPage"/>
          </w:footnotePr>
          <w:endnotePr>
            <w:numFmt w:val="decimal"/>
          </w:endnotePr>
          <w:type w:val="continuous"/>
          <w:pgSz w:w="11907" w:h="16840" w:code="9"/>
          <w:pgMar w:top="902" w:right="1701" w:bottom="907" w:left="1701" w:header="851" w:footer="567" w:gutter="0"/>
          <w:pgNumType w:fmt="lowerRoman"/>
          <w:cols w:space="720"/>
          <w:docGrid w:linePitch="326"/>
        </w:sectPr>
      </w:pPr>
    </w:p>
    <w:p w:rsidR="00611F77" w:rsidRPr="00721229" w:rsidRDefault="00611F77" w:rsidP="00721229">
      <w:pPr>
        <w:pStyle w:val="FootnoteText"/>
        <w:rPr>
          <w:rFonts w:ascii="Arial" w:hAnsi="Arial" w:cs="Arial"/>
          <w:sz w:val="50"/>
        </w:rPr>
      </w:pPr>
      <w:bookmarkStart w:id="1" w:name="_Toc415494905"/>
      <w:bookmarkStart w:id="2" w:name="_Toc415496366"/>
      <w:r w:rsidRPr="00721229">
        <w:rPr>
          <w:rFonts w:ascii="Arial" w:hAnsi="Arial" w:cs="Arial"/>
          <w:sz w:val="50"/>
        </w:rPr>
        <w:lastRenderedPageBreak/>
        <w:t>Contents</w:t>
      </w:r>
      <w:bookmarkEnd w:id="1"/>
      <w:bookmarkEnd w:id="2"/>
    </w:p>
    <w:p w:rsidR="0018394C" w:rsidRDefault="0051715B" w:rsidP="0018394C">
      <w:pPr>
        <w:pStyle w:val="TOC1"/>
        <w:tabs>
          <w:tab w:val="clear" w:pos="7938"/>
          <w:tab w:val="right" w:pos="8505"/>
        </w:tabs>
        <w:rPr>
          <w:rFonts w:asciiTheme="minorHAnsi" w:eastAsiaTheme="minorEastAsia" w:hAnsiTheme="minorHAnsi" w:cstheme="minorBidi"/>
          <w:noProof/>
          <w:color w:val="auto"/>
          <w:sz w:val="22"/>
          <w:szCs w:val="22"/>
        </w:rPr>
      </w:pPr>
      <w:r>
        <w:fldChar w:fldCharType="begin"/>
      </w:r>
      <w:r w:rsidR="003272F5">
        <w:instrText xml:space="preserve"> TOC \h \z \t "Heading 1,1,Heading 2,2,Heading 1b,1" </w:instrText>
      </w:r>
      <w:r>
        <w:fldChar w:fldCharType="separate"/>
      </w:r>
      <w:hyperlink w:anchor="_Toc422326992" w:history="1">
        <w:r w:rsidR="0018394C" w:rsidRPr="00126EB8">
          <w:rPr>
            <w:rStyle w:val="Hyperlink"/>
            <w:noProof/>
          </w:rPr>
          <w:t>Acknowledgements</w:t>
        </w:r>
        <w:r w:rsidR="0018394C">
          <w:rPr>
            <w:noProof/>
            <w:webHidden/>
          </w:rPr>
          <w:tab/>
        </w:r>
        <w:r w:rsidR="0018394C">
          <w:rPr>
            <w:noProof/>
            <w:webHidden/>
          </w:rPr>
          <w:fldChar w:fldCharType="begin"/>
        </w:r>
        <w:r w:rsidR="0018394C">
          <w:rPr>
            <w:noProof/>
            <w:webHidden/>
          </w:rPr>
          <w:instrText xml:space="preserve"> PAGEREF _Toc422326992 \h </w:instrText>
        </w:r>
        <w:r w:rsidR="0018394C">
          <w:rPr>
            <w:noProof/>
            <w:webHidden/>
          </w:rPr>
        </w:r>
        <w:r w:rsidR="0018394C">
          <w:rPr>
            <w:noProof/>
            <w:webHidden/>
          </w:rPr>
          <w:fldChar w:fldCharType="separate"/>
        </w:r>
        <w:r w:rsidR="0018394C">
          <w:rPr>
            <w:noProof/>
            <w:webHidden/>
          </w:rPr>
          <w:t>1</w:t>
        </w:r>
        <w:r w:rsidR="0018394C">
          <w:rPr>
            <w:noProof/>
            <w:webHidden/>
          </w:rPr>
          <w:fldChar w:fldCharType="end"/>
        </w:r>
      </w:hyperlink>
    </w:p>
    <w:p w:rsidR="0018394C" w:rsidRDefault="009B4D82" w:rsidP="0018394C">
      <w:pPr>
        <w:pStyle w:val="TOC1"/>
        <w:tabs>
          <w:tab w:val="clear" w:pos="7938"/>
          <w:tab w:val="right" w:pos="8505"/>
        </w:tabs>
        <w:rPr>
          <w:rFonts w:asciiTheme="minorHAnsi" w:eastAsiaTheme="minorEastAsia" w:hAnsiTheme="minorHAnsi" w:cstheme="minorBidi"/>
          <w:noProof/>
          <w:color w:val="auto"/>
          <w:sz w:val="22"/>
          <w:szCs w:val="22"/>
        </w:rPr>
      </w:pPr>
      <w:hyperlink w:anchor="_Toc422326993" w:history="1">
        <w:r w:rsidR="0018394C" w:rsidRPr="00126EB8">
          <w:rPr>
            <w:rStyle w:val="Hyperlink"/>
            <w:noProof/>
          </w:rPr>
          <w:t>Executive summary</w:t>
        </w:r>
        <w:r w:rsidR="0018394C">
          <w:rPr>
            <w:noProof/>
            <w:webHidden/>
          </w:rPr>
          <w:tab/>
        </w:r>
        <w:r w:rsidR="0018394C">
          <w:rPr>
            <w:noProof/>
            <w:webHidden/>
          </w:rPr>
          <w:fldChar w:fldCharType="begin"/>
        </w:r>
        <w:r w:rsidR="0018394C">
          <w:rPr>
            <w:noProof/>
            <w:webHidden/>
          </w:rPr>
          <w:instrText xml:space="preserve"> PAGEREF _Toc422326993 \h </w:instrText>
        </w:r>
        <w:r w:rsidR="0018394C">
          <w:rPr>
            <w:noProof/>
            <w:webHidden/>
          </w:rPr>
        </w:r>
        <w:r w:rsidR="0018394C">
          <w:rPr>
            <w:noProof/>
            <w:webHidden/>
          </w:rPr>
          <w:fldChar w:fldCharType="separate"/>
        </w:r>
        <w:r w:rsidR="0018394C">
          <w:rPr>
            <w:noProof/>
            <w:webHidden/>
          </w:rPr>
          <w:t>2</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6994" w:history="1">
        <w:r w:rsidR="0018394C" w:rsidRPr="00126EB8">
          <w:rPr>
            <w:rStyle w:val="Hyperlink"/>
            <w:noProof/>
          </w:rPr>
          <w:t>Findings</w:t>
        </w:r>
        <w:r w:rsidR="0018394C">
          <w:rPr>
            <w:noProof/>
            <w:webHidden/>
          </w:rPr>
          <w:tab/>
        </w:r>
        <w:r w:rsidR="0018394C">
          <w:rPr>
            <w:noProof/>
            <w:webHidden/>
          </w:rPr>
          <w:fldChar w:fldCharType="begin"/>
        </w:r>
        <w:r w:rsidR="0018394C">
          <w:rPr>
            <w:noProof/>
            <w:webHidden/>
          </w:rPr>
          <w:instrText xml:space="preserve"> PAGEREF _Toc422326994 \h </w:instrText>
        </w:r>
        <w:r w:rsidR="0018394C">
          <w:rPr>
            <w:noProof/>
            <w:webHidden/>
          </w:rPr>
        </w:r>
        <w:r w:rsidR="0018394C">
          <w:rPr>
            <w:noProof/>
            <w:webHidden/>
          </w:rPr>
          <w:fldChar w:fldCharType="separate"/>
        </w:r>
        <w:r w:rsidR="0018394C">
          <w:rPr>
            <w:noProof/>
            <w:webHidden/>
          </w:rPr>
          <w:t>2</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6995" w:history="1">
        <w:r w:rsidR="0018394C" w:rsidRPr="00126EB8">
          <w:rPr>
            <w:rStyle w:val="Hyperlink"/>
            <w:noProof/>
          </w:rPr>
          <w:t>Conclusion and recommendation</w:t>
        </w:r>
        <w:r w:rsidR="0018394C">
          <w:rPr>
            <w:noProof/>
            <w:webHidden/>
          </w:rPr>
          <w:tab/>
        </w:r>
        <w:r w:rsidR="0018394C">
          <w:rPr>
            <w:noProof/>
            <w:webHidden/>
          </w:rPr>
          <w:fldChar w:fldCharType="begin"/>
        </w:r>
        <w:r w:rsidR="0018394C">
          <w:rPr>
            <w:noProof/>
            <w:webHidden/>
          </w:rPr>
          <w:instrText xml:space="preserve"> PAGEREF _Toc422326995 \h </w:instrText>
        </w:r>
        <w:r w:rsidR="0018394C">
          <w:rPr>
            <w:noProof/>
            <w:webHidden/>
          </w:rPr>
        </w:r>
        <w:r w:rsidR="0018394C">
          <w:rPr>
            <w:noProof/>
            <w:webHidden/>
          </w:rPr>
          <w:fldChar w:fldCharType="separate"/>
        </w:r>
        <w:r w:rsidR="0018394C">
          <w:rPr>
            <w:noProof/>
            <w:webHidden/>
          </w:rPr>
          <w:t>5</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6996" w:history="1">
        <w:r w:rsidR="0018394C" w:rsidRPr="00126EB8">
          <w:rPr>
            <w:rStyle w:val="Hyperlink"/>
            <w:noProof/>
          </w:rPr>
          <w:t>DFAT response to recommendation</w:t>
        </w:r>
        <w:r w:rsidR="0018394C">
          <w:rPr>
            <w:noProof/>
            <w:webHidden/>
          </w:rPr>
          <w:tab/>
        </w:r>
        <w:r w:rsidR="0018394C">
          <w:rPr>
            <w:noProof/>
            <w:webHidden/>
          </w:rPr>
          <w:fldChar w:fldCharType="begin"/>
        </w:r>
        <w:r w:rsidR="0018394C">
          <w:rPr>
            <w:noProof/>
            <w:webHidden/>
          </w:rPr>
          <w:instrText xml:space="preserve"> PAGEREF _Toc422326996 \h </w:instrText>
        </w:r>
        <w:r w:rsidR="0018394C">
          <w:rPr>
            <w:noProof/>
            <w:webHidden/>
          </w:rPr>
        </w:r>
        <w:r w:rsidR="0018394C">
          <w:rPr>
            <w:noProof/>
            <w:webHidden/>
          </w:rPr>
          <w:fldChar w:fldCharType="separate"/>
        </w:r>
        <w:r w:rsidR="0018394C">
          <w:rPr>
            <w:noProof/>
            <w:webHidden/>
          </w:rPr>
          <w:t>6</w:t>
        </w:r>
        <w:r w:rsidR="0018394C">
          <w:rPr>
            <w:noProof/>
            <w:webHidden/>
          </w:rPr>
          <w:fldChar w:fldCharType="end"/>
        </w:r>
      </w:hyperlink>
    </w:p>
    <w:p w:rsidR="0018394C" w:rsidRDefault="009B4D82" w:rsidP="0018394C">
      <w:pPr>
        <w:pStyle w:val="TOC1"/>
        <w:tabs>
          <w:tab w:val="clear" w:pos="7938"/>
          <w:tab w:val="right" w:pos="8505"/>
        </w:tabs>
        <w:rPr>
          <w:rFonts w:asciiTheme="minorHAnsi" w:eastAsiaTheme="minorEastAsia" w:hAnsiTheme="minorHAnsi" w:cstheme="minorBidi"/>
          <w:noProof/>
          <w:color w:val="auto"/>
          <w:sz w:val="22"/>
          <w:szCs w:val="22"/>
        </w:rPr>
      </w:pPr>
      <w:hyperlink w:anchor="_Toc422326997" w:history="1">
        <w:r w:rsidR="0018394C" w:rsidRPr="00126EB8">
          <w:rPr>
            <w:rStyle w:val="Hyperlink"/>
            <w:noProof/>
          </w:rPr>
          <w:t>1</w:t>
        </w:r>
        <w:r w:rsidR="0018394C">
          <w:rPr>
            <w:rFonts w:asciiTheme="minorHAnsi" w:eastAsiaTheme="minorEastAsia" w:hAnsiTheme="minorHAnsi" w:cstheme="minorBidi"/>
            <w:noProof/>
            <w:color w:val="auto"/>
            <w:sz w:val="22"/>
            <w:szCs w:val="22"/>
          </w:rPr>
          <w:tab/>
        </w:r>
        <w:r w:rsidR="0018394C" w:rsidRPr="00126EB8">
          <w:rPr>
            <w:rStyle w:val="Hyperlink"/>
            <w:noProof/>
          </w:rPr>
          <w:t>Introduction</w:t>
        </w:r>
        <w:r w:rsidR="0018394C">
          <w:rPr>
            <w:noProof/>
            <w:webHidden/>
          </w:rPr>
          <w:tab/>
        </w:r>
        <w:r w:rsidR="0018394C">
          <w:rPr>
            <w:noProof/>
            <w:webHidden/>
          </w:rPr>
          <w:fldChar w:fldCharType="begin"/>
        </w:r>
        <w:r w:rsidR="0018394C">
          <w:rPr>
            <w:noProof/>
            <w:webHidden/>
          </w:rPr>
          <w:instrText xml:space="preserve"> PAGEREF _Toc422326997 \h </w:instrText>
        </w:r>
        <w:r w:rsidR="0018394C">
          <w:rPr>
            <w:noProof/>
            <w:webHidden/>
          </w:rPr>
        </w:r>
        <w:r w:rsidR="0018394C">
          <w:rPr>
            <w:noProof/>
            <w:webHidden/>
          </w:rPr>
          <w:fldChar w:fldCharType="separate"/>
        </w:r>
        <w:r w:rsidR="0018394C">
          <w:rPr>
            <w:noProof/>
            <w:webHidden/>
          </w:rPr>
          <w:t>7</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6998" w:history="1">
        <w:r w:rsidR="0018394C" w:rsidRPr="00126EB8">
          <w:rPr>
            <w:rStyle w:val="Hyperlink"/>
            <w:noProof/>
          </w:rPr>
          <w:t>1.1</w:t>
        </w:r>
        <w:r w:rsidR="0018394C">
          <w:rPr>
            <w:rFonts w:asciiTheme="minorHAnsi" w:eastAsiaTheme="minorEastAsia" w:hAnsiTheme="minorHAnsi" w:cstheme="minorBidi"/>
            <w:noProof/>
            <w:sz w:val="22"/>
            <w:szCs w:val="22"/>
          </w:rPr>
          <w:tab/>
        </w:r>
        <w:r w:rsidR="0018394C" w:rsidRPr="00126EB8">
          <w:rPr>
            <w:rStyle w:val="Hyperlink"/>
            <w:noProof/>
          </w:rPr>
          <w:t>Aid Program Performance Reports</w:t>
        </w:r>
        <w:r w:rsidR="0018394C">
          <w:rPr>
            <w:noProof/>
            <w:webHidden/>
          </w:rPr>
          <w:tab/>
        </w:r>
        <w:r w:rsidR="0018394C">
          <w:rPr>
            <w:noProof/>
            <w:webHidden/>
          </w:rPr>
          <w:fldChar w:fldCharType="begin"/>
        </w:r>
        <w:r w:rsidR="0018394C">
          <w:rPr>
            <w:noProof/>
            <w:webHidden/>
          </w:rPr>
          <w:instrText xml:space="preserve"> PAGEREF _Toc422326998 \h </w:instrText>
        </w:r>
        <w:r w:rsidR="0018394C">
          <w:rPr>
            <w:noProof/>
            <w:webHidden/>
          </w:rPr>
        </w:r>
        <w:r w:rsidR="0018394C">
          <w:rPr>
            <w:noProof/>
            <w:webHidden/>
          </w:rPr>
          <w:fldChar w:fldCharType="separate"/>
        </w:r>
        <w:r w:rsidR="0018394C">
          <w:rPr>
            <w:noProof/>
            <w:webHidden/>
          </w:rPr>
          <w:t>7</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6999" w:history="1">
        <w:r w:rsidR="0018394C" w:rsidRPr="00126EB8">
          <w:rPr>
            <w:rStyle w:val="Hyperlink"/>
            <w:noProof/>
          </w:rPr>
          <w:t>1.2</w:t>
        </w:r>
        <w:r w:rsidR="0018394C">
          <w:rPr>
            <w:rFonts w:asciiTheme="minorHAnsi" w:eastAsiaTheme="minorEastAsia" w:hAnsiTheme="minorHAnsi" w:cstheme="minorBidi"/>
            <w:noProof/>
            <w:sz w:val="22"/>
            <w:szCs w:val="22"/>
          </w:rPr>
          <w:tab/>
        </w:r>
        <w:r w:rsidR="0018394C" w:rsidRPr="00126EB8">
          <w:rPr>
            <w:rStyle w:val="Hyperlink"/>
            <w:noProof/>
          </w:rPr>
          <w:t>Aid performance management in DFAT</w:t>
        </w:r>
        <w:r w:rsidR="0018394C">
          <w:rPr>
            <w:noProof/>
            <w:webHidden/>
          </w:rPr>
          <w:tab/>
        </w:r>
        <w:r w:rsidR="0018394C">
          <w:rPr>
            <w:noProof/>
            <w:webHidden/>
          </w:rPr>
          <w:fldChar w:fldCharType="begin"/>
        </w:r>
        <w:r w:rsidR="0018394C">
          <w:rPr>
            <w:noProof/>
            <w:webHidden/>
          </w:rPr>
          <w:instrText xml:space="preserve"> PAGEREF _Toc422326999 \h </w:instrText>
        </w:r>
        <w:r w:rsidR="0018394C">
          <w:rPr>
            <w:noProof/>
            <w:webHidden/>
          </w:rPr>
        </w:r>
        <w:r w:rsidR="0018394C">
          <w:rPr>
            <w:noProof/>
            <w:webHidden/>
          </w:rPr>
          <w:fldChar w:fldCharType="separate"/>
        </w:r>
        <w:r w:rsidR="0018394C">
          <w:rPr>
            <w:noProof/>
            <w:webHidden/>
          </w:rPr>
          <w:t>7</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00" w:history="1">
        <w:r w:rsidR="0018394C" w:rsidRPr="00126EB8">
          <w:rPr>
            <w:rStyle w:val="Hyperlink"/>
            <w:noProof/>
          </w:rPr>
          <w:t>1.3</w:t>
        </w:r>
        <w:r w:rsidR="0018394C">
          <w:rPr>
            <w:rFonts w:asciiTheme="minorHAnsi" w:eastAsiaTheme="minorEastAsia" w:hAnsiTheme="minorHAnsi" w:cstheme="minorBidi"/>
            <w:noProof/>
            <w:sz w:val="22"/>
            <w:szCs w:val="22"/>
          </w:rPr>
          <w:tab/>
        </w:r>
        <w:r w:rsidR="0018394C" w:rsidRPr="00126EB8">
          <w:rPr>
            <w:rStyle w:val="Hyperlink"/>
            <w:noProof/>
          </w:rPr>
          <w:t>Country and regional program performance management</w:t>
        </w:r>
        <w:r w:rsidR="0018394C">
          <w:rPr>
            <w:noProof/>
            <w:webHidden/>
          </w:rPr>
          <w:tab/>
        </w:r>
        <w:r w:rsidR="0018394C">
          <w:rPr>
            <w:noProof/>
            <w:webHidden/>
          </w:rPr>
          <w:fldChar w:fldCharType="begin"/>
        </w:r>
        <w:r w:rsidR="0018394C">
          <w:rPr>
            <w:noProof/>
            <w:webHidden/>
          </w:rPr>
          <w:instrText xml:space="preserve"> PAGEREF _Toc422327000 \h </w:instrText>
        </w:r>
        <w:r w:rsidR="0018394C">
          <w:rPr>
            <w:noProof/>
            <w:webHidden/>
          </w:rPr>
        </w:r>
        <w:r w:rsidR="0018394C">
          <w:rPr>
            <w:noProof/>
            <w:webHidden/>
          </w:rPr>
          <w:fldChar w:fldCharType="separate"/>
        </w:r>
        <w:r w:rsidR="0018394C">
          <w:rPr>
            <w:noProof/>
            <w:webHidden/>
          </w:rPr>
          <w:t>8</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01" w:history="1">
        <w:r w:rsidR="0018394C" w:rsidRPr="00126EB8">
          <w:rPr>
            <w:rStyle w:val="Hyperlink"/>
            <w:noProof/>
          </w:rPr>
          <w:t>1.4</w:t>
        </w:r>
        <w:r w:rsidR="0018394C">
          <w:rPr>
            <w:rFonts w:asciiTheme="minorHAnsi" w:eastAsiaTheme="minorEastAsia" w:hAnsiTheme="minorHAnsi" w:cstheme="minorBidi"/>
            <w:noProof/>
            <w:sz w:val="22"/>
            <w:szCs w:val="22"/>
          </w:rPr>
          <w:tab/>
        </w:r>
        <w:r w:rsidR="0018394C" w:rsidRPr="00126EB8">
          <w:rPr>
            <w:rStyle w:val="Hyperlink"/>
            <w:noProof/>
          </w:rPr>
          <w:t>Methodology</w:t>
        </w:r>
        <w:r w:rsidR="0018394C">
          <w:rPr>
            <w:noProof/>
            <w:webHidden/>
          </w:rPr>
          <w:tab/>
        </w:r>
        <w:r w:rsidR="0018394C">
          <w:rPr>
            <w:noProof/>
            <w:webHidden/>
          </w:rPr>
          <w:fldChar w:fldCharType="begin"/>
        </w:r>
        <w:r w:rsidR="0018394C">
          <w:rPr>
            <w:noProof/>
            <w:webHidden/>
          </w:rPr>
          <w:instrText xml:space="preserve"> PAGEREF _Toc422327001 \h </w:instrText>
        </w:r>
        <w:r w:rsidR="0018394C">
          <w:rPr>
            <w:noProof/>
            <w:webHidden/>
          </w:rPr>
        </w:r>
        <w:r w:rsidR="0018394C">
          <w:rPr>
            <w:noProof/>
            <w:webHidden/>
          </w:rPr>
          <w:fldChar w:fldCharType="separate"/>
        </w:r>
        <w:r w:rsidR="0018394C">
          <w:rPr>
            <w:noProof/>
            <w:webHidden/>
          </w:rPr>
          <w:t>10</w:t>
        </w:r>
        <w:r w:rsidR="0018394C">
          <w:rPr>
            <w:noProof/>
            <w:webHidden/>
          </w:rPr>
          <w:fldChar w:fldCharType="end"/>
        </w:r>
      </w:hyperlink>
    </w:p>
    <w:p w:rsidR="0018394C" w:rsidRDefault="009B4D82" w:rsidP="0018394C">
      <w:pPr>
        <w:pStyle w:val="TOC1"/>
        <w:tabs>
          <w:tab w:val="clear" w:pos="7938"/>
          <w:tab w:val="right" w:pos="8505"/>
        </w:tabs>
        <w:rPr>
          <w:rFonts w:asciiTheme="minorHAnsi" w:eastAsiaTheme="minorEastAsia" w:hAnsiTheme="minorHAnsi" w:cstheme="minorBidi"/>
          <w:noProof/>
          <w:color w:val="auto"/>
          <w:sz w:val="22"/>
          <w:szCs w:val="22"/>
        </w:rPr>
      </w:pPr>
      <w:hyperlink w:anchor="_Toc422327002" w:history="1">
        <w:r w:rsidR="0018394C" w:rsidRPr="00126EB8">
          <w:rPr>
            <w:rStyle w:val="Hyperlink"/>
            <w:noProof/>
          </w:rPr>
          <w:t>2</w:t>
        </w:r>
        <w:r w:rsidR="0018394C">
          <w:rPr>
            <w:rFonts w:asciiTheme="minorHAnsi" w:eastAsiaTheme="minorEastAsia" w:hAnsiTheme="minorHAnsi" w:cstheme="minorBidi"/>
            <w:noProof/>
            <w:color w:val="auto"/>
            <w:sz w:val="22"/>
            <w:szCs w:val="22"/>
          </w:rPr>
          <w:tab/>
        </w:r>
        <w:r w:rsidR="0018394C" w:rsidRPr="00126EB8">
          <w:rPr>
            <w:rStyle w:val="Hyperlink"/>
            <w:noProof/>
          </w:rPr>
          <w:t>Quality review</w:t>
        </w:r>
        <w:r w:rsidR="0018394C">
          <w:rPr>
            <w:noProof/>
            <w:webHidden/>
          </w:rPr>
          <w:tab/>
        </w:r>
        <w:r w:rsidR="0018394C">
          <w:rPr>
            <w:noProof/>
            <w:webHidden/>
          </w:rPr>
          <w:fldChar w:fldCharType="begin"/>
        </w:r>
        <w:r w:rsidR="0018394C">
          <w:rPr>
            <w:noProof/>
            <w:webHidden/>
          </w:rPr>
          <w:instrText xml:space="preserve"> PAGEREF _Toc422327002 \h </w:instrText>
        </w:r>
        <w:r w:rsidR="0018394C">
          <w:rPr>
            <w:noProof/>
            <w:webHidden/>
          </w:rPr>
        </w:r>
        <w:r w:rsidR="0018394C">
          <w:rPr>
            <w:noProof/>
            <w:webHidden/>
          </w:rPr>
          <w:fldChar w:fldCharType="separate"/>
        </w:r>
        <w:r w:rsidR="0018394C">
          <w:rPr>
            <w:noProof/>
            <w:webHidden/>
          </w:rPr>
          <w:t>12</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03" w:history="1">
        <w:r w:rsidR="0018394C" w:rsidRPr="00126EB8">
          <w:rPr>
            <w:rStyle w:val="Hyperlink"/>
            <w:noProof/>
          </w:rPr>
          <w:t>2.1</w:t>
        </w:r>
        <w:r w:rsidR="0018394C">
          <w:rPr>
            <w:rFonts w:asciiTheme="minorHAnsi" w:eastAsiaTheme="minorEastAsia" w:hAnsiTheme="minorHAnsi" w:cstheme="minorBidi"/>
            <w:noProof/>
            <w:sz w:val="22"/>
            <w:szCs w:val="22"/>
          </w:rPr>
          <w:tab/>
        </w:r>
        <w:r w:rsidR="0018394C" w:rsidRPr="00126EB8">
          <w:rPr>
            <w:rStyle w:val="Hyperlink"/>
            <w:noProof/>
          </w:rPr>
          <w:t>Context and strategic orientation</w:t>
        </w:r>
        <w:r w:rsidR="0018394C">
          <w:rPr>
            <w:noProof/>
            <w:webHidden/>
          </w:rPr>
          <w:tab/>
        </w:r>
        <w:r w:rsidR="0018394C">
          <w:rPr>
            <w:noProof/>
            <w:webHidden/>
          </w:rPr>
          <w:fldChar w:fldCharType="begin"/>
        </w:r>
        <w:r w:rsidR="0018394C">
          <w:rPr>
            <w:noProof/>
            <w:webHidden/>
          </w:rPr>
          <w:instrText xml:space="preserve"> PAGEREF _Toc422327003 \h </w:instrText>
        </w:r>
        <w:r w:rsidR="0018394C">
          <w:rPr>
            <w:noProof/>
            <w:webHidden/>
          </w:rPr>
        </w:r>
        <w:r w:rsidR="0018394C">
          <w:rPr>
            <w:noProof/>
            <w:webHidden/>
          </w:rPr>
          <w:fldChar w:fldCharType="separate"/>
        </w:r>
        <w:r w:rsidR="0018394C">
          <w:rPr>
            <w:noProof/>
            <w:webHidden/>
          </w:rPr>
          <w:t>12</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04" w:history="1">
        <w:r w:rsidR="0018394C" w:rsidRPr="00126EB8">
          <w:rPr>
            <w:rStyle w:val="Hyperlink"/>
            <w:noProof/>
          </w:rPr>
          <w:t>2.2</w:t>
        </w:r>
        <w:r w:rsidR="0018394C">
          <w:rPr>
            <w:rFonts w:asciiTheme="minorHAnsi" w:eastAsiaTheme="minorEastAsia" w:hAnsiTheme="minorHAnsi" w:cstheme="minorBidi"/>
            <w:noProof/>
            <w:sz w:val="22"/>
            <w:szCs w:val="22"/>
          </w:rPr>
          <w:tab/>
        </w:r>
        <w:r w:rsidR="0018394C" w:rsidRPr="00126EB8">
          <w:rPr>
            <w:rStyle w:val="Hyperlink"/>
            <w:noProof/>
          </w:rPr>
          <w:t>Progress assessment</w:t>
        </w:r>
        <w:r w:rsidR="0018394C">
          <w:rPr>
            <w:noProof/>
            <w:webHidden/>
          </w:rPr>
          <w:tab/>
        </w:r>
        <w:r w:rsidR="0018394C">
          <w:rPr>
            <w:noProof/>
            <w:webHidden/>
          </w:rPr>
          <w:fldChar w:fldCharType="begin"/>
        </w:r>
        <w:r w:rsidR="0018394C">
          <w:rPr>
            <w:noProof/>
            <w:webHidden/>
          </w:rPr>
          <w:instrText xml:space="preserve"> PAGEREF _Toc422327004 \h </w:instrText>
        </w:r>
        <w:r w:rsidR="0018394C">
          <w:rPr>
            <w:noProof/>
            <w:webHidden/>
          </w:rPr>
        </w:r>
        <w:r w:rsidR="0018394C">
          <w:rPr>
            <w:noProof/>
            <w:webHidden/>
          </w:rPr>
          <w:fldChar w:fldCharType="separate"/>
        </w:r>
        <w:r w:rsidR="0018394C">
          <w:rPr>
            <w:noProof/>
            <w:webHidden/>
          </w:rPr>
          <w:t>14</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05" w:history="1">
        <w:r w:rsidR="0018394C" w:rsidRPr="00126EB8">
          <w:rPr>
            <w:rStyle w:val="Hyperlink"/>
            <w:noProof/>
          </w:rPr>
          <w:t>2.3</w:t>
        </w:r>
        <w:r w:rsidR="0018394C">
          <w:rPr>
            <w:rFonts w:asciiTheme="minorHAnsi" w:eastAsiaTheme="minorEastAsia" w:hAnsiTheme="minorHAnsi" w:cstheme="minorBidi"/>
            <w:noProof/>
            <w:sz w:val="22"/>
            <w:szCs w:val="22"/>
          </w:rPr>
          <w:tab/>
        </w:r>
        <w:r w:rsidR="0018394C" w:rsidRPr="00126EB8">
          <w:rPr>
            <w:rStyle w:val="Hyperlink"/>
            <w:noProof/>
          </w:rPr>
          <w:t>Partner contribution</w:t>
        </w:r>
        <w:r w:rsidR="0018394C">
          <w:rPr>
            <w:noProof/>
            <w:webHidden/>
          </w:rPr>
          <w:tab/>
        </w:r>
        <w:r w:rsidR="0018394C">
          <w:rPr>
            <w:noProof/>
            <w:webHidden/>
          </w:rPr>
          <w:fldChar w:fldCharType="begin"/>
        </w:r>
        <w:r w:rsidR="0018394C">
          <w:rPr>
            <w:noProof/>
            <w:webHidden/>
          </w:rPr>
          <w:instrText xml:space="preserve"> PAGEREF _Toc422327005 \h </w:instrText>
        </w:r>
        <w:r w:rsidR="0018394C">
          <w:rPr>
            <w:noProof/>
            <w:webHidden/>
          </w:rPr>
        </w:r>
        <w:r w:rsidR="0018394C">
          <w:rPr>
            <w:noProof/>
            <w:webHidden/>
          </w:rPr>
          <w:fldChar w:fldCharType="separate"/>
        </w:r>
        <w:r w:rsidR="0018394C">
          <w:rPr>
            <w:noProof/>
            <w:webHidden/>
          </w:rPr>
          <w:t>17</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06" w:history="1">
        <w:r w:rsidR="0018394C" w:rsidRPr="00126EB8">
          <w:rPr>
            <w:rStyle w:val="Hyperlink"/>
            <w:noProof/>
          </w:rPr>
          <w:t>2.4</w:t>
        </w:r>
        <w:r w:rsidR="0018394C">
          <w:rPr>
            <w:rFonts w:asciiTheme="minorHAnsi" w:eastAsiaTheme="minorEastAsia" w:hAnsiTheme="minorHAnsi" w:cstheme="minorBidi"/>
            <w:noProof/>
            <w:sz w:val="22"/>
            <w:szCs w:val="22"/>
          </w:rPr>
          <w:tab/>
        </w:r>
        <w:r w:rsidR="0018394C" w:rsidRPr="00126EB8">
          <w:rPr>
            <w:rStyle w:val="Hyperlink"/>
            <w:noProof/>
          </w:rPr>
          <w:t>Management consequences</w:t>
        </w:r>
        <w:r w:rsidR="0018394C">
          <w:rPr>
            <w:noProof/>
            <w:webHidden/>
          </w:rPr>
          <w:tab/>
        </w:r>
        <w:r w:rsidR="0018394C">
          <w:rPr>
            <w:noProof/>
            <w:webHidden/>
          </w:rPr>
          <w:fldChar w:fldCharType="begin"/>
        </w:r>
        <w:r w:rsidR="0018394C">
          <w:rPr>
            <w:noProof/>
            <w:webHidden/>
          </w:rPr>
          <w:instrText xml:space="preserve"> PAGEREF _Toc422327006 \h </w:instrText>
        </w:r>
        <w:r w:rsidR="0018394C">
          <w:rPr>
            <w:noProof/>
            <w:webHidden/>
          </w:rPr>
        </w:r>
        <w:r w:rsidR="0018394C">
          <w:rPr>
            <w:noProof/>
            <w:webHidden/>
          </w:rPr>
          <w:fldChar w:fldCharType="separate"/>
        </w:r>
        <w:r w:rsidR="0018394C">
          <w:rPr>
            <w:noProof/>
            <w:webHidden/>
          </w:rPr>
          <w:t>19</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07" w:history="1">
        <w:r w:rsidR="0018394C" w:rsidRPr="00126EB8">
          <w:rPr>
            <w:rStyle w:val="Hyperlink"/>
            <w:noProof/>
          </w:rPr>
          <w:t>2.5</w:t>
        </w:r>
        <w:r w:rsidR="0018394C">
          <w:rPr>
            <w:rFonts w:asciiTheme="minorHAnsi" w:eastAsiaTheme="minorEastAsia" w:hAnsiTheme="minorHAnsi" w:cstheme="minorBidi"/>
            <w:noProof/>
            <w:sz w:val="22"/>
            <w:szCs w:val="22"/>
          </w:rPr>
          <w:tab/>
        </w:r>
        <w:r w:rsidR="0018394C" w:rsidRPr="00126EB8">
          <w:rPr>
            <w:rStyle w:val="Hyperlink"/>
            <w:noProof/>
          </w:rPr>
          <w:t>Other observations</w:t>
        </w:r>
        <w:r w:rsidR="0018394C">
          <w:rPr>
            <w:noProof/>
            <w:webHidden/>
          </w:rPr>
          <w:tab/>
        </w:r>
        <w:r w:rsidR="0018394C">
          <w:rPr>
            <w:noProof/>
            <w:webHidden/>
          </w:rPr>
          <w:fldChar w:fldCharType="begin"/>
        </w:r>
        <w:r w:rsidR="0018394C">
          <w:rPr>
            <w:noProof/>
            <w:webHidden/>
          </w:rPr>
          <w:instrText xml:space="preserve"> PAGEREF _Toc422327007 \h </w:instrText>
        </w:r>
        <w:r w:rsidR="0018394C">
          <w:rPr>
            <w:noProof/>
            <w:webHidden/>
          </w:rPr>
        </w:r>
        <w:r w:rsidR="0018394C">
          <w:rPr>
            <w:noProof/>
            <w:webHidden/>
          </w:rPr>
          <w:fldChar w:fldCharType="separate"/>
        </w:r>
        <w:r w:rsidR="0018394C">
          <w:rPr>
            <w:noProof/>
            <w:webHidden/>
          </w:rPr>
          <w:t>20</w:t>
        </w:r>
        <w:r w:rsidR="0018394C">
          <w:rPr>
            <w:noProof/>
            <w:webHidden/>
          </w:rPr>
          <w:fldChar w:fldCharType="end"/>
        </w:r>
      </w:hyperlink>
    </w:p>
    <w:p w:rsidR="0018394C" w:rsidRDefault="009B4D82" w:rsidP="0018394C">
      <w:pPr>
        <w:pStyle w:val="TOC1"/>
        <w:tabs>
          <w:tab w:val="clear" w:pos="7938"/>
          <w:tab w:val="right" w:pos="8505"/>
        </w:tabs>
        <w:rPr>
          <w:rFonts w:asciiTheme="minorHAnsi" w:eastAsiaTheme="minorEastAsia" w:hAnsiTheme="minorHAnsi" w:cstheme="minorBidi"/>
          <w:noProof/>
          <w:color w:val="auto"/>
          <w:sz w:val="22"/>
          <w:szCs w:val="22"/>
        </w:rPr>
      </w:pPr>
      <w:hyperlink w:anchor="_Toc422327008" w:history="1">
        <w:r w:rsidR="0018394C" w:rsidRPr="00126EB8">
          <w:rPr>
            <w:rStyle w:val="Hyperlink"/>
            <w:noProof/>
          </w:rPr>
          <w:t>3</w:t>
        </w:r>
        <w:r w:rsidR="0018394C">
          <w:rPr>
            <w:rFonts w:asciiTheme="minorHAnsi" w:eastAsiaTheme="minorEastAsia" w:hAnsiTheme="minorHAnsi" w:cstheme="minorBidi"/>
            <w:noProof/>
            <w:color w:val="auto"/>
            <w:sz w:val="22"/>
            <w:szCs w:val="22"/>
          </w:rPr>
          <w:tab/>
        </w:r>
        <w:r w:rsidR="0018394C" w:rsidRPr="00126EB8">
          <w:rPr>
            <w:rStyle w:val="Hyperlink"/>
            <w:noProof/>
          </w:rPr>
          <w:t>Performance benchmarks</w:t>
        </w:r>
        <w:r w:rsidR="0018394C">
          <w:rPr>
            <w:noProof/>
            <w:webHidden/>
          </w:rPr>
          <w:tab/>
        </w:r>
        <w:r w:rsidR="0018394C">
          <w:rPr>
            <w:noProof/>
            <w:webHidden/>
          </w:rPr>
          <w:fldChar w:fldCharType="begin"/>
        </w:r>
        <w:r w:rsidR="0018394C">
          <w:rPr>
            <w:noProof/>
            <w:webHidden/>
          </w:rPr>
          <w:instrText xml:space="preserve"> PAGEREF _Toc422327008 \h </w:instrText>
        </w:r>
        <w:r w:rsidR="0018394C">
          <w:rPr>
            <w:noProof/>
            <w:webHidden/>
          </w:rPr>
        </w:r>
        <w:r w:rsidR="0018394C">
          <w:rPr>
            <w:noProof/>
            <w:webHidden/>
          </w:rPr>
          <w:fldChar w:fldCharType="separate"/>
        </w:r>
        <w:r w:rsidR="0018394C">
          <w:rPr>
            <w:noProof/>
            <w:webHidden/>
          </w:rPr>
          <w:t>21</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09" w:history="1">
        <w:r w:rsidR="0018394C" w:rsidRPr="00126EB8">
          <w:rPr>
            <w:rStyle w:val="Hyperlink"/>
            <w:noProof/>
            <w:lang w:eastAsia="en-GB"/>
          </w:rPr>
          <w:t>3.1</w:t>
        </w:r>
        <w:r w:rsidR="0018394C">
          <w:rPr>
            <w:rFonts w:asciiTheme="minorHAnsi" w:eastAsiaTheme="minorEastAsia" w:hAnsiTheme="minorHAnsi" w:cstheme="minorBidi"/>
            <w:noProof/>
            <w:sz w:val="22"/>
            <w:szCs w:val="22"/>
          </w:rPr>
          <w:tab/>
        </w:r>
        <w:r w:rsidR="0018394C" w:rsidRPr="00126EB8">
          <w:rPr>
            <w:rStyle w:val="Hyperlink"/>
            <w:noProof/>
            <w:lang w:eastAsia="en-GB"/>
          </w:rPr>
          <w:t>Performance benchmark characteristics</w:t>
        </w:r>
        <w:r w:rsidR="0018394C">
          <w:rPr>
            <w:noProof/>
            <w:webHidden/>
          </w:rPr>
          <w:tab/>
        </w:r>
        <w:r w:rsidR="0018394C">
          <w:rPr>
            <w:noProof/>
            <w:webHidden/>
          </w:rPr>
          <w:fldChar w:fldCharType="begin"/>
        </w:r>
        <w:r w:rsidR="0018394C">
          <w:rPr>
            <w:noProof/>
            <w:webHidden/>
          </w:rPr>
          <w:instrText xml:space="preserve"> PAGEREF _Toc422327009 \h </w:instrText>
        </w:r>
        <w:r w:rsidR="0018394C">
          <w:rPr>
            <w:noProof/>
            <w:webHidden/>
          </w:rPr>
        </w:r>
        <w:r w:rsidR="0018394C">
          <w:rPr>
            <w:noProof/>
            <w:webHidden/>
          </w:rPr>
          <w:fldChar w:fldCharType="separate"/>
        </w:r>
        <w:r w:rsidR="0018394C">
          <w:rPr>
            <w:noProof/>
            <w:webHidden/>
          </w:rPr>
          <w:t>21</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10" w:history="1">
        <w:r w:rsidR="0018394C" w:rsidRPr="00126EB8">
          <w:rPr>
            <w:rStyle w:val="Hyperlink"/>
            <w:noProof/>
          </w:rPr>
          <w:t>3.2</w:t>
        </w:r>
        <w:r w:rsidR="0018394C">
          <w:rPr>
            <w:rFonts w:asciiTheme="minorHAnsi" w:eastAsiaTheme="minorEastAsia" w:hAnsiTheme="minorHAnsi" w:cstheme="minorBidi"/>
            <w:noProof/>
            <w:sz w:val="22"/>
            <w:szCs w:val="22"/>
          </w:rPr>
          <w:tab/>
        </w:r>
        <w:r w:rsidR="0018394C" w:rsidRPr="00126EB8">
          <w:rPr>
            <w:rStyle w:val="Hyperlink"/>
            <w:noProof/>
          </w:rPr>
          <w:t>Performance benchmarks as measures of performance</w:t>
        </w:r>
        <w:r w:rsidR="0018394C">
          <w:rPr>
            <w:noProof/>
            <w:webHidden/>
          </w:rPr>
          <w:tab/>
        </w:r>
        <w:r w:rsidR="0018394C">
          <w:rPr>
            <w:noProof/>
            <w:webHidden/>
          </w:rPr>
          <w:fldChar w:fldCharType="begin"/>
        </w:r>
        <w:r w:rsidR="0018394C">
          <w:rPr>
            <w:noProof/>
            <w:webHidden/>
          </w:rPr>
          <w:instrText xml:space="preserve"> PAGEREF _Toc422327010 \h </w:instrText>
        </w:r>
        <w:r w:rsidR="0018394C">
          <w:rPr>
            <w:noProof/>
            <w:webHidden/>
          </w:rPr>
        </w:r>
        <w:r w:rsidR="0018394C">
          <w:rPr>
            <w:noProof/>
            <w:webHidden/>
          </w:rPr>
          <w:fldChar w:fldCharType="separate"/>
        </w:r>
        <w:r w:rsidR="0018394C">
          <w:rPr>
            <w:noProof/>
            <w:webHidden/>
          </w:rPr>
          <w:t>25</w:t>
        </w:r>
        <w:r w:rsidR="0018394C">
          <w:rPr>
            <w:noProof/>
            <w:webHidden/>
          </w:rPr>
          <w:fldChar w:fldCharType="end"/>
        </w:r>
      </w:hyperlink>
    </w:p>
    <w:p w:rsidR="0018394C" w:rsidRDefault="009B4D82" w:rsidP="0018394C">
      <w:pPr>
        <w:pStyle w:val="TOC1"/>
        <w:tabs>
          <w:tab w:val="clear" w:pos="7938"/>
          <w:tab w:val="right" w:pos="8505"/>
        </w:tabs>
        <w:rPr>
          <w:rFonts w:asciiTheme="minorHAnsi" w:eastAsiaTheme="minorEastAsia" w:hAnsiTheme="minorHAnsi" w:cstheme="minorBidi"/>
          <w:noProof/>
          <w:color w:val="auto"/>
          <w:sz w:val="22"/>
          <w:szCs w:val="22"/>
        </w:rPr>
      </w:pPr>
      <w:hyperlink w:anchor="_Toc422327011" w:history="1">
        <w:r w:rsidR="0018394C" w:rsidRPr="00126EB8">
          <w:rPr>
            <w:rStyle w:val="Hyperlink"/>
            <w:noProof/>
          </w:rPr>
          <w:t>4   How well do APPRs reflect changes in aid program performance?</w:t>
        </w:r>
        <w:r w:rsidR="0018394C">
          <w:rPr>
            <w:noProof/>
            <w:webHidden/>
          </w:rPr>
          <w:tab/>
        </w:r>
        <w:r w:rsidR="0018394C">
          <w:rPr>
            <w:noProof/>
            <w:webHidden/>
          </w:rPr>
          <w:fldChar w:fldCharType="begin"/>
        </w:r>
        <w:r w:rsidR="0018394C">
          <w:rPr>
            <w:noProof/>
            <w:webHidden/>
          </w:rPr>
          <w:instrText xml:space="preserve"> PAGEREF _Toc422327011 \h </w:instrText>
        </w:r>
        <w:r w:rsidR="0018394C">
          <w:rPr>
            <w:noProof/>
            <w:webHidden/>
          </w:rPr>
        </w:r>
        <w:r w:rsidR="0018394C">
          <w:rPr>
            <w:noProof/>
            <w:webHidden/>
          </w:rPr>
          <w:fldChar w:fldCharType="separate"/>
        </w:r>
        <w:r w:rsidR="0018394C">
          <w:rPr>
            <w:noProof/>
            <w:webHidden/>
          </w:rPr>
          <w:t>26</w:t>
        </w:r>
        <w:r w:rsidR="0018394C">
          <w:rPr>
            <w:noProof/>
            <w:webHidden/>
          </w:rPr>
          <w:fldChar w:fldCharType="end"/>
        </w:r>
      </w:hyperlink>
    </w:p>
    <w:p w:rsidR="0018394C" w:rsidRDefault="009B4D82" w:rsidP="0018394C">
      <w:pPr>
        <w:pStyle w:val="TOC1"/>
        <w:tabs>
          <w:tab w:val="clear" w:pos="7938"/>
          <w:tab w:val="right" w:pos="8505"/>
        </w:tabs>
        <w:rPr>
          <w:rFonts w:asciiTheme="minorHAnsi" w:eastAsiaTheme="minorEastAsia" w:hAnsiTheme="minorHAnsi" w:cstheme="minorBidi"/>
          <w:noProof/>
          <w:color w:val="auto"/>
          <w:sz w:val="22"/>
          <w:szCs w:val="22"/>
        </w:rPr>
      </w:pPr>
      <w:hyperlink w:anchor="_Toc422327012" w:history="1">
        <w:r w:rsidR="0018394C" w:rsidRPr="00126EB8">
          <w:rPr>
            <w:rStyle w:val="Hyperlink"/>
            <w:noProof/>
          </w:rPr>
          <w:t>Appendices</w:t>
        </w:r>
        <w:r w:rsidR="0018394C">
          <w:rPr>
            <w:noProof/>
            <w:webHidden/>
          </w:rPr>
          <w:tab/>
        </w:r>
        <w:r w:rsidR="0018394C">
          <w:rPr>
            <w:noProof/>
            <w:webHidden/>
          </w:rPr>
          <w:fldChar w:fldCharType="begin"/>
        </w:r>
        <w:r w:rsidR="0018394C">
          <w:rPr>
            <w:noProof/>
            <w:webHidden/>
          </w:rPr>
          <w:instrText xml:space="preserve"> PAGEREF _Toc422327012 \h </w:instrText>
        </w:r>
        <w:r w:rsidR="0018394C">
          <w:rPr>
            <w:noProof/>
            <w:webHidden/>
          </w:rPr>
        </w:r>
        <w:r w:rsidR="0018394C">
          <w:rPr>
            <w:noProof/>
            <w:webHidden/>
          </w:rPr>
          <w:fldChar w:fldCharType="separate"/>
        </w:r>
        <w:r w:rsidR="0018394C">
          <w:rPr>
            <w:noProof/>
            <w:webHidden/>
          </w:rPr>
          <w:t>29</w:t>
        </w:r>
        <w:r w:rsidR="0018394C">
          <w:rPr>
            <w:noProof/>
            <w:webHidden/>
          </w:rPr>
          <w:fldChar w:fldCharType="end"/>
        </w:r>
      </w:hyperlink>
    </w:p>
    <w:p w:rsidR="0018394C" w:rsidRDefault="009B4D82" w:rsidP="0018394C">
      <w:pPr>
        <w:pStyle w:val="TOC2"/>
        <w:tabs>
          <w:tab w:val="clear" w:pos="7938"/>
          <w:tab w:val="right" w:pos="8505"/>
          <w:tab w:val="right" w:pos="8789"/>
        </w:tabs>
        <w:rPr>
          <w:rFonts w:asciiTheme="minorHAnsi" w:eastAsiaTheme="minorEastAsia" w:hAnsiTheme="minorHAnsi" w:cstheme="minorBidi"/>
          <w:noProof/>
          <w:sz w:val="22"/>
          <w:szCs w:val="22"/>
        </w:rPr>
      </w:pPr>
      <w:hyperlink w:anchor="_Toc422327013" w:history="1">
        <w:r w:rsidR="0018394C" w:rsidRPr="00126EB8">
          <w:rPr>
            <w:rStyle w:val="Hyperlink"/>
            <w:noProof/>
          </w:rPr>
          <w:t>Appendix A: Terms of reference (excerpt)</w:t>
        </w:r>
        <w:r w:rsidR="0018394C">
          <w:rPr>
            <w:noProof/>
            <w:webHidden/>
          </w:rPr>
          <w:tab/>
        </w:r>
        <w:r w:rsidR="0018394C">
          <w:rPr>
            <w:noProof/>
            <w:webHidden/>
          </w:rPr>
          <w:fldChar w:fldCharType="begin"/>
        </w:r>
        <w:r w:rsidR="0018394C">
          <w:rPr>
            <w:noProof/>
            <w:webHidden/>
          </w:rPr>
          <w:instrText xml:space="preserve"> PAGEREF _Toc422327013 \h </w:instrText>
        </w:r>
        <w:r w:rsidR="0018394C">
          <w:rPr>
            <w:noProof/>
            <w:webHidden/>
          </w:rPr>
        </w:r>
        <w:r w:rsidR="0018394C">
          <w:rPr>
            <w:noProof/>
            <w:webHidden/>
          </w:rPr>
          <w:fldChar w:fldCharType="separate"/>
        </w:r>
        <w:r w:rsidR="0018394C">
          <w:rPr>
            <w:noProof/>
            <w:webHidden/>
          </w:rPr>
          <w:t>29</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14" w:history="1">
        <w:r w:rsidR="0018394C" w:rsidRPr="00126EB8">
          <w:rPr>
            <w:rStyle w:val="Hyperlink"/>
            <w:noProof/>
          </w:rPr>
          <w:t>Appendix B: APPR quality review assessment questions</w:t>
        </w:r>
        <w:r w:rsidR="0018394C">
          <w:rPr>
            <w:noProof/>
            <w:webHidden/>
          </w:rPr>
          <w:tab/>
        </w:r>
        <w:r w:rsidR="0018394C">
          <w:rPr>
            <w:noProof/>
            <w:webHidden/>
          </w:rPr>
          <w:fldChar w:fldCharType="begin"/>
        </w:r>
        <w:r w:rsidR="0018394C">
          <w:rPr>
            <w:noProof/>
            <w:webHidden/>
          </w:rPr>
          <w:instrText xml:space="preserve"> PAGEREF _Toc422327014 \h </w:instrText>
        </w:r>
        <w:r w:rsidR="0018394C">
          <w:rPr>
            <w:noProof/>
            <w:webHidden/>
          </w:rPr>
        </w:r>
        <w:r w:rsidR="0018394C">
          <w:rPr>
            <w:noProof/>
            <w:webHidden/>
          </w:rPr>
          <w:fldChar w:fldCharType="separate"/>
        </w:r>
        <w:r w:rsidR="0018394C">
          <w:rPr>
            <w:noProof/>
            <w:webHidden/>
          </w:rPr>
          <w:t>30</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15" w:history="1">
        <w:r w:rsidR="0018394C" w:rsidRPr="00126EB8">
          <w:rPr>
            <w:rStyle w:val="Hyperlink"/>
            <w:noProof/>
          </w:rPr>
          <w:t>Appendix C: APPR quality by size and whether program has a performance assessment framework</w:t>
        </w:r>
        <w:r w:rsidR="0018394C">
          <w:rPr>
            <w:noProof/>
            <w:webHidden/>
          </w:rPr>
          <w:tab/>
        </w:r>
        <w:r w:rsidR="0018394C">
          <w:rPr>
            <w:noProof/>
            <w:webHidden/>
          </w:rPr>
          <w:fldChar w:fldCharType="begin"/>
        </w:r>
        <w:r w:rsidR="0018394C">
          <w:rPr>
            <w:noProof/>
            <w:webHidden/>
          </w:rPr>
          <w:instrText xml:space="preserve"> PAGEREF _Toc422327015 \h </w:instrText>
        </w:r>
        <w:r w:rsidR="0018394C">
          <w:rPr>
            <w:noProof/>
            <w:webHidden/>
          </w:rPr>
        </w:r>
        <w:r w:rsidR="0018394C">
          <w:rPr>
            <w:noProof/>
            <w:webHidden/>
          </w:rPr>
          <w:fldChar w:fldCharType="separate"/>
        </w:r>
        <w:r w:rsidR="0018394C">
          <w:rPr>
            <w:noProof/>
            <w:webHidden/>
          </w:rPr>
          <w:t>32</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16" w:history="1">
        <w:r w:rsidR="0018394C" w:rsidRPr="00126EB8">
          <w:rPr>
            <w:rStyle w:val="Hyperlink"/>
            <w:noProof/>
          </w:rPr>
          <w:t>Appendix D: Cornerstone question assessment comparison over two years</w:t>
        </w:r>
        <w:r w:rsidR="0018394C">
          <w:rPr>
            <w:noProof/>
            <w:webHidden/>
          </w:rPr>
          <w:tab/>
        </w:r>
        <w:r w:rsidR="0018394C">
          <w:rPr>
            <w:noProof/>
            <w:webHidden/>
          </w:rPr>
          <w:fldChar w:fldCharType="begin"/>
        </w:r>
        <w:r w:rsidR="0018394C">
          <w:rPr>
            <w:noProof/>
            <w:webHidden/>
          </w:rPr>
          <w:instrText xml:space="preserve"> PAGEREF _Toc422327016 \h </w:instrText>
        </w:r>
        <w:r w:rsidR="0018394C">
          <w:rPr>
            <w:noProof/>
            <w:webHidden/>
          </w:rPr>
        </w:r>
        <w:r w:rsidR="0018394C">
          <w:rPr>
            <w:noProof/>
            <w:webHidden/>
          </w:rPr>
          <w:fldChar w:fldCharType="separate"/>
        </w:r>
        <w:r w:rsidR="0018394C">
          <w:rPr>
            <w:noProof/>
            <w:webHidden/>
          </w:rPr>
          <w:t>33</w:t>
        </w:r>
        <w:r w:rsidR="0018394C">
          <w:rPr>
            <w:noProof/>
            <w:webHidden/>
          </w:rPr>
          <w:fldChar w:fldCharType="end"/>
        </w:r>
      </w:hyperlink>
    </w:p>
    <w:p w:rsidR="0018394C" w:rsidRDefault="009B4D82" w:rsidP="0018394C">
      <w:pPr>
        <w:pStyle w:val="TOC2"/>
        <w:tabs>
          <w:tab w:val="clear" w:pos="7938"/>
          <w:tab w:val="right" w:pos="8505"/>
        </w:tabs>
        <w:rPr>
          <w:rFonts w:asciiTheme="minorHAnsi" w:eastAsiaTheme="minorEastAsia" w:hAnsiTheme="minorHAnsi" w:cstheme="minorBidi"/>
          <w:noProof/>
          <w:sz w:val="22"/>
          <w:szCs w:val="22"/>
        </w:rPr>
      </w:pPr>
      <w:hyperlink w:anchor="_Toc422327017" w:history="1">
        <w:r w:rsidR="0018394C" w:rsidRPr="00126EB8">
          <w:rPr>
            <w:rStyle w:val="Hyperlink"/>
            <w:noProof/>
          </w:rPr>
          <w:t>Appendix E: Summary tables of quality ratings against all cornerstone questions and subquestions</w:t>
        </w:r>
        <w:r w:rsidR="0018394C">
          <w:rPr>
            <w:noProof/>
            <w:webHidden/>
          </w:rPr>
          <w:tab/>
        </w:r>
        <w:r w:rsidR="0018394C">
          <w:rPr>
            <w:noProof/>
            <w:webHidden/>
          </w:rPr>
          <w:fldChar w:fldCharType="begin"/>
        </w:r>
        <w:r w:rsidR="0018394C">
          <w:rPr>
            <w:noProof/>
            <w:webHidden/>
          </w:rPr>
          <w:instrText xml:space="preserve"> PAGEREF _Toc422327017 \h </w:instrText>
        </w:r>
        <w:r w:rsidR="0018394C">
          <w:rPr>
            <w:noProof/>
            <w:webHidden/>
          </w:rPr>
        </w:r>
        <w:r w:rsidR="0018394C">
          <w:rPr>
            <w:noProof/>
            <w:webHidden/>
          </w:rPr>
          <w:fldChar w:fldCharType="separate"/>
        </w:r>
        <w:r w:rsidR="0018394C">
          <w:rPr>
            <w:noProof/>
            <w:webHidden/>
          </w:rPr>
          <w:t>34</w:t>
        </w:r>
        <w:r w:rsidR="0018394C">
          <w:rPr>
            <w:noProof/>
            <w:webHidden/>
          </w:rPr>
          <w:fldChar w:fldCharType="end"/>
        </w:r>
      </w:hyperlink>
    </w:p>
    <w:p w:rsidR="0018394C" w:rsidRDefault="009B4D82" w:rsidP="0018394C">
      <w:pPr>
        <w:pStyle w:val="TOC1"/>
        <w:tabs>
          <w:tab w:val="clear" w:pos="7938"/>
          <w:tab w:val="right" w:pos="8505"/>
        </w:tabs>
        <w:rPr>
          <w:rFonts w:asciiTheme="minorHAnsi" w:eastAsiaTheme="minorEastAsia" w:hAnsiTheme="minorHAnsi" w:cstheme="minorBidi"/>
          <w:noProof/>
          <w:color w:val="auto"/>
          <w:sz w:val="22"/>
          <w:szCs w:val="22"/>
        </w:rPr>
      </w:pPr>
      <w:hyperlink w:anchor="_Toc422327018" w:history="1">
        <w:r w:rsidR="0018394C" w:rsidRPr="00126EB8">
          <w:rPr>
            <w:rStyle w:val="Hyperlink"/>
            <w:noProof/>
          </w:rPr>
          <w:t>Abbreviations</w:t>
        </w:r>
        <w:r w:rsidR="0018394C">
          <w:rPr>
            <w:noProof/>
            <w:webHidden/>
          </w:rPr>
          <w:tab/>
        </w:r>
        <w:r w:rsidR="0018394C">
          <w:rPr>
            <w:noProof/>
            <w:webHidden/>
          </w:rPr>
          <w:fldChar w:fldCharType="begin"/>
        </w:r>
        <w:r w:rsidR="0018394C">
          <w:rPr>
            <w:noProof/>
            <w:webHidden/>
          </w:rPr>
          <w:instrText xml:space="preserve"> PAGEREF _Toc422327018 \h </w:instrText>
        </w:r>
        <w:r w:rsidR="0018394C">
          <w:rPr>
            <w:noProof/>
            <w:webHidden/>
          </w:rPr>
        </w:r>
        <w:r w:rsidR="0018394C">
          <w:rPr>
            <w:noProof/>
            <w:webHidden/>
          </w:rPr>
          <w:fldChar w:fldCharType="separate"/>
        </w:r>
        <w:r w:rsidR="0018394C">
          <w:rPr>
            <w:noProof/>
            <w:webHidden/>
          </w:rPr>
          <w:t>38</w:t>
        </w:r>
        <w:r w:rsidR="0018394C">
          <w:rPr>
            <w:noProof/>
            <w:webHidden/>
          </w:rPr>
          <w:fldChar w:fldCharType="end"/>
        </w:r>
      </w:hyperlink>
    </w:p>
    <w:p w:rsidR="0031311B" w:rsidRDefault="0051715B" w:rsidP="00B3070C">
      <w:pPr>
        <w:pStyle w:val="BodyText"/>
      </w:pPr>
      <w:r>
        <w:rPr>
          <w:rFonts w:ascii="Helvetica" w:hAnsi="Helvetica"/>
          <w:color w:val="0095BD"/>
          <w:sz w:val="26"/>
        </w:rPr>
        <w:fldChar w:fldCharType="end"/>
      </w:r>
    </w:p>
    <w:p w:rsidR="000C79F9" w:rsidRDefault="000C79F9" w:rsidP="00033C14">
      <w:pPr>
        <w:pStyle w:val="ImprintText"/>
        <w:sectPr w:rsidR="000C79F9" w:rsidSect="00721229">
          <w:footnotePr>
            <w:numFmt w:val="chicago"/>
            <w:numRestart w:val="eachPage"/>
          </w:footnotePr>
          <w:endnotePr>
            <w:numFmt w:val="decimal"/>
          </w:endnotePr>
          <w:pgSz w:w="11907" w:h="16840" w:code="9"/>
          <w:pgMar w:top="902" w:right="1701" w:bottom="907" w:left="1701" w:header="851" w:footer="567" w:gutter="0"/>
          <w:pgNumType w:fmt="lowerRoman"/>
          <w:cols w:space="720"/>
          <w:docGrid w:linePitch="326"/>
        </w:sectPr>
      </w:pPr>
    </w:p>
    <w:p w:rsidR="0068612A" w:rsidRPr="0068612A" w:rsidRDefault="008C561D" w:rsidP="00902382">
      <w:pPr>
        <w:pStyle w:val="Heading1"/>
      </w:pPr>
      <w:bookmarkStart w:id="3" w:name="_Toc422326992"/>
      <w:r w:rsidRPr="00902382">
        <w:t>Acknowledgement</w:t>
      </w:r>
      <w:r w:rsidR="0068612A" w:rsidRPr="00902382">
        <w:t>s</w:t>
      </w:r>
      <w:bookmarkEnd w:id="3"/>
    </w:p>
    <w:p w:rsidR="008C561D" w:rsidRDefault="0068612A" w:rsidP="008C561D">
      <w:pPr>
        <w:pStyle w:val="BodyText"/>
      </w:pPr>
      <w:r>
        <w:t xml:space="preserve">The </w:t>
      </w:r>
      <w:r w:rsidR="004C4674">
        <w:t>Office</w:t>
      </w:r>
      <w:r>
        <w:t xml:space="preserve"> of </w:t>
      </w:r>
      <w:r w:rsidR="004C4674">
        <w:t>Development</w:t>
      </w:r>
      <w:r>
        <w:t xml:space="preserve"> Effectiveness (ODE) thanks all those who contributed to this report.</w:t>
      </w:r>
      <w:r w:rsidR="008C561D" w:rsidRPr="008C561D">
        <w:t xml:space="preserve"> </w:t>
      </w:r>
      <w:r w:rsidR="004C4674">
        <w:t xml:space="preserve">The </w:t>
      </w:r>
      <w:r w:rsidR="004813F0">
        <w:t>2014 Quality R</w:t>
      </w:r>
      <w:r w:rsidR="008C561D" w:rsidRPr="008C561D">
        <w:t>eview of Aid Program Performance Reports</w:t>
      </w:r>
      <w:r w:rsidR="00580055">
        <w:t xml:space="preserve"> (APPRs)</w:t>
      </w:r>
      <w:r w:rsidR="008C561D" w:rsidRPr="008C561D">
        <w:t xml:space="preserve"> w</w:t>
      </w:r>
      <w:r w:rsidR="004C4674">
        <w:t>as undertaken for ODE</w:t>
      </w:r>
      <w:r w:rsidR="008C561D" w:rsidRPr="008C561D">
        <w:t xml:space="preserve"> by Jo Hall and Kari </w:t>
      </w:r>
      <w:proofErr w:type="spellStart"/>
      <w:r w:rsidR="008C561D" w:rsidRPr="008C561D">
        <w:t>Sann</w:t>
      </w:r>
      <w:proofErr w:type="spellEnd"/>
      <w:r w:rsidR="008C561D" w:rsidRPr="008C561D">
        <w:t xml:space="preserve"> from IOD PARC with assistance from Julian </w:t>
      </w:r>
      <w:proofErr w:type="spellStart"/>
      <w:r w:rsidR="008C561D" w:rsidRPr="008C561D">
        <w:t>Gayfer</w:t>
      </w:r>
      <w:proofErr w:type="spellEnd"/>
      <w:r w:rsidR="008C561D" w:rsidRPr="008C561D">
        <w:t xml:space="preserve"> from IOD PARC who led last year’s</w:t>
      </w:r>
      <w:r w:rsidR="00580055">
        <w:t xml:space="preserve"> APPR</w:t>
      </w:r>
      <w:r w:rsidR="008C561D" w:rsidRPr="008C561D">
        <w:t xml:space="preserve"> review. Serin Werner from ODE provided day-to-day</w:t>
      </w:r>
      <w:r w:rsidR="004C4674">
        <w:t xml:space="preserve"> </w:t>
      </w:r>
      <w:r w:rsidR="00580055">
        <w:t>guidance on the review process</w:t>
      </w:r>
      <w:r w:rsidR="004C4674">
        <w:t xml:space="preserve"> and together with Jo Hall and Kari </w:t>
      </w:r>
      <w:proofErr w:type="spellStart"/>
      <w:r w:rsidR="004C4674">
        <w:t>Sann</w:t>
      </w:r>
      <w:proofErr w:type="spellEnd"/>
      <w:r w:rsidR="004C4674">
        <w:t xml:space="preserve">, </w:t>
      </w:r>
      <w:r w:rsidR="00497F27">
        <w:t>authored this</w:t>
      </w:r>
      <w:r w:rsidR="004C4674">
        <w:t xml:space="preserve"> report. The </w:t>
      </w:r>
      <w:r w:rsidR="00DF5F6A">
        <w:t>report</w:t>
      </w:r>
      <w:r w:rsidR="004C4674">
        <w:t xml:space="preserve"> was overs</w:t>
      </w:r>
      <w:r w:rsidR="00497F27">
        <w:t>een</w:t>
      </w:r>
      <w:r w:rsidR="004C4674">
        <w:t xml:space="preserve"> by </w:t>
      </w:r>
      <w:r w:rsidR="008C561D" w:rsidRPr="008C561D">
        <w:t xml:space="preserve">David Slattery </w:t>
      </w:r>
      <w:r w:rsidR="004C4674">
        <w:t>from</w:t>
      </w:r>
      <w:r w:rsidR="00EB5937">
        <w:t xml:space="preserve"> ODE.</w:t>
      </w:r>
      <w:r w:rsidR="008C561D" w:rsidRPr="008C561D">
        <w:t xml:space="preserve"> </w:t>
      </w:r>
    </w:p>
    <w:p w:rsidR="008C561D" w:rsidRPr="008C561D" w:rsidRDefault="008C561D" w:rsidP="008C561D">
      <w:pPr>
        <w:pStyle w:val="BodyText"/>
      </w:pPr>
      <w:r w:rsidRPr="008C561D">
        <w:t>Thank you to those who provided comments on drafts of the report, including the ODE Independent Evaluation Committee; Tom Davis from DFAT’s South and West Asia Division; and Ian Kidd, Andreas Zurbrugg and Andrew Collins from DFAT’s Aid Management and Performance Branch.</w:t>
      </w:r>
    </w:p>
    <w:p w:rsidR="008C561D" w:rsidRPr="008C561D" w:rsidRDefault="008C561D" w:rsidP="008C561D">
      <w:pPr>
        <w:pStyle w:val="BodyText"/>
      </w:pPr>
      <w:r w:rsidRPr="008C561D">
        <w:t>The analysis, conclusi</w:t>
      </w:r>
      <w:r w:rsidR="00561BD2">
        <w:t>ons and recommendations in the quality r</w:t>
      </w:r>
      <w:r w:rsidRPr="008C561D">
        <w:t>eview are those of ODE.</w:t>
      </w:r>
    </w:p>
    <w:p w:rsidR="008C561D" w:rsidRDefault="008C561D" w:rsidP="00593BB5">
      <w:pPr>
        <w:pStyle w:val="BodyText"/>
      </w:pPr>
    </w:p>
    <w:p w:rsidR="008C561D" w:rsidRPr="00F65F11" w:rsidRDefault="008C561D" w:rsidP="00E75545">
      <w:pPr>
        <w:pStyle w:val="Heading1"/>
      </w:pPr>
      <w:bookmarkStart w:id="4" w:name="_Toc422326993"/>
      <w:r w:rsidRPr="00F65F11">
        <w:t>Executive summary</w:t>
      </w:r>
      <w:bookmarkEnd w:id="4"/>
    </w:p>
    <w:p w:rsidR="00D4416C" w:rsidRDefault="00D4416C" w:rsidP="00D4416C">
      <w:pPr>
        <w:pStyle w:val="BodyText"/>
      </w:pPr>
      <w:r>
        <w:t>Each year since 2008, country and regional programs have reported progress against their objectives in annual A</w:t>
      </w:r>
      <w:r w:rsidRPr="00921A8D">
        <w:t xml:space="preserve">id </w:t>
      </w:r>
      <w:r>
        <w:t xml:space="preserve">Program Performance Reports (APPRs). APPRs are published on the </w:t>
      </w:r>
      <w:r w:rsidR="004C1F33" w:rsidRPr="00B256FF">
        <w:t xml:space="preserve">Department of Foreign Affairs and Trade </w:t>
      </w:r>
      <w:r w:rsidR="004C1F33">
        <w:t>(DFAT)</w:t>
      </w:r>
      <w:r>
        <w:t xml:space="preserve"> website, and serve three main purposes: strengthening program management and effectiveness; providing accountability; and facilitating </w:t>
      </w:r>
      <w:r w:rsidRPr="005B5165">
        <w:t>policy dialogue</w:t>
      </w:r>
      <w:r>
        <w:t xml:space="preserve"> with development partners.</w:t>
      </w:r>
    </w:p>
    <w:p w:rsidR="00D4416C" w:rsidRPr="00C66BEB" w:rsidRDefault="00D4416C" w:rsidP="00D4416C">
      <w:pPr>
        <w:pStyle w:val="BodyText"/>
      </w:pPr>
      <w:r>
        <w:t>While the Australian aid performance management system has change</w:t>
      </w:r>
      <w:r w:rsidR="004852A4">
        <w:t>d significantly in recent times—including the release of a new aid policy</w:t>
      </w:r>
      <w:r w:rsidR="003A6280">
        <w:rPr>
          <w:rStyle w:val="FootnoteReference"/>
        </w:rPr>
        <w:footnoteReference w:id="2"/>
      </w:r>
      <w:r w:rsidR="004852A4">
        <w:t xml:space="preserve"> and an accompanying performance framework</w:t>
      </w:r>
      <w:r w:rsidR="003A6280">
        <w:rPr>
          <w:rStyle w:val="FootnoteReference"/>
        </w:rPr>
        <w:footnoteReference w:id="3"/>
      </w:r>
      <w:r w:rsidR="00FF7E64">
        <w:t>—</w:t>
      </w:r>
      <w:r>
        <w:t>APPRs remain an integral</w:t>
      </w:r>
      <w:r w:rsidR="004852A4">
        <w:t xml:space="preserve"> performance management and</w:t>
      </w:r>
      <w:r>
        <w:t xml:space="preserve"> reporting</w:t>
      </w:r>
      <w:r w:rsidR="00DF5F6A">
        <w:t xml:space="preserve"> tool</w:t>
      </w:r>
      <w:r w:rsidR="004852A4">
        <w:t xml:space="preserve"> </w:t>
      </w:r>
      <w:r w:rsidR="00DF5F6A">
        <w:t>for the Australian aid program.</w:t>
      </w:r>
      <w:r w:rsidR="00B37E9A">
        <w:t xml:space="preserve"> </w:t>
      </w:r>
    </w:p>
    <w:p w:rsidR="00D4416C" w:rsidRPr="005B5165" w:rsidRDefault="00D4416C" w:rsidP="00D4416C">
      <w:pPr>
        <w:pStyle w:val="BodyText"/>
      </w:pPr>
      <w:r>
        <w:rPr>
          <w:noProof/>
        </w:rPr>
        <w:t>The</w:t>
      </w:r>
      <w:r w:rsidRPr="007E7885">
        <w:rPr>
          <w:noProof/>
        </w:rPr>
        <w:t xml:space="preserve"> Office of Development Effectiveness (ODE)</w:t>
      </w:r>
      <w:r>
        <w:rPr>
          <w:noProof/>
        </w:rPr>
        <w:t>, under the guidance of the Independent Eval</w:t>
      </w:r>
      <w:r w:rsidR="00AC33FD">
        <w:rPr>
          <w:noProof/>
        </w:rPr>
        <w:t>u</w:t>
      </w:r>
      <w:r>
        <w:rPr>
          <w:noProof/>
        </w:rPr>
        <w:t xml:space="preserve">ation Committee, provides independent oversight of departmental performance reporting. As part of this role, ODE </w:t>
      </w:r>
      <w:r w:rsidRPr="007E7885">
        <w:rPr>
          <w:noProof/>
        </w:rPr>
        <w:t xml:space="preserve">has carried out </w:t>
      </w:r>
      <w:r w:rsidR="00561BD2">
        <w:rPr>
          <w:noProof/>
        </w:rPr>
        <w:t>q</w:t>
      </w:r>
      <w:r w:rsidR="004813F0">
        <w:rPr>
          <w:noProof/>
        </w:rPr>
        <w:t xml:space="preserve">uality </w:t>
      </w:r>
      <w:r w:rsidR="00561BD2">
        <w:rPr>
          <w:noProof/>
        </w:rPr>
        <w:t>r</w:t>
      </w:r>
      <w:r w:rsidRPr="007E7885">
        <w:rPr>
          <w:noProof/>
        </w:rPr>
        <w:t>eviews of APPRs</w:t>
      </w:r>
      <w:r>
        <w:rPr>
          <w:noProof/>
        </w:rPr>
        <w:t xml:space="preserve"> every year</w:t>
      </w:r>
      <w:r w:rsidRPr="007E7885">
        <w:rPr>
          <w:noProof/>
        </w:rPr>
        <w:t xml:space="preserve"> since</w:t>
      </w:r>
      <w:r>
        <w:rPr>
          <w:noProof/>
        </w:rPr>
        <w:t xml:space="preserve"> they were introduced</w:t>
      </w:r>
      <w:r w:rsidRPr="007E7885">
        <w:rPr>
          <w:noProof/>
        </w:rPr>
        <w:t xml:space="preserve">. </w:t>
      </w:r>
      <w:r>
        <w:t xml:space="preserve">These examine the quality of APPRs and highlight strengths and opportunities for improvement. This year’s quality review also looked at </w:t>
      </w:r>
      <w:r w:rsidR="00AC33FD">
        <w:t xml:space="preserve">APPRs’ </w:t>
      </w:r>
      <w:r>
        <w:t>treatment of performance benchmarks and mutual obligations, which are new requirements.</w:t>
      </w:r>
    </w:p>
    <w:p w:rsidR="00334B19" w:rsidRDefault="004813F0" w:rsidP="00D4416C">
      <w:pPr>
        <w:pStyle w:val="BodyText"/>
      </w:pPr>
      <w:r>
        <w:t>The 2014 ODE Quality R</w:t>
      </w:r>
      <w:r w:rsidR="00D4416C">
        <w:t>eview of APPRs assessed the quality of 28 2013–14 APPRs</w:t>
      </w:r>
      <w:r w:rsidR="003A5CE1">
        <w:t>.</w:t>
      </w:r>
      <w:r w:rsidR="00D4416C">
        <w:rPr>
          <w:rStyle w:val="FootnoteReference"/>
        </w:rPr>
        <w:footnoteReference w:id="4"/>
      </w:r>
      <w:r w:rsidR="00D4416C">
        <w:t xml:space="preserve"> Key findings, conclusions and recommendations </w:t>
      </w:r>
      <w:r w:rsidR="00AC33FD">
        <w:t>follow.</w:t>
      </w:r>
    </w:p>
    <w:p w:rsidR="00AC33FD" w:rsidRPr="00721229" w:rsidRDefault="00AC33FD" w:rsidP="00DF5F6A">
      <w:pPr>
        <w:pStyle w:val="Heading2"/>
      </w:pPr>
      <w:bookmarkStart w:id="5" w:name="_Toc422326994"/>
      <w:r>
        <w:t>Findings</w:t>
      </w:r>
      <w:bookmarkEnd w:id="5"/>
    </w:p>
    <w:p w:rsidR="00D4416C" w:rsidRDefault="00D4416C" w:rsidP="00D4416C">
      <w:pPr>
        <w:pStyle w:val="Heading3"/>
        <w:rPr>
          <w:noProof/>
        </w:rPr>
      </w:pPr>
      <w:r>
        <w:rPr>
          <w:noProof/>
        </w:rPr>
        <w:t>APPR quality is consistent with previous year</w:t>
      </w:r>
    </w:p>
    <w:p w:rsidR="00D4416C" w:rsidRDefault="00D4416C" w:rsidP="00D4416C">
      <w:pPr>
        <w:pStyle w:val="BodyText"/>
      </w:pPr>
      <w:r>
        <w:t>T</w:t>
      </w:r>
      <w:r w:rsidRPr="001070AB">
        <w:t xml:space="preserve">he quality of </w:t>
      </w:r>
      <w:r>
        <w:t xml:space="preserve">2013–14 </w:t>
      </w:r>
      <w:r w:rsidRPr="001070AB">
        <w:t>APP</w:t>
      </w:r>
      <w:r>
        <w:t xml:space="preserve">Rs is consistent with the previous </w:t>
      </w:r>
      <w:proofErr w:type="gramStart"/>
      <w:r>
        <w:t>year’s</w:t>
      </w:r>
      <w:proofErr w:type="gramEnd"/>
      <w:r>
        <w:t xml:space="preserve">: they are </w:t>
      </w:r>
      <w:r w:rsidRPr="001070AB">
        <w:t>well</w:t>
      </w:r>
      <w:r w:rsidR="00BF5845">
        <w:t xml:space="preserve"> </w:t>
      </w:r>
      <w:r w:rsidRPr="001070AB">
        <w:t>written, informative descriptions of program activities and progress toward</w:t>
      </w:r>
      <w:r w:rsidR="00BF5845">
        <w:t>s</w:t>
      </w:r>
      <w:r w:rsidRPr="001070AB">
        <w:t xml:space="preserve"> objectives</w:t>
      </w:r>
      <w:r>
        <w:t>. They</w:t>
      </w:r>
      <w:r w:rsidRPr="001070AB">
        <w:t xml:space="preserve"> discuss </w:t>
      </w:r>
      <w:r>
        <w:t xml:space="preserve">program </w:t>
      </w:r>
      <w:r w:rsidRPr="001070AB">
        <w:t>successes and failures</w:t>
      </w:r>
      <w:r>
        <w:t xml:space="preserve"> in a manner that is largely</w:t>
      </w:r>
      <w:r w:rsidRPr="001070AB">
        <w:t xml:space="preserve"> evidence-based, </w:t>
      </w:r>
      <w:r>
        <w:t xml:space="preserve">and </w:t>
      </w:r>
      <w:r w:rsidRPr="001070AB">
        <w:t xml:space="preserve">balanced. </w:t>
      </w:r>
      <w:r w:rsidR="00D14C13">
        <w:rPr>
          <w:noProof/>
        </w:rPr>
        <w:t>Almost all APPRs were rated as either good or adequate against all four cornerstone questions</w:t>
      </w:r>
      <w:r>
        <w:t>,</w:t>
      </w:r>
      <w:r w:rsidRPr="001070AB">
        <w:t xml:space="preserve"> </w:t>
      </w:r>
      <w:r>
        <w:t xml:space="preserve">which assess key elements of APPR quality </w:t>
      </w:r>
      <w:r w:rsidRPr="001070AB">
        <w:t>(</w:t>
      </w:r>
      <w:r>
        <w:t>Figure 1).</w:t>
      </w:r>
    </w:p>
    <w:p w:rsidR="00524D18" w:rsidRDefault="00524D18" w:rsidP="00D4416C">
      <w:pPr>
        <w:pStyle w:val="BodyText"/>
      </w:pPr>
    </w:p>
    <w:p w:rsidR="00524D18" w:rsidRDefault="00524D18">
      <w:pPr>
        <w:rPr>
          <w:rFonts w:ascii="Franklin Gothic Book" w:hAnsi="Franklin Gothic Book"/>
          <w:b/>
          <w:bCs/>
          <w:sz w:val="22"/>
          <w:szCs w:val="20"/>
        </w:rPr>
      </w:pPr>
      <w:r>
        <w:br w:type="page"/>
      </w:r>
    </w:p>
    <w:p w:rsidR="00524D18" w:rsidRDefault="00524D18" w:rsidP="006335F8">
      <w:pPr>
        <w:pStyle w:val="TableandFigureName"/>
        <w:numPr>
          <w:ilvl w:val="0"/>
          <w:numId w:val="0"/>
        </w:numPr>
        <w:tabs>
          <w:tab w:val="clear" w:pos="993"/>
          <w:tab w:val="left" w:pos="1276"/>
        </w:tabs>
      </w:pPr>
      <w:r>
        <w:t>Figure 1</w:t>
      </w:r>
      <w:r>
        <w:tab/>
        <w:t>Almost all APPRs were rated as “good” or “adequate” against each cornerstone question</w:t>
      </w:r>
    </w:p>
    <w:p w:rsidR="00186131" w:rsidRDefault="00186131" w:rsidP="00186131">
      <w:pPr>
        <w:pStyle w:val="TableandFigureName"/>
        <w:numPr>
          <w:ilvl w:val="0"/>
          <w:numId w:val="0"/>
        </w:numPr>
        <w:tabs>
          <w:tab w:val="clear" w:pos="993"/>
          <w:tab w:val="left" w:pos="1276"/>
        </w:tabs>
        <w:ind w:left="1420" w:hanging="1420"/>
      </w:pPr>
      <w:r>
        <w:rPr>
          <w:noProof/>
          <w:lang w:eastAsia="en-AU"/>
        </w:rPr>
        <w:drawing>
          <wp:inline distT="0" distB="0" distL="0" distR="0" wp14:anchorId="5CA82BA0" wp14:editId="3A9E7849">
            <wp:extent cx="5400675" cy="2894208"/>
            <wp:effectExtent l="0" t="0" r="0" b="1905"/>
            <wp:docPr id="290" name="Chart 290" descr="Bar chart shows the following results. Cornerstone question 1 – Does the APPR provide a clear, balanced description of program relevance within the country/regional context and the new aid policy framework? 11 adequate, 15 good and 2 best practice. Cornerstone question 2 – Does the APPR narrative explain and justify, in a proportionate way, the progress ratings against each program objective? 12 adequate, 14 good and 2 best practice. Cornerstone question 3 – Does the APPR provide a proportionate, balanced discussion of the contribution of partner governments and delivery partners? 2 unsatisfactory, 11 adequate, 14 good and 1 best practice. And Cornerstone question 4 – Are the management consequences clearly linked to the ratings narratives and the identified risks to future progress? 11 adequate, 16 good and 1 best practice." title="Bar chart of frequency of ratings against cornerstone ques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24D18" w:rsidRDefault="00524D18" w:rsidP="00C64CE7">
      <w:pPr>
        <w:pStyle w:val="Heading3"/>
        <w:spacing w:before="480"/>
      </w:pPr>
      <w:r w:rsidRPr="004977AA">
        <w:t xml:space="preserve">APPRs </w:t>
      </w:r>
      <w:r w:rsidR="00580055">
        <w:t>identify</w:t>
      </w:r>
      <w:r w:rsidRPr="004977AA">
        <w:t xml:space="preserve"> development challenges</w:t>
      </w:r>
      <w:r>
        <w:t xml:space="preserve"> and</w:t>
      </w:r>
      <w:r w:rsidR="00DF5F6A">
        <w:t xml:space="preserve"> demonstrate program</w:t>
      </w:r>
      <w:r>
        <w:t xml:space="preserve"> align</w:t>
      </w:r>
      <w:r w:rsidR="00DF5F6A">
        <w:t>ment</w:t>
      </w:r>
      <w:r w:rsidR="00C80908">
        <w:t xml:space="preserve"> with new policy direction</w:t>
      </w:r>
      <w:r w:rsidR="00FD570C">
        <w:t>s</w:t>
      </w:r>
      <w:r w:rsidR="00C80908">
        <w:t>, but</w:t>
      </w:r>
      <w:r w:rsidRPr="004977AA">
        <w:t xml:space="preserve"> explaining program strategy is a weakness</w:t>
      </w:r>
    </w:p>
    <w:p w:rsidR="00DD419D" w:rsidRPr="00524D18" w:rsidRDefault="00524D18" w:rsidP="00524D18">
      <w:pPr>
        <w:pStyle w:val="BodyText"/>
      </w:pPr>
      <w:r>
        <w:t>All APPRs do a good job of describing the development challenges of the country/region. Relatively few</w:t>
      </w:r>
      <w:r w:rsidR="00485C89">
        <w:t>,</w:t>
      </w:r>
      <w:r>
        <w:t xml:space="preserve"> however, provide good descriptions of program strategy (what Australian aid will do and the logic of how this will contribute to achieving program objectives). This is a fundamental feature of reports, as the essence of the APPRs is to reflect on how well this strategy is working. Although ther</w:t>
      </w:r>
      <w:r w:rsidRPr="00580055">
        <w:t>e are examples of good pr</w:t>
      </w:r>
      <w:r w:rsidR="00AB459D" w:rsidRPr="00580055">
        <w:t xml:space="preserve">actice, this remains a weakness. </w:t>
      </w:r>
      <w:r w:rsidR="00580055">
        <w:t xml:space="preserve">DFAT’s </w:t>
      </w:r>
      <w:r w:rsidR="00580055" w:rsidRPr="00580055">
        <w:t xml:space="preserve">Aid Management and Contracting Division (ACD) advise that </w:t>
      </w:r>
      <w:r w:rsidR="00B37E9A" w:rsidRPr="00580055">
        <w:t>Ai</w:t>
      </w:r>
      <w:r w:rsidR="00AB459D" w:rsidRPr="00580055">
        <w:t>d</w:t>
      </w:r>
      <w:r w:rsidR="00B37E9A" w:rsidRPr="00580055">
        <w:t xml:space="preserve"> Investment Plans</w:t>
      </w:r>
      <w:r w:rsidR="00807BBA" w:rsidRPr="00580055">
        <w:rPr>
          <w:rStyle w:val="FootnoteReference"/>
        </w:rPr>
        <w:footnoteReference w:id="5"/>
      </w:r>
      <w:r w:rsidR="00DD419D" w:rsidRPr="00580055">
        <w:t>, due in September 2015, should assist with the</w:t>
      </w:r>
      <w:r w:rsidR="00C539CC" w:rsidRPr="00580055">
        <w:t xml:space="preserve"> </w:t>
      </w:r>
      <w:r w:rsidR="00DD419D" w:rsidRPr="00580055">
        <w:t>articulation of program strategy</w:t>
      </w:r>
      <w:r w:rsidR="00C539CC" w:rsidRPr="00580055">
        <w:t>.</w:t>
      </w:r>
    </w:p>
    <w:p w:rsidR="00524D18" w:rsidRPr="00524D18" w:rsidRDefault="00524D18" w:rsidP="00524D18">
      <w:pPr>
        <w:pStyle w:val="BodyText"/>
      </w:pPr>
      <w:r w:rsidRPr="001B1194">
        <w:t xml:space="preserve">The vast majority of APPRs </w:t>
      </w:r>
      <w:r>
        <w:t>pay particular attention to</w:t>
      </w:r>
      <w:r w:rsidRPr="001B1194">
        <w:t xml:space="preserve"> </w:t>
      </w:r>
      <w:r>
        <w:t xml:space="preserve">the </w:t>
      </w:r>
      <w:r w:rsidRPr="001B1194">
        <w:t>new</w:t>
      </w:r>
      <w:r>
        <w:t xml:space="preserve"> aid policy priorities of</w:t>
      </w:r>
      <w:r w:rsidRPr="001B1194">
        <w:t xml:space="preserve"> aid for trade, engaging with</w:t>
      </w:r>
      <w:r w:rsidR="00C80908">
        <w:t xml:space="preserve"> the</w:t>
      </w:r>
      <w:r w:rsidRPr="001B1194">
        <w:t xml:space="preserve"> private sector and</w:t>
      </w:r>
      <w:r w:rsidR="00485C89">
        <w:t xml:space="preserve">, </w:t>
      </w:r>
      <w:r>
        <w:t>in particular</w:t>
      </w:r>
      <w:r w:rsidR="00485C89">
        <w:t xml:space="preserve">, </w:t>
      </w:r>
      <w:r w:rsidRPr="001B1194">
        <w:t>empowering women and girls</w:t>
      </w:r>
      <w:r>
        <w:t xml:space="preserve">. </w:t>
      </w:r>
      <w:r w:rsidR="00AC33FD">
        <w:t xml:space="preserve">While </w:t>
      </w:r>
      <w:r>
        <w:t>integrating gender equality into all investments is still a work in progress for the aid program</w:t>
      </w:r>
      <w:r w:rsidR="00C80908">
        <w:t>,</w:t>
      </w:r>
      <w:r w:rsidRPr="00DF5F6A">
        <w:rPr>
          <w:vertAlign w:val="superscript"/>
        </w:rPr>
        <w:footnoteReference w:id="6"/>
      </w:r>
      <w:r>
        <w:t xml:space="preserve"> the </w:t>
      </w:r>
      <w:r w:rsidR="00C80908">
        <w:t>attention</w:t>
      </w:r>
      <w:r>
        <w:t xml:space="preserve"> it was accorded in 2013–14 APPRs demonstrates this issue is being appropriately prioritised.</w:t>
      </w:r>
    </w:p>
    <w:p w:rsidR="00524D18" w:rsidRDefault="00524D18" w:rsidP="00807BBA">
      <w:pPr>
        <w:pStyle w:val="Heading3"/>
      </w:pPr>
      <w:r w:rsidRPr="00942A0F">
        <w:t>The quality of partner assessments is mixed</w:t>
      </w:r>
    </w:p>
    <w:p w:rsidR="00524D18" w:rsidRPr="00524D18" w:rsidRDefault="00524D18" w:rsidP="00524D18">
      <w:pPr>
        <w:pStyle w:val="BodyText"/>
      </w:pPr>
      <w:r w:rsidRPr="00524D18">
        <w:t>The performance of partner governments is adequately discussed throughout most reports (including in the new ‘mutual obligations’ section, addressed below). Whole</w:t>
      </w:r>
      <w:r w:rsidR="00825F68">
        <w:t>-</w:t>
      </w:r>
      <w:r w:rsidRPr="00524D18">
        <w:t>of</w:t>
      </w:r>
      <w:r w:rsidR="00825F68">
        <w:t>-</w:t>
      </w:r>
      <w:r w:rsidRPr="00524D18">
        <w:t>government partners are mentioned where appropriate</w:t>
      </w:r>
      <w:r w:rsidR="00563420">
        <w:t>,</w:t>
      </w:r>
      <w:r w:rsidRPr="00524D18">
        <w:t xml:space="preserve"> but their performance is not assessed. Performance assessment of multilateral and </w:t>
      </w:r>
      <w:r w:rsidR="00563420">
        <w:rPr>
          <w:noProof/>
        </w:rPr>
        <w:t>non-government</w:t>
      </w:r>
      <w:r w:rsidR="00563420" w:rsidRPr="00B256FF">
        <w:rPr>
          <w:noProof/>
        </w:rPr>
        <w:t xml:space="preserve"> organisation </w:t>
      </w:r>
      <w:r w:rsidR="00563420">
        <w:rPr>
          <w:noProof/>
        </w:rPr>
        <w:t>(NGO)</w:t>
      </w:r>
      <w:r w:rsidRPr="00524D18">
        <w:t xml:space="preserve"> partners is mixed, with some APPRs making detailed assessments and others only mentioning them as partners.</w:t>
      </w:r>
    </w:p>
    <w:p w:rsidR="00524D18" w:rsidRDefault="00524D18" w:rsidP="00524D18">
      <w:pPr>
        <w:pStyle w:val="Heading3"/>
      </w:pPr>
      <w:r>
        <w:t>Almost all APPRs provide</w:t>
      </w:r>
      <w:r w:rsidRPr="004977AA">
        <w:t xml:space="preserve"> specific and actionable management responses</w:t>
      </w:r>
      <w:r>
        <w:t xml:space="preserve"> </w:t>
      </w:r>
    </w:p>
    <w:p w:rsidR="00524D18" w:rsidRPr="00524D18" w:rsidRDefault="00524D18" w:rsidP="00524D18">
      <w:pPr>
        <w:pStyle w:val="BodyText"/>
      </w:pPr>
      <w:r w:rsidRPr="00524D18">
        <w:t xml:space="preserve">This year’s management responses may be slightly less concrete than in 2012–13 APPRs. However, it is perhaps unsurprising that with </w:t>
      </w:r>
      <w:r w:rsidR="001646D0">
        <w:t>the</w:t>
      </w:r>
      <w:r w:rsidRPr="00524D18">
        <w:t xml:space="preserve"> budget uncertainly</w:t>
      </w:r>
      <w:r w:rsidR="001646D0">
        <w:t xml:space="preserve"> prevailing at the time they were authored</w:t>
      </w:r>
      <w:r w:rsidRPr="00524D18">
        <w:t>, some APPR</w:t>
      </w:r>
      <w:r w:rsidR="0050162E">
        <w:t>s</w:t>
      </w:r>
      <w:r w:rsidRPr="00524D18">
        <w:t xml:space="preserve"> are less concrete about management actions than they have been in previous years. This is because a large proportion of management responses have budget implications.</w:t>
      </w:r>
    </w:p>
    <w:p w:rsidR="00524D18" w:rsidRDefault="00524D18" w:rsidP="00524D18">
      <w:pPr>
        <w:pStyle w:val="Heading3"/>
      </w:pPr>
      <w:r w:rsidRPr="004977AA">
        <w:t>APPRs for smaller programs tend to be of poorer quality</w:t>
      </w:r>
    </w:p>
    <w:p w:rsidR="00524D18" w:rsidRPr="00524D18" w:rsidRDefault="00524D18" w:rsidP="00524D18">
      <w:pPr>
        <w:pStyle w:val="BodyText"/>
      </w:pPr>
      <w:r w:rsidRPr="00524D18">
        <w:t>As was the case for the previous year’s APPRs, we found that reports for programs valued at less than $50 million tend to be lower quality than</w:t>
      </w:r>
      <w:r w:rsidR="009944BB">
        <w:t xml:space="preserve"> those for</w:t>
      </w:r>
      <w:r w:rsidRPr="00524D18">
        <w:t xml:space="preserve"> larger programs</w:t>
      </w:r>
      <w:r w:rsidR="00C80908">
        <w:t xml:space="preserve">. </w:t>
      </w:r>
      <w:r w:rsidR="00C80908" w:rsidRPr="00FD570C">
        <w:t>This is</w:t>
      </w:r>
      <w:r w:rsidR="00174367">
        <w:t xml:space="preserve"> likely to be due to </w:t>
      </w:r>
      <w:r w:rsidR="00C80908" w:rsidRPr="00FD570C">
        <w:t xml:space="preserve">smaller programs </w:t>
      </w:r>
      <w:r w:rsidR="00174367">
        <w:t>having</w:t>
      </w:r>
      <w:r w:rsidRPr="00FD570C">
        <w:t xml:space="preserve"> </w:t>
      </w:r>
      <w:r w:rsidR="009944BB" w:rsidRPr="00FD570C">
        <w:t>fewer resources</w:t>
      </w:r>
      <w:r w:rsidRPr="00FD570C">
        <w:t xml:space="preserve"> </w:t>
      </w:r>
      <w:r w:rsidR="009944BB" w:rsidRPr="00FD570C">
        <w:t>to develop</w:t>
      </w:r>
      <w:r w:rsidRPr="00FD570C">
        <w:t xml:space="preserve"> APPRs and underlying performance frameworks.</w:t>
      </w:r>
      <w:r w:rsidR="00C80908" w:rsidRPr="009944BB">
        <w:rPr>
          <w:highlight w:val="yellow"/>
        </w:rPr>
        <w:t xml:space="preserve"> </w:t>
      </w:r>
    </w:p>
    <w:p w:rsidR="00573EC8" w:rsidRDefault="00573EC8" w:rsidP="00573EC8">
      <w:pPr>
        <w:pStyle w:val="Heading3"/>
      </w:pPr>
      <w:r w:rsidRPr="00942A0F">
        <w:t>Most APPRs provide a frank and balanced assessment of performance against their objectives; however, some objectives are not clearly framed</w:t>
      </w:r>
    </w:p>
    <w:p w:rsidR="00573EC8" w:rsidRDefault="00726D20" w:rsidP="00573EC8">
      <w:pPr>
        <w:pStyle w:val="BodyText"/>
      </w:pPr>
      <w:r>
        <w:t>Programs rate progress towards achieving objectives in APPRs.</w:t>
      </w:r>
      <w:r w:rsidRPr="00524D18">
        <w:t xml:space="preserve"> </w:t>
      </w:r>
      <w:r w:rsidR="00573EC8" w:rsidRPr="00524D18">
        <w:t>All APPRs are at least satisfactory in terms of explaining and justifying ratings given against objectives. Eight of the 28 APPRs, how</w:t>
      </w:r>
      <w:r w:rsidR="00796E56">
        <w:t>ever, h</w:t>
      </w:r>
      <w:r w:rsidR="00796E56" w:rsidRPr="00FD570C">
        <w:t>ad one or more objective</w:t>
      </w:r>
      <w:r w:rsidR="00573EC8" w:rsidRPr="00FD570C">
        <w:t xml:space="preserve"> that w</w:t>
      </w:r>
      <w:r w:rsidR="00796E56" w:rsidRPr="00FD570C">
        <w:t>as</w:t>
      </w:r>
      <w:r w:rsidR="00573EC8" w:rsidRPr="00FD570C">
        <w:t xml:space="preserve"> too broad or vague, and it was not clear how performance ratings had been derived. If ratings against objectives are to be used </w:t>
      </w:r>
      <w:r w:rsidR="00FD570C" w:rsidRPr="00FD570C">
        <w:t>as</w:t>
      </w:r>
      <w:r w:rsidR="00573EC8" w:rsidRPr="00FD570C">
        <w:t xml:space="preserve"> ind</w:t>
      </w:r>
      <w:r w:rsidRPr="00FD570C">
        <w:t>icators of program performance</w:t>
      </w:r>
      <w:r w:rsidR="00796E56" w:rsidRPr="00FD570C">
        <w:t>, then</w:t>
      </w:r>
      <w:r w:rsidR="00573EC8" w:rsidRPr="00FD570C">
        <w:t xml:space="preserve"> </w:t>
      </w:r>
      <w:r w:rsidR="00573EC8" w:rsidRPr="00FD570C">
        <w:rPr>
          <w:i/>
        </w:rPr>
        <w:t xml:space="preserve">at </w:t>
      </w:r>
      <w:r w:rsidR="00573EC8" w:rsidRPr="00A95CD0">
        <w:t>minimum</w:t>
      </w:r>
      <w:r w:rsidR="00573EC8" w:rsidRPr="00FD570C">
        <w:t xml:space="preserve"> program objectives should be clear about what is trying to be achieved and the basis on which performance is judged.</w:t>
      </w:r>
    </w:p>
    <w:p w:rsidR="00573EC8" w:rsidRPr="00FD570C" w:rsidRDefault="00573EC8" w:rsidP="00573EC8">
      <w:pPr>
        <w:pStyle w:val="Heading3"/>
      </w:pPr>
      <w:r>
        <w:t xml:space="preserve">If ratings against APPR objectives are used to measure progress over time, there needs to be more stability of objectives and how progress against them </w:t>
      </w:r>
      <w:r w:rsidRPr="00FD570C">
        <w:t>is measured</w:t>
      </w:r>
    </w:p>
    <w:p w:rsidR="00573EC8" w:rsidRPr="00573EC8" w:rsidRDefault="00726D20" w:rsidP="00573EC8">
      <w:pPr>
        <w:pStyle w:val="ListParagraph"/>
        <w:ind w:left="0"/>
      </w:pPr>
      <w:r w:rsidRPr="00FD570C">
        <w:t>Ratings against objectives are also commonly used by the department to indicate changes in aid program performance over time. It is important to understand t</w:t>
      </w:r>
      <w:r w:rsidR="00573EC8" w:rsidRPr="00FD570C">
        <w:t>h</w:t>
      </w:r>
      <w:r w:rsidRPr="00FD570C">
        <w:t>e</w:t>
      </w:r>
      <w:r w:rsidR="00573EC8" w:rsidRPr="00FD570C">
        <w:t xml:space="preserve"> limitations of using these ratings </w:t>
      </w:r>
      <w:r w:rsidRPr="00FD570C">
        <w:t>in this way—</w:t>
      </w:r>
      <w:r w:rsidR="00573EC8" w:rsidRPr="00FD570C">
        <w:t xml:space="preserve">especially given the strengthened </w:t>
      </w:r>
      <w:r w:rsidR="00796E56" w:rsidRPr="00FD570C">
        <w:t xml:space="preserve">policy </w:t>
      </w:r>
      <w:r w:rsidR="00573EC8" w:rsidRPr="00FD570C">
        <w:t xml:space="preserve">emphasis on linking performance with budget allocations. Comparative analysis of the objectives and ratings in 2012–13 and 2013–14 APPRs shows a good deal of change in </w:t>
      </w:r>
      <w:r w:rsidRPr="00FD570C">
        <w:t>the actual</w:t>
      </w:r>
      <w:r w:rsidR="00573EC8" w:rsidRPr="00FD570C">
        <w:t xml:space="preserve"> objectives, and/or the way progress against them is measured, over the two years, which impacts on their comparability.</w:t>
      </w:r>
      <w:r w:rsidR="00573EC8">
        <w:t xml:space="preserve"> </w:t>
      </w:r>
    </w:p>
    <w:p w:rsidR="00524D18" w:rsidRPr="004977AA" w:rsidRDefault="00524D18" w:rsidP="00524D18">
      <w:pPr>
        <w:pStyle w:val="Heading3"/>
        <w:rPr>
          <w:rFonts w:eastAsia="Georgia"/>
        </w:rPr>
      </w:pPr>
      <w:r w:rsidRPr="004977AA">
        <w:rPr>
          <w:rFonts w:eastAsia="Georgia"/>
        </w:rPr>
        <w:t>New elements of APPRs will take time to bed down</w:t>
      </w:r>
    </w:p>
    <w:p w:rsidR="00524D18" w:rsidRPr="00524D18" w:rsidRDefault="00524D18" w:rsidP="00524D18">
      <w:pPr>
        <w:pStyle w:val="ListParagraph"/>
        <w:ind w:left="0"/>
      </w:pPr>
      <w:r w:rsidRPr="00524D18">
        <w:t xml:space="preserve">The introduction of the new performance framework for the Australian aid program added two new elements to APPRs: </w:t>
      </w:r>
      <w:r w:rsidRPr="002C526A">
        <w:rPr>
          <w:i/>
        </w:rPr>
        <w:t>performance benchmarks</w:t>
      </w:r>
      <w:r w:rsidRPr="00524D18">
        <w:t xml:space="preserve"> and </w:t>
      </w:r>
      <w:r w:rsidRPr="002C526A">
        <w:rPr>
          <w:i/>
        </w:rPr>
        <w:t>mutual obligations</w:t>
      </w:r>
      <w:r w:rsidRPr="00524D18">
        <w:t xml:space="preserve">. Both will take time to bed down. The variable quality of the initial performance benchmarks ‘piloted’ in 2013–14 APPRs shows that work is needed for them to become more robust indicators of program performance. With improvement, they could be considered alongside the traffic light ratings in APPRs to help inform assessments of the relative performance of country and regional programs. The new mutual obligations section of APPRs is interpreted differently in different APPRs, which may reflect a lack of clarity in the current APPR guidance on how to approach this </w:t>
      </w:r>
      <w:r w:rsidR="002C526A">
        <w:t>requirement</w:t>
      </w:r>
      <w:r w:rsidRPr="00524D18">
        <w:t>.</w:t>
      </w:r>
    </w:p>
    <w:p w:rsidR="00524D18" w:rsidRDefault="00524D18" w:rsidP="00524D18">
      <w:pPr>
        <w:pStyle w:val="Heading3"/>
      </w:pPr>
      <w:r>
        <w:t>Performance assessment frameworks are important</w:t>
      </w:r>
    </w:p>
    <w:p w:rsidR="00524D18" w:rsidRDefault="007E310E" w:rsidP="00524D18">
      <w:pPr>
        <w:pStyle w:val="ListParagraph"/>
        <w:ind w:left="0"/>
      </w:pPr>
      <w:r>
        <w:t>P</w:t>
      </w:r>
      <w:r w:rsidR="00524D18">
        <w:t>erform</w:t>
      </w:r>
      <w:r>
        <w:t>ance assessment frameworks (PAFs</w:t>
      </w:r>
      <w:r w:rsidR="00524D18">
        <w:t>)</w:t>
      </w:r>
      <w:r>
        <w:t xml:space="preserve"> articulate the logic for how aid interventions will achieve </w:t>
      </w:r>
      <w:r w:rsidR="006F2025">
        <w:t xml:space="preserve">their </w:t>
      </w:r>
      <w:r>
        <w:t>objectives.</w:t>
      </w:r>
      <w:r w:rsidR="006F2025">
        <w:t xml:space="preserve"> They align program objectives with outcomes, indicators and baselines, and thus</w:t>
      </w:r>
      <w:r w:rsidR="004C5183">
        <w:t xml:space="preserve"> facilitate lo</w:t>
      </w:r>
      <w:r w:rsidR="00731DEB">
        <w:t>gi</w:t>
      </w:r>
      <w:r w:rsidR="004C5183">
        <w:t>cal program planning, and</w:t>
      </w:r>
      <w:r w:rsidR="006F2025">
        <w:t xml:space="preserve"> enable tracking of progress toward objec</w:t>
      </w:r>
      <w:r w:rsidR="006F2025" w:rsidRPr="00FD570C">
        <w:t xml:space="preserve">tives. </w:t>
      </w:r>
      <w:r w:rsidR="00524D18" w:rsidRPr="00FD570C">
        <w:t xml:space="preserve">Reinforcing the findings from </w:t>
      </w:r>
      <w:r w:rsidR="00561BD2">
        <w:t>last year’s APPR quality r</w:t>
      </w:r>
      <w:r w:rsidR="006F2025" w:rsidRPr="00FD570C">
        <w:t>eview,</w:t>
      </w:r>
      <w:r w:rsidR="00524D18" w:rsidRPr="00FD570C">
        <w:t xml:space="preserve"> we found that programs with good quality PAFs</w:t>
      </w:r>
      <w:r w:rsidR="00334B19" w:rsidRPr="00FD570C">
        <w:t xml:space="preserve"> are</w:t>
      </w:r>
      <w:r w:rsidR="00524D18" w:rsidRPr="00FD570C">
        <w:t xml:space="preserve"> generally</w:t>
      </w:r>
      <w:r w:rsidR="00334B19" w:rsidRPr="00FD570C">
        <w:t xml:space="preserve"> </w:t>
      </w:r>
      <w:r w:rsidR="004C5183" w:rsidRPr="00FD570C">
        <w:t>more</w:t>
      </w:r>
      <w:r w:rsidR="00334B19" w:rsidRPr="00FD570C">
        <w:t xml:space="preserve"> able </w:t>
      </w:r>
      <w:r w:rsidR="006F2025" w:rsidRPr="00FD570C">
        <w:t>to</w:t>
      </w:r>
      <w:r w:rsidR="00074761" w:rsidRPr="00FD570C">
        <w:t xml:space="preserve"> credibly report on performance</w:t>
      </w:r>
      <w:r w:rsidR="004C5183" w:rsidRPr="00FD570C">
        <w:t xml:space="preserve">—this includes being better able to </w:t>
      </w:r>
      <w:r w:rsidR="00524D18" w:rsidRPr="00FD570C">
        <w:t>set measurable objectives, where it is clear what is trying to be achieved and the basis on which performance is judged; justify ratings against objectives; and identify better sets of performance benchmarks.</w:t>
      </w:r>
      <w:r w:rsidR="00334B19">
        <w:t xml:space="preserve"> </w:t>
      </w:r>
    </w:p>
    <w:p w:rsidR="00721229" w:rsidRPr="00721229" w:rsidRDefault="00721229" w:rsidP="00CB384B">
      <w:pPr>
        <w:pStyle w:val="Heading2"/>
      </w:pPr>
      <w:bookmarkStart w:id="6" w:name="_Toc422326995"/>
      <w:r w:rsidRPr="00721229">
        <w:t>Conclusio</w:t>
      </w:r>
      <w:r>
        <w:t>n</w:t>
      </w:r>
      <w:r w:rsidR="00CB384B">
        <w:t xml:space="preserve"> and recommendation</w:t>
      </w:r>
      <w:bookmarkEnd w:id="6"/>
    </w:p>
    <w:p w:rsidR="00524D18" w:rsidRPr="00524D18" w:rsidRDefault="00524D18" w:rsidP="00524D18">
      <w:pPr>
        <w:pStyle w:val="ListParagraph"/>
        <w:ind w:left="0"/>
        <w:contextualSpacing w:val="0"/>
      </w:pPr>
      <w:r w:rsidRPr="00524D18">
        <w:t>The vast majority of the 28 APPRs</w:t>
      </w:r>
      <w:r w:rsidR="003F5745">
        <w:t xml:space="preserve"> reviewed</w:t>
      </w:r>
      <w:r w:rsidRPr="00524D18">
        <w:t xml:space="preserve"> are satisfactory, good or best practice in the assessment of key quality features, with only two APPRs falling below standard on the discussion of partner contribution. Reports are generally well </w:t>
      </w:r>
      <w:r w:rsidR="00AB459D" w:rsidRPr="00524D18">
        <w:t>written</w:t>
      </w:r>
      <w:r w:rsidR="00AB459D">
        <w:t>,</w:t>
      </w:r>
      <w:r w:rsidR="00AB459D" w:rsidRPr="00524D18">
        <w:t xml:space="preserve"> highly</w:t>
      </w:r>
      <w:r w:rsidRPr="00524D18">
        <w:t xml:space="preserve"> informative</w:t>
      </w:r>
      <w:r w:rsidR="00F11E3A">
        <w:t>,</w:t>
      </w:r>
      <w:r w:rsidRPr="00524D18">
        <w:t xml:space="preserve"> and appear to be used as performance management tools. While a couple of reports paint an overly rosy picture, most provide a frank and balanced assessment of performance. </w:t>
      </w:r>
      <w:r w:rsidR="0023470A">
        <w:t xml:space="preserve">The </w:t>
      </w:r>
      <w:r w:rsidR="00F11E3A">
        <w:t xml:space="preserve">APPRs of smaller programs tend to be of lower quality than </w:t>
      </w:r>
      <w:r w:rsidR="001B50B9">
        <w:t xml:space="preserve">those of </w:t>
      </w:r>
      <w:r w:rsidR="00F11E3A">
        <w:t>larger programs</w:t>
      </w:r>
      <w:r w:rsidR="00174367">
        <w:t>. This is likely to be</w:t>
      </w:r>
      <w:r w:rsidR="00AB459D">
        <w:t xml:space="preserve"> </w:t>
      </w:r>
      <w:r w:rsidR="00174367">
        <w:t>due to smaller programs having</w:t>
      </w:r>
      <w:r w:rsidR="00C17733" w:rsidRPr="00C17733">
        <w:t xml:space="preserve"> fewer resources to </w:t>
      </w:r>
      <w:r w:rsidR="00AB459D" w:rsidRPr="00C17733">
        <w:t>develop APPRs</w:t>
      </w:r>
      <w:r w:rsidR="00174367">
        <w:t xml:space="preserve"> and underlying PAFs.</w:t>
      </w:r>
    </w:p>
    <w:p w:rsidR="00524D18" w:rsidRPr="00524D18" w:rsidRDefault="00524D18" w:rsidP="00524D18">
      <w:pPr>
        <w:pStyle w:val="ListParagraph"/>
        <w:ind w:left="0"/>
        <w:contextualSpacing w:val="0"/>
      </w:pPr>
      <w:r w:rsidRPr="00524D18">
        <w:t xml:space="preserve">A highlight in this year’s APPRs was strong discussion around gender equality issues in most reports. </w:t>
      </w:r>
    </w:p>
    <w:p w:rsidR="00524D18" w:rsidRPr="00524D18" w:rsidRDefault="00524D18" w:rsidP="00524D18">
      <w:pPr>
        <w:pStyle w:val="ListParagraph"/>
        <w:ind w:left="0"/>
        <w:contextualSpacing w:val="0"/>
      </w:pPr>
      <w:r w:rsidRPr="00524D18">
        <w:t>Two persistent issues face some APPRs</w:t>
      </w:r>
      <w:r w:rsidR="00C17733">
        <w:t xml:space="preserve">. The first is that many APPRs do not clearly explain program strategy. </w:t>
      </w:r>
      <w:r w:rsidR="00C17733" w:rsidRPr="00580055">
        <w:t>Aid Investment Plans, due in September 2015, should assist with the articulation of program strategy</w:t>
      </w:r>
      <w:r w:rsidR="00C17733">
        <w:t xml:space="preserve">. The second is that too many of the objectives in APPRs lack clarity. </w:t>
      </w:r>
      <w:r w:rsidRPr="00524D18">
        <w:t>Eight out of the 28 APPRs had at least one objective that was too broad or vague, and/or lacked transparent indicators of progress. Without objectives that are clear and measurable, it is difficult to explain and justify</w:t>
      </w:r>
      <w:r w:rsidR="00AB459D">
        <w:t xml:space="preserve"> ratings of</w:t>
      </w:r>
      <w:r w:rsidRPr="00524D18">
        <w:t xml:space="preserve"> progress against </w:t>
      </w:r>
      <w:r w:rsidR="00AB459D">
        <w:t xml:space="preserve">program </w:t>
      </w:r>
      <w:r w:rsidRPr="00524D18">
        <w:t xml:space="preserve">objectives. It also limits the capacity of APPRs to provide meaningful insight into the </w:t>
      </w:r>
      <w:r w:rsidRPr="00324D90">
        <w:t xml:space="preserve">relative </w:t>
      </w:r>
      <w:r w:rsidRPr="00524D18">
        <w:t>performance of country and regional programs.</w:t>
      </w:r>
    </w:p>
    <w:p w:rsidR="00524D18" w:rsidRDefault="00524D18" w:rsidP="00524D18">
      <w:pPr>
        <w:pStyle w:val="ListParagraph"/>
        <w:ind w:left="0"/>
        <w:contextualSpacing w:val="0"/>
      </w:pPr>
      <w:r w:rsidRPr="00524D18">
        <w:t xml:space="preserve">Any assessments of year-on-year changes in program performance </w:t>
      </w:r>
      <w:r w:rsidR="00AB459D">
        <w:t>based on</w:t>
      </w:r>
      <w:r w:rsidRPr="00524D18">
        <w:t xml:space="preserve"> APPR ratings should take into account changes in APPR objectives, and the way progress against them is measured. Our comparative analysis of the objectives and ratings in 2012–13 and 2013–14 APPRs demonstrates that there has been significant movement in the objectives</w:t>
      </w:r>
      <w:r w:rsidR="00AB459D">
        <w:t xml:space="preserve"> of some programs</w:t>
      </w:r>
      <w:r w:rsidRPr="00524D18">
        <w:t xml:space="preserve"> between the two years. Programs change, and get better at assessing performance; hence</w:t>
      </w:r>
      <w:r w:rsidR="001B50B9">
        <w:t>,</w:t>
      </w:r>
      <w:r w:rsidRPr="00524D18">
        <w:t xml:space="preserve"> some changes to ob</w:t>
      </w:r>
      <w:r w:rsidR="002E7D18">
        <w:t>jectives and their indicators are</w:t>
      </w:r>
      <w:r w:rsidRPr="00524D18">
        <w:t xml:space="preserve"> inevitable. Nonetheless</w:t>
      </w:r>
      <w:r w:rsidR="001B50B9">
        <w:t>,</w:t>
      </w:r>
      <w:r w:rsidRPr="00524D18">
        <w:t xml:space="preserve"> </w:t>
      </w:r>
      <w:r w:rsidR="00324D90">
        <w:t xml:space="preserve">if </w:t>
      </w:r>
      <w:r w:rsidRPr="00524D18">
        <w:t xml:space="preserve">the department wishes to strengthen </w:t>
      </w:r>
      <w:r w:rsidR="00210BEE">
        <w:t xml:space="preserve">the capacity of APPRs </w:t>
      </w:r>
      <w:r w:rsidRPr="00524D18">
        <w:t>to measure performance over time, country and regional programs should</w:t>
      </w:r>
      <w:r w:rsidR="007C6001">
        <w:t>—to the extent possible—</w:t>
      </w:r>
      <w:r w:rsidRPr="00524D18">
        <w:t xml:space="preserve">ensure stability of objectives, and indicators from </w:t>
      </w:r>
      <w:r w:rsidR="001B50B9">
        <w:t>year to year</w:t>
      </w:r>
      <w:r w:rsidR="001B50B9" w:rsidRPr="00524D18">
        <w:t xml:space="preserve"> </w:t>
      </w:r>
      <w:r w:rsidR="00324D90">
        <w:t>(</w:t>
      </w:r>
      <w:r w:rsidRPr="00524D18">
        <w:t>including transparency of how progress against them is measured).</w:t>
      </w:r>
    </w:p>
    <w:p w:rsidR="003F5745" w:rsidRDefault="003F5745" w:rsidP="007E77B1">
      <w:pPr>
        <w:pStyle w:val="BodyText"/>
        <w:rPr>
          <w:noProof/>
        </w:rPr>
      </w:pPr>
      <w:r w:rsidRPr="007E77B1">
        <w:rPr>
          <w:noProof/>
        </w:rPr>
        <w:t>T</w:t>
      </w:r>
      <w:r w:rsidR="00AE3448">
        <w:rPr>
          <w:noProof/>
        </w:rPr>
        <w:t>he new aid performance framework requires</w:t>
      </w:r>
      <w:r w:rsidRPr="007E77B1">
        <w:rPr>
          <w:noProof/>
        </w:rPr>
        <w:t xml:space="preserve"> </w:t>
      </w:r>
      <w:r w:rsidR="00AE3448">
        <w:rPr>
          <w:noProof/>
        </w:rPr>
        <w:t>that country and regional programs set performance benchmarks to assess progress toward objectives. The 2013–14 APPRs included ‘pilot’ benchmarks to assess performance in 2014–15</w:t>
      </w:r>
      <w:r w:rsidR="00ED47B4">
        <w:rPr>
          <w:noProof/>
        </w:rPr>
        <w:t>.</w:t>
      </w:r>
      <w:r w:rsidR="00AE3448">
        <w:rPr>
          <w:noProof/>
        </w:rPr>
        <w:t xml:space="preserve"> </w:t>
      </w:r>
      <w:r w:rsidR="007E77B1" w:rsidRPr="007E77B1">
        <w:rPr>
          <w:noProof/>
        </w:rPr>
        <w:t>DFAT</w:t>
      </w:r>
      <w:r w:rsidRPr="007E77B1">
        <w:rPr>
          <w:noProof/>
        </w:rPr>
        <w:t xml:space="preserve"> intends to use </w:t>
      </w:r>
      <w:r w:rsidR="003A5CE1">
        <w:rPr>
          <w:noProof/>
        </w:rPr>
        <w:t>measures of</w:t>
      </w:r>
      <w:r w:rsidRPr="007E77B1">
        <w:rPr>
          <w:noProof/>
        </w:rPr>
        <w:t xml:space="preserve"> progress against performance benchmarks</w:t>
      </w:r>
      <w:r w:rsidR="007E77B1" w:rsidRPr="007E77B1">
        <w:rPr>
          <w:noProof/>
        </w:rPr>
        <w:t xml:space="preserve"> </w:t>
      </w:r>
      <w:r w:rsidRPr="007E77B1">
        <w:rPr>
          <w:noProof/>
        </w:rPr>
        <w:t>to inform annual budget allocations, so it is important that they are robust performance indicators</w:t>
      </w:r>
      <w:r w:rsidR="007E77B1" w:rsidRPr="007E77B1">
        <w:t xml:space="preserve">. </w:t>
      </w:r>
      <w:r w:rsidR="007E77B1" w:rsidRPr="007E77B1">
        <w:rPr>
          <w:noProof/>
        </w:rPr>
        <w:t>ODE consider</w:t>
      </w:r>
      <w:r w:rsidR="007E77B1">
        <w:rPr>
          <w:noProof/>
        </w:rPr>
        <w:t>s</w:t>
      </w:r>
      <w:r w:rsidR="007E77B1" w:rsidRPr="007E77B1">
        <w:rPr>
          <w:noProof/>
        </w:rPr>
        <w:t xml:space="preserve"> that</w:t>
      </w:r>
      <w:r w:rsidR="009718E1">
        <w:rPr>
          <w:noProof/>
        </w:rPr>
        <w:t xml:space="preserve"> with improvement, the</w:t>
      </w:r>
      <w:r w:rsidR="007E77B1" w:rsidRPr="007E77B1">
        <w:rPr>
          <w:noProof/>
        </w:rPr>
        <w:t xml:space="preserve"> performance benchmarks can play </w:t>
      </w:r>
      <w:r w:rsidR="007E77B1" w:rsidRPr="00ED47B4">
        <w:rPr>
          <w:noProof/>
        </w:rPr>
        <w:t>a role</w:t>
      </w:r>
      <w:r w:rsidR="007E77B1" w:rsidRPr="007E77B1">
        <w:rPr>
          <w:i/>
          <w:noProof/>
        </w:rPr>
        <w:t xml:space="preserve"> </w:t>
      </w:r>
      <w:r w:rsidR="007E77B1" w:rsidRPr="007E77B1">
        <w:rPr>
          <w:noProof/>
        </w:rPr>
        <w:t xml:space="preserve">in assessing program </w:t>
      </w:r>
      <w:r w:rsidR="009718E1">
        <w:rPr>
          <w:noProof/>
        </w:rPr>
        <w:t>performance—</w:t>
      </w:r>
      <w:r w:rsidR="007E77B1" w:rsidRPr="007E77B1">
        <w:rPr>
          <w:noProof/>
        </w:rPr>
        <w:t>but that the benchmarks alone will not enable the most credible assessment</w:t>
      </w:r>
      <w:r w:rsidR="007E77B1">
        <w:rPr>
          <w:noProof/>
        </w:rPr>
        <w:t xml:space="preserve">. </w:t>
      </w:r>
      <w:r w:rsidR="005C644F">
        <w:rPr>
          <w:noProof/>
        </w:rPr>
        <w:t xml:space="preserve">In </w:t>
      </w:r>
      <w:r w:rsidR="00AE3448">
        <w:rPr>
          <w:noProof/>
        </w:rPr>
        <w:t>ODE</w:t>
      </w:r>
      <w:r w:rsidR="005C644F">
        <w:rPr>
          <w:noProof/>
        </w:rPr>
        <w:t>’s view, the</w:t>
      </w:r>
      <w:r w:rsidR="00AE3448">
        <w:rPr>
          <w:noProof/>
        </w:rPr>
        <w:t xml:space="preserve"> </w:t>
      </w:r>
      <w:r w:rsidR="007E77B1" w:rsidRPr="007E77B1">
        <w:rPr>
          <w:noProof/>
        </w:rPr>
        <w:t>benchmarks</w:t>
      </w:r>
      <w:r w:rsidR="00AE3448">
        <w:rPr>
          <w:noProof/>
        </w:rPr>
        <w:t xml:space="preserve"> should be used</w:t>
      </w:r>
      <w:r w:rsidR="007E77B1" w:rsidRPr="007E77B1">
        <w:rPr>
          <w:noProof/>
        </w:rPr>
        <w:t xml:space="preserve"> in combination with other measures, </w:t>
      </w:r>
      <w:r w:rsidR="00AE3448">
        <w:rPr>
          <w:noProof/>
        </w:rPr>
        <w:t>especially</w:t>
      </w:r>
      <w:r w:rsidR="007E77B1" w:rsidRPr="007E77B1">
        <w:rPr>
          <w:noProof/>
        </w:rPr>
        <w:t xml:space="preserve"> APPR ‘traffic light’ ratings, to inform assessments of program performance.</w:t>
      </w:r>
      <w:r w:rsidR="007E77B1" w:rsidRPr="00FB3B27">
        <w:rPr>
          <w:noProof/>
        </w:rPr>
        <w:t xml:space="preserve"> </w:t>
      </w:r>
    </w:p>
    <w:p w:rsidR="00524D18" w:rsidRDefault="007E77B1" w:rsidP="007E77B1">
      <w:pPr>
        <w:pStyle w:val="BodyText"/>
        <w:rPr>
          <w:noProof/>
        </w:rPr>
      </w:pPr>
      <w:r>
        <w:rPr>
          <w:noProof/>
        </w:rPr>
        <w:t xml:space="preserve">Both </w:t>
      </w:r>
      <w:r w:rsidR="00524D18" w:rsidRPr="00324D90">
        <w:t xml:space="preserve">this and last year’s </w:t>
      </w:r>
      <w:r w:rsidR="00561BD2">
        <w:t>q</w:t>
      </w:r>
      <w:r w:rsidR="004813F0">
        <w:t>ualit</w:t>
      </w:r>
      <w:r w:rsidR="00561BD2">
        <w:t>y r</w:t>
      </w:r>
      <w:r w:rsidR="004813F0">
        <w:t>eview</w:t>
      </w:r>
      <w:r w:rsidR="00524D18" w:rsidRPr="00324D90">
        <w:t xml:space="preserve">s of APPRs demonstrate that the </w:t>
      </w:r>
      <w:r w:rsidR="00CB415E" w:rsidRPr="00324D90">
        <w:t>credibility</w:t>
      </w:r>
      <w:r w:rsidR="00524D18" w:rsidRPr="00324D90">
        <w:t xml:space="preserve"> of APPRs’ assessment of program performance is enhanced when programs can draw on good quality PAFs. </w:t>
      </w:r>
      <w:r w:rsidR="00324D90" w:rsidRPr="00324D90">
        <w:t xml:space="preserve">Currently </w:t>
      </w:r>
      <w:r w:rsidR="007C6001" w:rsidRPr="00324D90">
        <w:t>PAFs are no</w:t>
      </w:r>
      <w:r w:rsidR="00324D90" w:rsidRPr="00324D90">
        <w:t>t</w:t>
      </w:r>
      <w:r w:rsidR="007C6001" w:rsidRPr="00324D90">
        <w:t xml:space="preserve"> required for programs valued at less than $50 million</w:t>
      </w:r>
      <w:r w:rsidR="00665AC1" w:rsidRPr="00324D90">
        <w:t xml:space="preserve">. </w:t>
      </w:r>
      <w:r w:rsidR="00324D90">
        <w:t>ODE considers PAFs should be required for all programs that produce APPRs.</w:t>
      </w:r>
    </w:p>
    <w:p w:rsidR="00665AC1" w:rsidRPr="00524D18" w:rsidRDefault="00665AC1" w:rsidP="00524D18">
      <w:pPr>
        <w:pStyle w:val="ListParagraph"/>
        <w:ind w:left="0"/>
        <w:contextualSpacing w:val="0"/>
      </w:pPr>
    </w:p>
    <w:p w:rsidR="00524D18" w:rsidRDefault="00524D18" w:rsidP="00C27514">
      <w:pPr>
        <w:pStyle w:val="RecommendationBox"/>
      </w:pPr>
      <w:r>
        <w:t xml:space="preserve">Recommendation </w:t>
      </w:r>
    </w:p>
    <w:p w:rsidR="00524D18" w:rsidRPr="00524D18" w:rsidRDefault="00524D18" w:rsidP="00303A0E">
      <w:pPr>
        <w:pStyle w:val="RecommendationBoxText"/>
      </w:pPr>
      <w:proofErr w:type="gramStart"/>
      <w:r w:rsidRPr="00C27514">
        <w:t>All country and regional programs</w:t>
      </w:r>
      <w:r w:rsidR="005C644F">
        <w:t xml:space="preserve"> </w:t>
      </w:r>
      <w:r w:rsidR="00757334">
        <w:t>that</w:t>
      </w:r>
      <w:r w:rsidR="005C644F">
        <w:t xml:space="preserve"> produce APPRs</w:t>
      </w:r>
      <w:r w:rsidRPr="00C27514">
        <w:t xml:space="preserve"> should have, and be supported to develop, high</w:t>
      </w:r>
      <w:r w:rsidR="00074391">
        <w:t>-</w:t>
      </w:r>
      <w:r w:rsidRPr="00C27514">
        <w:t xml:space="preserve">quality </w:t>
      </w:r>
      <w:r w:rsidR="00074391">
        <w:t>p</w:t>
      </w:r>
      <w:r w:rsidRPr="00C27514">
        <w:t xml:space="preserve">erformance </w:t>
      </w:r>
      <w:r w:rsidR="00074391">
        <w:t>a</w:t>
      </w:r>
      <w:r w:rsidRPr="00C27514">
        <w:t xml:space="preserve">ssessment </w:t>
      </w:r>
      <w:r w:rsidR="00074391">
        <w:t>f</w:t>
      </w:r>
      <w:r w:rsidRPr="00C27514">
        <w:t>rameworks as part of their Aid Investment Plans.</w:t>
      </w:r>
      <w:proofErr w:type="gramEnd"/>
      <w:r w:rsidRPr="00C27514">
        <w:t xml:space="preserve"> Program objectives, performance benchmarks and indicators should all </w:t>
      </w:r>
      <w:r w:rsidR="00303A0E">
        <w:t>be drawn from these frameworks.</w:t>
      </w:r>
    </w:p>
    <w:p w:rsidR="008C561D" w:rsidRDefault="00303A0E" w:rsidP="00303A0E">
      <w:pPr>
        <w:pStyle w:val="Heading2"/>
      </w:pPr>
      <w:bookmarkStart w:id="7" w:name="_Toc422326996"/>
      <w:r>
        <w:t>DFAT response to recommendation</w:t>
      </w:r>
      <w:bookmarkEnd w:id="7"/>
    </w:p>
    <w:p w:rsidR="00FC7E26" w:rsidRPr="00303A0E" w:rsidRDefault="00FC7E26" w:rsidP="00303A0E">
      <w:pPr>
        <w:pStyle w:val="ListParagraph"/>
        <w:ind w:left="0"/>
        <w:contextualSpacing w:val="0"/>
      </w:pPr>
      <w:proofErr w:type="gramStart"/>
      <w:r w:rsidRPr="00303A0E">
        <w:t>No</w:t>
      </w:r>
      <w:r w:rsidR="00525996">
        <w:t>ted.</w:t>
      </w:r>
      <w:proofErr w:type="gramEnd"/>
      <w:r w:rsidRPr="00303A0E">
        <w:t xml:space="preserve"> DFAT recognises the importance of APPRs providing evidence-based assessments of program perf</w:t>
      </w:r>
      <w:r w:rsidR="00525996">
        <w:t>ormance against AIP objectives.</w:t>
      </w:r>
      <w:r w:rsidRPr="00303A0E">
        <w:t xml:space="preserve"> AIP and APPR processes have been streamlined since the 2014 </w:t>
      </w:r>
      <w:r w:rsidR="004813F0">
        <w:t>Quality Review</w:t>
      </w:r>
      <w:r w:rsidR="00525996">
        <w:t xml:space="preserve"> of APPRs was undertaken.</w:t>
      </w:r>
      <w:r w:rsidRPr="00303A0E">
        <w:t xml:space="preserve"> A more proportional approach is now being applied based on the size and risk profile of the country or region. Performance Assessment Frameworks can be a useful management tool contributing to the identification of performance benchmarks and are a mandatory requirement for programs over $50 million.</w:t>
      </w:r>
    </w:p>
    <w:p w:rsidR="00FC7E26" w:rsidRDefault="00FC7E26" w:rsidP="00593BB5">
      <w:pPr>
        <w:pStyle w:val="BodyText"/>
        <w:sectPr w:rsidR="00FC7E26" w:rsidSect="000957A1">
          <w:footnotePr>
            <w:numFmt w:val="chicago"/>
            <w:numRestart w:val="eachPage"/>
          </w:footnotePr>
          <w:endnotePr>
            <w:numFmt w:val="decimal"/>
          </w:endnotePr>
          <w:type w:val="continuous"/>
          <w:pgSz w:w="11907" w:h="16840" w:code="9"/>
          <w:pgMar w:top="1072" w:right="1701" w:bottom="907" w:left="1701" w:header="851" w:footer="567" w:gutter="0"/>
          <w:pgNumType w:start="1"/>
          <w:cols w:space="720"/>
          <w:docGrid w:linePitch="326"/>
        </w:sectPr>
      </w:pPr>
    </w:p>
    <w:bookmarkStart w:id="8" w:name="_Toc422326997"/>
    <w:bookmarkStart w:id="9" w:name="_Toc373853205"/>
    <w:p w:rsidR="00F4368C" w:rsidRDefault="0031311B" w:rsidP="00E75545">
      <w:pPr>
        <w:pStyle w:val="Heading1b"/>
      </w:pPr>
      <w:r>
        <w:rPr>
          <w:noProof/>
        </w:rPr>
        <mc:AlternateContent>
          <mc:Choice Requires="wps">
            <w:drawing>
              <wp:anchor distT="0" distB="0" distL="114300" distR="114300" simplePos="0" relativeHeight="251705344" behindDoc="1" locked="0" layoutInCell="1" allowOverlap="1" wp14:anchorId="1A55B16A" wp14:editId="6483E993">
                <wp:simplePos x="0" y="0"/>
                <wp:positionH relativeFrom="page">
                  <wp:posOffset>-4445</wp:posOffset>
                </wp:positionH>
                <wp:positionV relativeFrom="paragraph">
                  <wp:posOffset>-170180</wp:posOffset>
                </wp:positionV>
                <wp:extent cx="7610475" cy="118364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118364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13F0" w:rsidRPr="00F17D22" w:rsidRDefault="004813F0" w:rsidP="00E75545">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pt;margin-top:-13.4pt;width:599.25pt;height:93.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" fillcolor="#124486" stroked="f" strokeweight="2pt">
                <v:path arrowok="t"/>
                <v:textbox>
                  <w:txbxContent>
                    <w:p w:rsidR="004813F0" w:rsidRPr="00F17D22" w:rsidRDefault="004813F0" w:rsidP="00E75545">
                      <w:pPr>
                        <w:pStyle w:val="Heading1"/>
                      </w:pPr>
                    </w:p>
                  </w:txbxContent>
                </v:textbox>
                <w10:wrap anchorx="page"/>
              </v:rect>
            </w:pict>
          </mc:Fallback>
        </mc:AlternateContent>
      </w:r>
      <w:r w:rsidR="00891AEF">
        <w:t>1</w:t>
      </w:r>
      <w:r w:rsidR="00891AEF">
        <w:tab/>
      </w:r>
      <w:r w:rsidR="0021205F" w:rsidRPr="00B256FF">
        <w:t>Introduction</w:t>
      </w:r>
      <w:bookmarkEnd w:id="8"/>
    </w:p>
    <w:p w:rsidR="0021205F" w:rsidRPr="00B256FF" w:rsidRDefault="0021205F" w:rsidP="0021205F">
      <w:pPr>
        <w:pStyle w:val="Heading2"/>
      </w:pPr>
      <w:bookmarkStart w:id="10" w:name="_Toc403836171"/>
      <w:bookmarkStart w:id="11" w:name="_Toc416250713"/>
      <w:bookmarkStart w:id="12" w:name="_Toc422326998"/>
      <w:bookmarkEnd w:id="9"/>
      <w:r w:rsidRPr="00B256FF">
        <w:t>1.1</w:t>
      </w:r>
      <w:r w:rsidRPr="00B256FF">
        <w:tab/>
      </w:r>
      <w:bookmarkEnd w:id="10"/>
      <w:r w:rsidRPr="00B256FF">
        <w:t>Aid Program Performance Reports</w:t>
      </w:r>
      <w:bookmarkEnd w:id="11"/>
      <w:bookmarkEnd w:id="12"/>
    </w:p>
    <w:p w:rsidR="0021205F" w:rsidRPr="00B256FF" w:rsidRDefault="0021205F" w:rsidP="00A50879">
      <w:pPr>
        <w:pStyle w:val="BodyText"/>
        <w:rPr>
          <w:noProof/>
        </w:rPr>
      </w:pPr>
      <w:r w:rsidRPr="00B256FF">
        <w:rPr>
          <w:noProof/>
        </w:rPr>
        <w:t xml:space="preserve">Aid Program Performance Reports (APPRs) are a critical part of DFAT’s aid performance assessment system. Introduced in 2007, they annually assess the performance of country and regional programs against their objectives. In this way, they help the aid program to track its contribution to country and regional-level changes. APPRs are the only mechanism that take a whole-of-aid view of bilateral and regional programs (i.e. </w:t>
      </w:r>
      <w:r w:rsidR="00902382">
        <w:rPr>
          <w:noProof/>
        </w:rPr>
        <w:t>Official Development Assistance</w:t>
      </w:r>
      <w:r w:rsidRPr="00B256FF">
        <w:rPr>
          <w:noProof/>
        </w:rPr>
        <w:t xml:space="preserve"> delivered by all Australian Government departments, not just DFAT). </w:t>
      </w:r>
    </w:p>
    <w:p w:rsidR="0021205F" w:rsidRPr="00B256FF" w:rsidRDefault="0021205F" w:rsidP="0021205F">
      <w:pPr>
        <w:pStyle w:val="BodyText"/>
        <w:rPr>
          <w:noProof/>
        </w:rPr>
      </w:pPr>
      <w:r w:rsidRPr="00B256FF">
        <w:rPr>
          <w:noProof/>
        </w:rPr>
        <w:t xml:space="preserve">APPRs serve three main purposes: strengthening program management and effectiveness; </w:t>
      </w:r>
      <w:r>
        <w:rPr>
          <w:noProof/>
        </w:rPr>
        <w:t xml:space="preserve">ensuring </w:t>
      </w:r>
      <w:r w:rsidRPr="00B256FF">
        <w:rPr>
          <w:noProof/>
        </w:rPr>
        <w:t xml:space="preserve">accountability; and facilitating dialogue with development partners. </w:t>
      </w:r>
    </w:p>
    <w:p w:rsidR="0021205F" w:rsidRPr="00B256FF" w:rsidRDefault="0021205F" w:rsidP="0021205F">
      <w:pPr>
        <w:pStyle w:val="BodyText"/>
        <w:rPr>
          <w:noProof/>
        </w:rPr>
      </w:pPr>
      <w:r w:rsidRPr="00B256FF">
        <w:rPr>
          <w:noProof/>
        </w:rPr>
        <w:t>APPRs provide an opportunity for programs to not only reflect on how they are progressing towards their objectives, but also have their assessment of program performance tested by peers. Sector specialists, program and quality managers and advisers, joined on some occasions by representatives from whole-of-government partners, read the draft APPRs and provide written and verbal feedback through the peer review process. APPRs are published and so contribute to the transparency and accountability of Australia’s aid program.</w:t>
      </w:r>
    </w:p>
    <w:p w:rsidR="0021205F" w:rsidRPr="00B256FF" w:rsidRDefault="0021205F" w:rsidP="0021205F">
      <w:pPr>
        <w:pStyle w:val="BodyText"/>
        <w:rPr>
          <w:noProof/>
        </w:rPr>
      </w:pPr>
      <w:r w:rsidRPr="00B256FF">
        <w:rPr>
          <w:noProof/>
        </w:rPr>
        <w:t>Finally, APPRs are a key reporting link between Aid Quality Checks (until recently</w:t>
      </w:r>
      <w:r w:rsidR="00D81B03">
        <w:rPr>
          <w:noProof/>
        </w:rPr>
        <w:t xml:space="preserve"> these</w:t>
      </w:r>
      <w:r w:rsidRPr="00B256FF">
        <w:rPr>
          <w:noProof/>
        </w:rPr>
        <w:t xml:space="preserve"> were named Quality at Implementation </w:t>
      </w:r>
      <w:r>
        <w:rPr>
          <w:noProof/>
        </w:rPr>
        <w:t>R</w:t>
      </w:r>
      <w:r w:rsidRPr="00B256FF">
        <w:rPr>
          <w:noProof/>
        </w:rPr>
        <w:t>eports), which report at the investment (project) level</w:t>
      </w:r>
      <w:r>
        <w:rPr>
          <w:noProof/>
        </w:rPr>
        <w:t xml:space="preserve">, </w:t>
      </w:r>
      <w:r w:rsidRPr="00B256FF">
        <w:rPr>
          <w:noProof/>
        </w:rPr>
        <w:t>and whole-of-aid program reporting. Drawing on the information contained in APPRs enables DFAT senior management and the Australian Government to understand how the aid program is delivering on its objectives. This can inform decisions on significant shifts in country</w:t>
      </w:r>
      <w:r>
        <w:rPr>
          <w:noProof/>
        </w:rPr>
        <w:t xml:space="preserve"> or </w:t>
      </w:r>
      <w:r w:rsidRPr="00B256FF">
        <w:rPr>
          <w:noProof/>
        </w:rPr>
        <w:t>regional strategies and associated allocation of resources.</w:t>
      </w:r>
    </w:p>
    <w:p w:rsidR="0021205F" w:rsidRPr="00B256FF" w:rsidRDefault="0021205F" w:rsidP="0021205F">
      <w:pPr>
        <w:pStyle w:val="Heading3"/>
        <w:rPr>
          <w:noProof/>
        </w:rPr>
      </w:pPr>
      <w:r w:rsidRPr="00B256FF">
        <w:rPr>
          <w:noProof/>
        </w:rPr>
        <w:t>Role of the Office of Development Effectiveness in reviewing APPRs</w:t>
      </w:r>
    </w:p>
    <w:p w:rsidR="0021205F" w:rsidRPr="00B256FF" w:rsidRDefault="0021205F" w:rsidP="0021205F">
      <w:pPr>
        <w:pStyle w:val="BodyText"/>
        <w:rPr>
          <w:noProof/>
        </w:rPr>
      </w:pPr>
      <w:r w:rsidRPr="00B256FF">
        <w:rPr>
          <w:noProof/>
        </w:rPr>
        <w:t xml:space="preserve">The Office of Development Effectiveness (ODE) provides independent oversight of departmental performance reporting. As part of this role, ODE has carried out </w:t>
      </w:r>
      <w:r w:rsidR="00561BD2">
        <w:rPr>
          <w:noProof/>
        </w:rPr>
        <w:t>Quality review</w:t>
      </w:r>
      <w:r w:rsidRPr="00B256FF">
        <w:rPr>
          <w:noProof/>
        </w:rPr>
        <w:t xml:space="preserve">s of APPRs every year since </w:t>
      </w:r>
      <w:r w:rsidR="00D81B03">
        <w:rPr>
          <w:noProof/>
        </w:rPr>
        <w:t>they</w:t>
      </w:r>
      <w:r w:rsidRPr="00B256FF">
        <w:rPr>
          <w:noProof/>
        </w:rPr>
        <w:t xml:space="preserve"> were introduced in 2008. These</w:t>
      </w:r>
      <w:r w:rsidR="00D81B03">
        <w:rPr>
          <w:noProof/>
        </w:rPr>
        <w:t xml:space="preserve"> reviews</w:t>
      </w:r>
      <w:r w:rsidRPr="00B256FF">
        <w:rPr>
          <w:noProof/>
        </w:rPr>
        <w:t xml:space="preserve"> examine the quality of APPRs and highlight strengths and opportunities for improvement. </w:t>
      </w:r>
      <w:r>
        <w:rPr>
          <w:noProof/>
        </w:rPr>
        <w:t>ODE’s analysis is submitted to the Independent Eva</w:t>
      </w:r>
      <w:r w:rsidR="008313FF">
        <w:rPr>
          <w:noProof/>
        </w:rPr>
        <w:t>l</w:t>
      </w:r>
      <w:r>
        <w:rPr>
          <w:noProof/>
        </w:rPr>
        <w:t>uation Committee for review, discussion and endorsement.</w:t>
      </w:r>
    </w:p>
    <w:p w:rsidR="0021205F" w:rsidRPr="00B256FF" w:rsidRDefault="0021205F" w:rsidP="0021205F">
      <w:pPr>
        <w:pStyle w:val="Heading2"/>
        <w:rPr>
          <w:noProof/>
        </w:rPr>
      </w:pPr>
      <w:bookmarkStart w:id="13" w:name="_Toc416250714"/>
      <w:bookmarkStart w:id="14" w:name="_Toc422326999"/>
      <w:r w:rsidRPr="00B256FF">
        <w:rPr>
          <w:noProof/>
        </w:rPr>
        <w:t>1.2</w:t>
      </w:r>
      <w:r w:rsidRPr="00B256FF">
        <w:rPr>
          <w:noProof/>
        </w:rPr>
        <w:tab/>
        <w:t>Aid performance management in DFAT</w:t>
      </w:r>
      <w:bookmarkEnd w:id="13"/>
      <w:bookmarkEnd w:id="14"/>
    </w:p>
    <w:p w:rsidR="0021205F" w:rsidRPr="00B256FF" w:rsidRDefault="0021205F" w:rsidP="0021205F">
      <w:pPr>
        <w:pStyle w:val="BodyText"/>
        <w:rPr>
          <w:noProof/>
        </w:rPr>
      </w:pPr>
      <w:r w:rsidRPr="00B256FF">
        <w:rPr>
          <w:noProof/>
        </w:rPr>
        <w:t>The Australian aid performance management system has changed significantly in recent times. This includes the release of a new aid policy</w:t>
      </w:r>
      <w:r w:rsidRPr="00B256FF">
        <w:rPr>
          <w:rStyle w:val="FootnoteReference"/>
          <w:noProof/>
        </w:rPr>
        <w:footnoteReference w:id="7"/>
      </w:r>
      <w:r w:rsidRPr="00B256FF">
        <w:rPr>
          <w:noProof/>
        </w:rPr>
        <w:t xml:space="preserve"> and an accompanying performance framework</w:t>
      </w:r>
      <w:r w:rsidR="003A6280">
        <w:rPr>
          <w:rStyle w:val="FootnoteReference"/>
          <w:noProof/>
        </w:rPr>
        <w:footnoteReference w:id="8"/>
      </w:r>
      <w:r w:rsidRPr="00B256FF">
        <w:rPr>
          <w:noProof/>
        </w:rPr>
        <w:t>in June 2014. The intent of the new framework</w:t>
      </w:r>
      <w:r w:rsidR="003A6280">
        <w:rPr>
          <w:noProof/>
        </w:rPr>
        <w:t xml:space="preserve">, </w:t>
      </w:r>
      <w:r w:rsidR="003A6280">
        <w:rPr>
          <w:i/>
          <w:noProof/>
        </w:rPr>
        <w:t>Making Performance Count</w:t>
      </w:r>
      <w:r w:rsidR="003A6280" w:rsidRPr="003A6280">
        <w:rPr>
          <w:noProof/>
        </w:rPr>
        <w:t>,</w:t>
      </w:r>
      <w:r w:rsidRPr="003A6280">
        <w:rPr>
          <w:noProof/>
        </w:rPr>
        <w:t xml:space="preserve"> </w:t>
      </w:r>
      <w:r w:rsidRPr="00B256FF">
        <w:rPr>
          <w:noProof/>
        </w:rPr>
        <w:t xml:space="preserve">is to streamline aid performance management, </w:t>
      </w:r>
      <w:r>
        <w:rPr>
          <w:noProof/>
        </w:rPr>
        <w:t xml:space="preserve">and </w:t>
      </w:r>
      <w:r w:rsidRPr="00B256FF">
        <w:rPr>
          <w:noProof/>
        </w:rPr>
        <w:t>strengthen the focus on value for money a</w:t>
      </w:r>
      <w:r w:rsidR="00D81B03">
        <w:rPr>
          <w:noProof/>
        </w:rPr>
        <w:t>s well as</w:t>
      </w:r>
      <w:r w:rsidRPr="00B256FF">
        <w:rPr>
          <w:noProof/>
        </w:rPr>
        <w:t xml:space="preserve"> the link between performance and budget decisions. </w:t>
      </w:r>
    </w:p>
    <w:p w:rsidR="0021205F" w:rsidRDefault="00EB5937" w:rsidP="006335F8">
      <w:pPr>
        <w:pStyle w:val="TableandFigureName"/>
        <w:numPr>
          <w:ilvl w:val="0"/>
          <w:numId w:val="0"/>
        </w:numPr>
        <w:tabs>
          <w:tab w:val="clear" w:pos="993"/>
          <w:tab w:val="left" w:pos="1276"/>
        </w:tabs>
      </w:pPr>
      <w:r>
        <w:t>Figure 2</w:t>
      </w:r>
      <w:r w:rsidR="006335F8">
        <w:tab/>
      </w:r>
      <w:r w:rsidR="0021205F" w:rsidRPr="00B256FF">
        <w:t xml:space="preserve">Performance </w:t>
      </w:r>
      <w:proofErr w:type="gramStart"/>
      <w:r w:rsidR="0021205F" w:rsidRPr="00B256FF">
        <w:t>assessment</w:t>
      </w:r>
      <w:proofErr w:type="gramEnd"/>
      <w:r w:rsidR="0021205F" w:rsidRPr="00B256FF">
        <w:t xml:space="preserve"> in the Australian aid program</w:t>
      </w:r>
    </w:p>
    <w:p w:rsidR="00287609" w:rsidRPr="000F08A4" w:rsidRDefault="00287609" w:rsidP="000F08A4">
      <w:r w:rsidRPr="000F08A4">
        <w:rPr>
          <w:noProof/>
        </w:rPr>
        <mc:AlternateContent>
          <mc:Choice Requires="wpc">
            <w:drawing>
              <wp:inline distT="0" distB="0" distL="0" distR="0" wp14:anchorId="26A46E4D" wp14:editId="0D284776">
                <wp:extent cx="5396345" cy="5243945"/>
                <wp:effectExtent l="0" t="0" r="0" b="0"/>
                <wp:docPr id="391" name="Canvas 3" descr="Figure 1 provides information categorised under three questions: At what level is performance assessed? What is performance measured against? And how is performance reported. Answers are also summarised in text below the figure. The 8 assessment criteria against which individual aid investments are rated are: 1) effectiveness; 2) efficiency; 3) relevance; 4) sustainability; 5) monitoring and evaluation; 6) gender equality; 7) risk management; and 8) innovation."/>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8" name="Rectangle 368"/>
                        <wps:cNvSpPr/>
                        <wps:spPr>
                          <a:xfrm>
                            <a:off x="0" y="1656974"/>
                            <a:ext cx="5396345" cy="1872641"/>
                          </a:xfrm>
                          <a:prstGeom prst="rect">
                            <a:avLst/>
                          </a:prstGeom>
                          <a:solidFill>
                            <a:srgbClr val="4BACC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a:off x="0" y="932408"/>
                            <a:ext cx="5396345" cy="636899"/>
                          </a:xfrm>
                          <a:prstGeom prst="rect">
                            <a:avLst/>
                          </a:prstGeom>
                          <a:solidFill>
                            <a:srgbClr val="4BACC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tangle 6"/>
                        <wps:cNvSpPr>
                          <a:spLocks noChangeArrowheads="1"/>
                        </wps:cNvSpPr>
                        <wps:spPr bwMode="auto">
                          <a:xfrm>
                            <a:off x="0" y="472675"/>
                            <a:ext cx="1568455" cy="387552"/>
                          </a:xfrm>
                          <a:prstGeom prst="rect">
                            <a:avLst/>
                          </a:prstGeom>
                          <a:solidFill>
                            <a:srgbClr val="4F81BD">
                              <a:lumMod val="60000"/>
                              <a:lumOff val="40000"/>
                            </a:srgbClr>
                          </a:solidFill>
                          <a:ln>
                            <a:noFill/>
                          </a:ln>
                          <a:effectLst/>
                        </wps:spPr>
                        <wps:txbx>
                          <w:txbxContent>
                            <w:p w:rsidR="004813F0" w:rsidRPr="00E93758" w:rsidRDefault="004813F0" w:rsidP="00E93758">
                              <w:pPr>
                                <w:pStyle w:val="TableHeading1"/>
                                <w:keepNext/>
                                <w:jc w:val="center"/>
                                <w:rPr>
                                  <w:sz w:val="17"/>
                                </w:rPr>
                              </w:pPr>
                              <w:r w:rsidRPr="00E93758">
                                <w:rPr>
                                  <w:sz w:val="17"/>
                                </w:rPr>
                                <w:t>At what level is performance assessed?</w:t>
                              </w:r>
                            </w:p>
                          </w:txbxContent>
                        </wps:txbx>
                        <wps:bodyPr rot="0" vert="horz" wrap="square" lIns="91440" tIns="45720" rIns="91440" bIns="45720" anchor="ctr" anchorCtr="0" upright="1">
                          <a:noAutofit/>
                        </wps:bodyPr>
                      </wps:wsp>
                      <wps:wsp>
                        <wps:cNvPr id="371" name="Rectangle 7"/>
                        <wps:cNvSpPr>
                          <a:spLocks noChangeArrowheads="1"/>
                        </wps:cNvSpPr>
                        <wps:spPr bwMode="auto">
                          <a:xfrm>
                            <a:off x="1652994" y="480374"/>
                            <a:ext cx="1826498" cy="387552"/>
                          </a:xfrm>
                          <a:prstGeom prst="rect">
                            <a:avLst/>
                          </a:prstGeom>
                          <a:solidFill>
                            <a:srgbClr val="4F81BD">
                              <a:lumMod val="60000"/>
                              <a:lumOff val="40000"/>
                            </a:srgbClr>
                          </a:solidFill>
                          <a:ln>
                            <a:noFill/>
                          </a:ln>
                          <a:effectLst/>
                        </wps:spPr>
                        <wps:txbx>
                          <w:txbxContent>
                            <w:p w:rsidR="004813F0" w:rsidRPr="00E93758" w:rsidRDefault="004813F0" w:rsidP="00E93758">
                              <w:pPr>
                                <w:pStyle w:val="TableHeading1"/>
                                <w:keepNext/>
                                <w:jc w:val="center"/>
                                <w:rPr>
                                  <w:sz w:val="17"/>
                                </w:rPr>
                              </w:pPr>
                              <w:r w:rsidRPr="00E93758">
                                <w:rPr>
                                  <w:sz w:val="17"/>
                                </w:rPr>
                                <w:t>What is performance measured against?</w:t>
                              </w:r>
                            </w:p>
                          </w:txbxContent>
                        </wps:txbx>
                        <wps:bodyPr rot="0" vert="horz" wrap="square" lIns="91440" tIns="45720" rIns="91440" bIns="45720" anchor="ctr" anchorCtr="0" upright="1">
                          <a:noAutofit/>
                        </wps:bodyPr>
                      </wps:wsp>
                      <wps:wsp>
                        <wps:cNvPr id="372" name="Rectangle 8"/>
                        <wps:cNvSpPr>
                          <a:spLocks noChangeArrowheads="1"/>
                        </wps:cNvSpPr>
                        <wps:spPr bwMode="auto">
                          <a:xfrm>
                            <a:off x="3593845" y="480356"/>
                            <a:ext cx="1780308" cy="387552"/>
                          </a:xfrm>
                          <a:prstGeom prst="rect">
                            <a:avLst/>
                          </a:prstGeom>
                          <a:solidFill>
                            <a:srgbClr val="4F81BD">
                              <a:lumMod val="60000"/>
                              <a:lumOff val="40000"/>
                            </a:srgbClr>
                          </a:solidFill>
                          <a:ln>
                            <a:noFill/>
                          </a:ln>
                          <a:effectLst/>
                        </wps:spPr>
                        <wps:txbx>
                          <w:txbxContent>
                            <w:p w:rsidR="004813F0" w:rsidRPr="00E93758" w:rsidRDefault="004813F0" w:rsidP="00E93758">
                              <w:pPr>
                                <w:pStyle w:val="TableHeading1"/>
                                <w:keepNext/>
                                <w:jc w:val="center"/>
                                <w:rPr>
                                  <w:sz w:val="17"/>
                                </w:rPr>
                              </w:pPr>
                              <w:r w:rsidRPr="00E93758">
                                <w:rPr>
                                  <w:sz w:val="17"/>
                                </w:rPr>
                                <w:t>How is performance reported?</w:t>
                              </w:r>
                            </w:p>
                          </w:txbxContent>
                        </wps:txbx>
                        <wps:bodyPr rot="0" vert="horz" wrap="square" lIns="91440" tIns="45720" rIns="91440" bIns="45720" anchor="ctr" anchorCtr="0" upright="1">
                          <a:noAutofit/>
                        </wps:bodyPr>
                      </wps:wsp>
                      <wps:wsp>
                        <wps:cNvPr id="373" name="AutoShape 9"/>
                        <wps:cNvSpPr>
                          <a:spLocks noChangeArrowheads="1"/>
                        </wps:cNvSpPr>
                        <wps:spPr bwMode="auto">
                          <a:xfrm>
                            <a:off x="192552" y="953172"/>
                            <a:ext cx="1380866" cy="480774"/>
                          </a:xfrm>
                          <a:prstGeom prst="roundRect">
                            <a:avLst>
                              <a:gd name="adj" fmla="val 16667"/>
                            </a:avLst>
                          </a:prstGeom>
                          <a:solidFill>
                            <a:srgbClr val="4BACC6">
                              <a:lumMod val="40000"/>
                              <a:lumOff val="60000"/>
                            </a:srgbClr>
                          </a:solidFill>
                          <a:ln>
                            <a:noFill/>
                          </a:ln>
                        </wps:spPr>
                        <wps:txbx>
                          <w:txbxContent>
                            <w:p w:rsidR="004813F0" w:rsidRPr="00E93758" w:rsidRDefault="004813F0" w:rsidP="00E93758">
                              <w:pPr>
                                <w:pStyle w:val="TableHeading1"/>
                                <w:keepNext/>
                                <w:rPr>
                                  <w:sz w:val="17"/>
                                </w:rPr>
                              </w:pPr>
                              <w:r w:rsidRPr="00E93758">
                                <w:rPr>
                                  <w:sz w:val="17"/>
                                </w:rPr>
                                <w:t>WHOLE-OF-AID PROGRAM</w:t>
                              </w:r>
                            </w:p>
                          </w:txbxContent>
                        </wps:txbx>
                        <wps:bodyPr rot="0" vert="horz" wrap="square" lIns="91440" tIns="45720" rIns="91440" bIns="45720" anchor="ctr" anchorCtr="0" upright="1">
                          <a:noAutofit/>
                        </wps:bodyPr>
                      </wps:wsp>
                      <wps:wsp>
                        <wps:cNvPr id="374" name="AutoShape 9"/>
                        <wps:cNvSpPr>
                          <a:spLocks noChangeArrowheads="1"/>
                        </wps:cNvSpPr>
                        <wps:spPr bwMode="auto">
                          <a:xfrm>
                            <a:off x="1701485" y="1020300"/>
                            <a:ext cx="1687075" cy="475059"/>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13F0" w:rsidRPr="00683B80" w:rsidRDefault="004813F0" w:rsidP="00E93758">
                              <w:pPr>
                                <w:pStyle w:val="NormalWeb"/>
                                <w:spacing w:before="0" w:beforeAutospacing="0" w:after="0" w:afterAutospacing="0"/>
                                <w:ind w:left="284" w:hanging="284"/>
                                <w:rPr>
                                  <w:sz w:val="22"/>
                                </w:rPr>
                              </w:pPr>
                              <w:r>
                                <w:rPr>
                                  <w:rFonts w:ascii="Franklin Gothic Book" w:hAnsi="Franklin Gothic Book"/>
                                  <w:sz w:val="16"/>
                                  <w:szCs w:val="18"/>
                                </w:rPr>
                                <w:t xml:space="preserve">Development policy priorities and </w:t>
                              </w:r>
                              <w:r w:rsidRPr="00683B80">
                                <w:rPr>
                                  <w:rFonts w:ascii="Franklin Gothic Book" w:hAnsi="Franklin Gothic Book"/>
                                  <w:sz w:val="16"/>
                                  <w:szCs w:val="18"/>
                                </w:rPr>
                                <w:t>10 strategic targets</w:t>
                              </w:r>
                            </w:p>
                          </w:txbxContent>
                        </wps:txbx>
                        <wps:bodyPr rot="0" vert="horz" wrap="square" lIns="91440" tIns="45720" rIns="91440" bIns="45720" anchor="ctr" anchorCtr="0" upright="1">
                          <a:noAutofit/>
                        </wps:bodyPr>
                      </wps:wsp>
                      <wps:wsp>
                        <wps:cNvPr id="375" name="AutoShape 10"/>
                        <wps:cNvSpPr>
                          <a:spLocks noChangeArrowheads="1"/>
                        </wps:cNvSpPr>
                        <wps:spPr bwMode="auto">
                          <a:xfrm>
                            <a:off x="86528" y="1973382"/>
                            <a:ext cx="1368157" cy="598537"/>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13F0" w:rsidRPr="00E93758" w:rsidRDefault="004813F0" w:rsidP="00E93758">
                              <w:pPr>
                                <w:pStyle w:val="NormalWeb"/>
                                <w:spacing w:before="0" w:beforeAutospacing="0" w:after="0" w:afterAutospacing="0"/>
                                <w:rPr>
                                  <w:rFonts w:ascii="Franklin Gothic Book" w:hAnsi="Franklin Gothic Book"/>
                                  <w:sz w:val="16"/>
                                  <w:szCs w:val="18"/>
                                </w:rPr>
                              </w:pPr>
                              <w:r w:rsidRPr="00E93758">
                                <w:rPr>
                                  <w:rFonts w:ascii="Franklin Gothic Book" w:hAnsi="Franklin Gothic Book"/>
                                  <w:sz w:val="16"/>
                                  <w:szCs w:val="18"/>
                                </w:rPr>
                                <w:t>Country and regional aid programs</w:t>
                              </w:r>
                            </w:p>
                          </w:txbxContent>
                        </wps:txbx>
                        <wps:bodyPr rot="0" vert="horz" wrap="square" lIns="91440" tIns="45720" rIns="91440" bIns="45720" anchor="ctr" anchorCtr="0" upright="1">
                          <a:noAutofit/>
                        </wps:bodyPr>
                      </wps:wsp>
                      <wps:wsp>
                        <wps:cNvPr id="376" name="AutoShape 9"/>
                        <wps:cNvSpPr>
                          <a:spLocks noChangeArrowheads="1"/>
                        </wps:cNvSpPr>
                        <wps:spPr bwMode="auto">
                          <a:xfrm>
                            <a:off x="3616036" y="1033168"/>
                            <a:ext cx="1726916" cy="476052"/>
                          </a:xfrm>
                          <a:prstGeom prst="roundRect">
                            <a:avLst>
                              <a:gd name="adj" fmla="val 16667"/>
                            </a:avLst>
                          </a:prstGeom>
                          <a:solidFill>
                            <a:srgbClr val="FFFFFF"/>
                          </a:solidFill>
                          <a:ln w="9525">
                            <a:noFill/>
                            <a:round/>
                            <a:headEnd/>
                            <a:tailEnd/>
                          </a:ln>
                          <a:extLst/>
                        </wps:spPr>
                        <wps:txbx>
                          <w:txbxContent>
                            <w:p w:rsidR="004813F0" w:rsidRPr="00683B80" w:rsidRDefault="004813F0" w:rsidP="00287609">
                              <w:pPr>
                                <w:pStyle w:val="NormalWeb"/>
                                <w:spacing w:before="0" w:beforeAutospacing="0" w:after="0" w:afterAutospacing="0"/>
                                <w:rPr>
                                  <w:sz w:val="22"/>
                                </w:rPr>
                              </w:pPr>
                              <w:r w:rsidRPr="00683B80">
                                <w:rPr>
                                  <w:rFonts w:ascii="Franklin Gothic Book" w:hAnsi="Franklin Gothic Book"/>
                                  <w:sz w:val="16"/>
                                  <w:szCs w:val="18"/>
                                </w:rPr>
                                <w:t xml:space="preserve">Assessed annually and reported in </w:t>
                              </w:r>
                              <w:r w:rsidRPr="00683B80">
                                <w:rPr>
                                  <w:rFonts w:ascii="Franklin Gothic Book" w:hAnsi="Franklin Gothic Book"/>
                                  <w:i/>
                                  <w:sz w:val="16"/>
                                  <w:szCs w:val="18"/>
                                </w:rPr>
                                <w:t xml:space="preserve">Performance of Australian Aid </w:t>
                              </w:r>
                            </w:p>
                          </w:txbxContent>
                        </wps:txbx>
                        <wps:bodyPr rot="0" vert="horz" wrap="square" lIns="90000" tIns="46800" rIns="90000" bIns="46800" anchor="ctr" anchorCtr="0" upright="1">
                          <a:noAutofit/>
                        </wps:bodyPr>
                      </wps:wsp>
                      <wps:wsp>
                        <wps:cNvPr id="377" name="AutoShape 9"/>
                        <wps:cNvSpPr>
                          <a:spLocks noChangeArrowheads="1"/>
                        </wps:cNvSpPr>
                        <wps:spPr bwMode="auto">
                          <a:xfrm>
                            <a:off x="1701995" y="1969457"/>
                            <a:ext cx="1686565" cy="60148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sidRPr="001345D3">
                                <w:rPr>
                                  <w:rFonts w:ascii="Franklin Gothic Book" w:hAnsi="Franklin Gothic Book"/>
                                  <w:sz w:val="16"/>
                                  <w:szCs w:val="18"/>
                                </w:rPr>
                                <w:t>Program objectives, performance benchmarks, mutual obligations</w:t>
                              </w:r>
                            </w:p>
                          </w:txbxContent>
                        </wps:txbx>
                        <wps:bodyPr rot="0" vert="horz" wrap="square" lIns="91440" tIns="45720" rIns="91440" bIns="45720" anchor="ctr" anchorCtr="0" upright="1">
                          <a:noAutofit/>
                        </wps:bodyPr>
                      </wps:wsp>
                      <wpg:wgp>
                        <wpg:cNvPr id="378" name="Group 378"/>
                        <wpg:cNvGrpSpPr/>
                        <wpg:grpSpPr>
                          <a:xfrm>
                            <a:off x="0" y="3611539"/>
                            <a:ext cx="5396345" cy="1473177"/>
                            <a:chOff x="120599" y="3808903"/>
                            <a:chExt cx="5490590" cy="1210977"/>
                          </a:xfrm>
                        </wpg:grpSpPr>
                        <wps:wsp>
                          <wps:cNvPr id="379" name="Rectangle 379"/>
                          <wps:cNvSpPr/>
                          <wps:spPr>
                            <a:xfrm>
                              <a:off x="120599" y="3808903"/>
                              <a:ext cx="5490590" cy="1210977"/>
                            </a:xfrm>
                            <a:prstGeom prst="rect">
                              <a:avLst/>
                            </a:prstGeom>
                            <a:solidFill>
                              <a:srgbClr val="4BACC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AutoShape 11"/>
                          <wps:cNvSpPr>
                            <a:spLocks noChangeArrowheads="1"/>
                          </wps:cNvSpPr>
                          <wps:spPr bwMode="auto">
                            <a:xfrm>
                              <a:off x="173706" y="3864031"/>
                              <a:ext cx="1424274" cy="353436"/>
                            </a:xfrm>
                            <a:prstGeom prst="roundRect">
                              <a:avLst>
                                <a:gd name="adj" fmla="val 16667"/>
                              </a:avLst>
                            </a:prstGeom>
                            <a:solidFill>
                              <a:srgbClr val="4BACC6">
                                <a:lumMod val="40000"/>
                                <a:lumOff val="60000"/>
                              </a:srgbClr>
                            </a:solidFill>
                            <a:ln>
                              <a:noFill/>
                            </a:ln>
                          </wps:spPr>
                          <wps:txbx>
                            <w:txbxContent>
                              <w:p w:rsidR="004813F0" w:rsidRPr="00E93758" w:rsidRDefault="004813F0" w:rsidP="00E93758">
                                <w:pPr>
                                  <w:pStyle w:val="TableHeading1"/>
                                  <w:keepNext/>
                                  <w:rPr>
                                    <w:sz w:val="17"/>
                                  </w:rPr>
                                </w:pPr>
                                <w:r w:rsidRPr="00E93758">
                                  <w:rPr>
                                    <w:sz w:val="17"/>
                                  </w:rPr>
                                  <w:t>INDIVIDUAL AID INVESTMENTS</w:t>
                                </w:r>
                              </w:p>
                            </w:txbxContent>
                          </wps:txbx>
                          <wps:bodyPr rot="0" vert="horz" wrap="square" lIns="91440" tIns="45720" rIns="91440" bIns="45720" anchor="ctr" anchorCtr="0" upright="1">
                            <a:noAutofit/>
                          </wps:bodyPr>
                        </wps:wsp>
                        <wps:wsp>
                          <wps:cNvPr id="381" name="AutoShape 11"/>
                          <wps:cNvSpPr>
                            <a:spLocks noChangeArrowheads="1"/>
                          </wps:cNvSpPr>
                          <wps:spPr bwMode="auto">
                            <a:xfrm>
                              <a:off x="1855909" y="3897982"/>
                              <a:ext cx="1688398" cy="1048974"/>
                            </a:xfrm>
                            <a:prstGeom prst="roundRect">
                              <a:avLst>
                                <a:gd name="adj" fmla="val 10404"/>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13F0" w:rsidRDefault="004813F0" w:rsidP="00287609">
                                <w:pPr>
                                  <w:pStyle w:val="NormalWeb"/>
                                  <w:spacing w:before="0" w:beforeAutospacing="0" w:after="20" w:afterAutospacing="0"/>
                                  <w:rPr>
                                    <w:rFonts w:ascii="Franklin Gothic Book" w:hAnsi="Franklin Gothic Book"/>
                                    <w:sz w:val="16"/>
                                    <w:szCs w:val="18"/>
                                  </w:rPr>
                                </w:pPr>
                                <w:r>
                                  <w:rPr>
                                    <w:rFonts w:ascii="Franklin Gothic Book" w:hAnsi="Franklin Gothic Book"/>
                                    <w:sz w:val="16"/>
                                    <w:szCs w:val="18"/>
                                  </w:rPr>
                                  <w:t>8</w:t>
                                </w:r>
                                <w:r w:rsidRPr="00454108">
                                  <w:rPr>
                                    <w:rFonts w:ascii="Franklin Gothic Book" w:hAnsi="Franklin Gothic Book"/>
                                    <w:sz w:val="16"/>
                                    <w:szCs w:val="18"/>
                                  </w:rPr>
                                  <w:t xml:space="preserve"> </w:t>
                                </w:r>
                                <w:r>
                                  <w:rPr>
                                    <w:rFonts w:ascii="Franklin Gothic Book" w:hAnsi="Franklin Gothic Book"/>
                                    <w:sz w:val="16"/>
                                    <w:szCs w:val="18"/>
                                  </w:rPr>
                                  <w:t xml:space="preserve">assessment criteria: </w:t>
                                </w:r>
                              </w:p>
                              <w:p w:rsidR="004813F0" w:rsidRPr="0035056C" w:rsidRDefault="004813F0" w:rsidP="00287609">
                                <w:pPr>
                                  <w:pStyle w:val="NormalWeb"/>
                                  <w:numPr>
                                    <w:ilvl w:val="0"/>
                                    <w:numId w:val="38"/>
                                  </w:numPr>
                                  <w:spacing w:before="0" w:beforeAutospacing="0" w:after="0" w:afterAutospacing="0"/>
                                  <w:ind w:left="426" w:hanging="284"/>
                                  <w:rPr>
                                    <w:sz w:val="22"/>
                                  </w:rPr>
                                </w:pPr>
                                <w:r w:rsidRPr="00454108">
                                  <w:rPr>
                                    <w:rFonts w:ascii="Franklin Gothic Book" w:hAnsi="Franklin Gothic Book"/>
                                    <w:sz w:val="16"/>
                                    <w:szCs w:val="18"/>
                                  </w:rPr>
                                  <w:t xml:space="preserve">effectiveness </w:t>
                                </w:r>
                              </w:p>
                              <w:p w:rsidR="004813F0" w:rsidRPr="0035056C" w:rsidRDefault="004813F0" w:rsidP="00287609">
                                <w:pPr>
                                  <w:pStyle w:val="NormalWeb"/>
                                  <w:numPr>
                                    <w:ilvl w:val="0"/>
                                    <w:numId w:val="38"/>
                                  </w:numPr>
                                  <w:spacing w:before="0" w:beforeAutospacing="0" w:after="0" w:afterAutospacing="0"/>
                                  <w:ind w:left="426" w:hanging="284"/>
                                  <w:rPr>
                                    <w:sz w:val="22"/>
                                  </w:rPr>
                                </w:pPr>
                                <w:r w:rsidRPr="00454108">
                                  <w:rPr>
                                    <w:rFonts w:ascii="Franklin Gothic Book" w:hAnsi="Franklin Gothic Book"/>
                                    <w:sz w:val="16"/>
                                    <w:szCs w:val="18"/>
                                  </w:rPr>
                                  <w:t>efficiency</w:t>
                                </w:r>
                              </w:p>
                              <w:p w:rsidR="004813F0" w:rsidRPr="0035056C" w:rsidRDefault="004813F0" w:rsidP="00287609">
                                <w:pPr>
                                  <w:pStyle w:val="NormalWeb"/>
                                  <w:numPr>
                                    <w:ilvl w:val="0"/>
                                    <w:numId w:val="38"/>
                                  </w:numPr>
                                  <w:spacing w:before="0" w:beforeAutospacing="0" w:after="0" w:afterAutospacing="0"/>
                                  <w:ind w:left="426" w:hanging="284"/>
                                  <w:rPr>
                                    <w:sz w:val="22"/>
                                  </w:rPr>
                                </w:pPr>
                                <w:r w:rsidRPr="00454108">
                                  <w:rPr>
                                    <w:rFonts w:ascii="Franklin Gothic Book" w:hAnsi="Franklin Gothic Book"/>
                                    <w:sz w:val="16"/>
                                    <w:szCs w:val="18"/>
                                  </w:rPr>
                                  <w:t>relevance</w:t>
                                </w:r>
                              </w:p>
                              <w:p w:rsidR="004813F0" w:rsidRPr="0035056C" w:rsidRDefault="004813F0" w:rsidP="00287609">
                                <w:pPr>
                                  <w:pStyle w:val="NormalWeb"/>
                                  <w:numPr>
                                    <w:ilvl w:val="0"/>
                                    <w:numId w:val="38"/>
                                  </w:numPr>
                                  <w:spacing w:before="0" w:beforeAutospacing="0" w:after="0" w:afterAutospacing="0"/>
                                  <w:ind w:left="426" w:hanging="284"/>
                                  <w:rPr>
                                    <w:sz w:val="22"/>
                                  </w:rPr>
                                </w:pPr>
                                <w:r w:rsidRPr="00454108">
                                  <w:rPr>
                                    <w:rFonts w:ascii="Franklin Gothic Book" w:hAnsi="Franklin Gothic Book"/>
                                    <w:sz w:val="16"/>
                                    <w:szCs w:val="18"/>
                                  </w:rPr>
                                  <w:t>sustainability</w:t>
                                </w:r>
                              </w:p>
                              <w:p w:rsidR="004813F0" w:rsidRPr="0035056C" w:rsidRDefault="004813F0" w:rsidP="00287609">
                                <w:pPr>
                                  <w:pStyle w:val="NormalWeb"/>
                                  <w:numPr>
                                    <w:ilvl w:val="0"/>
                                    <w:numId w:val="38"/>
                                  </w:numPr>
                                  <w:spacing w:before="0" w:beforeAutospacing="0" w:after="0" w:afterAutospacing="0"/>
                                  <w:ind w:left="426" w:hanging="284"/>
                                  <w:rPr>
                                    <w:sz w:val="22"/>
                                  </w:rPr>
                                </w:pPr>
                                <w:r>
                                  <w:rPr>
                                    <w:rFonts w:ascii="Franklin Gothic Book" w:hAnsi="Franklin Gothic Book"/>
                                    <w:sz w:val="16"/>
                                    <w:szCs w:val="18"/>
                                  </w:rPr>
                                  <w:t>monitoring &amp; evaluation</w:t>
                                </w:r>
                              </w:p>
                              <w:p w:rsidR="004813F0" w:rsidRPr="00716F79" w:rsidRDefault="004813F0" w:rsidP="00287609">
                                <w:pPr>
                                  <w:pStyle w:val="NormalWeb"/>
                                  <w:numPr>
                                    <w:ilvl w:val="0"/>
                                    <w:numId w:val="38"/>
                                  </w:numPr>
                                  <w:spacing w:before="0" w:beforeAutospacing="0" w:after="0" w:afterAutospacing="0"/>
                                  <w:ind w:left="426" w:hanging="284"/>
                                  <w:rPr>
                                    <w:sz w:val="22"/>
                                  </w:rPr>
                                </w:pPr>
                                <w:r w:rsidRPr="0035056C">
                                  <w:rPr>
                                    <w:rFonts w:ascii="Franklin Gothic Book" w:hAnsi="Franklin Gothic Book"/>
                                    <w:sz w:val="16"/>
                                    <w:szCs w:val="18"/>
                                  </w:rPr>
                                  <w:t>gender</w:t>
                                </w:r>
                                <w:r>
                                  <w:rPr>
                                    <w:rFonts w:ascii="Franklin Gothic Book" w:hAnsi="Franklin Gothic Book"/>
                                    <w:sz w:val="16"/>
                                    <w:szCs w:val="18"/>
                                  </w:rPr>
                                  <w:t xml:space="preserve"> equality</w:t>
                                </w:r>
                              </w:p>
                              <w:p w:rsidR="004813F0" w:rsidRPr="00716F79" w:rsidRDefault="004813F0" w:rsidP="00287609">
                                <w:pPr>
                                  <w:pStyle w:val="NormalWeb"/>
                                  <w:numPr>
                                    <w:ilvl w:val="0"/>
                                    <w:numId w:val="38"/>
                                  </w:numPr>
                                  <w:spacing w:before="0" w:beforeAutospacing="0" w:after="0" w:afterAutospacing="0"/>
                                  <w:ind w:left="426" w:hanging="284"/>
                                  <w:rPr>
                                    <w:sz w:val="22"/>
                                  </w:rPr>
                                </w:pPr>
                                <w:r>
                                  <w:rPr>
                                    <w:rFonts w:ascii="Franklin Gothic Book" w:hAnsi="Franklin Gothic Book"/>
                                    <w:sz w:val="16"/>
                                    <w:szCs w:val="18"/>
                                  </w:rPr>
                                  <w:t>risk management</w:t>
                                </w:r>
                              </w:p>
                              <w:p w:rsidR="004813F0" w:rsidRPr="0035056C" w:rsidRDefault="004813F0" w:rsidP="00287609">
                                <w:pPr>
                                  <w:pStyle w:val="NormalWeb"/>
                                  <w:numPr>
                                    <w:ilvl w:val="0"/>
                                    <w:numId w:val="38"/>
                                  </w:numPr>
                                  <w:spacing w:before="0" w:beforeAutospacing="0" w:after="0" w:afterAutospacing="0"/>
                                  <w:ind w:left="426" w:hanging="284"/>
                                  <w:rPr>
                                    <w:sz w:val="22"/>
                                  </w:rPr>
                                </w:pPr>
                                <w:r>
                                  <w:rPr>
                                    <w:rFonts w:ascii="Franklin Gothic Book" w:hAnsi="Franklin Gothic Book"/>
                                    <w:sz w:val="16"/>
                                    <w:szCs w:val="18"/>
                                  </w:rPr>
                                  <w:t>innovation</w:t>
                                </w:r>
                              </w:p>
                            </w:txbxContent>
                          </wps:txbx>
                          <wps:bodyPr rot="0" vert="horz" wrap="square" lIns="91440" tIns="45720" rIns="91440" bIns="45720" anchor="t" anchorCtr="0" upright="1">
                            <a:noAutofit/>
                          </wps:bodyPr>
                        </wps:wsp>
                        <wps:wsp>
                          <wps:cNvPr id="382" name="AutoShape 11"/>
                          <wps:cNvSpPr>
                            <a:spLocks noChangeArrowheads="1"/>
                          </wps:cNvSpPr>
                          <wps:spPr bwMode="auto">
                            <a:xfrm>
                              <a:off x="3777209" y="3914881"/>
                              <a:ext cx="1668810" cy="452106"/>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sidRPr="00454108">
                                  <w:rPr>
                                    <w:rFonts w:ascii="Franklin Gothic Book" w:hAnsi="Franklin Gothic Book"/>
                                    <w:sz w:val="16"/>
                                    <w:szCs w:val="18"/>
                                  </w:rPr>
                                  <w:t xml:space="preserve">Assessed annually and reported in </w:t>
                                </w:r>
                                <w:r w:rsidRPr="007636EE">
                                  <w:rPr>
                                    <w:rFonts w:ascii="Franklin Gothic Book" w:hAnsi="Franklin Gothic Book"/>
                                    <w:sz w:val="16"/>
                                    <w:szCs w:val="18"/>
                                  </w:rPr>
                                  <w:t>Aid Quality Checks</w:t>
                                </w:r>
                              </w:p>
                            </w:txbxContent>
                          </wps:txbx>
                          <wps:bodyPr rot="0" vert="horz" wrap="square" lIns="91440" tIns="45720" rIns="91440" bIns="45720" anchor="ctr" anchorCtr="0" upright="1">
                            <a:noAutofit/>
                          </wps:bodyPr>
                        </wps:wsp>
                        <wps:wsp>
                          <wps:cNvPr id="383" name="AutoShape 11"/>
                          <wps:cNvSpPr>
                            <a:spLocks noChangeArrowheads="1"/>
                          </wps:cNvSpPr>
                          <wps:spPr bwMode="auto">
                            <a:xfrm>
                              <a:off x="3777136" y="4445525"/>
                              <a:ext cx="1668860" cy="472834"/>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sidRPr="00454108">
                                  <w:rPr>
                                    <w:rFonts w:ascii="Franklin Gothic Book" w:hAnsi="Franklin Gothic Book"/>
                                    <w:sz w:val="16"/>
                                    <w:szCs w:val="18"/>
                                  </w:rPr>
                                  <w:t xml:space="preserve">Independent evaluation once per life of </w:t>
                                </w:r>
                                <w:r>
                                  <w:rPr>
                                    <w:rFonts w:ascii="Franklin Gothic Book" w:hAnsi="Franklin Gothic Book"/>
                                    <w:sz w:val="16"/>
                                    <w:szCs w:val="18"/>
                                  </w:rPr>
                                  <w:t xml:space="preserve">an </w:t>
                                </w:r>
                                <w:r w:rsidRPr="00454108">
                                  <w:rPr>
                                    <w:rFonts w:ascii="Franklin Gothic Book" w:hAnsi="Franklin Gothic Book"/>
                                    <w:sz w:val="16"/>
                                    <w:szCs w:val="18"/>
                                  </w:rPr>
                                  <w:t>aid investment</w:t>
                                </w:r>
                              </w:p>
                            </w:txbxContent>
                          </wps:txbx>
                          <wps:bodyPr rot="0" vert="horz" wrap="square" lIns="91440" tIns="45720" rIns="91440" bIns="45720" anchor="ctr" anchorCtr="0" upright="1">
                            <a:noAutofit/>
                          </wps:bodyPr>
                        </wps:wsp>
                      </wpg:wgp>
                      <wps:wsp>
                        <wps:cNvPr id="384" name="AutoShape 9"/>
                        <wps:cNvSpPr>
                          <a:spLocks noChangeArrowheads="1"/>
                        </wps:cNvSpPr>
                        <wps:spPr bwMode="auto">
                          <a:xfrm>
                            <a:off x="3616036" y="1977307"/>
                            <a:ext cx="823118" cy="602117"/>
                          </a:xfrm>
                          <a:prstGeom prst="roundRect">
                            <a:avLst>
                              <a:gd name="adj" fmla="val 10319"/>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Pr>
                                  <w:rFonts w:ascii="Franklin Gothic Book" w:hAnsi="Franklin Gothic Book"/>
                                  <w:sz w:val="16"/>
                                  <w:szCs w:val="18"/>
                                </w:rPr>
                                <w:t xml:space="preserve">Annual </w:t>
                              </w:r>
                              <w:r w:rsidRPr="007636EE">
                                <w:rPr>
                                  <w:rFonts w:ascii="Franklin Gothic Book" w:hAnsi="Franklin Gothic Book"/>
                                  <w:sz w:val="16"/>
                                  <w:szCs w:val="18"/>
                                </w:rPr>
                                <w:t>Aid Program Performance Reports</w:t>
                              </w:r>
                            </w:p>
                          </w:txbxContent>
                        </wps:txbx>
                        <wps:bodyPr rot="0" vert="horz" wrap="square" lIns="91440" tIns="45720" rIns="91440" bIns="45720" anchor="ctr" anchorCtr="0" upright="1">
                          <a:noAutofit/>
                        </wps:bodyPr>
                      </wps:wsp>
                      <wps:wsp>
                        <wps:cNvPr id="385" name="AutoShape 10"/>
                        <wps:cNvSpPr>
                          <a:spLocks noChangeArrowheads="1"/>
                        </wps:cNvSpPr>
                        <wps:spPr bwMode="auto">
                          <a:xfrm>
                            <a:off x="86528" y="2682268"/>
                            <a:ext cx="1366932" cy="716093"/>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Pr>
                                  <w:rFonts w:ascii="Franklin Gothic Book" w:hAnsi="Franklin Gothic Book"/>
                                  <w:sz w:val="16"/>
                                  <w:szCs w:val="18"/>
                                </w:rPr>
                                <w:t>Global and other aid programs</w:t>
                              </w:r>
                            </w:p>
                          </w:txbxContent>
                        </wps:txbx>
                        <wps:bodyPr rot="0" vert="horz" wrap="square" lIns="91440" tIns="45720" rIns="91440" bIns="45720" anchor="ctr" anchorCtr="0" upright="1">
                          <a:noAutofit/>
                        </wps:bodyPr>
                      </wps:wsp>
                      <wps:wsp>
                        <wps:cNvPr id="386" name="AutoShape 10"/>
                        <wps:cNvSpPr>
                          <a:spLocks noChangeArrowheads="1"/>
                        </wps:cNvSpPr>
                        <wps:spPr bwMode="auto">
                          <a:xfrm>
                            <a:off x="1701995" y="2681857"/>
                            <a:ext cx="1686738" cy="716504"/>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Pr>
                                  <w:rFonts w:ascii="Franklin Gothic Book" w:hAnsi="Franklin Gothic Book"/>
                                  <w:sz w:val="16"/>
                                  <w:szCs w:val="18"/>
                                </w:rPr>
                                <w:t>Program-specific performance frameworks</w:t>
                              </w:r>
                            </w:p>
                          </w:txbxContent>
                        </wps:txbx>
                        <wps:bodyPr rot="0" vert="horz" wrap="square" lIns="91440" tIns="45720" rIns="91440" bIns="45720" anchor="ctr" anchorCtr="0" upright="1">
                          <a:noAutofit/>
                        </wps:bodyPr>
                      </wps:wsp>
                      <wps:wsp>
                        <wps:cNvPr id="387" name="AutoShape 10"/>
                        <wps:cNvSpPr>
                          <a:spLocks noChangeArrowheads="1"/>
                        </wps:cNvSpPr>
                        <wps:spPr bwMode="auto">
                          <a:xfrm>
                            <a:off x="175898" y="1733570"/>
                            <a:ext cx="1379220" cy="243738"/>
                          </a:xfrm>
                          <a:prstGeom prst="roundRect">
                            <a:avLst>
                              <a:gd name="adj" fmla="val 16667"/>
                            </a:avLst>
                          </a:prstGeom>
                          <a:solidFill>
                            <a:srgbClr val="4BACC6">
                              <a:lumMod val="40000"/>
                              <a:lumOff val="60000"/>
                            </a:srgbClr>
                          </a:solidFill>
                          <a:ln>
                            <a:noFill/>
                          </a:ln>
                          <a:extLst/>
                        </wps:spPr>
                        <wps:txbx>
                          <w:txbxContent>
                            <w:p w:rsidR="004813F0" w:rsidRPr="00E93758" w:rsidRDefault="004813F0" w:rsidP="00E93758">
                              <w:pPr>
                                <w:pStyle w:val="TableHeading1"/>
                                <w:keepNext/>
                                <w:rPr>
                                  <w:sz w:val="17"/>
                                </w:rPr>
                              </w:pPr>
                              <w:r w:rsidRPr="00E93758">
                                <w:rPr>
                                  <w:sz w:val="17"/>
                                </w:rPr>
                                <w:t>PROGRAMS</w:t>
                              </w:r>
                            </w:p>
                          </w:txbxContent>
                        </wps:txbx>
                        <wps:bodyPr rot="0" vert="horz" wrap="square" lIns="91440" tIns="45720" rIns="91440" bIns="45720" anchor="t" anchorCtr="0" upright="1">
                          <a:noAutofit/>
                        </wps:bodyPr>
                      </wps:wsp>
                      <wps:wsp>
                        <wps:cNvPr id="388" name="Rectangle 388"/>
                        <wps:cNvSpPr/>
                        <wps:spPr>
                          <a:xfrm>
                            <a:off x="0" y="45387"/>
                            <a:ext cx="5396345" cy="336639"/>
                          </a:xfrm>
                          <a:prstGeom prst="rect">
                            <a:avLst/>
                          </a:prstGeom>
                          <a:solidFill>
                            <a:srgbClr val="4F81BD"/>
                          </a:solidFill>
                          <a:ln w="25400" cap="flat" cmpd="sng" algn="ctr">
                            <a:noFill/>
                            <a:prstDash val="solid"/>
                          </a:ln>
                          <a:effectLst/>
                        </wps:spPr>
                        <wps:txbx>
                          <w:txbxContent>
                            <w:p w:rsidR="004813F0" w:rsidRPr="00E93758" w:rsidRDefault="004813F0" w:rsidP="00E93758">
                              <w:pPr>
                                <w:pStyle w:val="TableHeading1"/>
                                <w:keepNext/>
                                <w:jc w:val="center"/>
                              </w:pPr>
                              <w:r w:rsidRPr="00E93758">
                                <w:t>How is the performance of the Australian aid program assessed?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AutoShape 9"/>
                        <wps:cNvSpPr>
                          <a:spLocks noChangeArrowheads="1"/>
                        </wps:cNvSpPr>
                        <wps:spPr bwMode="auto">
                          <a:xfrm>
                            <a:off x="4519992" y="1969458"/>
                            <a:ext cx="822960" cy="1402403"/>
                          </a:xfrm>
                          <a:prstGeom prst="roundRect">
                            <a:avLst>
                              <a:gd name="adj" fmla="val 10319"/>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p>
                            <w:p w:rsidR="004813F0" w:rsidRPr="00E93758" w:rsidRDefault="004813F0" w:rsidP="00287609">
                              <w:pPr>
                                <w:pStyle w:val="NormalWeb"/>
                                <w:spacing w:before="0" w:beforeAutospacing="0" w:after="0" w:afterAutospacing="0"/>
                                <w:rPr>
                                  <w:rFonts w:ascii="Franklin Gothic Book" w:hAnsi="Franklin Gothic Book"/>
                                  <w:sz w:val="16"/>
                                  <w:szCs w:val="18"/>
                                </w:rPr>
                              </w:pPr>
                              <w:r w:rsidRPr="00E93758">
                                <w:rPr>
                                  <w:rFonts w:ascii="Franklin Gothic Book" w:hAnsi="Franklin Gothic Book"/>
                                  <w:sz w:val="16"/>
                                  <w:szCs w:val="18"/>
                                </w:rPr>
                                <w:t>Periodic strategic evaluations by Office of Development Effectiveness</w:t>
                              </w:r>
                            </w:p>
                            <w:p w:rsidR="004813F0" w:rsidRPr="00E93758" w:rsidRDefault="004813F0" w:rsidP="00287609">
                              <w:pPr>
                                <w:pStyle w:val="NormalWeb"/>
                                <w:spacing w:before="0" w:beforeAutospacing="0" w:after="0" w:afterAutospacing="0"/>
                                <w:rPr>
                                  <w:rFonts w:ascii="Franklin Gothic Book" w:hAnsi="Franklin Gothic Book"/>
                                  <w:sz w:val="16"/>
                                  <w:szCs w:val="18"/>
                                </w:rPr>
                              </w:pPr>
                            </w:p>
                          </w:txbxContent>
                        </wps:txbx>
                        <wps:bodyPr rot="0" vert="horz" wrap="square" lIns="91440" tIns="45720" rIns="91440" bIns="45720" anchor="ctr" anchorCtr="0" upright="1">
                          <a:noAutofit/>
                        </wps:bodyPr>
                      </wps:wsp>
                      <wps:wsp>
                        <wps:cNvPr id="390" name="AutoShape 9"/>
                        <wps:cNvSpPr>
                          <a:spLocks noChangeArrowheads="1"/>
                        </wps:cNvSpPr>
                        <wps:spPr bwMode="auto">
                          <a:xfrm>
                            <a:off x="3616036" y="2681317"/>
                            <a:ext cx="822960" cy="717044"/>
                          </a:xfrm>
                          <a:prstGeom prst="roundRect">
                            <a:avLst>
                              <a:gd name="adj" fmla="val 10319"/>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sidRPr="00E93758">
                                <w:rPr>
                                  <w:rFonts w:ascii="Franklin Gothic Book" w:hAnsi="Franklin Gothic Book"/>
                                  <w:sz w:val="16"/>
                                  <w:szCs w:val="18"/>
                                </w:rPr>
                                <w:t>Performance assessments of multilateral and other programs</w:t>
                              </w:r>
                            </w:p>
                          </w:txbxContent>
                        </wps:txbx>
                        <wps:bodyPr rot="0" vert="horz" wrap="square" lIns="91440" tIns="45720" rIns="91440" bIns="45720" anchor="ctr" anchorCtr="0" upright="1">
                          <a:noAutofit/>
                        </wps:bodyPr>
                      </wps:wsp>
                    </wpc:wpc>
                  </a:graphicData>
                </a:graphic>
              </wp:inline>
            </w:drawing>
          </mc:Choice>
          <mc:Fallback>
            <w:pict>
              <v:group id="Canvas 3" o:spid="_x0000_s1027" editas="canvas" alt="Figure 1 provides information categorised under three questions: At what level is performance assessed? What is performance measured against? And how is performance reported. Answers are also summarised in text below the figure. The 8 assessment criteria against which individual aid investments are rated are: 1) effectiveness; 2) efficiency; 3) relevance; 4) sustainability; 5) monitoring and evaluation; 6) gender equality; 7) risk management; and 8) innovation." style="width:424.9pt;height:412.9pt;mso-position-horizontal-relative:char;mso-position-vertical-relative:line" coordsize="53962,5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igure 1 provides information categorised under three questions: At what level is performance assessed? What is performance measured against? And how is performance reported. Answers are also summarised in text below the figure. The 8 assessment criteria against which individual aid investments are rated are: 1) effectiveness; 2) efficiency; 3) relevance; 4) sustainability; 5) monitoring and evaluation; 6) gender equality; 7) risk management; and 8) innovation." style="position:absolute;width:53962;height:52438;visibility:visible;mso-wrap-style:square">
                  <v:fill o:detectmouseclick="t"/>
                  <v:path o:connecttype="none"/>
                </v:shape>
                <v:rect id="Rectangle 368" o:spid="_x0000_s1029" style="position:absolute;top:16569;width:53963;height:18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5+b8A&#10;AADcAAAADwAAAGRycy9kb3ducmV2LnhtbERPy4rCMBTdC/5DuII7TVQoUo0yDAiDuPEBurw2d9oy&#10;zU1pMjb+vVkILg/nvd5G24gHdb52rGE2VSCIC2dqLjVczrvJEoQPyAYbx6ThSR62m+FgjblxPR/p&#10;cQqlSCHsc9RQhdDmUvqiIot+6lrixP26zmJIsCul6bBP4baRc6UyabHm1FBhS98VFX+nf6vh0F5v&#10;5JcqRrO3ZX8vlM/mF63Ho/i1AhEoho/47f4xGhZZWpvOpCM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f7n5vwAAANwAAAAPAAAAAAAAAAAAAAAAAJgCAABkcnMvZG93bnJl&#10;di54bWxQSwUGAAAAAAQABAD1AAAAhAMAAAAA&#10;" fillcolor="#b7dee8" stroked="f" strokeweight="2pt"/>
                <v:rect id="Rectangle 369" o:spid="_x0000_s1030" style="position:absolute;top:9324;width:53963;height:6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cYsQA&#10;AADcAAAADwAAAGRycy9kb3ducmV2LnhtbESPwWrDMBBE74X+g9hCbo3UBEziRDalUAghl6aG9Li1&#10;NraptTKWGit/XwUCPQ4z84bZltH24kKj7xxreJkrEMS1Mx03GqrP9+cVCB+QDfaOScOVPJTF48MW&#10;c+Mm/qDLMTQiQdjnqKENYcil9HVLFv3cDcTJO7vRYkhybKQZcUpw28uFUpm02HFaaHGgt5bqn+Ov&#10;1XAYTl/kVypGs7fN9F0rny0qrWdP8XUDIlAM/+F7e2c0LLM13M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zHGLEAAAA3AAAAA8AAAAAAAAAAAAAAAAAmAIAAGRycy9k&#10;b3ducmV2LnhtbFBLBQYAAAAABAAEAPUAAACJAwAAAAA=&#10;" fillcolor="#b7dee8" stroked="f" strokeweight="2pt"/>
                <v:rect id="Rectangle 6" o:spid="_x0000_s1031" style="position:absolute;top:4726;width:15684;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0lcEA&#10;AADcAAAADwAAAGRycy9kb3ducmV2LnhtbERPyWrDMBC9F/IPYgK9NXJiqBMnSjCmhR4KJdt9sCaW&#10;E2tkLNV2/746FHp8vH13mGwrBup941jBcpGAIK6cbrhWcDm/v6xB+ICssXVMCn7Iw2E/e9phrt3I&#10;RxpOoRYxhH2OCkwIXS6lrwxZ9AvXEUfu5nqLIcK+lrrHMYbbVq6S5FVabDg2GOyoNFQ9Tt9WQfbY&#10;JC69l8M1M19Hd6+KN/yslXqeT8UWRKAp/Iv/3B9aQZrF+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p9JXBAAAA3AAAAA8AAAAAAAAAAAAAAAAAmAIAAGRycy9kb3du&#10;cmV2LnhtbFBLBQYAAAAABAAEAPUAAACGAwAAAAA=&#10;" fillcolor="#95b3d7" stroked="f">
                  <v:textbox>
                    <w:txbxContent>
                      <w:p w:rsidR="004813F0" w:rsidRPr="00E93758" w:rsidRDefault="004813F0" w:rsidP="00E93758">
                        <w:pPr>
                          <w:pStyle w:val="TableHeading1"/>
                          <w:keepNext/>
                          <w:jc w:val="center"/>
                          <w:rPr>
                            <w:sz w:val="17"/>
                          </w:rPr>
                        </w:pPr>
                        <w:r w:rsidRPr="00E93758">
                          <w:rPr>
                            <w:sz w:val="17"/>
                          </w:rPr>
                          <w:t>At what level is performance assessed?</w:t>
                        </w:r>
                      </w:p>
                    </w:txbxContent>
                  </v:textbox>
                </v:rect>
                <v:rect id="Rectangle 7" o:spid="_x0000_s1032" style="position:absolute;left:16529;top:4803;width:18265;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VRDsMA&#10;AADcAAAADwAAAGRycy9kb3ducmV2LnhtbESPQYvCMBSE74L/ITzBm6auYHerUURW8CCIunt/NM+m&#10;2ryUJtbuv98IgsdhZr5hFqvOVqKlxpeOFUzGCQji3OmSCwU/5+3oE4QPyBorx6Tgjzyslv3eAjPt&#10;Hnyk9hQKESHsM1RgQqgzKX1uyKIfu5o4ehfXWAxRNoXUDT4i3FbyI0lm0mLJccFgTRtD+e10twrS&#10;21fiptdN+5uaw9Fd8/U37gulhoNuPQcRqAvv8Ku90wqm6QS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VRDsMAAADcAAAADwAAAAAAAAAAAAAAAACYAgAAZHJzL2Rv&#10;d25yZXYueG1sUEsFBgAAAAAEAAQA9QAAAIgDAAAAAA==&#10;" fillcolor="#95b3d7" stroked="f">
                  <v:textbox>
                    <w:txbxContent>
                      <w:p w:rsidR="004813F0" w:rsidRPr="00E93758" w:rsidRDefault="004813F0" w:rsidP="00E93758">
                        <w:pPr>
                          <w:pStyle w:val="TableHeading1"/>
                          <w:keepNext/>
                          <w:jc w:val="center"/>
                          <w:rPr>
                            <w:sz w:val="17"/>
                          </w:rPr>
                        </w:pPr>
                        <w:r w:rsidRPr="00E93758">
                          <w:rPr>
                            <w:sz w:val="17"/>
                          </w:rPr>
                          <w:t>What is performance measured against?</w:t>
                        </w:r>
                      </w:p>
                    </w:txbxContent>
                  </v:textbox>
                </v:rect>
                <v:rect id="Rectangle 8" o:spid="_x0000_s1033" style="position:absolute;left:35938;top:4803;width:17803;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PecMA&#10;AADcAAAADwAAAGRycy9kb3ducmV2LnhtbESPT4vCMBTE7wt+h/CEva2pClutRhFR2MOC+O/+aJ5N&#10;tXkpTaz12xthYY/DzPyGmS87W4mWGl86VjAcJCCIc6dLLhScjtuvCQgfkDVWjknBkzwsF72POWba&#10;PXhP7SEUIkLYZ6jAhFBnUvrckEU/cDVx9C6usRiibAqpG3xEuK3kKEm+pcWS44LBmtaG8tvhbhWk&#10;t2nixtd1e07Nbu+u+WqDv4VSn/1uNQMRqAv/4b/2j1YwTkfwPhOP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fPecMAAADcAAAADwAAAAAAAAAAAAAAAACYAgAAZHJzL2Rv&#10;d25yZXYueG1sUEsFBgAAAAAEAAQA9QAAAIgDAAAAAA==&#10;" fillcolor="#95b3d7" stroked="f">
                  <v:textbox>
                    <w:txbxContent>
                      <w:p w:rsidR="004813F0" w:rsidRPr="00E93758" w:rsidRDefault="004813F0" w:rsidP="00E93758">
                        <w:pPr>
                          <w:pStyle w:val="TableHeading1"/>
                          <w:keepNext/>
                          <w:jc w:val="center"/>
                          <w:rPr>
                            <w:sz w:val="17"/>
                          </w:rPr>
                        </w:pPr>
                        <w:r w:rsidRPr="00E93758">
                          <w:rPr>
                            <w:sz w:val="17"/>
                          </w:rPr>
                          <w:t>How is performance reported?</w:t>
                        </w:r>
                      </w:p>
                    </w:txbxContent>
                  </v:textbox>
                </v:rect>
                <v:roundrect id="AutoShape 9" o:spid="_x0000_s1034" style="position:absolute;left:1925;top:9531;width:13809;height:48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SYsQA&#10;AADcAAAADwAAAGRycy9kb3ducmV2LnhtbESPW2sCMRSE3wv+h3AE32ripVpWo4hi6VPBCz4fNqe7&#10;q5uTJYnu9t+bQqGPw8x8wyzXna3Fg3yoHGsYDRUI4tyZigsN59P+9R1EiMgGa8ek4YcCrFe9lyVm&#10;xrV8oMcxFiJBOGSooYyxyaQMeUkWw9A1xMn7dt5iTNIX0nhsE9zWcqzUTFqsOC2U2NC2pPx2vFsN&#10;6u1y3Svf1tOO1fxuTh+7r/FF60G/2yxAROrif/iv/Wk0TOYT+D2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kmLEAAAA3AAAAA8AAAAAAAAAAAAAAAAAmAIAAGRycy9k&#10;b3ducmV2LnhtbFBLBQYAAAAABAAEAPUAAACJAwAAAAA=&#10;" fillcolor="#b7dee8" stroked="f">
                  <v:textbox>
                    <w:txbxContent>
                      <w:p w:rsidR="004813F0" w:rsidRPr="00E93758" w:rsidRDefault="004813F0" w:rsidP="00E93758">
                        <w:pPr>
                          <w:pStyle w:val="TableHeading1"/>
                          <w:keepNext/>
                          <w:rPr>
                            <w:sz w:val="17"/>
                          </w:rPr>
                        </w:pPr>
                        <w:r w:rsidRPr="00E93758">
                          <w:rPr>
                            <w:sz w:val="17"/>
                          </w:rPr>
                          <w:t>WHOLE-OF-AID PROGRAM</w:t>
                        </w:r>
                      </w:p>
                    </w:txbxContent>
                  </v:textbox>
                </v:roundrect>
                <v:roundrect id="AutoShape 9" o:spid="_x0000_s1035" style="position:absolute;left:17014;top:10203;width:16871;height:47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tpMQA&#10;AADcAAAADwAAAGRycy9kb3ducmV2LnhtbESPT2sCMRTE70K/Q3gFb262Kla3RimCIKIHt/b+unn7&#10;h25eliTq+u1NoeBxmJnfMMt1b1pxJecbywrekhQEcWF1w5WC89d2NAfhA7LG1jIpuJOH9eplsMRM&#10;2xuf6JqHSkQI+wwV1CF0mZS+qMmgT2xHHL3SOoMhSldJ7fAW4aaV4zSdSYMNx4UaO9rUVPzmF6Mg&#10;L7tme/8OqBcuLQ/Hn/3muNgrNXztPz9ABOrDM/zf3mkFk/cp/J2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g7aTEAAAA3AAAAA8AAAAAAAAAAAAAAAAAmAIAAGRycy9k&#10;b3ducmV2LnhtbFBLBQYAAAAABAAEAPUAAACJAwAAAAA=&#10;" stroked="f">
                  <v:textbox>
                    <w:txbxContent>
                      <w:p w:rsidR="004813F0" w:rsidRPr="00683B80" w:rsidRDefault="004813F0" w:rsidP="00E93758">
                        <w:pPr>
                          <w:pStyle w:val="NormalWeb"/>
                          <w:spacing w:before="0" w:beforeAutospacing="0" w:after="0" w:afterAutospacing="0"/>
                          <w:ind w:left="284" w:hanging="284"/>
                          <w:rPr>
                            <w:sz w:val="22"/>
                          </w:rPr>
                        </w:pPr>
                        <w:r>
                          <w:rPr>
                            <w:rFonts w:ascii="Franklin Gothic Book" w:hAnsi="Franklin Gothic Book"/>
                            <w:sz w:val="16"/>
                            <w:szCs w:val="18"/>
                          </w:rPr>
                          <w:t xml:space="preserve">Development policy priorities and </w:t>
                        </w:r>
                        <w:r w:rsidRPr="00683B80">
                          <w:rPr>
                            <w:rFonts w:ascii="Franklin Gothic Book" w:hAnsi="Franklin Gothic Book"/>
                            <w:sz w:val="16"/>
                            <w:szCs w:val="18"/>
                          </w:rPr>
                          <w:t>10 strategic targets</w:t>
                        </w:r>
                      </w:p>
                    </w:txbxContent>
                  </v:textbox>
                </v:roundrect>
                <v:roundrect id="AutoShape 10" o:spid="_x0000_s1036" style="position:absolute;left:865;top:19733;width:13681;height:59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IP8QA&#10;AADcAAAADwAAAGRycy9kb3ducmV2LnhtbESPT2sCMRTE70K/Q3gFb262ila3RimCIKIHt/b+unn7&#10;h25eliTq+u1NoeBxmJnfMMt1b1pxJecbywrekhQEcWF1w5WC89d2NAfhA7LG1jIpuJOH9eplsMRM&#10;2xuf6JqHSkQI+wwV1CF0mZS+qMmgT2xHHL3SOoMhSldJ7fAW4aaV4zSdSYMNx4UaO9rUVPzmF6Mg&#10;L7tme/8OqBcuLQ/Hn/3muNgrNXztPz9ABOrDM/zf3mkFk/cp/J2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SD/EAAAA3AAAAA8AAAAAAAAAAAAAAAAAmAIAAGRycy9k&#10;b3ducmV2LnhtbFBLBQYAAAAABAAEAPUAAACJAwAAAAA=&#10;" stroked="f">
                  <v:textbox>
                    <w:txbxContent>
                      <w:p w:rsidR="004813F0" w:rsidRPr="00E93758" w:rsidRDefault="004813F0" w:rsidP="00E93758">
                        <w:pPr>
                          <w:pStyle w:val="NormalWeb"/>
                          <w:spacing w:before="0" w:beforeAutospacing="0" w:after="0" w:afterAutospacing="0"/>
                          <w:rPr>
                            <w:rFonts w:ascii="Franklin Gothic Book" w:hAnsi="Franklin Gothic Book"/>
                            <w:sz w:val="16"/>
                            <w:szCs w:val="18"/>
                          </w:rPr>
                        </w:pPr>
                        <w:r w:rsidRPr="00E93758">
                          <w:rPr>
                            <w:rFonts w:ascii="Franklin Gothic Book" w:hAnsi="Franklin Gothic Book"/>
                            <w:sz w:val="16"/>
                            <w:szCs w:val="18"/>
                          </w:rPr>
                          <w:t>Country and regional aid programs</w:t>
                        </w:r>
                      </w:p>
                    </w:txbxContent>
                  </v:textbox>
                </v:roundrect>
                <v:roundrect id="AutoShape 9" o:spid="_x0000_s1037" style="position:absolute;left:36160;top:10331;width:17269;height:47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6l8MA&#10;AADcAAAADwAAAGRycy9kb3ducmV2LnhtbESPzWrDMBCE74W8g9hCbo1ch7rBjRJCSGhvIXEfYJE2&#10;tqm1Mpb89/ZRodDjMDPfMNv9ZBsxUOdrxwpeVwkIYu1MzaWC7+L8sgHhA7LBxjEpmMnDfrd42mJu&#10;3MhXGm6hFBHCPkcFVQhtLqXXFVn0K9cSR+/uOoshyq6UpsMxwm0j0yTJpMWa40KFLR0r0j+33ip4&#10;q+/6NBdpf0nOuP7c9KUv9KjU8nk6fIAINIX/8F/7yyhYv2fweyYeAb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b6l8MAAADcAAAADwAAAAAAAAAAAAAAAACYAgAAZHJzL2Rv&#10;d25yZXYueG1sUEsFBgAAAAAEAAQA9QAAAIgDAAAAAA==&#10;" stroked="f">
                  <v:textbox inset="2.5mm,1.3mm,2.5mm,1.3mm">
                    <w:txbxContent>
                      <w:p w:rsidR="004813F0" w:rsidRPr="00683B80" w:rsidRDefault="004813F0" w:rsidP="00287609">
                        <w:pPr>
                          <w:pStyle w:val="NormalWeb"/>
                          <w:spacing w:before="0" w:beforeAutospacing="0" w:after="0" w:afterAutospacing="0"/>
                          <w:rPr>
                            <w:sz w:val="22"/>
                          </w:rPr>
                        </w:pPr>
                        <w:r w:rsidRPr="00683B80">
                          <w:rPr>
                            <w:rFonts w:ascii="Franklin Gothic Book" w:hAnsi="Franklin Gothic Book"/>
                            <w:sz w:val="16"/>
                            <w:szCs w:val="18"/>
                          </w:rPr>
                          <w:t xml:space="preserve">Assessed annually and reported in </w:t>
                        </w:r>
                        <w:r w:rsidRPr="00683B80">
                          <w:rPr>
                            <w:rFonts w:ascii="Franklin Gothic Book" w:hAnsi="Franklin Gothic Book"/>
                            <w:i/>
                            <w:sz w:val="16"/>
                            <w:szCs w:val="18"/>
                          </w:rPr>
                          <w:t xml:space="preserve">Performance of Australian Aid </w:t>
                        </w:r>
                      </w:p>
                    </w:txbxContent>
                  </v:textbox>
                </v:roundrect>
                <v:roundrect id="AutoShape 9" o:spid="_x0000_s1038" style="position:absolute;left:17019;top:19694;width:16866;height:60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z08QA&#10;AADcAAAADwAAAGRycy9kb3ducmV2LnhtbESPS2vDMBCE74X+B7GB3ho5LeThRjElECgmOcRJ71tr&#10;/aDWykiq7fz7qlDIcZiZb5htNplODOR8a1nBYp6AIC6tbrlWcL0cntcgfEDW2FkmBTfykO0eH7aY&#10;ajvymYYi1CJC2KeooAmhT6X0ZUMG/dz2xNGrrDMYonS11A7HCDedfEmSpTTYclxosKd9Q+V38WMU&#10;FFXfHm6fAfXGJdXx9JXvT5tcqafZ9P4GItAU7uH/9odW8Lpawd+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c9PEAAAA3AAAAA8AAAAAAAAAAAAAAAAAmAIAAGRycy9k&#10;b3ducmV2LnhtbFBLBQYAAAAABAAEAPUAAACJAwAAAAA=&#10;" stroked="f">
                  <v:textbo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sidRPr="001345D3">
                          <w:rPr>
                            <w:rFonts w:ascii="Franklin Gothic Book" w:hAnsi="Franklin Gothic Book"/>
                            <w:sz w:val="16"/>
                            <w:szCs w:val="18"/>
                          </w:rPr>
                          <w:t>Program objectives, performance benchmarks, mutual obligations</w:t>
                        </w:r>
                      </w:p>
                    </w:txbxContent>
                  </v:textbox>
                </v:roundrect>
                <v:group id="Group 378" o:spid="_x0000_s1039" style="position:absolute;top:36115;width:53963;height:14732" coordorigin="1205,38089" coordsize="54905,1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rect id="Rectangle 379" o:spid="_x0000_s1040" style="position:absolute;left:1205;top:38089;width:54906;height:12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Kv8QA&#10;AADcAAAADwAAAGRycy9kb3ducmV2LnhtbESPQWsCMRSE74X+h/AK3mqiBavrZqUUhCJeqkJ7fG6e&#10;u4ubl2UT3fjvjVDocZiZb5h8FW0rrtT7xrGGyViBIC6dabjScNivX+cgfEA22DomDTfysCqen3LM&#10;jBv4m667UIkEYZ+hhjqELpPSlzVZ9GPXESfv5HqLIcm+kqbHIcFtK6dKzaTFhtNCjR191lSedxer&#10;Ydv9/JKfqxjNxlbDsVR+Nj1oPXqJH0sQgWL4D/+1v4yGt/cFPM6k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qir/EAAAA3AAAAA8AAAAAAAAAAAAAAAAAmAIAAGRycy9k&#10;b3ducmV2LnhtbFBLBQYAAAAABAAEAPUAAACJAwAAAAA=&#10;" fillcolor="#b7dee8" stroked="f" strokeweight="2pt"/>
                  <v:roundrect id="AutoShape 11" o:spid="_x0000_s1041" style="position:absolute;left:1737;top:38640;width:14242;height:35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8MsEA&#10;AADcAAAADwAAAGRycy9kb3ducmV2LnhtbERPz2vCMBS+C/sfwhvspom6Oemaypg4PA2s4vnRvLWd&#10;zUtJou3+e3MY7Pjx/c43o+3EjXxoHWuYzxQI4sqZlmsNp+NuugYRIrLBzjFp+KUAm+JhkmNm3MAH&#10;upWxFimEQ4Yamhj7TMpQNWQxzFxPnLhv5y3GBH0tjcchhdtOLpRaSYstp4YGe/poqLqUV6tBvZx/&#10;dsoP3fPI6vVqjp/br8VZ66fH8f0NRKQx/ov/3HujYblO89OZdAR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hfDLBAAAA3AAAAA8AAAAAAAAAAAAAAAAAmAIAAGRycy9kb3du&#10;cmV2LnhtbFBLBQYAAAAABAAEAPUAAACGAwAAAAA=&#10;" fillcolor="#b7dee8" stroked="f">
                    <v:textbox>
                      <w:txbxContent>
                        <w:p w:rsidR="004813F0" w:rsidRPr="00E93758" w:rsidRDefault="004813F0" w:rsidP="00E93758">
                          <w:pPr>
                            <w:pStyle w:val="TableHeading1"/>
                            <w:keepNext/>
                            <w:rPr>
                              <w:sz w:val="17"/>
                            </w:rPr>
                          </w:pPr>
                          <w:r w:rsidRPr="00E93758">
                            <w:rPr>
                              <w:sz w:val="17"/>
                            </w:rPr>
                            <w:t>INDIVIDUAL AID INVESTMENTS</w:t>
                          </w:r>
                        </w:p>
                      </w:txbxContent>
                    </v:textbox>
                  </v:roundrect>
                  <v:roundrect id="AutoShape 11" o:spid="_x0000_s1042" style="position:absolute;left:18559;top:38979;width:16884;height:10490;visibility:visible;mso-wrap-style:square;v-text-anchor:top" arcsize="68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ilMcA&#10;AADcAAAADwAAAGRycy9kb3ducmV2LnhtbESPT2vCQBTE74V+h+UVehHdqLRK6irF4p+LB1PRHF+z&#10;r0kw+zZk1xi/vVsQehxm5jfMbNGZSrTUuNKyguEgAkGcWV1yruDwvepPQTiPrLGyTApu5GAxf36a&#10;YaztlffUJj4XAcIuRgWF93UspcsKMugGtiYO3q9tDPogm1zqBq8Bbio5iqJ3abDksFBgTcuCsnNy&#10;MQpGva92uXmbpGf6SZPTKV3vZHVU6vWl+/wA4anz/+FHe6sVjKdD+DsTj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QYpTHAAAA3AAAAA8AAAAAAAAAAAAAAAAAmAIAAGRy&#10;cy9kb3ducmV2LnhtbFBLBQYAAAAABAAEAPUAAACMAwAAAAA=&#10;" stroked="f">
                    <v:textbox>
                      <w:txbxContent>
                        <w:p w:rsidR="004813F0" w:rsidRDefault="004813F0" w:rsidP="00287609">
                          <w:pPr>
                            <w:pStyle w:val="NormalWeb"/>
                            <w:spacing w:before="0" w:beforeAutospacing="0" w:after="20" w:afterAutospacing="0"/>
                            <w:rPr>
                              <w:rFonts w:ascii="Franklin Gothic Book" w:hAnsi="Franklin Gothic Book"/>
                              <w:sz w:val="16"/>
                              <w:szCs w:val="18"/>
                            </w:rPr>
                          </w:pPr>
                          <w:r>
                            <w:rPr>
                              <w:rFonts w:ascii="Franklin Gothic Book" w:hAnsi="Franklin Gothic Book"/>
                              <w:sz w:val="16"/>
                              <w:szCs w:val="18"/>
                            </w:rPr>
                            <w:t>8</w:t>
                          </w:r>
                          <w:r w:rsidRPr="00454108">
                            <w:rPr>
                              <w:rFonts w:ascii="Franklin Gothic Book" w:hAnsi="Franklin Gothic Book"/>
                              <w:sz w:val="16"/>
                              <w:szCs w:val="18"/>
                            </w:rPr>
                            <w:t xml:space="preserve"> </w:t>
                          </w:r>
                          <w:r>
                            <w:rPr>
                              <w:rFonts w:ascii="Franklin Gothic Book" w:hAnsi="Franklin Gothic Book"/>
                              <w:sz w:val="16"/>
                              <w:szCs w:val="18"/>
                            </w:rPr>
                            <w:t xml:space="preserve">assessment criteria: </w:t>
                          </w:r>
                        </w:p>
                        <w:p w:rsidR="004813F0" w:rsidRPr="0035056C" w:rsidRDefault="004813F0" w:rsidP="00287609">
                          <w:pPr>
                            <w:pStyle w:val="NormalWeb"/>
                            <w:numPr>
                              <w:ilvl w:val="0"/>
                              <w:numId w:val="38"/>
                            </w:numPr>
                            <w:spacing w:before="0" w:beforeAutospacing="0" w:after="0" w:afterAutospacing="0"/>
                            <w:ind w:left="426" w:hanging="284"/>
                            <w:rPr>
                              <w:sz w:val="22"/>
                            </w:rPr>
                          </w:pPr>
                          <w:r w:rsidRPr="00454108">
                            <w:rPr>
                              <w:rFonts w:ascii="Franklin Gothic Book" w:hAnsi="Franklin Gothic Book"/>
                              <w:sz w:val="16"/>
                              <w:szCs w:val="18"/>
                            </w:rPr>
                            <w:t xml:space="preserve">effectiveness </w:t>
                          </w:r>
                        </w:p>
                        <w:p w:rsidR="004813F0" w:rsidRPr="0035056C" w:rsidRDefault="004813F0" w:rsidP="00287609">
                          <w:pPr>
                            <w:pStyle w:val="NormalWeb"/>
                            <w:numPr>
                              <w:ilvl w:val="0"/>
                              <w:numId w:val="38"/>
                            </w:numPr>
                            <w:spacing w:before="0" w:beforeAutospacing="0" w:after="0" w:afterAutospacing="0"/>
                            <w:ind w:left="426" w:hanging="284"/>
                            <w:rPr>
                              <w:sz w:val="22"/>
                            </w:rPr>
                          </w:pPr>
                          <w:r w:rsidRPr="00454108">
                            <w:rPr>
                              <w:rFonts w:ascii="Franklin Gothic Book" w:hAnsi="Franklin Gothic Book"/>
                              <w:sz w:val="16"/>
                              <w:szCs w:val="18"/>
                            </w:rPr>
                            <w:t>efficiency</w:t>
                          </w:r>
                        </w:p>
                        <w:p w:rsidR="004813F0" w:rsidRPr="0035056C" w:rsidRDefault="004813F0" w:rsidP="00287609">
                          <w:pPr>
                            <w:pStyle w:val="NormalWeb"/>
                            <w:numPr>
                              <w:ilvl w:val="0"/>
                              <w:numId w:val="38"/>
                            </w:numPr>
                            <w:spacing w:before="0" w:beforeAutospacing="0" w:after="0" w:afterAutospacing="0"/>
                            <w:ind w:left="426" w:hanging="284"/>
                            <w:rPr>
                              <w:sz w:val="22"/>
                            </w:rPr>
                          </w:pPr>
                          <w:r w:rsidRPr="00454108">
                            <w:rPr>
                              <w:rFonts w:ascii="Franklin Gothic Book" w:hAnsi="Franklin Gothic Book"/>
                              <w:sz w:val="16"/>
                              <w:szCs w:val="18"/>
                            </w:rPr>
                            <w:t>relevance</w:t>
                          </w:r>
                        </w:p>
                        <w:p w:rsidR="004813F0" w:rsidRPr="0035056C" w:rsidRDefault="004813F0" w:rsidP="00287609">
                          <w:pPr>
                            <w:pStyle w:val="NormalWeb"/>
                            <w:numPr>
                              <w:ilvl w:val="0"/>
                              <w:numId w:val="38"/>
                            </w:numPr>
                            <w:spacing w:before="0" w:beforeAutospacing="0" w:after="0" w:afterAutospacing="0"/>
                            <w:ind w:left="426" w:hanging="284"/>
                            <w:rPr>
                              <w:sz w:val="22"/>
                            </w:rPr>
                          </w:pPr>
                          <w:r w:rsidRPr="00454108">
                            <w:rPr>
                              <w:rFonts w:ascii="Franklin Gothic Book" w:hAnsi="Franklin Gothic Book"/>
                              <w:sz w:val="16"/>
                              <w:szCs w:val="18"/>
                            </w:rPr>
                            <w:t>sustainability</w:t>
                          </w:r>
                        </w:p>
                        <w:p w:rsidR="004813F0" w:rsidRPr="0035056C" w:rsidRDefault="004813F0" w:rsidP="00287609">
                          <w:pPr>
                            <w:pStyle w:val="NormalWeb"/>
                            <w:numPr>
                              <w:ilvl w:val="0"/>
                              <w:numId w:val="38"/>
                            </w:numPr>
                            <w:spacing w:before="0" w:beforeAutospacing="0" w:after="0" w:afterAutospacing="0"/>
                            <w:ind w:left="426" w:hanging="284"/>
                            <w:rPr>
                              <w:sz w:val="22"/>
                            </w:rPr>
                          </w:pPr>
                          <w:r>
                            <w:rPr>
                              <w:rFonts w:ascii="Franklin Gothic Book" w:hAnsi="Franklin Gothic Book"/>
                              <w:sz w:val="16"/>
                              <w:szCs w:val="18"/>
                            </w:rPr>
                            <w:t>monitoring &amp; evaluation</w:t>
                          </w:r>
                        </w:p>
                        <w:p w:rsidR="004813F0" w:rsidRPr="00716F79" w:rsidRDefault="004813F0" w:rsidP="00287609">
                          <w:pPr>
                            <w:pStyle w:val="NormalWeb"/>
                            <w:numPr>
                              <w:ilvl w:val="0"/>
                              <w:numId w:val="38"/>
                            </w:numPr>
                            <w:spacing w:before="0" w:beforeAutospacing="0" w:after="0" w:afterAutospacing="0"/>
                            <w:ind w:left="426" w:hanging="284"/>
                            <w:rPr>
                              <w:sz w:val="22"/>
                            </w:rPr>
                          </w:pPr>
                          <w:r w:rsidRPr="0035056C">
                            <w:rPr>
                              <w:rFonts w:ascii="Franklin Gothic Book" w:hAnsi="Franklin Gothic Book"/>
                              <w:sz w:val="16"/>
                              <w:szCs w:val="18"/>
                            </w:rPr>
                            <w:t>gender</w:t>
                          </w:r>
                          <w:r>
                            <w:rPr>
                              <w:rFonts w:ascii="Franklin Gothic Book" w:hAnsi="Franklin Gothic Book"/>
                              <w:sz w:val="16"/>
                              <w:szCs w:val="18"/>
                            </w:rPr>
                            <w:t xml:space="preserve"> equality</w:t>
                          </w:r>
                        </w:p>
                        <w:p w:rsidR="004813F0" w:rsidRPr="00716F79" w:rsidRDefault="004813F0" w:rsidP="00287609">
                          <w:pPr>
                            <w:pStyle w:val="NormalWeb"/>
                            <w:numPr>
                              <w:ilvl w:val="0"/>
                              <w:numId w:val="38"/>
                            </w:numPr>
                            <w:spacing w:before="0" w:beforeAutospacing="0" w:after="0" w:afterAutospacing="0"/>
                            <w:ind w:left="426" w:hanging="284"/>
                            <w:rPr>
                              <w:sz w:val="22"/>
                            </w:rPr>
                          </w:pPr>
                          <w:r>
                            <w:rPr>
                              <w:rFonts w:ascii="Franklin Gothic Book" w:hAnsi="Franklin Gothic Book"/>
                              <w:sz w:val="16"/>
                              <w:szCs w:val="18"/>
                            </w:rPr>
                            <w:t>risk management</w:t>
                          </w:r>
                        </w:p>
                        <w:p w:rsidR="004813F0" w:rsidRPr="0035056C" w:rsidRDefault="004813F0" w:rsidP="00287609">
                          <w:pPr>
                            <w:pStyle w:val="NormalWeb"/>
                            <w:numPr>
                              <w:ilvl w:val="0"/>
                              <w:numId w:val="38"/>
                            </w:numPr>
                            <w:spacing w:before="0" w:beforeAutospacing="0" w:after="0" w:afterAutospacing="0"/>
                            <w:ind w:left="426" w:hanging="284"/>
                            <w:rPr>
                              <w:sz w:val="22"/>
                            </w:rPr>
                          </w:pPr>
                          <w:r>
                            <w:rPr>
                              <w:rFonts w:ascii="Franklin Gothic Book" w:hAnsi="Franklin Gothic Book"/>
                              <w:sz w:val="16"/>
                              <w:szCs w:val="18"/>
                            </w:rPr>
                            <w:t>innovation</w:t>
                          </w:r>
                        </w:p>
                      </w:txbxContent>
                    </v:textbox>
                  </v:roundrect>
                  <v:roundrect id="AutoShape 11" o:spid="_x0000_s1043" style="position:absolute;left:37772;top:39148;width:16688;height:45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gbMQA&#10;AADcAAAADwAAAGRycy9kb3ducmV2LnhtbESPT2vCQBTE7wW/w/IEb3WjhaKpqxRBKMEcjO39Nfvy&#10;h2bfht3VJN++Wyh4HGbmN8zuMJpO3Mn51rKC1TIBQVxa3XKt4PN6et6A8AFZY2eZFEzk4bCfPe0w&#10;1XbgC92LUIsIYZ+igiaEPpXSlw0Z9EvbE0evss5giNLVUjscItx0cp0kr9Jgy3GhwZ6ODZU/xc0o&#10;KKq+PU1fAfXWJdU5/86O+TZTajEf399ABBrDI/zf/tAKXjZr+DsTj4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oGzEAAAA3AAAAA8AAAAAAAAAAAAAAAAAmAIAAGRycy9k&#10;b3ducmV2LnhtbFBLBQYAAAAABAAEAPUAAACJAwAAAAA=&#10;" stroked="f">
                    <v:textbo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sidRPr="00454108">
                            <w:rPr>
                              <w:rFonts w:ascii="Franklin Gothic Book" w:hAnsi="Franklin Gothic Book"/>
                              <w:sz w:val="16"/>
                              <w:szCs w:val="18"/>
                            </w:rPr>
                            <w:t xml:space="preserve">Assessed annually and reported in </w:t>
                          </w:r>
                          <w:r w:rsidRPr="007636EE">
                            <w:rPr>
                              <w:rFonts w:ascii="Franklin Gothic Book" w:hAnsi="Franklin Gothic Book"/>
                              <w:sz w:val="16"/>
                              <w:szCs w:val="18"/>
                            </w:rPr>
                            <w:t>Aid Quality Checks</w:t>
                          </w:r>
                        </w:p>
                      </w:txbxContent>
                    </v:textbox>
                  </v:roundrect>
                  <v:roundrect id="AutoShape 11" o:spid="_x0000_s1044" style="position:absolute;left:37771;top:44455;width:16688;height:47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F98QA&#10;AADcAAAADwAAAGRycy9kb3ducmV2LnhtbESPT2vCQBTE74V+h+UVequbNiAaXUUEoYR6aNT7M/vy&#10;B7Nvw+42id/eLRR6HGbmN8x6O5lODOR8a1nB+ywBQVxa3XKt4Hw6vC1A+ICssbNMCu7kYbt5flpj&#10;pu3I3zQUoRYRwj5DBU0IfSalLxsy6Ge2J45eZZ3BEKWrpXY4Rrjp5EeSzKXBluNCgz3tGypvxY9R&#10;UFR9e7hfAuqlS6qv4zXfH5e5Uq8v024FItAU/sN/7U+tIF2k8HsmHg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cBffEAAAA3AAAAA8AAAAAAAAAAAAAAAAAmAIAAGRycy9k&#10;b3ducmV2LnhtbFBLBQYAAAAABAAEAPUAAACJAwAAAAA=&#10;" stroked="f">
                    <v:textbo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sidRPr="00454108">
                            <w:rPr>
                              <w:rFonts w:ascii="Franklin Gothic Book" w:hAnsi="Franklin Gothic Book"/>
                              <w:sz w:val="16"/>
                              <w:szCs w:val="18"/>
                            </w:rPr>
                            <w:t xml:space="preserve">Independent evaluation once per life of </w:t>
                          </w:r>
                          <w:r>
                            <w:rPr>
                              <w:rFonts w:ascii="Franklin Gothic Book" w:hAnsi="Franklin Gothic Book"/>
                              <w:sz w:val="16"/>
                              <w:szCs w:val="18"/>
                            </w:rPr>
                            <w:t xml:space="preserve">an </w:t>
                          </w:r>
                          <w:r w:rsidRPr="00454108">
                            <w:rPr>
                              <w:rFonts w:ascii="Franklin Gothic Book" w:hAnsi="Franklin Gothic Book"/>
                              <w:sz w:val="16"/>
                              <w:szCs w:val="18"/>
                            </w:rPr>
                            <w:t>aid investment</w:t>
                          </w:r>
                        </w:p>
                      </w:txbxContent>
                    </v:textbox>
                  </v:roundrect>
                </v:group>
                <v:roundrect id="AutoShape 9" o:spid="_x0000_s1045" style="position:absolute;left:36160;top:19773;width:8231;height:6021;visibility:visible;mso-wrap-style:square;v-text-anchor:middle" arcsize="67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VosYA&#10;AADcAAAADwAAAGRycy9kb3ducmV2LnhtbESPQWvCQBSE74L/YXmCN91URULqKlUQjIjQGCi9PbKv&#10;Sdrs25BdNf77bkHocZiZb5jVpjeNuFHnassKXqYRCOLC6ppLBfllP4lBOI+ssbFMCh7kYLMeDlaY&#10;aHvnd7plvhQBwi5BBZX3bSKlKyoy6Ka2JQ7el+0M+iC7UuoO7wFuGjmLoqU0WHNYqLClXUXFT3Y1&#10;CrZp/2G/L8voeJrleXpO43P8eVJqPOrfXkF46v1/+Nk+aAXzeAF/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iVosYAAADcAAAADwAAAAAAAAAAAAAAAACYAgAAZHJz&#10;L2Rvd25yZXYueG1sUEsFBgAAAAAEAAQA9QAAAIsDAAAAAA==&#10;" stroked="f">
                  <v:textbo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Pr>
                            <w:rFonts w:ascii="Franklin Gothic Book" w:hAnsi="Franklin Gothic Book"/>
                            <w:sz w:val="16"/>
                            <w:szCs w:val="18"/>
                          </w:rPr>
                          <w:t xml:space="preserve">Annual </w:t>
                        </w:r>
                        <w:r w:rsidRPr="007636EE">
                          <w:rPr>
                            <w:rFonts w:ascii="Franklin Gothic Book" w:hAnsi="Franklin Gothic Book"/>
                            <w:sz w:val="16"/>
                            <w:szCs w:val="18"/>
                          </w:rPr>
                          <w:t>Aid Program Performance Reports</w:t>
                        </w:r>
                      </w:p>
                    </w:txbxContent>
                  </v:textbox>
                </v:roundrect>
                <v:roundrect id="AutoShape 10" o:spid="_x0000_s1046" style="position:absolute;left:865;top:26822;width:13669;height:71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k4GMMA&#10;AADcAAAADwAAAGRycy9kb3ducmV2LnhtbESPzYoCMRCE78K+Q+iFvWnGXRQdjbIIgogeHHfv7aTn&#10;ByedIYk6vr0RBI9FVX1FzZedacSVnK8tKxgOEhDEudU1lwr+juv+BIQPyBoby6TgTh6Wi4/eHFNt&#10;b3ygaxZKESHsU1RQhdCmUvq8IoN+YFvi6BXWGQxRulJqh7cIN438TpKxNFhzXKiwpVVF+Tm7GAVZ&#10;0dbr+39APXVJsduftqv9dKvU12f3OwMRqAvv8Ku90Qp+Ji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k4GMMAAADcAAAADwAAAAAAAAAAAAAAAACYAgAAZHJzL2Rv&#10;d25yZXYueG1sUEsFBgAAAAAEAAQA9QAAAIgDAAAAAA==&#10;" stroked="f">
                  <v:textbo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Pr>
                            <w:rFonts w:ascii="Franklin Gothic Book" w:hAnsi="Franklin Gothic Book"/>
                            <w:sz w:val="16"/>
                            <w:szCs w:val="18"/>
                          </w:rPr>
                          <w:t>Global and other aid programs</w:t>
                        </w:r>
                      </w:p>
                    </w:txbxContent>
                  </v:textbox>
                </v:roundrect>
                <v:roundrect id="AutoShape 10" o:spid="_x0000_s1047" style="position:absolute;left:17019;top:26818;width:16868;height:71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mb8QA&#10;AADcAAAADwAAAGRycy9kb3ducmV2LnhtbESPT2vCQBTE7wW/w/IEb81GBdE0qxRBKEEPje39Nfvy&#10;h2bfht2tJt/eLRR6HGbmN0x+GE0vbuR8Z1nBMklBEFdWd9wo+LienrcgfEDW2FsmBRN5OOxnTzlm&#10;2t75nW5laESEsM9QQRvCkEnpq5YM+sQOxNGrrTMYonSN1A7vEW56uUrTjTTYcVxocaBjS9V3+WMU&#10;lPXQnabPgHrn0vp8+SqOl12h1GI+vr6ACDSG//Bf+00rWG838HsmHgG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rpm/EAAAA3AAAAA8AAAAAAAAAAAAAAAAAmAIAAGRycy9k&#10;b3ducmV2LnhtbFBLBQYAAAAABAAEAPUAAACJAwAAAAA=&#10;" stroked="f">
                  <v:textbo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Pr>
                            <w:rFonts w:ascii="Franklin Gothic Book" w:hAnsi="Franklin Gothic Book"/>
                            <w:sz w:val="16"/>
                            <w:szCs w:val="18"/>
                          </w:rPr>
                          <w:t>Program-specific performance frameworks</w:t>
                        </w:r>
                      </w:p>
                    </w:txbxContent>
                  </v:textbox>
                </v:roundrect>
                <v:roundrect id="AutoShape 10" o:spid="_x0000_s1048" style="position:absolute;left:1758;top:17335;width:13793;height:24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KMcA&#10;AADcAAAADwAAAGRycy9kb3ducmV2LnhtbESPT2vCQBTE70K/w/IKvelGBZumrlKEgoqXmpZ6fM2+&#10;/KHZtyG7TaKf3hWEHoeZ+Q2zXA+mFh21rrKsYDqJQBBnVldcKPhM38cxCOeRNdaWScGZHKxXD6Ml&#10;Jtr2/EHd0RciQNglqKD0vkmkdFlJBt3ENsTBy21r0AfZFlK32Ae4qeUsihbSYMVhocSGNiVlv8c/&#10;o+C0SXcv7ms7O+yr0yVPp/n3/CdX6ulxeHsF4Wnw/+F7e6sVzONn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dvyjHAAAA3AAAAA8AAAAAAAAAAAAAAAAAmAIAAGRy&#10;cy9kb3ducmV2LnhtbFBLBQYAAAAABAAEAPUAAACMAwAAAAA=&#10;" fillcolor="#b7dee8" stroked="f">
                  <v:textbox>
                    <w:txbxContent>
                      <w:p w:rsidR="004813F0" w:rsidRPr="00E93758" w:rsidRDefault="004813F0" w:rsidP="00E93758">
                        <w:pPr>
                          <w:pStyle w:val="TableHeading1"/>
                          <w:keepNext/>
                          <w:rPr>
                            <w:sz w:val="17"/>
                          </w:rPr>
                        </w:pPr>
                        <w:r w:rsidRPr="00E93758">
                          <w:rPr>
                            <w:sz w:val="17"/>
                          </w:rPr>
                          <w:t>PROGRAMS</w:t>
                        </w:r>
                      </w:p>
                    </w:txbxContent>
                  </v:textbox>
                </v:roundrect>
                <v:rect id="Rectangle 388" o:spid="_x0000_s1049" style="position:absolute;top:453;width:53963;height:3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3ZMYA&#10;AADcAAAADwAAAGRycy9kb3ducmV2LnhtbESPwUoDMRCG70LfIUzBm82qWMq2aRGxKgiWbr14m26m&#10;m6XJZNnE7fr2zkHwOPzzf/PNajMGrwbqUxvZwO2sAEVcR9tyY+DzsL1ZgEoZ2aKPTAZ+KMFmPbla&#10;YWnjhfc0VLlRAuFUogGXc1dqnWpHAdMsdsSSnWIfMMvYN9r2eBF48PquKOY6YMtywWFHT47qc/Ud&#10;RON9XoXhxX98vbpt2D23x9ODPxpzPR0fl6Ayjfl/+a/9Zg3cL8RWnhEC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R3ZMYAAADcAAAADwAAAAAAAAAAAAAAAACYAgAAZHJz&#10;L2Rvd25yZXYueG1sUEsFBgAAAAAEAAQA9QAAAIsDAAAAAA==&#10;" fillcolor="#4f81bd" stroked="f" strokeweight="2pt">
                  <v:textbox>
                    <w:txbxContent>
                      <w:p w:rsidR="004813F0" w:rsidRPr="00E93758" w:rsidRDefault="004813F0" w:rsidP="00E93758">
                        <w:pPr>
                          <w:pStyle w:val="TableHeading1"/>
                          <w:keepNext/>
                          <w:jc w:val="center"/>
                        </w:pPr>
                        <w:r w:rsidRPr="00E93758">
                          <w:t>How is the performance of the Australian aid program assessed?</w:t>
                        </w:r>
                      </w:p>
                    </w:txbxContent>
                  </v:textbox>
                </v:rect>
                <v:roundrect id="AutoShape 9" o:spid="_x0000_s1050" style="position:absolute;left:45199;top:19694;width:8230;height:14024;visibility:visible;mso-wrap-style:square;v-text-anchor:middle" arcsize="67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6PMYA&#10;AADcAAAADwAAAGRycy9kb3ducmV2LnhtbESPQWvCQBSE74L/YXmCN91UQdLUVaogGBGhMVB6e2Rf&#10;k7TZtyG7avz3bqHgcZiZb5jlujeNuFLnassKXqYRCOLC6ppLBfl5N4lBOI+ssbFMCu7kYL0aDpaY&#10;aHvjD7pmvhQBwi5BBZX3bSKlKyoy6Ka2JQ7et+0M+iC7UuoObwFuGjmLooU0WHNYqLClbUXFb3Yx&#10;CjZp/2l/zovocJzleXpK41P8dVRqPOrf30B46v0z/N/eawXz+BX+zo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k6PMYAAADcAAAADwAAAAAAAAAAAAAAAACYAgAAZHJz&#10;L2Rvd25yZXYueG1sUEsFBgAAAAAEAAQA9QAAAIsDAAAAAA==&#10;" stroked="f">
                  <v:textbo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p>
                      <w:p w:rsidR="004813F0" w:rsidRPr="00E93758" w:rsidRDefault="004813F0" w:rsidP="00287609">
                        <w:pPr>
                          <w:pStyle w:val="NormalWeb"/>
                          <w:spacing w:before="0" w:beforeAutospacing="0" w:after="0" w:afterAutospacing="0"/>
                          <w:rPr>
                            <w:rFonts w:ascii="Franklin Gothic Book" w:hAnsi="Franklin Gothic Book"/>
                            <w:sz w:val="16"/>
                            <w:szCs w:val="18"/>
                          </w:rPr>
                        </w:pPr>
                        <w:r w:rsidRPr="00E93758">
                          <w:rPr>
                            <w:rFonts w:ascii="Franklin Gothic Book" w:hAnsi="Franklin Gothic Book"/>
                            <w:sz w:val="16"/>
                            <w:szCs w:val="18"/>
                          </w:rPr>
                          <w:t>Periodic strategic evaluations by Office of Development Effectiveness</w:t>
                        </w:r>
                      </w:p>
                      <w:p w:rsidR="004813F0" w:rsidRPr="00E93758" w:rsidRDefault="004813F0" w:rsidP="00287609">
                        <w:pPr>
                          <w:pStyle w:val="NormalWeb"/>
                          <w:spacing w:before="0" w:beforeAutospacing="0" w:after="0" w:afterAutospacing="0"/>
                          <w:rPr>
                            <w:rFonts w:ascii="Franklin Gothic Book" w:hAnsi="Franklin Gothic Book"/>
                            <w:sz w:val="16"/>
                            <w:szCs w:val="18"/>
                          </w:rPr>
                        </w:pPr>
                      </w:p>
                    </w:txbxContent>
                  </v:textbox>
                </v:roundrect>
                <v:roundrect id="AutoShape 9" o:spid="_x0000_s1051" style="position:absolute;left:36160;top:26813;width:8229;height:7170;visibility:visible;mso-wrap-style:square;v-text-anchor:middle" arcsize="67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FfMIA&#10;AADcAAAADwAAAGRycy9kb3ducmV2LnhtbERPTYvCMBC9C/sfwix403QVpFaj7AqCFRHUgngbmrGt&#10;20xKE7X++81hwePjfc+XnanFg1pXWVbwNYxAEOdWV1woyE7rQQzCeWSNtWVS8CIHy8VHb46Jtk8+&#10;0OPoCxFC2CWooPS+SaR0eUkG3dA2xIG72tagD7AtpG7xGcJNLUdRNJEGKw4NJTa0Kin/Pd6Ngp+0&#10;O9vbaRJtd6MsS/dpvI8vO6X6n933DISnzr/F/+6NVjCehvnhTDg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egV8wgAAANwAAAAPAAAAAAAAAAAAAAAAAJgCAABkcnMvZG93&#10;bnJldi54bWxQSwUGAAAAAAQABAD1AAAAhwMAAAAA&#10;" stroked="f">
                  <v:textbox>
                    <w:txbxContent>
                      <w:p w:rsidR="004813F0" w:rsidRPr="00E93758" w:rsidRDefault="004813F0" w:rsidP="00287609">
                        <w:pPr>
                          <w:pStyle w:val="NormalWeb"/>
                          <w:spacing w:before="0" w:beforeAutospacing="0" w:after="0" w:afterAutospacing="0"/>
                          <w:rPr>
                            <w:rFonts w:ascii="Franklin Gothic Book" w:hAnsi="Franklin Gothic Book"/>
                            <w:sz w:val="16"/>
                            <w:szCs w:val="18"/>
                          </w:rPr>
                        </w:pPr>
                        <w:r w:rsidRPr="00E93758">
                          <w:rPr>
                            <w:rFonts w:ascii="Franklin Gothic Book" w:hAnsi="Franklin Gothic Book"/>
                            <w:sz w:val="16"/>
                            <w:szCs w:val="18"/>
                          </w:rPr>
                          <w:t>Performance assessments of multilateral and other programs</w:t>
                        </w:r>
                      </w:p>
                    </w:txbxContent>
                  </v:textbox>
                </v:roundrect>
                <w10:anchorlock/>
              </v:group>
            </w:pict>
          </mc:Fallback>
        </mc:AlternateContent>
      </w:r>
    </w:p>
    <w:p w:rsidR="0021205F" w:rsidRPr="00B256FF" w:rsidRDefault="0021205F" w:rsidP="00287609">
      <w:pPr>
        <w:pStyle w:val="ListBullet"/>
        <w:numPr>
          <w:ilvl w:val="0"/>
          <w:numId w:val="0"/>
        </w:numPr>
        <w:ind w:left="284" w:hanging="284"/>
      </w:pPr>
      <w:r w:rsidRPr="00B256FF">
        <w:rPr>
          <w:i/>
        </w:rPr>
        <w:t>Making Performance Count</w:t>
      </w:r>
      <w:r w:rsidRPr="00B256FF">
        <w:t xml:space="preserve"> op</w:t>
      </w:r>
      <w:r w:rsidR="00EB5937">
        <w:t>erates on three levels (Figure 2</w:t>
      </w:r>
      <w:r w:rsidRPr="00B256FF">
        <w:t>):</w:t>
      </w:r>
    </w:p>
    <w:p w:rsidR="0021205F" w:rsidRPr="00B256FF" w:rsidRDefault="0021205F" w:rsidP="0021205F">
      <w:pPr>
        <w:pStyle w:val="BodyText"/>
        <w:numPr>
          <w:ilvl w:val="0"/>
          <w:numId w:val="25"/>
        </w:numPr>
        <w:spacing w:before="40" w:after="120" w:line="288" w:lineRule="auto"/>
        <w:ind w:left="284" w:hanging="284"/>
      </w:pPr>
      <w:r w:rsidRPr="00B256FF">
        <w:t>At the whole-of-aid program level: where 10 strategic targets focus the aid program to key overall goals and priorities.</w:t>
      </w:r>
    </w:p>
    <w:p w:rsidR="0021205F" w:rsidRPr="00B256FF" w:rsidRDefault="0021205F" w:rsidP="0021205F">
      <w:pPr>
        <w:pStyle w:val="BodyText"/>
        <w:numPr>
          <w:ilvl w:val="0"/>
          <w:numId w:val="25"/>
        </w:numPr>
        <w:spacing w:before="40" w:after="120" w:line="288" w:lineRule="auto"/>
        <w:ind w:left="284" w:hanging="284"/>
        <w:rPr>
          <w:rFonts w:eastAsia="Georgia"/>
          <w:lang w:eastAsia="en-GB"/>
        </w:rPr>
      </w:pPr>
      <w:r w:rsidRPr="00B256FF">
        <w:t xml:space="preserve">At the country/regional program level: where annual </w:t>
      </w:r>
      <w:r>
        <w:t xml:space="preserve">APPRs </w:t>
      </w:r>
      <w:r w:rsidRPr="00B256FF">
        <w:t>report on performance against program objectives, performance benchmarks and mutual obligations.</w:t>
      </w:r>
    </w:p>
    <w:p w:rsidR="0021205F" w:rsidRPr="00B256FF" w:rsidRDefault="0021205F" w:rsidP="0021205F">
      <w:pPr>
        <w:pStyle w:val="BodyText"/>
        <w:numPr>
          <w:ilvl w:val="0"/>
          <w:numId w:val="25"/>
        </w:numPr>
        <w:spacing w:before="40" w:after="120" w:line="288" w:lineRule="auto"/>
        <w:ind w:left="284" w:hanging="284"/>
      </w:pPr>
      <w:r w:rsidRPr="00B256FF">
        <w:t xml:space="preserve">At the investment level: where Aid Quality Checks annually assess the performance of individual investments against eight </w:t>
      </w:r>
      <w:r>
        <w:t>assessment</w:t>
      </w:r>
      <w:r w:rsidRPr="00B256FF">
        <w:t xml:space="preserve"> criteria.</w:t>
      </w:r>
    </w:p>
    <w:p w:rsidR="0021205F" w:rsidRPr="00B256FF" w:rsidRDefault="0021205F" w:rsidP="0021205F">
      <w:pPr>
        <w:pStyle w:val="Heading2"/>
      </w:pPr>
      <w:bookmarkStart w:id="15" w:name="_Toc416250715"/>
      <w:bookmarkStart w:id="16" w:name="_Toc422327000"/>
      <w:r w:rsidRPr="00B256FF">
        <w:t>1.</w:t>
      </w:r>
      <w:r>
        <w:t>3</w:t>
      </w:r>
      <w:r w:rsidRPr="00B256FF">
        <w:tab/>
        <w:t>Country and regional program performance management</w:t>
      </w:r>
      <w:bookmarkEnd w:id="15"/>
      <w:bookmarkEnd w:id="16"/>
    </w:p>
    <w:p w:rsidR="0021205F" w:rsidRPr="00B256FF" w:rsidRDefault="0021205F" w:rsidP="0021205F">
      <w:pPr>
        <w:pStyle w:val="Heading3"/>
        <w:rPr>
          <w:noProof/>
        </w:rPr>
      </w:pPr>
      <w:r w:rsidRPr="00B256FF">
        <w:rPr>
          <w:noProof/>
        </w:rPr>
        <w:t>Planning country and regional programs</w:t>
      </w:r>
    </w:p>
    <w:p w:rsidR="0021205F" w:rsidRPr="00B256FF" w:rsidRDefault="0021205F" w:rsidP="00A50879">
      <w:pPr>
        <w:pStyle w:val="BodyText"/>
        <w:rPr>
          <w:noProof/>
        </w:rPr>
      </w:pPr>
      <w:r w:rsidRPr="00B256FF">
        <w:rPr>
          <w:noProof/>
        </w:rPr>
        <w:t>Engagement between the Australian aid program and aid recip</w:t>
      </w:r>
      <w:r>
        <w:rPr>
          <w:noProof/>
        </w:rPr>
        <w:t>i</w:t>
      </w:r>
      <w:r w:rsidRPr="00B256FF">
        <w:rPr>
          <w:noProof/>
        </w:rPr>
        <w:t>ents occurs mainly through country and regional programs. DFAT and partner governments agree on the objectives of these programs, which are pursued through a combination of direct investments (including aid activities of other Australian Government departments), policy dialogue</w:t>
      </w:r>
      <w:r w:rsidRPr="00B256FF">
        <w:rPr>
          <w:rStyle w:val="FootnoteReference"/>
          <w:noProof/>
        </w:rPr>
        <w:footnoteReference w:id="9"/>
      </w:r>
      <w:r w:rsidRPr="00B256FF">
        <w:rPr>
          <w:noProof/>
        </w:rPr>
        <w:t xml:space="preserve">, and the contribution of partners, including partner governments. </w:t>
      </w:r>
    </w:p>
    <w:p w:rsidR="0021205F" w:rsidRPr="00B256FF" w:rsidRDefault="0021205F" w:rsidP="00A50879">
      <w:pPr>
        <w:pStyle w:val="BodyText"/>
        <w:rPr>
          <w:rFonts w:ascii="Segoe UI" w:hAnsi="Segoe UI" w:cs="Segoe UI"/>
          <w:noProof/>
          <w:color w:val="333333"/>
          <w:sz w:val="18"/>
          <w:szCs w:val="18"/>
        </w:rPr>
      </w:pPr>
      <w:r w:rsidRPr="00B256FF">
        <w:rPr>
          <w:noProof/>
        </w:rPr>
        <w:t xml:space="preserve">Aid Investment Plans, to be in place by </w:t>
      </w:r>
      <w:r w:rsidR="003850B0">
        <w:rPr>
          <w:noProof/>
        </w:rPr>
        <w:t>September</w:t>
      </w:r>
      <w:r w:rsidRPr="00B256FF">
        <w:rPr>
          <w:noProof/>
        </w:rPr>
        <w:t xml:space="preserve"> 2015, will set out the directions for country and regional programs (replacing Country Assistance Strategies), describing where, why and how Australian aid is delivered</w:t>
      </w:r>
      <w:r w:rsidR="00C20F1A">
        <w:rPr>
          <w:noProof/>
        </w:rPr>
        <w:t>, generally over a four year duration in line with forward budget estimates</w:t>
      </w:r>
      <w:r w:rsidRPr="00B256FF">
        <w:rPr>
          <w:noProof/>
        </w:rPr>
        <w:t>. They will present a line of sight from Australia’s national interests and policy priorities, as well as current and planned aid investments, to the results we expect to achieve in a country or region</w:t>
      </w:r>
      <w:r w:rsidRPr="00B256FF">
        <w:rPr>
          <w:rFonts w:ascii="Segoe UI" w:hAnsi="Segoe UI" w:cs="Segoe UI"/>
          <w:noProof/>
          <w:color w:val="333333"/>
          <w:sz w:val="18"/>
          <w:szCs w:val="18"/>
        </w:rPr>
        <w:t>.</w:t>
      </w:r>
    </w:p>
    <w:p w:rsidR="0021205F" w:rsidRPr="00B256FF" w:rsidRDefault="0021205F" w:rsidP="0021205F">
      <w:pPr>
        <w:pStyle w:val="Heading3"/>
      </w:pPr>
      <w:r w:rsidRPr="00B256FF">
        <w:t>Performance benchmarks and mutual obligations</w:t>
      </w:r>
    </w:p>
    <w:p w:rsidR="0021205F" w:rsidRPr="00B256FF" w:rsidRDefault="0021205F" w:rsidP="00A50879">
      <w:pPr>
        <w:pStyle w:val="BodyText"/>
      </w:pPr>
      <w:r w:rsidRPr="00B256FF">
        <w:rPr>
          <w:i/>
        </w:rPr>
        <w:t>Making Performance Count</w:t>
      </w:r>
      <w:r w:rsidRPr="00B256FF">
        <w:t xml:space="preserve"> specifies that each country and regional program must identify performance benchmarks to assess how well </w:t>
      </w:r>
      <w:r>
        <w:t xml:space="preserve">the </w:t>
      </w:r>
      <w:r w:rsidRPr="00B256FF">
        <w:t>program meets its Aid Investment Plan objectives. These are essentially targets that are</w:t>
      </w:r>
      <w:r w:rsidR="003A6280">
        <w:t>,</w:t>
      </w:r>
      <w:r w:rsidRPr="00B256FF">
        <w:t xml:space="preserve"> “tailored to the different development contexts and priorities of the countries we work in, making the way we measure performance more relevant to us and our partner governments.” </w:t>
      </w:r>
      <w:r w:rsidR="003A6280">
        <w:rPr>
          <w:rStyle w:val="FootnoteReference"/>
        </w:rPr>
        <w:footnoteReference w:id="10"/>
      </w:r>
    </w:p>
    <w:p w:rsidR="0021205F" w:rsidRPr="00B256FF" w:rsidRDefault="0021205F" w:rsidP="00A50879">
      <w:pPr>
        <w:pStyle w:val="BodyText"/>
      </w:pPr>
      <w:r w:rsidRPr="00B256FF">
        <w:t xml:space="preserve">Aid Investment Plans will also outline the mutual obligations of the Australian and partner governments that are particularly important to </w:t>
      </w:r>
      <w:r>
        <w:t xml:space="preserve">the </w:t>
      </w:r>
      <w:r w:rsidRPr="00B256FF">
        <w:t>partner government’s development priorities and Australia’s aid investments.</w:t>
      </w:r>
    </w:p>
    <w:p w:rsidR="0021205F" w:rsidRPr="00B256FF" w:rsidRDefault="0021205F" w:rsidP="0021205F">
      <w:pPr>
        <w:pStyle w:val="Heading3"/>
      </w:pPr>
      <w:r w:rsidRPr="00B256FF">
        <w:t>Recent revisions to APPRs</w:t>
      </w:r>
    </w:p>
    <w:p w:rsidR="0021205F" w:rsidRPr="00B256FF" w:rsidRDefault="0021205F" w:rsidP="0021205F">
      <w:pPr>
        <w:pStyle w:val="BodyText"/>
      </w:pPr>
      <w:r w:rsidRPr="00B256FF">
        <w:t>The 2013</w:t>
      </w:r>
      <w:r>
        <w:t>–</w:t>
      </w:r>
      <w:r w:rsidRPr="00B256FF">
        <w:t xml:space="preserve">14 APPRs—on which this </w:t>
      </w:r>
      <w:r w:rsidR="00561BD2">
        <w:t>quality review</w:t>
      </w:r>
      <w:r w:rsidRPr="00B256FF">
        <w:t xml:space="preserve"> focuses—were prepared according to the revised APPR templates and guidance notes that </w:t>
      </w:r>
      <w:r>
        <w:t xml:space="preserve">DFAT </w:t>
      </w:r>
      <w:r w:rsidRPr="00B256FF">
        <w:t xml:space="preserve">issued in 2014. New features include </w:t>
      </w:r>
      <w:r w:rsidR="00036BD9">
        <w:t>the</w:t>
      </w:r>
      <w:r w:rsidRPr="00B256FF">
        <w:t xml:space="preserve"> requirement</w:t>
      </w:r>
      <w:r w:rsidR="00036BD9">
        <w:t>s</w:t>
      </w:r>
      <w:r w:rsidRPr="00B256FF">
        <w:t xml:space="preserve"> that programs must:</w:t>
      </w:r>
    </w:p>
    <w:p w:rsidR="0021205F" w:rsidRDefault="00036BD9" w:rsidP="0021205F">
      <w:pPr>
        <w:pStyle w:val="BodyText"/>
        <w:numPr>
          <w:ilvl w:val="0"/>
          <w:numId w:val="9"/>
        </w:numPr>
        <w:spacing w:before="40" w:after="120" w:line="288" w:lineRule="auto"/>
      </w:pPr>
      <w:r>
        <w:t xml:space="preserve">adhere to page limits </w:t>
      </w:r>
      <w:r w:rsidR="002B728D">
        <w:t xml:space="preserve">that are </w:t>
      </w:r>
      <w:r w:rsidR="0021205F" w:rsidRPr="00B256FF">
        <w:t>relative to program budget</w:t>
      </w:r>
      <w:r>
        <w:t>s</w:t>
      </w:r>
      <w:r>
        <w:rPr>
          <w:rStyle w:val="FootnoteReference"/>
        </w:rPr>
        <w:footnoteReference w:id="11"/>
      </w:r>
    </w:p>
    <w:p w:rsidR="0021205F" w:rsidRPr="00B256FF" w:rsidRDefault="0021205F" w:rsidP="0021205F">
      <w:pPr>
        <w:pStyle w:val="BodyText"/>
        <w:numPr>
          <w:ilvl w:val="0"/>
          <w:numId w:val="9"/>
        </w:numPr>
        <w:spacing w:before="40" w:after="120" w:line="288" w:lineRule="auto"/>
      </w:pPr>
      <w:r w:rsidRPr="00B256FF">
        <w:t>describe mutual obligations with partner governments (and/or key regional organisations in the case of regional programs) that contribute to shared development goals, and what progress has been made in reaching any mutually agreed outcomes</w:t>
      </w:r>
      <w:r w:rsidRPr="00B256FF">
        <w:rPr>
          <w:rStyle w:val="FootnoteReference"/>
        </w:rPr>
        <w:footnoteReference w:id="12"/>
      </w:r>
    </w:p>
    <w:p w:rsidR="0021205F" w:rsidRPr="00B256FF" w:rsidRDefault="0021205F" w:rsidP="0021205F">
      <w:pPr>
        <w:pStyle w:val="BodyText"/>
        <w:numPr>
          <w:ilvl w:val="0"/>
          <w:numId w:val="9"/>
        </w:numPr>
        <w:spacing w:before="40" w:after="120" w:line="288" w:lineRule="auto"/>
      </w:pPr>
      <w:proofErr w:type="gramStart"/>
      <w:r w:rsidRPr="00B256FF">
        <w:t>identify</w:t>
      </w:r>
      <w:proofErr w:type="gramEnd"/>
      <w:r w:rsidRPr="00B256FF">
        <w:t xml:space="preserve"> a small initial set of performance benchmarks to assess performance for </w:t>
      </w:r>
      <w:r>
        <w:t>2014–15</w:t>
      </w:r>
      <w:r w:rsidRPr="00B256FF">
        <w:t>.</w:t>
      </w:r>
      <w:r w:rsidRPr="00B256FF">
        <w:rPr>
          <w:rStyle w:val="FootnoteReference"/>
        </w:rPr>
        <w:footnoteReference w:id="13"/>
      </w:r>
    </w:p>
    <w:p w:rsidR="0021205F" w:rsidRPr="00B256FF" w:rsidRDefault="0021205F" w:rsidP="0021205F">
      <w:pPr>
        <w:pStyle w:val="BodyText"/>
        <w:rPr>
          <w:highlight w:val="yellow"/>
        </w:rPr>
      </w:pPr>
      <w:r w:rsidRPr="00B256FF">
        <w:t>It will take time for APPR</w:t>
      </w:r>
      <w:r>
        <w:t xml:space="preserve"> </w:t>
      </w:r>
      <w:r w:rsidRPr="00B256FF">
        <w:t>guidance, templates and processes under the new performance framework</w:t>
      </w:r>
      <w:r w:rsidR="002B728D">
        <w:t>—including the relationship between APPRs and Aid Investment Plans—</w:t>
      </w:r>
      <w:r w:rsidRPr="00B256FF">
        <w:t>to bed down and for staff to adjust to the new requirements. The period before the Aid Investment Plans are in place is an opportunity to phase in and learn from piloting the new ideas (performance benchmarks and mutual accountability).</w:t>
      </w:r>
    </w:p>
    <w:p w:rsidR="002B728D" w:rsidRDefault="002B728D" w:rsidP="0021205F">
      <w:pPr>
        <w:pStyle w:val="Heading2"/>
        <w:rPr>
          <w:noProof/>
        </w:rPr>
      </w:pPr>
      <w:bookmarkStart w:id="17" w:name="_Toc403836173"/>
      <w:bookmarkStart w:id="18" w:name="_Toc416250716"/>
    </w:p>
    <w:p w:rsidR="0021205F" w:rsidRPr="00B256FF" w:rsidRDefault="0021205F" w:rsidP="0021205F">
      <w:pPr>
        <w:pStyle w:val="Heading2"/>
        <w:rPr>
          <w:noProof/>
        </w:rPr>
      </w:pPr>
      <w:bookmarkStart w:id="19" w:name="_Toc422327001"/>
      <w:r w:rsidRPr="00B256FF">
        <w:rPr>
          <w:noProof/>
        </w:rPr>
        <w:t>1.</w:t>
      </w:r>
      <w:r>
        <w:rPr>
          <w:noProof/>
        </w:rPr>
        <w:t>4</w:t>
      </w:r>
      <w:r w:rsidRPr="00B256FF">
        <w:rPr>
          <w:noProof/>
        </w:rPr>
        <w:tab/>
        <w:t>Methodology</w:t>
      </w:r>
      <w:bookmarkEnd w:id="17"/>
      <w:bookmarkEnd w:id="18"/>
      <w:bookmarkEnd w:id="19"/>
    </w:p>
    <w:p w:rsidR="0021205F" w:rsidRPr="00B256FF" w:rsidRDefault="0021205F" w:rsidP="0021205F">
      <w:pPr>
        <w:pStyle w:val="BodyText"/>
        <w:rPr>
          <w:noProof/>
        </w:rPr>
      </w:pPr>
      <w:r w:rsidRPr="00B256FF">
        <w:rPr>
          <w:noProof/>
        </w:rPr>
        <w:t xml:space="preserve">The 2014 </w:t>
      </w:r>
      <w:r w:rsidR="004813F0">
        <w:rPr>
          <w:noProof/>
        </w:rPr>
        <w:t>Quality Review</w:t>
      </w:r>
      <w:r w:rsidRPr="00B256FF">
        <w:rPr>
          <w:noProof/>
        </w:rPr>
        <w:t xml:space="preserve"> of APPRs has two objectives:</w:t>
      </w:r>
    </w:p>
    <w:p w:rsidR="0021205F" w:rsidRPr="00B256FF" w:rsidRDefault="0021205F" w:rsidP="0021205F">
      <w:pPr>
        <w:pStyle w:val="BodyText"/>
        <w:numPr>
          <w:ilvl w:val="0"/>
          <w:numId w:val="26"/>
        </w:numPr>
        <w:spacing w:before="40" w:after="120" w:line="288" w:lineRule="auto"/>
        <w:ind w:left="426" w:hanging="426"/>
        <w:rPr>
          <w:noProof/>
        </w:rPr>
      </w:pPr>
      <w:r w:rsidRPr="00B256FF">
        <w:rPr>
          <w:noProof/>
        </w:rPr>
        <w:t>To report on the reasonableness of the performance narratives and the use of evidence.</w:t>
      </w:r>
    </w:p>
    <w:p w:rsidR="0021205F" w:rsidRPr="00B256FF" w:rsidRDefault="0021205F" w:rsidP="0021205F">
      <w:pPr>
        <w:pStyle w:val="BodyText"/>
        <w:numPr>
          <w:ilvl w:val="0"/>
          <w:numId w:val="26"/>
        </w:numPr>
        <w:spacing w:before="40" w:after="120" w:line="288" w:lineRule="auto"/>
        <w:ind w:left="426" w:hanging="426"/>
        <w:rPr>
          <w:noProof/>
        </w:rPr>
      </w:pPr>
      <w:r w:rsidRPr="00B256FF">
        <w:rPr>
          <w:noProof/>
        </w:rPr>
        <w:t>To analyse the coverage, key characteristics and quality of the performance benchmarks proposed.</w:t>
      </w:r>
    </w:p>
    <w:p w:rsidR="0021205F" w:rsidRPr="00B256FF" w:rsidRDefault="0021205F" w:rsidP="0021205F">
      <w:pPr>
        <w:pStyle w:val="BodyText"/>
        <w:rPr>
          <w:noProof/>
        </w:rPr>
      </w:pPr>
      <w:r w:rsidRPr="00B256FF">
        <w:rPr>
          <w:noProof/>
        </w:rPr>
        <w:t xml:space="preserve">To do this, </w:t>
      </w:r>
      <w:r w:rsidR="00561BD2">
        <w:rPr>
          <w:noProof/>
        </w:rPr>
        <w:t>the r</w:t>
      </w:r>
      <w:r w:rsidR="004813F0">
        <w:rPr>
          <w:noProof/>
        </w:rPr>
        <w:t>eview</w:t>
      </w:r>
      <w:r w:rsidRPr="00B256FF">
        <w:rPr>
          <w:noProof/>
        </w:rPr>
        <w:t xml:space="preserve"> draws on several sources of evidence:</w:t>
      </w:r>
    </w:p>
    <w:p w:rsidR="0021205F" w:rsidRPr="00B256FF" w:rsidRDefault="0021205F" w:rsidP="0021205F">
      <w:pPr>
        <w:pStyle w:val="Bullet"/>
        <w:numPr>
          <w:ilvl w:val="0"/>
          <w:numId w:val="9"/>
        </w:numPr>
        <w:rPr>
          <w:noProof/>
        </w:rPr>
      </w:pPr>
      <w:r w:rsidRPr="00B256FF">
        <w:rPr>
          <w:noProof/>
        </w:rPr>
        <w:t xml:space="preserve">previous </w:t>
      </w:r>
      <w:r w:rsidR="00561BD2">
        <w:rPr>
          <w:noProof/>
        </w:rPr>
        <w:t xml:space="preserve">ODE </w:t>
      </w:r>
      <w:r w:rsidRPr="00B256FF">
        <w:rPr>
          <w:noProof/>
        </w:rPr>
        <w:t xml:space="preserve">APPR </w:t>
      </w:r>
      <w:r w:rsidR="00561BD2">
        <w:rPr>
          <w:noProof/>
        </w:rPr>
        <w:t>q</w:t>
      </w:r>
      <w:r w:rsidR="004813F0">
        <w:rPr>
          <w:noProof/>
        </w:rPr>
        <w:t xml:space="preserve">uality </w:t>
      </w:r>
      <w:r w:rsidR="00561BD2">
        <w:rPr>
          <w:noProof/>
        </w:rPr>
        <w:t>r</w:t>
      </w:r>
      <w:r w:rsidR="004813F0">
        <w:rPr>
          <w:noProof/>
        </w:rPr>
        <w:t>eview</w:t>
      </w:r>
      <w:r w:rsidRPr="00B256FF">
        <w:rPr>
          <w:noProof/>
        </w:rPr>
        <w:t>s</w:t>
      </w:r>
    </w:p>
    <w:p w:rsidR="0021205F" w:rsidRPr="00B256FF" w:rsidRDefault="0021205F" w:rsidP="0021205F">
      <w:pPr>
        <w:pStyle w:val="Bullet"/>
        <w:numPr>
          <w:ilvl w:val="0"/>
          <w:numId w:val="9"/>
        </w:numPr>
        <w:rPr>
          <w:noProof/>
        </w:rPr>
      </w:pPr>
      <w:r w:rsidRPr="00B256FF">
        <w:rPr>
          <w:noProof/>
        </w:rPr>
        <w:t>28 of 29 2013–14 APPRs (Table 1)</w:t>
      </w:r>
      <w:r w:rsidRPr="00B256FF">
        <w:rPr>
          <w:rStyle w:val="FootnoteReference"/>
          <w:noProof/>
        </w:rPr>
        <w:footnoteReference w:id="14"/>
      </w:r>
    </w:p>
    <w:p w:rsidR="0021205F" w:rsidRPr="00B256FF" w:rsidRDefault="0021205F" w:rsidP="0021205F">
      <w:pPr>
        <w:pStyle w:val="Bullet"/>
        <w:numPr>
          <w:ilvl w:val="0"/>
          <w:numId w:val="9"/>
        </w:numPr>
        <w:rPr>
          <w:noProof/>
        </w:rPr>
      </w:pPr>
      <w:r w:rsidRPr="00B256FF">
        <w:rPr>
          <w:noProof/>
        </w:rPr>
        <w:t>all 13 available performance assessment frameworks (PAFs; explained further in Section</w:t>
      </w:r>
      <w:r w:rsidR="00CB4733">
        <w:rPr>
          <w:noProof/>
        </w:rPr>
        <w:t> </w:t>
      </w:r>
      <w:r w:rsidRPr="00B256FF">
        <w:rPr>
          <w:noProof/>
        </w:rPr>
        <w:t>2.2</w:t>
      </w:r>
      <w:r w:rsidR="00EB0B45">
        <w:rPr>
          <w:noProof/>
        </w:rPr>
        <w:t xml:space="preserve"> below</w:t>
      </w:r>
      <w:r w:rsidRPr="00B256FF">
        <w:rPr>
          <w:noProof/>
        </w:rPr>
        <w:t>)</w:t>
      </w:r>
    </w:p>
    <w:p w:rsidR="0021205F" w:rsidRPr="00B256FF" w:rsidRDefault="0021205F" w:rsidP="0021205F">
      <w:pPr>
        <w:pStyle w:val="BulletLast"/>
        <w:numPr>
          <w:ilvl w:val="0"/>
          <w:numId w:val="9"/>
        </w:numPr>
        <w:spacing w:after="240"/>
        <w:rPr>
          <w:noProof/>
        </w:rPr>
      </w:pPr>
      <w:r w:rsidRPr="00B256FF">
        <w:rPr>
          <w:noProof/>
        </w:rPr>
        <w:t>2012–13 APPRs to compare performance and quality.</w:t>
      </w:r>
    </w:p>
    <w:p w:rsidR="0021205F" w:rsidRPr="00B256FF" w:rsidRDefault="0021205F" w:rsidP="0021205F">
      <w:pPr>
        <w:pStyle w:val="BodyText"/>
        <w:spacing w:after="240"/>
        <w:rPr>
          <w:noProof/>
        </w:rPr>
      </w:pPr>
      <w:r w:rsidRPr="00B256FF">
        <w:rPr>
          <w:noProof/>
        </w:rPr>
        <w:t>The review</w:t>
      </w:r>
      <w:r w:rsidR="00561BD2">
        <w:rPr>
          <w:noProof/>
        </w:rPr>
        <w:t xml:space="preserve"> of APPR quality</w:t>
      </w:r>
      <w:r w:rsidRPr="00B256FF">
        <w:rPr>
          <w:noProof/>
        </w:rPr>
        <w:t xml:space="preserve"> in Chapter 2 was guided by assessment criteria (Appendix B) comprised of 18 subquestions that assess key quality aspects of APPR</w:t>
      </w:r>
      <w:r w:rsidR="00EB0B45">
        <w:rPr>
          <w:noProof/>
        </w:rPr>
        <w:t>s</w:t>
      </w:r>
      <w:r w:rsidRPr="00B256FF">
        <w:rPr>
          <w:noProof/>
        </w:rPr>
        <w:t>, and which in turn informed assessments/ratings against four cornerstone questions:</w:t>
      </w:r>
    </w:p>
    <w:p w:rsidR="0021205F" w:rsidRPr="00B256FF" w:rsidRDefault="0021205F" w:rsidP="0021205F">
      <w:pPr>
        <w:pStyle w:val="ListParagraph"/>
        <w:numPr>
          <w:ilvl w:val="0"/>
          <w:numId w:val="24"/>
        </w:numPr>
        <w:rPr>
          <w:noProof/>
        </w:rPr>
      </w:pPr>
      <w:r w:rsidRPr="00B256FF">
        <w:rPr>
          <w:b/>
          <w:i/>
          <w:noProof/>
        </w:rPr>
        <w:t>Context and strategic orientation</w:t>
      </w:r>
      <w:r w:rsidRPr="00B256FF">
        <w:rPr>
          <w:noProof/>
        </w:rPr>
        <w:t xml:space="preserve">: </w:t>
      </w:r>
      <w:r w:rsidRPr="00B256FF">
        <w:rPr>
          <w:bCs/>
        </w:rPr>
        <w:t xml:space="preserve">Does the APPR provide a clear, balanced description of program relevance within </w:t>
      </w:r>
      <w:r>
        <w:rPr>
          <w:bCs/>
        </w:rPr>
        <w:t xml:space="preserve">the </w:t>
      </w:r>
      <w:r w:rsidRPr="00B256FF">
        <w:rPr>
          <w:bCs/>
        </w:rPr>
        <w:t xml:space="preserve">country/regional context and </w:t>
      </w:r>
      <w:r w:rsidRPr="00CC14C1">
        <w:rPr>
          <w:bCs/>
        </w:rPr>
        <w:t>the new</w:t>
      </w:r>
      <w:r w:rsidRPr="00B256FF">
        <w:rPr>
          <w:bCs/>
        </w:rPr>
        <w:t xml:space="preserve"> aid policy framework</w:t>
      </w:r>
      <w:r w:rsidRPr="00B256FF">
        <w:rPr>
          <w:noProof/>
        </w:rPr>
        <w:t>?</w:t>
      </w:r>
    </w:p>
    <w:p w:rsidR="0021205F" w:rsidRPr="00B256FF" w:rsidRDefault="0021205F" w:rsidP="0021205F">
      <w:pPr>
        <w:pStyle w:val="BodyText"/>
        <w:numPr>
          <w:ilvl w:val="0"/>
          <w:numId w:val="24"/>
        </w:numPr>
        <w:spacing w:before="57" w:after="142" w:line="288" w:lineRule="auto"/>
        <w:rPr>
          <w:noProof/>
        </w:rPr>
      </w:pPr>
      <w:r w:rsidRPr="00B256FF">
        <w:rPr>
          <w:b/>
          <w:i/>
          <w:noProof/>
        </w:rPr>
        <w:t>Progress assessment</w:t>
      </w:r>
      <w:r w:rsidRPr="00B256FF">
        <w:rPr>
          <w:noProof/>
        </w:rPr>
        <w:t xml:space="preserve">: Does the APPR narrative explain and justify, in a proportionate way, the progress ratings against each program objective? </w:t>
      </w:r>
    </w:p>
    <w:p w:rsidR="0021205F" w:rsidRPr="00B256FF" w:rsidRDefault="0021205F" w:rsidP="0021205F">
      <w:pPr>
        <w:pStyle w:val="BodyText"/>
        <w:numPr>
          <w:ilvl w:val="0"/>
          <w:numId w:val="24"/>
        </w:numPr>
        <w:spacing w:before="57" w:after="142" w:line="288" w:lineRule="auto"/>
        <w:rPr>
          <w:noProof/>
        </w:rPr>
      </w:pPr>
      <w:r w:rsidRPr="00B256FF">
        <w:rPr>
          <w:b/>
          <w:i/>
          <w:noProof/>
        </w:rPr>
        <w:t xml:space="preserve">Partner </w:t>
      </w:r>
      <w:r>
        <w:rPr>
          <w:b/>
          <w:i/>
          <w:noProof/>
        </w:rPr>
        <w:t>contribution</w:t>
      </w:r>
      <w:r w:rsidRPr="00B256FF">
        <w:rPr>
          <w:noProof/>
        </w:rPr>
        <w:t>: Does the APPR provide a proportionate, balanced discussion of the contribution of partner governments and delivery partners?</w:t>
      </w:r>
    </w:p>
    <w:p w:rsidR="0021205F" w:rsidRPr="00B256FF" w:rsidRDefault="0021205F" w:rsidP="0021205F">
      <w:pPr>
        <w:pStyle w:val="BodyText"/>
        <w:numPr>
          <w:ilvl w:val="0"/>
          <w:numId w:val="24"/>
        </w:numPr>
        <w:spacing w:before="40" w:after="120" w:line="288" w:lineRule="auto"/>
        <w:rPr>
          <w:noProof/>
        </w:rPr>
      </w:pPr>
      <w:r w:rsidRPr="00B256FF">
        <w:rPr>
          <w:b/>
          <w:i/>
          <w:noProof/>
        </w:rPr>
        <w:t>Management consequences</w:t>
      </w:r>
      <w:r w:rsidRPr="00B256FF">
        <w:rPr>
          <w:noProof/>
        </w:rPr>
        <w:t xml:space="preserve">: Are the management consequences clearly linked to the ratings narratives and the identified risks to future progress? </w:t>
      </w:r>
    </w:p>
    <w:p w:rsidR="00721229" w:rsidRPr="000510E7" w:rsidRDefault="0021205F" w:rsidP="00023622">
      <w:pPr>
        <w:pStyle w:val="TableandFigureName"/>
        <w:numPr>
          <w:ilvl w:val="0"/>
          <w:numId w:val="0"/>
        </w:numPr>
        <w:tabs>
          <w:tab w:val="clear" w:pos="993"/>
          <w:tab w:val="left" w:pos="1276"/>
        </w:tabs>
        <w:spacing w:before="360"/>
      </w:pPr>
      <w:bookmarkStart w:id="20" w:name="_Toc408606440"/>
      <w:r w:rsidRPr="00B256FF">
        <w:t>Table 1</w:t>
      </w:r>
      <w:r w:rsidRPr="00B256FF">
        <w:tab/>
        <w:t>2013–14</w:t>
      </w:r>
      <w:bookmarkEnd w:id="20"/>
      <w:r w:rsidR="00561BD2">
        <w:t xml:space="preserve"> APPRs assessed in this quality r</w:t>
      </w:r>
      <w:r w:rsidRPr="00B256FF">
        <w:t>eview</w:t>
      </w:r>
    </w:p>
    <w:tbl>
      <w:tblPr>
        <w:tblStyle w:val="TableGrid1"/>
        <w:tblW w:w="5000" w:type="pct"/>
        <w:tblBorders>
          <w:top w:val="single" w:sz="4" w:space="0" w:color="808080"/>
          <w:bottom w:val="single" w:sz="4" w:space="0" w:color="808080"/>
          <w:insideH w:val="single" w:sz="4" w:space="0" w:color="808080"/>
        </w:tblBorders>
        <w:tblLook w:val="04A0" w:firstRow="1" w:lastRow="0" w:firstColumn="1" w:lastColumn="0" w:noHBand="0" w:noVBand="1"/>
      </w:tblPr>
      <w:tblGrid>
        <w:gridCol w:w="2109"/>
        <w:gridCol w:w="6612"/>
      </w:tblGrid>
      <w:tr w:rsidR="00721229" w:rsidRPr="00721229" w:rsidTr="000510E7">
        <w:trPr>
          <w:cnfStyle w:val="100000000000" w:firstRow="1" w:lastRow="0" w:firstColumn="0" w:lastColumn="0" w:oddVBand="0" w:evenVBand="0" w:oddHBand="0" w:evenHBand="0" w:firstRowFirstColumn="0" w:firstRowLastColumn="0" w:lastRowFirstColumn="0" w:lastRowLastColumn="0"/>
        </w:trPr>
        <w:tc>
          <w:tcPr>
            <w:tcW w:w="1209" w:type="pct"/>
            <w:shd w:val="clear" w:color="auto" w:fill="auto"/>
          </w:tcPr>
          <w:p w:rsidR="00721229" w:rsidRPr="00721229" w:rsidRDefault="00721229" w:rsidP="002911BA">
            <w:pPr>
              <w:pStyle w:val="TableHeading1"/>
              <w:spacing w:before="60" w:after="60"/>
            </w:pPr>
            <w:r w:rsidRPr="00721229">
              <w:t>APPR type</w:t>
            </w:r>
          </w:p>
        </w:tc>
        <w:tc>
          <w:tcPr>
            <w:tcW w:w="3791" w:type="pct"/>
            <w:shd w:val="clear" w:color="auto" w:fill="auto"/>
          </w:tcPr>
          <w:p w:rsidR="00721229" w:rsidRPr="00721229" w:rsidRDefault="00721229" w:rsidP="002911BA">
            <w:pPr>
              <w:pStyle w:val="TableHeading1"/>
              <w:spacing w:before="60" w:after="60"/>
            </w:pPr>
            <w:r w:rsidRPr="00721229">
              <w:t>Program</w:t>
            </w:r>
          </w:p>
        </w:tc>
      </w:tr>
      <w:tr w:rsidR="00721229" w:rsidRPr="00721229" w:rsidTr="000510E7">
        <w:tc>
          <w:tcPr>
            <w:tcW w:w="1209" w:type="pct"/>
          </w:tcPr>
          <w:p w:rsidR="00721229" w:rsidRPr="00721229" w:rsidRDefault="00721229" w:rsidP="002911BA">
            <w:pPr>
              <w:pStyle w:val="TableHeading2"/>
              <w:spacing w:before="60" w:after="60"/>
            </w:pPr>
            <w:r w:rsidRPr="00721229">
              <w:t>Country APPRs</w:t>
            </w:r>
          </w:p>
        </w:tc>
        <w:tc>
          <w:tcPr>
            <w:tcW w:w="3791" w:type="pct"/>
          </w:tcPr>
          <w:p w:rsidR="00721229" w:rsidRPr="00721229" w:rsidRDefault="00721229" w:rsidP="002911BA">
            <w:pPr>
              <w:pStyle w:val="TableText"/>
              <w:spacing w:before="60" w:after="60"/>
            </w:pPr>
            <w:r w:rsidRPr="00721229">
              <w:t xml:space="preserve">Afghanistan, Bangladesh, Burma, Cambodia, Fiji, Indonesia, Kiribati, Laos, Mongolia, Nepal, Pakistan, Palestinian Territories, Papua New Guinea, Philippines, Samoa, Solomon Islands, Sri Lanka, Timor-Leste, Tonga, Tuvalu, Vanuatu, Vietnam </w:t>
            </w:r>
          </w:p>
        </w:tc>
      </w:tr>
      <w:tr w:rsidR="00721229" w:rsidRPr="00721229" w:rsidTr="000510E7">
        <w:tc>
          <w:tcPr>
            <w:tcW w:w="1209" w:type="pct"/>
          </w:tcPr>
          <w:p w:rsidR="00721229" w:rsidRPr="00721229" w:rsidRDefault="00721229" w:rsidP="002911BA">
            <w:pPr>
              <w:pStyle w:val="TableHeading2"/>
              <w:spacing w:before="60" w:after="60"/>
            </w:pPr>
            <w:r w:rsidRPr="00721229">
              <w:t>Regional APPRs</w:t>
            </w:r>
          </w:p>
        </w:tc>
        <w:tc>
          <w:tcPr>
            <w:tcW w:w="3791" w:type="pct"/>
          </w:tcPr>
          <w:p w:rsidR="00721229" w:rsidRPr="00721229" w:rsidRDefault="00721229" w:rsidP="002911BA">
            <w:pPr>
              <w:pStyle w:val="TableText"/>
              <w:spacing w:before="60" w:after="60"/>
            </w:pPr>
            <w:r w:rsidRPr="00721229">
              <w:t>East Asia, Pacific, South Asia, Sub-Saharan Africa</w:t>
            </w:r>
          </w:p>
        </w:tc>
      </w:tr>
      <w:tr w:rsidR="00721229" w:rsidRPr="00721229" w:rsidTr="000510E7">
        <w:tc>
          <w:tcPr>
            <w:tcW w:w="1209" w:type="pct"/>
          </w:tcPr>
          <w:p w:rsidR="00721229" w:rsidRPr="00721229" w:rsidRDefault="00721229" w:rsidP="002911BA">
            <w:pPr>
              <w:pStyle w:val="TableHeading2"/>
              <w:spacing w:before="60" w:after="60"/>
            </w:pPr>
            <w:r w:rsidRPr="00721229">
              <w:t>Other APPRs*</w:t>
            </w:r>
          </w:p>
        </w:tc>
        <w:tc>
          <w:tcPr>
            <w:tcW w:w="3791" w:type="pct"/>
          </w:tcPr>
          <w:p w:rsidR="00721229" w:rsidRPr="00721229" w:rsidRDefault="00721229" w:rsidP="002911BA">
            <w:pPr>
              <w:pStyle w:val="TableText"/>
              <w:spacing w:before="60" w:after="60"/>
            </w:pPr>
            <w:r w:rsidRPr="00721229">
              <w:t>Australian-NGO Cooperation Program (ANCP), Mekong Water Resources Program</w:t>
            </w:r>
          </w:p>
        </w:tc>
      </w:tr>
    </w:tbl>
    <w:p w:rsidR="000510E7" w:rsidRPr="00CB4733" w:rsidRDefault="000510E7" w:rsidP="000510E7">
      <w:pPr>
        <w:pStyle w:val="TableFigureNote"/>
      </w:pPr>
      <w:r w:rsidRPr="00CB4733">
        <w:t xml:space="preserve">* ANCP and Mekong Water Resources Program were not required to write APPRs but elected to do so voluntarily. </w:t>
      </w:r>
    </w:p>
    <w:p w:rsidR="00023622" w:rsidRDefault="00023622">
      <w:pPr>
        <w:rPr>
          <w:rFonts w:ascii="Franklin Gothic Book" w:hAnsi="Franklin Gothic Book"/>
          <w:noProof/>
          <w:sz w:val="21"/>
        </w:rPr>
      </w:pPr>
      <w:r>
        <w:rPr>
          <w:noProof/>
        </w:rPr>
        <w:br w:type="page"/>
      </w:r>
    </w:p>
    <w:p w:rsidR="0021205F" w:rsidRPr="00B256FF" w:rsidRDefault="0021205F" w:rsidP="0021205F">
      <w:pPr>
        <w:pStyle w:val="BodyText"/>
        <w:rPr>
          <w:noProof/>
        </w:rPr>
      </w:pPr>
      <w:r w:rsidRPr="00B256FF">
        <w:rPr>
          <w:noProof/>
        </w:rPr>
        <w:t>Each APPR was reviewed and rated (with comments) against the same quality rat</w:t>
      </w:r>
      <w:r w:rsidR="00EB5937">
        <w:rPr>
          <w:noProof/>
        </w:rPr>
        <w:t>ing scale as last year</w:t>
      </w:r>
      <w:r w:rsidR="000E0712">
        <w:rPr>
          <w:noProof/>
        </w:rPr>
        <w:t>’s APPR review</w:t>
      </w:r>
      <w:r w:rsidR="00EB5937">
        <w:rPr>
          <w:noProof/>
        </w:rPr>
        <w:t xml:space="preserve"> (Figure 3</w:t>
      </w:r>
      <w:r w:rsidRPr="00B256FF">
        <w:rPr>
          <w:noProof/>
        </w:rPr>
        <w:t>). Compliance with</w:t>
      </w:r>
      <w:r>
        <w:rPr>
          <w:noProof/>
        </w:rPr>
        <w:t xml:space="preserve"> DFAT’s</w:t>
      </w:r>
      <w:r w:rsidRPr="00B256FF">
        <w:rPr>
          <w:noProof/>
        </w:rPr>
        <w:t xml:space="preserve"> current APPR guidance determined the difference between a rating of two (</w:t>
      </w:r>
      <w:r w:rsidR="000E0712">
        <w:rPr>
          <w:noProof/>
        </w:rPr>
        <w:t>unsatisfactory</w:t>
      </w:r>
      <w:r w:rsidRPr="00B256FF">
        <w:rPr>
          <w:noProof/>
        </w:rPr>
        <w:t xml:space="preserve">) </w:t>
      </w:r>
      <w:r>
        <w:rPr>
          <w:noProof/>
        </w:rPr>
        <w:t>and</w:t>
      </w:r>
      <w:r w:rsidRPr="00B256FF">
        <w:rPr>
          <w:noProof/>
        </w:rPr>
        <w:t xml:space="preserve"> three (adequate)</w:t>
      </w:r>
      <w:r>
        <w:rPr>
          <w:noProof/>
        </w:rPr>
        <w:t>;</w:t>
      </w:r>
      <w:r w:rsidRPr="00B256FF">
        <w:rPr>
          <w:noProof/>
        </w:rPr>
        <w:t xml:space="preserve"> that is, </w:t>
      </w:r>
      <w:r w:rsidRPr="00B256FF">
        <w:rPr>
          <w:b/>
          <w:i/>
          <w:noProof/>
        </w:rPr>
        <w:t>no APPR was rated less than adequate against any question if it complied with the guidance</w:t>
      </w:r>
      <w:r w:rsidRPr="00B256FF">
        <w:rPr>
          <w:noProof/>
        </w:rPr>
        <w:t>. In this way</w:t>
      </w:r>
      <w:r>
        <w:rPr>
          <w:noProof/>
        </w:rPr>
        <w:t>,</w:t>
      </w:r>
      <w:r w:rsidRPr="00B256FF">
        <w:rPr>
          <w:noProof/>
        </w:rPr>
        <w:t xml:space="preserve"> changes in APPR</w:t>
      </w:r>
      <w:r>
        <w:rPr>
          <w:noProof/>
        </w:rPr>
        <w:t xml:space="preserve"> </w:t>
      </w:r>
      <w:r w:rsidRPr="00B256FF">
        <w:rPr>
          <w:noProof/>
        </w:rPr>
        <w:t>guidance since last year were taken into account. The ratings and comments were extensively moderated among the review team members and against last year’s assessments to maximise comparability. Ratings and patterns in performance were analysed by program size and loca</w:t>
      </w:r>
      <w:r w:rsidR="00190424">
        <w:rPr>
          <w:noProof/>
        </w:rPr>
        <w:t>tion. Good practices</w:t>
      </w:r>
      <w:r w:rsidRPr="00B256FF">
        <w:rPr>
          <w:noProof/>
        </w:rPr>
        <w:t xml:space="preserve"> a</w:t>
      </w:r>
      <w:r w:rsidR="00190424">
        <w:rPr>
          <w:noProof/>
        </w:rPr>
        <w:t>s well as</w:t>
      </w:r>
      <w:r w:rsidRPr="00B256FF">
        <w:rPr>
          <w:noProof/>
        </w:rPr>
        <w:t xml:space="preserve"> common weaknesses in all areas of APPR reporting were identified.</w:t>
      </w:r>
    </w:p>
    <w:p w:rsidR="0021205F" w:rsidRPr="00B256FF" w:rsidRDefault="00EB5937" w:rsidP="00023622">
      <w:pPr>
        <w:pStyle w:val="TableandFigureName"/>
        <w:numPr>
          <w:ilvl w:val="0"/>
          <w:numId w:val="0"/>
        </w:numPr>
        <w:tabs>
          <w:tab w:val="clear" w:pos="993"/>
          <w:tab w:val="left" w:pos="1276"/>
        </w:tabs>
        <w:spacing w:before="360"/>
      </w:pPr>
      <w:bookmarkStart w:id="21" w:name="_Toc408606451"/>
      <w:r>
        <w:t>Figure 3</w:t>
      </w:r>
      <w:r w:rsidR="0021205F">
        <w:tab/>
      </w:r>
      <w:r w:rsidR="0021205F" w:rsidRPr="00B256FF">
        <w:t>APPR quality rating scale</w:t>
      </w:r>
      <w:bookmarkEnd w:id="21"/>
    </w:p>
    <w:tbl>
      <w:tblPr>
        <w:tblW w:w="8505" w:type="dxa"/>
        <w:tblInd w:w="108" w:type="dxa"/>
        <w:tblBorders>
          <w:top w:val="single" w:sz="4" w:space="0" w:color="808080"/>
          <w:bottom w:val="single" w:sz="4" w:space="0" w:color="808080"/>
        </w:tblBorders>
        <w:tblLayout w:type="fixed"/>
        <w:tblLook w:val="00A0" w:firstRow="1" w:lastRow="0" w:firstColumn="1" w:lastColumn="0" w:noHBand="0" w:noVBand="0"/>
        <w:tblDescription w:val="According to this scale: 5 is the highest score and means “An example of best practice”; 4 means “Good”; 3 means “Adequate/Complies with guidelines”; 2 means “Unsatisfactory/Below expectations”; and 1 is the lowest score, and means “Unsatisfactory/Weak.”"/>
      </w:tblPr>
      <w:tblGrid>
        <w:gridCol w:w="1418"/>
        <w:gridCol w:w="1276"/>
        <w:gridCol w:w="1134"/>
        <w:gridCol w:w="1559"/>
        <w:gridCol w:w="1559"/>
        <w:gridCol w:w="1559"/>
      </w:tblGrid>
      <w:tr w:rsidR="008011D8" w:rsidRPr="00B256FF" w:rsidTr="008D0560">
        <w:trPr>
          <w:trHeight w:val="920"/>
        </w:trPr>
        <w:tc>
          <w:tcPr>
            <w:tcW w:w="1418" w:type="dxa"/>
            <w:shd w:val="clear" w:color="auto" w:fill="FFFFFF"/>
          </w:tcPr>
          <w:p w:rsidR="008011D8" w:rsidRPr="008011D8" w:rsidRDefault="008011D8" w:rsidP="008D0560">
            <w:pPr>
              <w:pStyle w:val="TableTextEntries"/>
              <w:spacing w:before="120" w:after="120"/>
              <w:rPr>
                <w:b/>
                <w:sz w:val="18"/>
                <w:szCs w:val="18"/>
              </w:rPr>
            </w:pPr>
            <w:r w:rsidRPr="008011D8">
              <w:rPr>
                <w:b/>
                <w:iCs w:val="0"/>
                <w:noProof/>
                <w:sz w:val="18"/>
                <w:szCs w:val="18"/>
                <w:lang w:eastAsia="en-AU"/>
              </w:rPr>
              <w:t>Rating</w:t>
            </w:r>
          </w:p>
          <w:p w:rsidR="008011D8" w:rsidRPr="00D84AE9" w:rsidRDefault="008011D8" w:rsidP="008D0560">
            <w:pPr>
              <w:pStyle w:val="TableTextEntries"/>
              <w:rPr>
                <w:b/>
              </w:rPr>
            </w:pPr>
            <w:r w:rsidRPr="00B256FF">
              <w:t>Explanation of rating</w:t>
            </w:r>
          </w:p>
        </w:tc>
        <w:tc>
          <w:tcPr>
            <w:tcW w:w="1276" w:type="dxa"/>
            <w:shd w:val="clear" w:color="000000" w:fill="008000"/>
          </w:tcPr>
          <w:p w:rsidR="008011D8" w:rsidRPr="008011D8" w:rsidRDefault="008011D8" w:rsidP="00746089">
            <w:pPr>
              <w:pStyle w:val="TableTextEntries"/>
              <w:spacing w:before="120" w:after="120"/>
              <w:jc w:val="center"/>
              <w:rPr>
                <w:b/>
                <w:iCs w:val="0"/>
                <w:noProof/>
                <w:color w:val="FFFFFF" w:themeColor="background1"/>
                <w:sz w:val="18"/>
                <w:szCs w:val="18"/>
                <w:lang w:eastAsia="en-AU"/>
              </w:rPr>
            </w:pPr>
            <w:r w:rsidRPr="008011D8">
              <w:rPr>
                <w:b/>
                <w:iCs w:val="0"/>
                <w:noProof/>
                <w:color w:val="FFFFFF" w:themeColor="background1"/>
                <w:sz w:val="18"/>
                <w:szCs w:val="18"/>
                <w:lang w:eastAsia="en-AU"/>
              </w:rPr>
              <w:t>5</w:t>
            </w:r>
          </w:p>
          <w:p w:rsidR="008011D8" w:rsidRPr="00D84AE9" w:rsidRDefault="008011D8" w:rsidP="00746089">
            <w:pPr>
              <w:pStyle w:val="TableTextEntries"/>
              <w:jc w:val="center"/>
              <w:rPr>
                <w:b/>
                <w:color w:val="FFFFFF" w:themeColor="background1"/>
              </w:rPr>
            </w:pPr>
            <w:r w:rsidRPr="00D84AE9">
              <w:rPr>
                <w:color w:val="FFFFFF" w:themeColor="background1"/>
              </w:rPr>
              <w:t>Example of best practice</w:t>
            </w:r>
          </w:p>
        </w:tc>
        <w:tc>
          <w:tcPr>
            <w:tcW w:w="1134" w:type="dxa"/>
            <w:shd w:val="clear" w:color="000000" w:fill="99CC00"/>
          </w:tcPr>
          <w:p w:rsidR="008011D8" w:rsidRPr="008011D8" w:rsidRDefault="008011D8" w:rsidP="00746089">
            <w:pPr>
              <w:pStyle w:val="TableTextEntries"/>
              <w:spacing w:before="120" w:after="120"/>
              <w:jc w:val="center"/>
              <w:rPr>
                <w:b/>
                <w:iCs w:val="0"/>
                <w:noProof/>
                <w:sz w:val="18"/>
                <w:szCs w:val="18"/>
                <w:lang w:eastAsia="en-AU"/>
              </w:rPr>
            </w:pPr>
            <w:r w:rsidRPr="008011D8">
              <w:rPr>
                <w:b/>
                <w:iCs w:val="0"/>
                <w:noProof/>
                <w:sz w:val="18"/>
                <w:szCs w:val="18"/>
                <w:lang w:eastAsia="en-AU"/>
              </w:rPr>
              <w:t>4</w:t>
            </w:r>
          </w:p>
          <w:p w:rsidR="008011D8" w:rsidRPr="00D84AE9" w:rsidRDefault="008011D8" w:rsidP="00746089">
            <w:pPr>
              <w:pStyle w:val="TableTextEntries"/>
              <w:jc w:val="center"/>
              <w:rPr>
                <w:b/>
              </w:rPr>
            </w:pPr>
            <w:r w:rsidRPr="00B256FF">
              <w:t>Good</w:t>
            </w:r>
          </w:p>
        </w:tc>
        <w:tc>
          <w:tcPr>
            <w:tcW w:w="1559" w:type="dxa"/>
            <w:shd w:val="clear" w:color="000000" w:fill="FFCC00"/>
          </w:tcPr>
          <w:p w:rsidR="008011D8" w:rsidRPr="008011D8" w:rsidRDefault="008011D8" w:rsidP="00746089">
            <w:pPr>
              <w:pStyle w:val="TableTextEntries"/>
              <w:spacing w:before="120" w:after="120"/>
              <w:jc w:val="center"/>
              <w:rPr>
                <w:b/>
                <w:iCs w:val="0"/>
                <w:noProof/>
                <w:sz w:val="18"/>
                <w:szCs w:val="18"/>
                <w:lang w:eastAsia="en-AU"/>
              </w:rPr>
            </w:pPr>
            <w:r w:rsidRPr="008011D8">
              <w:rPr>
                <w:b/>
                <w:iCs w:val="0"/>
                <w:noProof/>
                <w:sz w:val="18"/>
                <w:szCs w:val="18"/>
                <w:lang w:eastAsia="en-AU"/>
              </w:rPr>
              <w:t>3</w:t>
            </w:r>
          </w:p>
          <w:p w:rsidR="008011D8" w:rsidRPr="00D84AE9" w:rsidRDefault="008011D8" w:rsidP="00746089">
            <w:pPr>
              <w:pStyle w:val="TableTextEntries"/>
              <w:jc w:val="center"/>
              <w:rPr>
                <w:iCs w:val="0"/>
                <w:noProof/>
                <w:sz w:val="21"/>
                <w:szCs w:val="20"/>
                <w:lang w:eastAsia="en-AU"/>
              </w:rPr>
            </w:pPr>
            <w:r w:rsidRPr="00D84AE9">
              <w:t>Adequate / Complies with guidelines</w:t>
            </w:r>
          </w:p>
        </w:tc>
        <w:tc>
          <w:tcPr>
            <w:tcW w:w="1559" w:type="dxa"/>
            <w:shd w:val="clear" w:color="auto" w:fill="ED7D31"/>
          </w:tcPr>
          <w:p w:rsidR="008011D8" w:rsidRPr="008011D8" w:rsidRDefault="008011D8" w:rsidP="00746089">
            <w:pPr>
              <w:pStyle w:val="TableTextEntries"/>
              <w:spacing w:before="120" w:after="120"/>
              <w:jc w:val="center"/>
              <w:rPr>
                <w:b/>
                <w:iCs w:val="0"/>
                <w:noProof/>
                <w:sz w:val="18"/>
                <w:szCs w:val="18"/>
                <w:lang w:eastAsia="en-AU"/>
              </w:rPr>
            </w:pPr>
            <w:r w:rsidRPr="008011D8">
              <w:rPr>
                <w:b/>
                <w:iCs w:val="0"/>
                <w:noProof/>
                <w:sz w:val="18"/>
                <w:szCs w:val="18"/>
                <w:lang w:eastAsia="en-AU"/>
              </w:rPr>
              <w:t>2</w:t>
            </w:r>
          </w:p>
          <w:p w:rsidR="008011D8" w:rsidRPr="00D84AE9" w:rsidRDefault="008011D8" w:rsidP="00746089">
            <w:pPr>
              <w:pStyle w:val="TableTextEntries"/>
              <w:jc w:val="center"/>
              <w:rPr>
                <w:b/>
              </w:rPr>
            </w:pPr>
            <w:r w:rsidRPr="00B256FF">
              <w:t>Unsatisfactory / Below expectations</w:t>
            </w:r>
          </w:p>
        </w:tc>
        <w:tc>
          <w:tcPr>
            <w:tcW w:w="1559" w:type="dxa"/>
            <w:shd w:val="clear" w:color="000000" w:fill="FF0000"/>
          </w:tcPr>
          <w:p w:rsidR="008011D8" w:rsidRPr="008011D8" w:rsidRDefault="008011D8" w:rsidP="00746089">
            <w:pPr>
              <w:pStyle w:val="TableTextEntries"/>
              <w:spacing w:before="120" w:after="120"/>
              <w:jc w:val="center"/>
              <w:rPr>
                <w:b/>
                <w:iCs w:val="0"/>
                <w:noProof/>
                <w:color w:val="FFFFFF" w:themeColor="background1"/>
                <w:sz w:val="18"/>
                <w:szCs w:val="18"/>
                <w:lang w:eastAsia="en-AU"/>
              </w:rPr>
            </w:pPr>
            <w:r w:rsidRPr="008011D8">
              <w:rPr>
                <w:b/>
                <w:iCs w:val="0"/>
                <w:noProof/>
                <w:color w:val="FFFFFF" w:themeColor="background1"/>
                <w:sz w:val="18"/>
                <w:szCs w:val="18"/>
                <w:lang w:eastAsia="en-AU"/>
              </w:rPr>
              <w:t>1</w:t>
            </w:r>
          </w:p>
          <w:p w:rsidR="008011D8" w:rsidRPr="00D84AE9" w:rsidRDefault="008011D8" w:rsidP="00746089">
            <w:pPr>
              <w:pStyle w:val="TableTextEntries"/>
              <w:jc w:val="center"/>
              <w:rPr>
                <w:b/>
                <w:color w:val="FFFFFF" w:themeColor="background1"/>
              </w:rPr>
            </w:pPr>
            <w:r w:rsidRPr="00D84AE9">
              <w:rPr>
                <w:color w:val="FFFFFF" w:themeColor="background1"/>
              </w:rPr>
              <w:t>Unsatisfactory / Weak</w:t>
            </w:r>
          </w:p>
        </w:tc>
      </w:tr>
    </w:tbl>
    <w:p w:rsidR="0021205F" w:rsidRPr="00B256FF" w:rsidRDefault="0021205F" w:rsidP="008011D8">
      <w:pPr>
        <w:pStyle w:val="TableFigureNote"/>
      </w:pPr>
      <w:r w:rsidRPr="00B256FF">
        <w:t xml:space="preserve">Note: Ratings of </w:t>
      </w:r>
      <w:r>
        <w:t>2</w:t>
      </w:r>
      <w:r w:rsidRPr="00B256FF">
        <w:t xml:space="preserve"> or below indicate unsatisfactory quality. Ratings </w:t>
      </w:r>
      <w:r>
        <w:t xml:space="preserve">of </w:t>
      </w:r>
      <w:r w:rsidRPr="00B256FF">
        <w:t>3 and abov</w:t>
      </w:r>
      <w:r>
        <w:t>e indicate satisfactory quality—</w:t>
      </w:r>
      <w:r w:rsidRPr="00B256FF">
        <w:t>a</w:t>
      </w:r>
      <w:r>
        <w:t xml:space="preserve"> </w:t>
      </w:r>
      <w:r w:rsidRPr="00B256FF">
        <w:t xml:space="preserve">rating of at least 3 was given where the APPR complied with </w:t>
      </w:r>
      <w:r>
        <w:t xml:space="preserve">the APPR </w:t>
      </w:r>
      <w:r w:rsidRPr="00B256FF">
        <w:t>guidance</w:t>
      </w:r>
      <w:r>
        <w:t>.</w:t>
      </w:r>
      <w:r w:rsidRPr="00B256FF">
        <w:t xml:space="preserve"> </w:t>
      </w:r>
      <w:r>
        <w:t>A rating</w:t>
      </w:r>
      <w:r w:rsidRPr="00B256FF">
        <w:t xml:space="preserve"> of 4 indicate</w:t>
      </w:r>
      <w:r>
        <w:t>s</w:t>
      </w:r>
      <w:r w:rsidRPr="00B256FF">
        <w:t xml:space="preserve"> that additional information/analysis was given that enhanced the quality area</w:t>
      </w:r>
      <w:r>
        <w:t>. A</w:t>
      </w:r>
      <w:r w:rsidRPr="00B256FF">
        <w:t xml:space="preserve"> rating of 5 reflects</w:t>
      </w:r>
      <w:r>
        <w:t xml:space="preserve"> particularly</w:t>
      </w:r>
      <w:r w:rsidRPr="00B256FF">
        <w:t xml:space="preserve"> high quality in the given area. </w:t>
      </w:r>
    </w:p>
    <w:p w:rsidR="000957A1" w:rsidRDefault="000957A1" w:rsidP="008D0560">
      <w:pPr>
        <w:pBdr>
          <w:left w:val="single" w:sz="4" w:space="4" w:color="808080"/>
        </w:pBdr>
        <w:sectPr w:rsidR="000957A1" w:rsidSect="007D0C20">
          <w:footnotePr>
            <w:numFmt w:val="chicago"/>
            <w:numRestart w:val="eachPage"/>
          </w:footnotePr>
          <w:endnotePr>
            <w:numFmt w:val="decimal"/>
          </w:endnotePr>
          <w:type w:val="continuous"/>
          <w:pgSz w:w="11907" w:h="16840" w:code="9"/>
          <w:pgMar w:top="958" w:right="1701" w:bottom="907" w:left="1701" w:header="851" w:footer="567" w:gutter="0"/>
          <w:cols w:space="720"/>
          <w:docGrid w:linePitch="326"/>
        </w:sectPr>
      </w:pPr>
    </w:p>
    <w:bookmarkStart w:id="22" w:name="_Toc422327002"/>
    <w:p w:rsidR="005A5815" w:rsidRDefault="0031311B" w:rsidP="00E75545">
      <w:pPr>
        <w:pStyle w:val="Heading1b"/>
      </w:pPr>
      <w:r>
        <w:rPr>
          <w:noProof/>
        </w:rPr>
        <mc:AlternateContent>
          <mc:Choice Requires="wps">
            <w:drawing>
              <wp:anchor distT="0" distB="0" distL="114300" distR="114300" simplePos="0" relativeHeight="251706368" behindDoc="1" locked="0" layoutInCell="1" allowOverlap="1" wp14:anchorId="4CA0E9E5" wp14:editId="5439CB62">
                <wp:simplePos x="0" y="0"/>
                <wp:positionH relativeFrom="page">
                  <wp:posOffset>-23495</wp:posOffset>
                </wp:positionH>
                <wp:positionV relativeFrom="paragraph">
                  <wp:posOffset>-123825</wp:posOffset>
                </wp:positionV>
                <wp:extent cx="7629525" cy="1193165"/>
                <wp:effectExtent l="0" t="0" r="444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525" cy="1193165"/>
                        </a:xfrm>
                        <a:prstGeom prst="rect">
                          <a:avLst/>
                        </a:prstGeom>
                        <a:solidFill>
                          <a:srgbClr val="124486"/>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813F0" w:rsidRPr="00F17D22" w:rsidRDefault="004813F0" w:rsidP="00E75545">
                            <w:pPr>
                              <w:pStyle w:val="Heading1"/>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52" style="position:absolute;margin-left:-1.85pt;margin-top:-9.75pt;width:600.75pt;height:93.9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" fillcolor="#124486" stroked="f" strokeweight="2pt">
                <v:textbox>
                  <w:txbxContent>
                    <w:p w:rsidR="004813F0" w:rsidRPr="00F17D22" w:rsidRDefault="004813F0" w:rsidP="00E75545">
                      <w:pPr>
                        <w:pStyle w:val="Heading1"/>
                      </w:pPr>
                    </w:p>
                  </w:txbxContent>
                </v:textbox>
                <w10:wrap anchorx="page"/>
              </v:rect>
            </w:pict>
          </mc:Fallback>
        </mc:AlternateContent>
      </w:r>
      <w:r w:rsidR="00891AEF">
        <w:t>2</w:t>
      </w:r>
      <w:r w:rsidR="00891AEF">
        <w:tab/>
      </w:r>
      <w:r w:rsidR="005A5815" w:rsidRPr="00B256FF">
        <w:t xml:space="preserve">Quality </w:t>
      </w:r>
      <w:r w:rsidR="005A5815">
        <w:t>review</w:t>
      </w:r>
      <w:bookmarkEnd w:id="22"/>
    </w:p>
    <w:p w:rsidR="005A5815" w:rsidRPr="00B256FF" w:rsidRDefault="005A5815" w:rsidP="005A5815">
      <w:pPr>
        <w:pStyle w:val="BodyText"/>
        <w:rPr>
          <w:noProof/>
        </w:rPr>
      </w:pPr>
      <w:r w:rsidRPr="00B256FF">
        <w:rPr>
          <w:noProof/>
        </w:rPr>
        <w:t>The quality of 2013–14 APPRs is consistent with the previous year’s: they are well written, informative descriptions of program activities and progress towards objectives that include evidence-based, balanced discussion</w:t>
      </w:r>
      <w:r w:rsidR="009D2060">
        <w:rPr>
          <w:noProof/>
        </w:rPr>
        <w:t>s</w:t>
      </w:r>
      <w:r w:rsidRPr="00B256FF">
        <w:rPr>
          <w:noProof/>
        </w:rPr>
        <w:t xml:space="preserve"> of successes and failures. </w:t>
      </w:r>
      <w:r>
        <w:rPr>
          <w:noProof/>
        </w:rPr>
        <w:t xml:space="preserve">Almost all APPRs were rated as either good or adequate against all four cornerstone questions </w:t>
      </w:r>
      <w:r w:rsidR="00EB5937">
        <w:rPr>
          <w:noProof/>
        </w:rPr>
        <w:t>(Figure 4</w:t>
      </w:r>
      <w:r w:rsidRPr="00B256FF">
        <w:rPr>
          <w:noProof/>
        </w:rPr>
        <w:t xml:space="preserve">). Findings against each cornerstone question </w:t>
      </w:r>
      <w:r>
        <w:rPr>
          <w:noProof/>
        </w:rPr>
        <w:t>are</w:t>
      </w:r>
      <w:r w:rsidRPr="00B256FF">
        <w:rPr>
          <w:noProof/>
        </w:rPr>
        <w:t xml:space="preserve"> discussed in turn below. Appendix E provides details of ratings against </w:t>
      </w:r>
      <w:r w:rsidRPr="00B256FF">
        <w:rPr>
          <w:i/>
          <w:noProof/>
        </w:rPr>
        <w:t>all</w:t>
      </w:r>
      <w:r w:rsidRPr="00B256FF">
        <w:rPr>
          <w:noProof/>
        </w:rPr>
        <w:t xml:space="preserve"> cornerstone </w:t>
      </w:r>
      <w:r>
        <w:rPr>
          <w:noProof/>
        </w:rPr>
        <w:t xml:space="preserve">questions </w:t>
      </w:r>
      <w:r w:rsidRPr="00B256FF">
        <w:rPr>
          <w:noProof/>
        </w:rPr>
        <w:t>and subquestions.</w:t>
      </w:r>
    </w:p>
    <w:p w:rsidR="005A5815" w:rsidRDefault="00EB5937" w:rsidP="00023622">
      <w:pPr>
        <w:pStyle w:val="TableandFigureName"/>
        <w:numPr>
          <w:ilvl w:val="0"/>
          <w:numId w:val="0"/>
        </w:numPr>
        <w:tabs>
          <w:tab w:val="clear" w:pos="993"/>
          <w:tab w:val="left" w:pos="1276"/>
        </w:tabs>
        <w:spacing w:before="360"/>
      </w:pPr>
      <w:bookmarkStart w:id="23" w:name="_Toc408606452"/>
      <w:r>
        <w:t>Figure 4</w:t>
      </w:r>
      <w:r w:rsidR="006335F8">
        <w:tab/>
      </w:r>
      <w:r w:rsidR="005A5815" w:rsidRPr="00B256FF">
        <w:t>Almost all APPRs were rated as “good” or “adequate” against each cornerstone question</w:t>
      </w:r>
      <w:bookmarkEnd w:id="23"/>
    </w:p>
    <w:p w:rsidR="00DA372A" w:rsidRPr="000F08A4" w:rsidRDefault="00DA372A" w:rsidP="000F08A4">
      <w:r w:rsidRPr="000F08A4">
        <w:rPr>
          <w:noProof/>
        </w:rPr>
        <w:drawing>
          <wp:inline distT="0" distB="0" distL="0" distR="0" wp14:anchorId="7AC83F9A" wp14:editId="6F3CE443">
            <wp:extent cx="5400675" cy="2893730"/>
            <wp:effectExtent l="0" t="0" r="0" b="1905"/>
            <wp:docPr id="291" name="Chart 291" descr="Bar chart shows the following results. Cornerstone question 1 in relation to context and strategic orientation: 11 adequate, 15 good and 2 best practice. Cornerstone question 2 in relation to assessment of progress towards objectives: 12 adequate, 14 good and 2 best practice. Cornerstone question 3 in relation to partner contribution: 2 unsatisfactory, 11 adequate, 14 good and 1 best practice. And Cornerstone question 4 in relation to management consequences: 11 adequate, 16 good and 1 best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A5815" w:rsidRPr="00B256FF" w:rsidRDefault="005A5815" w:rsidP="005A5815">
      <w:pPr>
        <w:pStyle w:val="Heading2"/>
      </w:pPr>
      <w:bookmarkStart w:id="24" w:name="_Toc403110164"/>
      <w:bookmarkStart w:id="25" w:name="_Toc403836176"/>
      <w:bookmarkStart w:id="26" w:name="_Toc416250718"/>
      <w:bookmarkStart w:id="27" w:name="_Toc422327003"/>
      <w:r w:rsidRPr="00B256FF">
        <w:t>2.1</w:t>
      </w:r>
      <w:r w:rsidRPr="00B256FF">
        <w:tab/>
        <w:t>Context and strategic orientation</w:t>
      </w:r>
      <w:bookmarkEnd w:id="24"/>
      <w:bookmarkEnd w:id="25"/>
      <w:bookmarkEnd w:id="26"/>
      <w:bookmarkEnd w:id="27"/>
    </w:p>
    <w:tbl>
      <w:tblPr>
        <w:tblStyle w:val="DFATTable0"/>
        <w:tblW w:w="0" w:type="auto"/>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2078"/>
        <w:gridCol w:w="6643"/>
      </w:tblGrid>
      <w:tr w:rsidR="00DF6183" w:rsidRPr="00B256FF" w:rsidTr="0058185B">
        <w:trPr>
          <w:trHeight w:val="20"/>
        </w:trPr>
        <w:tc>
          <w:tcPr>
            <w:tcW w:w="2093" w:type="dxa"/>
            <w:tcBorders>
              <w:top w:val="single" w:sz="4" w:space="0" w:color="808080"/>
              <w:left w:val="nil"/>
              <w:bottom w:val="nil"/>
              <w:right w:val="nil"/>
            </w:tcBorders>
            <w:shd w:val="clear" w:color="auto" w:fill="007FAD"/>
          </w:tcPr>
          <w:p w:rsidR="00DF6183" w:rsidRPr="0058185B" w:rsidRDefault="00DF6183" w:rsidP="00DF6183">
            <w:pPr>
              <w:pStyle w:val="TableHeading1"/>
              <w:spacing w:before="120" w:after="80"/>
              <w:rPr>
                <w:color w:val="FFFFFF" w:themeColor="background1"/>
                <w:szCs w:val="18"/>
              </w:rPr>
            </w:pPr>
            <w:r w:rsidRPr="0058185B">
              <w:rPr>
                <w:color w:val="FFFFFF" w:themeColor="background1"/>
                <w:szCs w:val="18"/>
              </w:rPr>
              <w:t>CORNERSTONE QUESTION 1</w:t>
            </w:r>
          </w:p>
        </w:tc>
        <w:tc>
          <w:tcPr>
            <w:tcW w:w="6758" w:type="dxa"/>
            <w:tcBorders>
              <w:top w:val="single" w:sz="4" w:space="0" w:color="808080"/>
              <w:left w:val="nil"/>
              <w:bottom w:val="nil"/>
              <w:right w:val="nil"/>
            </w:tcBorders>
          </w:tcPr>
          <w:p w:rsidR="00DF6183" w:rsidRPr="00B4574B" w:rsidRDefault="00DF6183" w:rsidP="00DF6183">
            <w:pPr>
              <w:pStyle w:val="TableTextEntries"/>
              <w:spacing w:before="120" w:after="80"/>
              <w:rPr>
                <w:b/>
                <w:bCs/>
                <w:iCs w:val="0"/>
              </w:rPr>
            </w:pPr>
            <w:r w:rsidRPr="00B4574B">
              <w:rPr>
                <w:rFonts w:cs="Arial"/>
                <w:b/>
                <w:bCs/>
                <w:color w:val="1A1A1A"/>
                <w:lang w:val="en-US"/>
              </w:rPr>
              <w:t>Does the APPR provide a clear, balanced description of program relevance within the country/regional context and the new aid policy framework?</w:t>
            </w:r>
          </w:p>
        </w:tc>
      </w:tr>
      <w:tr w:rsidR="00DF6183" w:rsidRPr="00B256FF" w:rsidTr="0058185B">
        <w:trPr>
          <w:trHeight w:val="20"/>
        </w:trPr>
        <w:tc>
          <w:tcPr>
            <w:tcW w:w="2093" w:type="dxa"/>
            <w:tcBorders>
              <w:top w:val="nil"/>
              <w:left w:val="nil"/>
              <w:bottom w:val="nil"/>
              <w:right w:val="nil"/>
            </w:tcBorders>
            <w:shd w:val="clear" w:color="auto" w:fill="007FAD"/>
          </w:tcPr>
          <w:p w:rsidR="00DF6183" w:rsidRPr="0058185B" w:rsidRDefault="00DF6183" w:rsidP="00DF6183">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1a</w:t>
            </w:r>
          </w:p>
        </w:tc>
        <w:tc>
          <w:tcPr>
            <w:tcW w:w="6758" w:type="dxa"/>
            <w:tcBorders>
              <w:top w:val="nil"/>
              <w:left w:val="nil"/>
              <w:bottom w:val="nil"/>
              <w:right w:val="nil"/>
            </w:tcBorders>
          </w:tcPr>
          <w:p w:rsidR="00DF6183" w:rsidRPr="00B256FF" w:rsidRDefault="00DF6183" w:rsidP="00DF6183">
            <w:pPr>
              <w:pStyle w:val="TableTextEntries"/>
              <w:spacing w:before="80" w:after="80"/>
              <w:rPr>
                <w:iCs w:val="0"/>
              </w:rPr>
            </w:pPr>
            <w:r w:rsidRPr="00B256FF">
              <w:rPr>
                <w:iCs w:val="0"/>
              </w:rPr>
              <w:t>Does the APPR acknowledge, respond to and reflect the new aid policy?</w:t>
            </w:r>
          </w:p>
        </w:tc>
      </w:tr>
      <w:tr w:rsidR="00DF6183" w:rsidRPr="00B256FF" w:rsidTr="0058185B">
        <w:trPr>
          <w:trHeight w:val="20"/>
        </w:trPr>
        <w:tc>
          <w:tcPr>
            <w:tcW w:w="2093" w:type="dxa"/>
            <w:tcBorders>
              <w:top w:val="nil"/>
              <w:left w:val="nil"/>
              <w:bottom w:val="nil"/>
              <w:right w:val="nil"/>
            </w:tcBorders>
            <w:shd w:val="clear" w:color="auto" w:fill="007FAD"/>
          </w:tcPr>
          <w:p w:rsidR="00DF6183" w:rsidRPr="0058185B" w:rsidRDefault="00DF6183" w:rsidP="00DF6183">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1b</w:t>
            </w:r>
          </w:p>
        </w:tc>
        <w:tc>
          <w:tcPr>
            <w:tcW w:w="6758" w:type="dxa"/>
            <w:tcBorders>
              <w:top w:val="nil"/>
              <w:left w:val="nil"/>
              <w:bottom w:val="nil"/>
              <w:right w:val="nil"/>
            </w:tcBorders>
          </w:tcPr>
          <w:p w:rsidR="00DF6183" w:rsidRPr="00B256FF" w:rsidRDefault="00DF6183" w:rsidP="00DF6183">
            <w:pPr>
              <w:pStyle w:val="TableText"/>
            </w:pPr>
            <w:r w:rsidRPr="00B256FF">
              <w:t>Does the context analysis explain the key development challenges/needs of the country/region, with an emphasis on changes that have occurred during the reporting period? Is this analysis used to explain the Australian program objectives?</w:t>
            </w:r>
          </w:p>
        </w:tc>
      </w:tr>
      <w:tr w:rsidR="00DF6183" w:rsidRPr="00B256FF" w:rsidTr="0058185B">
        <w:trPr>
          <w:trHeight w:val="20"/>
        </w:trPr>
        <w:tc>
          <w:tcPr>
            <w:tcW w:w="2093" w:type="dxa"/>
            <w:tcBorders>
              <w:top w:val="nil"/>
              <w:left w:val="nil"/>
              <w:bottom w:val="nil"/>
              <w:right w:val="nil"/>
            </w:tcBorders>
            <w:shd w:val="clear" w:color="auto" w:fill="007FAD"/>
          </w:tcPr>
          <w:p w:rsidR="00DF6183" w:rsidRPr="0058185B" w:rsidRDefault="00DF6183" w:rsidP="00DF6183">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1c</w:t>
            </w:r>
          </w:p>
        </w:tc>
        <w:tc>
          <w:tcPr>
            <w:tcW w:w="6758" w:type="dxa"/>
            <w:tcBorders>
              <w:top w:val="nil"/>
              <w:left w:val="nil"/>
              <w:bottom w:val="nil"/>
              <w:right w:val="nil"/>
            </w:tcBorders>
          </w:tcPr>
          <w:p w:rsidR="00DF6183" w:rsidRPr="00291B06" w:rsidRDefault="00DF6183" w:rsidP="00DF6183">
            <w:pPr>
              <w:pStyle w:val="TableTextEntries"/>
              <w:spacing w:before="80" w:after="80"/>
              <w:rPr>
                <w:iCs w:val="0"/>
              </w:rPr>
            </w:pPr>
            <w:r w:rsidRPr="00291B06">
              <w:rPr>
                <w:iCs w:val="0"/>
              </w:rPr>
              <w:t xml:space="preserve">If there is a stated strategy or 'theory of change' does this explain how program objectives will be achieved, and does this explanation reference the country/regional context analysis? In the absence of a stated strategy or theory of change, is some other explanation for achieving program objectives, given the context, provided? </w:t>
            </w:r>
          </w:p>
        </w:tc>
      </w:tr>
      <w:tr w:rsidR="00DF6183" w:rsidRPr="00B256FF" w:rsidTr="0058185B">
        <w:trPr>
          <w:trHeight w:val="20"/>
        </w:trPr>
        <w:tc>
          <w:tcPr>
            <w:tcW w:w="2093" w:type="dxa"/>
            <w:tcBorders>
              <w:top w:val="nil"/>
              <w:left w:val="nil"/>
              <w:bottom w:val="single" w:sz="4" w:space="0" w:color="808080"/>
              <w:right w:val="nil"/>
            </w:tcBorders>
            <w:shd w:val="clear" w:color="auto" w:fill="007FAD"/>
          </w:tcPr>
          <w:p w:rsidR="00DF6183" w:rsidRPr="0058185B" w:rsidRDefault="00DF6183" w:rsidP="00DF6183">
            <w:pPr>
              <w:pStyle w:val="TableHeading1"/>
              <w:spacing w:before="80" w:after="12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1d</w:t>
            </w:r>
          </w:p>
        </w:tc>
        <w:tc>
          <w:tcPr>
            <w:tcW w:w="6758" w:type="dxa"/>
            <w:tcBorders>
              <w:top w:val="nil"/>
              <w:left w:val="nil"/>
              <w:bottom w:val="single" w:sz="4" w:space="0" w:color="808080"/>
              <w:right w:val="nil"/>
            </w:tcBorders>
          </w:tcPr>
          <w:p w:rsidR="00DF6183" w:rsidRPr="00291B06" w:rsidRDefault="00DF6183" w:rsidP="00DF6183">
            <w:pPr>
              <w:pStyle w:val="TableTextEntries"/>
              <w:spacing w:before="80" w:after="120"/>
              <w:rPr>
                <w:iCs w:val="0"/>
              </w:rPr>
            </w:pPr>
            <w:r w:rsidRPr="00291B06">
              <w:rPr>
                <w:iCs w:val="0"/>
              </w:rPr>
              <w:t>Does the report make clear the proportion of Australia’s aid in relation to other donors and national indicators, and the program and strategy implications of that?</w:t>
            </w:r>
          </w:p>
        </w:tc>
      </w:tr>
    </w:tbl>
    <w:p w:rsidR="005A5815" w:rsidRPr="0058185B" w:rsidRDefault="005A5815" w:rsidP="005A5815">
      <w:pPr>
        <w:rPr>
          <w:rFonts w:ascii="Franklin Gothic Book" w:hAnsi="Franklin Gothic Book"/>
          <w:sz w:val="21"/>
        </w:rPr>
      </w:pPr>
    </w:p>
    <w:p w:rsidR="005A5815" w:rsidRPr="00B256FF" w:rsidRDefault="005A5815" w:rsidP="00291B06">
      <w:pPr>
        <w:pStyle w:val="BodyText"/>
      </w:pPr>
      <w:r w:rsidRPr="00B256FF">
        <w:t xml:space="preserve">This section looks at how successfully the reports describe </w:t>
      </w:r>
      <w:r>
        <w:t xml:space="preserve">the </w:t>
      </w:r>
      <w:r w:rsidRPr="00B256FF">
        <w:t>program context; reflect the logic of how Australian aid contributes to achieving program objectives; explain the size and significance of Australian aid in the context; and respond to Australia’s aid policy.</w:t>
      </w:r>
    </w:p>
    <w:p w:rsidR="005A5815" w:rsidRPr="00B256FF" w:rsidRDefault="00EB5937" w:rsidP="006335F8">
      <w:pPr>
        <w:pStyle w:val="TableandFigureName"/>
        <w:numPr>
          <w:ilvl w:val="0"/>
          <w:numId w:val="0"/>
        </w:numPr>
        <w:tabs>
          <w:tab w:val="clear" w:pos="993"/>
          <w:tab w:val="left" w:pos="1276"/>
        </w:tabs>
      </w:pPr>
      <w:bookmarkStart w:id="28" w:name="_Toc408606453"/>
      <w:r>
        <w:t>Figure 5</w:t>
      </w:r>
      <w:r w:rsidR="006335F8">
        <w:tab/>
      </w:r>
      <w:r w:rsidR="005A5815" w:rsidRPr="00B256FF">
        <w:t xml:space="preserve">Frequency of </w:t>
      </w:r>
      <w:r w:rsidR="005A5815">
        <w:t xml:space="preserve">quality </w:t>
      </w:r>
      <w:r w:rsidR="005A5815" w:rsidRPr="00B256FF">
        <w:t>ratings against ‘context and strategic orientation</w:t>
      </w:r>
      <w:bookmarkEnd w:id="28"/>
      <w:r w:rsidR="005A5815" w:rsidRPr="00B256FF">
        <w:t>’</w:t>
      </w:r>
    </w:p>
    <w:p w:rsidR="005A5815" w:rsidRPr="000F08A4" w:rsidRDefault="00DA372A" w:rsidP="000F08A4">
      <w:r w:rsidRPr="000F08A4">
        <w:rPr>
          <w:noProof/>
        </w:rPr>
        <w:drawing>
          <wp:inline distT="0" distB="0" distL="0" distR="0" wp14:anchorId="09FED69F" wp14:editId="107C3DD3">
            <wp:extent cx="5198534" cy="3276600"/>
            <wp:effectExtent l="0" t="0" r="2540" b="0"/>
            <wp:docPr id="392" name="Chart 392" descr="Bar chart shows 11 APPRs were rated adequate, 15 good and 2 best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A5815" w:rsidRPr="00B256FF" w:rsidRDefault="005A5815" w:rsidP="005A5815">
      <w:pPr>
        <w:pStyle w:val="BodyText"/>
        <w:rPr>
          <w:noProof/>
        </w:rPr>
      </w:pPr>
      <w:r w:rsidRPr="00B256FF">
        <w:rPr>
          <w:noProof/>
        </w:rPr>
        <w:t>Program areas are expected to position the country</w:t>
      </w:r>
      <w:r>
        <w:rPr>
          <w:noProof/>
        </w:rPr>
        <w:t xml:space="preserve"> or </w:t>
      </w:r>
      <w:r w:rsidRPr="00B256FF">
        <w:rPr>
          <w:noProof/>
        </w:rPr>
        <w:t>regional program within the current context</w:t>
      </w:r>
      <w:r>
        <w:rPr>
          <w:noProof/>
        </w:rPr>
        <w:t>,</w:t>
      </w:r>
      <w:r w:rsidRPr="00B256FF">
        <w:rPr>
          <w:noProof/>
        </w:rPr>
        <w:t xml:space="preserve"> and this requires adapting the</w:t>
      </w:r>
      <w:r>
        <w:rPr>
          <w:noProof/>
        </w:rPr>
        <w:t xml:space="preserve"> program</w:t>
      </w:r>
      <w:r w:rsidRPr="00B256FF">
        <w:rPr>
          <w:noProof/>
        </w:rPr>
        <w:t xml:space="preserve"> strategy from year to year as the context changes. All the APPRs do a good job of describing the development context of the country or region. Overall, all the APPRs are at least satisfactory in explaining the relevance of the program to the country</w:t>
      </w:r>
      <w:r>
        <w:rPr>
          <w:noProof/>
        </w:rPr>
        <w:t xml:space="preserve"> or regional</w:t>
      </w:r>
      <w:r w:rsidRPr="00B256FF">
        <w:rPr>
          <w:noProof/>
        </w:rPr>
        <w:t xml:space="preserve"> context (</w:t>
      </w:r>
      <w:r w:rsidR="00EB5937">
        <w:rPr>
          <w:noProof/>
        </w:rPr>
        <w:t>Figure 5</w:t>
      </w:r>
      <w:r w:rsidRPr="00B256FF">
        <w:rPr>
          <w:noProof/>
        </w:rPr>
        <w:t>). Better APPRs describe the position of Australian aid within that context by:</w:t>
      </w:r>
    </w:p>
    <w:p w:rsidR="005A5815" w:rsidRPr="00B256FF" w:rsidRDefault="005A5815" w:rsidP="005A5815">
      <w:pPr>
        <w:pStyle w:val="Bullet"/>
        <w:numPr>
          <w:ilvl w:val="0"/>
          <w:numId w:val="9"/>
        </w:numPr>
        <w:rPr>
          <w:noProof/>
        </w:rPr>
      </w:pPr>
      <w:r w:rsidRPr="00B256FF">
        <w:rPr>
          <w:b/>
          <w:noProof/>
        </w:rPr>
        <w:t>Confirming objectives for Australian aid that make sense within the context</w:t>
      </w:r>
      <w:r w:rsidRPr="00B256FF">
        <w:rPr>
          <w:noProof/>
        </w:rPr>
        <w:t xml:space="preserve">, </w:t>
      </w:r>
      <w:r>
        <w:rPr>
          <w:noProof/>
        </w:rPr>
        <w:t xml:space="preserve">and </w:t>
      </w:r>
      <w:r w:rsidRPr="00B256FF">
        <w:rPr>
          <w:noProof/>
        </w:rPr>
        <w:t>clarifying the sectors or areas of work and</w:t>
      </w:r>
      <w:r>
        <w:rPr>
          <w:noProof/>
        </w:rPr>
        <w:t xml:space="preserve"> outlining</w:t>
      </w:r>
      <w:r w:rsidRPr="00B256FF">
        <w:rPr>
          <w:noProof/>
        </w:rPr>
        <w:t xml:space="preserve"> what will be achieved in these areas.</w:t>
      </w:r>
    </w:p>
    <w:p w:rsidR="005A5815" w:rsidRPr="00B256FF" w:rsidRDefault="005A5815" w:rsidP="005A5815">
      <w:pPr>
        <w:pStyle w:val="Bullet"/>
        <w:numPr>
          <w:ilvl w:val="0"/>
          <w:numId w:val="9"/>
        </w:numPr>
        <w:rPr>
          <w:noProof/>
        </w:rPr>
      </w:pPr>
      <w:r w:rsidRPr="00B256FF">
        <w:rPr>
          <w:b/>
          <w:noProof/>
        </w:rPr>
        <w:t>Reflecting how Australian aid contributes to achieving the strategy objectives</w:t>
      </w:r>
      <w:r w:rsidRPr="00B256FF">
        <w:rPr>
          <w:noProof/>
        </w:rPr>
        <w:t>. Discussion of program logic or strategy, while less prominent than before as a requirement in the new APPR guidance</w:t>
      </w:r>
      <w:r w:rsidRPr="00B256FF">
        <w:rPr>
          <w:rStyle w:val="FootnoteReference"/>
          <w:noProof/>
        </w:rPr>
        <w:footnoteReference w:id="15"/>
      </w:r>
      <w:r w:rsidRPr="00B256FF">
        <w:rPr>
          <w:noProof/>
        </w:rPr>
        <w:t>, is a fundamental feature of well written APPRs</w:t>
      </w:r>
      <w:r>
        <w:rPr>
          <w:noProof/>
        </w:rPr>
        <w:t>, because</w:t>
      </w:r>
      <w:r w:rsidRPr="00B256FF">
        <w:rPr>
          <w:noProof/>
        </w:rPr>
        <w:t xml:space="preserve"> the essence of the APPR is to reflect on how well this strategy is working. Yet</w:t>
      </w:r>
      <w:r>
        <w:rPr>
          <w:noProof/>
        </w:rPr>
        <w:t>,</w:t>
      </w:r>
      <w:r w:rsidRPr="00B256FF">
        <w:rPr>
          <w:noProof/>
        </w:rPr>
        <w:t xml:space="preserve"> clearly describing the program strategy remains a weakness in many APPRs. Good practice examples are in the APPRs for</w:t>
      </w:r>
      <w:r w:rsidR="009D2060">
        <w:rPr>
          <w:noProof/>
        </w:rPr>
        <w:t xml:space="preserve"> the </w:t>
      </w:r>
      <w:r w:rsidR="009D2060" w:rsidRPr="00B256FF">
        <w:rPr>
          <w:noProof/>
        </w:rPr>
        <w:t>Philippines (</w:t>
      </w:r>
      <w:r w:rsidR="009D2060">
        <w:rPr>
          <w:noProof/>
        </w:rPr>
        <w:t>see Box 1), Burma and</w:t>
      </w:r>
      <w:r w:rsidRPr="00B256FF">
        <w:rPr>
          <w:noProof/>
        </w:rPr>
        <w:t xml:space="preserve"> Pakistan</w:t>
      </w:r>
      <w:r w:rsidR="009D2060">
        <w:rPr>
          <w:noProof/>
        </w:rPr>
        <w:t>.</w:t>
      </w:r>
    </w:p>
    <w:p w:rsidR="005A5815" w:rsidRPr="00B256FF" w:rsidRDefault="005A5815" w:rsidP="005A5815">
      <w:pPr>
        <w:pStyle w:val="Bullet"/>
        <w:numPr>
          <w:ilvl w:val="0"/>
          <w:numId w:val="9"/>
        </w:numPr>
      </w:pPr>
      <w:r w:rsidRPr="00B256FF">
        <w:rPr>
          <w:b/>
          <w:noProof/>
        </w:rPr>
        <w:t>Describing the relative size and significance of Australian aid and the implications of this</w:t>
      </w:r>
      <w:r w:rsidRPr="005B1C7F">
        <w:rPr>
          <w:noProof/>
        </w:rPr>
        <w:t>.</w:t>
      </w:r>
      <w:r w:rsidRPr="00B256FF">
        <w:rPr>
          <w:noProof/>
        </w:rPr>
        <w:t xml:space="preserve"> Most APPRs describe the size of Australia’s contribution relative to other donors. Better APPRs go on to explain the significance of Australian aid relative to the country’s own resources</w:t>
      </w:r>
      <w:r>
        <w:rPr>
          <w:noProof/>
        </w:rPr>
        <w:t xml:space="preserve">. </w:t>
      </w:r>
      <w:r w:rsidRPr="00B256FF">
        <w:rPr>
          <w:noProof/>
        </w:rPr>
        <w:t>Only a few APPRs</w:t>
      </w:r>
      <w:r>
        <w:rPr>
          <w:noProof/>
        </w:rPr>
        <w:t>,</w:t>
      </w:r>
      <w:r w:rsidRPr="00B256FF">
        <w:rPr>
          <w:noProof/>
        </w:rPr>
        <w:t xml:space="preserve"> however, explain how the program has been designed</w:t>
      </w:r>
      <w:r w:rsidRPr="00B256FF">
        <w:t xml:space="preserve"> to reflect the size and position of Australian aid. This positioning helps clarify the nature and emphasis of Australia’s efforts.</w:t>
      </w:r>
    </w:p>
    <w:p w:rsidR="005A5815" w:rsidRPr="00B256FF" w:rsidRDefault="005A5815" w:rsidP="005A5815">
      <w:pPr>
        <w:pStyle w:val="Bullet"/>
        <w:numPr>
          <w:ilvl w:val="0"/>
          <w:numId w:val="9"/>
        </w:numPr>
      </w:pPr>
      <w:r w:rsidRPr="00B256FF">
        <w:rPr>
          <w:b/>
        </w:rPr>
        <w:t>Responding to the new aid policy</w:t>
      </w:r>
      <w:r w:rsidRPr="00B256FF">
        <w:t>. The new aid policy strengthens the emphasis on private sector engagement, aid for trade</w:t>
      </w:r>
      <w:r>
        <w:t>,</w:t>
      </w:r>
      <w:r w:rsidRPr="00B256FF">
        <w:t xml:space="preserve"> and gender equality and women’s empowerment. Some APPRs do not reflect the implications of the changed policy environment</w:t>
      </w:r>
      <w:r>
        <w:t>,</w:t>
      </w:r>
      <w:r w:rsidRPr="00B256FF">
        <w:t xml:space="preserve"> while many are well ahead in adjusting their program to match. The Timor-Leste program is probably the most advanced. </w:t>
      </w:r>
    </w:p>
    <w:p w:rsidR="00023622" w:rsidRDefault="00023622">
      <w:pPr>
        <w:rPr>
          <w:rFonts w:ascii="Helvetica" w:hAnsi="Helvetica" w:cs="Arial"/>
          <w:b/>
          <w:iCs/>
          <w:color w:val="134486"/>
          <w:spacing w:val="4"/>
          <w:kern w:val="28"/>
          <w:szCs w:val="28"/>
        </w:rPr>
      </w:pPr>
      <w:bookmarkStart w:id="29" w:name="_Toc408605693"/>
      <w:r>
        <w:br w:type="page"/>
      </w:r>
    </w:p>
    <w:p w:rsidR="005A5815" w:rsidRPr="00B256FF" w:rsidRDefault="005A5815" w:rsidP="00A50879">
      <w:pPr>
        <w:pStyle w:val="BoxHeading1"/>
      </w:pPr>
      <w:r w:rsidRPr="00B256FF">
        <w:t>Box 1</w:t>
      </w:r>
      <w:r>
        <w:tab/>
      </w:r>
      <w:r w:rsidR="004852A4">
        <w:t>Good</w:t>
      </w:r>
      <w:r w:rsidRPr="00B256FF">
        <w:t xml:space="preserve"> practice in strategic orientation</w:t>
      </w:r>
      <w:bookmarkEnd w:id="29"/>
    </w:p>
    <w:p w:rsidR="005A5815" w:rsidRPr="00A50879" w:rsidRDefault="004852A4" w:rsidP="00A50879">
      <w:pPr>
        <w:pStyle w:val="BoxHeading2"/>
      </w:pPr>
      <w:r>
        <w:t>Philippines APPR</w:t>
      </w:r>
    </w:p>
    <w:p w:rsidR="005A5815" w:rsidRPr="007A64DD" w:rsidRDefault="005A5815" w:rsidP="007A64DD">
      <w:pPr>
        <w:pStyle w:val="BoxText"/>
      </w:pPr>
      <w:r w:rsidRPr="007A64DD">
        <w:t>The Philippines APPR contains an in-depth, concise discussion of development in the Philippines that provides insight into the challenges over the last 12 months. The context section provides clarity on the level of support for reform by government, and the challenges that could undermine continued growth. It goes on to describe how and why Australia engages in five priority areas and the development challenges it seeks to address. The logic of how the program contributes towards achieving the objectives is clearly reflected in the discussion of progress against each objective.</w:t>
      </w:r>
    </w:p>
    <w:p w:rsidR="005A5815" w:rsidRPr="00B256FF" w:rsidRDefault="005A5815" w:rsidP="005A5815">
      <w:pPr>
        <w:pStyle w:val="Heading2"/>
      </w:pPr>
      <w:bookmarkStart w:id="30" w:name="_Toc403110165"/>
      <w:bookmarkStart w:id="31" w:name="_Toc403836177"/>
      <w:bookmarkStart w:id="32" w:name="_Toc416250719"/>
      <w:bookmarkStart w:id="33" w:name="_Toc422327004"/>
      <w:r w:rsidRPr="00B256FF">
        <w:t>2.2</w:t>
      </w:r>
      <w:r w:rsidRPr="00B256FF">
        <w:tab/>
        <w:t>Progress assessment</w:t>
      </w:r>
      <w:bookmarkEnd w:id="30"/>
      <w:bookmarkEnd w:id="31"/>
      <w:bookmarkEnd w:id="32"/>
      <w:bookmarkEnd w:id="33"/>
    </w:p>
    <w:tbl>
      <w:tblPr>
        <w:tblStyle w:val="DFATTable0"/>
        <w:tblW w:w="8850" w:type="dxa"/>
        <w:tblLayout w:type="fixed"/>
        <w:tblLook w:val="04A0" w:firstRow="1" w:lastRow="0" w:firstColumn="1" w:lastColumn="0" w:noHBand="0" w:noVBand="1"/>
      </w:tblPr>
      <w:tblGrid>
        <w:gridCol w:w="2093"/>
        <w:gridCol w:w="6757"/>
      </w:tblGrid>
      <w:tr w:rsidR="0025176D" w:rsidRPr="00B256FF" w:rsidTr="0058185B">
        <w:trPr>
          <w:trHeight w:val="57"/>
        </w:trPr>
        <w:tc>
          <w:tcPr>
            <w:tcW w:w="2093" w:type="dxa"/>
            <w:tcBorders>
              <w:top w:val="single" w:sz="4" w:space="0" w:color="808080"/>
              <w:bottom w:val="nil"/>
            </w:tcBorders>
            <w:shd w:val="clear" w:color="auto" w:fill="007FAD"/>
          </w:tcPr>
          <w:p w:rsidR="0025176D" w:rsidRPr="0058185B" w:rsidRDefault="0025176D" w:rsidP="005A7AB4">
            <w:pPr>
              <w:pStyle w:val="TableHeading1"/>
              <w:spacing w:before="120" w:after="80"/>
              <w:rPr>
                <w:color w:val="FFFFFF" w:themeColor="background1"/>
                <w:szCs w:val="18"/>
              </w:rPr>
            </w:pPr>
            <w:r w:rsidRPr="0058185B">
              <w:rPr>
                <w:color w:val="FFFFFF" w:themeColor="background1"/>
                <w:szCs w:val="18"/>
              </w:rPr>
              <w:t>CORNERSTONE QUESTION 2</w:t>
            </w:r>
          </w:p>
        </w:tc>
        <w:tc>
          <w:tcPr>
            <w:tcW w:w="6757" w:type="dxa"/>
            <w:tcBorders>
              <w:top w:val="single" w:sz="4" w:space="0" w:color="808080"/>
              <w:bottom w:val="nil"/>
            </w:tcBorders>
          </w:tcPr>
          <w:p w:rsidR="0025176D" w:rsidRPr="00B4574B" w:rsidRDefault="0025176D" w:rsidP="005A7AB4">
            <w:pPr>
              <w:pStyle w:val="TableTextEntries"/>
              <w:spacing w:before="120" w:after="80"/>
              <w:rPr>
                <w:b/>
                <w:iCs w:val="0"/>
              </w:rPr>
            </w:pPr>
            <w:r w:rsidRPr="00B4574B">
              <w:rPr>
                <w:b/>
                <w:iCs w:val="0"/>
              </w:rPr>
              <w:t>Does</w:t>
            </w:r>
            <w:r w:rsidRPr="00B4574B">
              <w:rPr>
                <w:b/>
              </w:rPr>
              <w:t xml:space="preserve"> the APPR narrative explain and justify, in a proportionate way, the progress ratings against each program objective?</w:t>
            </w:r>
          </w:p>
        </w:tc>
      </w:tr>
      <w:tr w:rsidR="0025176D" w:rsidRPr="00B256FF" w:rsidTr="0058185B">
        <w:trPr>
          <w:trHeight w:val="57"/>
        </w:trPr>
        <w:tc>
          <w:tcPr>
            <w:tcW w:w="2093" w:type="dxa"/>
            <w:tcBorders>
              <w:top w:val="nil"/>
              <w:bottom w:val="nil"/>
            </w:tcBorders>
            <w:shd w:val="clear" w:color="auto" w:fill="007FAD"/>
          </w:tcPr>
          <w:p w:rsidR="0025176D" w:rsidRPr="0058185B" w:rsidRDefault="0025176D" w:rsidP="005A7AB4">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2a</w:t>
            </w:r>
          </w:p>
        </w:tc>
        <w:tc>
          <w:tcPr>
            <w:tcW w:w="6757" w:type="dxa"/>
            <w:tcBorders>
              <w:top w:val="nil"/>
              <w:bottom w:val="nil"/>
            </w:tcBorders>
          </w:tcPr>
          <w:p w:rsidR="0025176D" w:rsidRPr="00B256FF" w:rsidRDefault="0025176D" w:rsidP="005A7AB4">
            <w:pPr>
              <w:pStyle w:val="BodyText"/>
              <w:spacing w:before="80" w:after="80" w:line="200" w:lineRule="atLeast"/>
              <w:rPr>
                <w:iCs/>
                <w:noProof/>
                <w:sz w:val="17"/>
                <w:szCs w:val="17"/>
                <w:lang w:eastAsia="en-US"/>
              </w:rPr>
            </w:pPr>
            <w:r w:rsidRPr="00B256FF">
              <w:rPr>
                <w:iCs/>
                <w:noProof/>
                <w:sz w:val="17"/>
                <w:szCs w:val="17"/>
                <w:lang w:eastAsia="en-US"/>
              </w:rPr>
              <w:t>Are the objectives sufficiently framed at the outset or in the narrative as statements of intent that are measurable (quantitatively and/or qualitatively)?</w:t>
            </w:r>
          </w:p>
        </w:tc>
      </w:tr>
      <w:tr w:rsidR="0025176D" w:rsidRPr="00B256FF" w:rsidTr="0058185B">
        <w:trPr>
          <w:trHeight w:val="57"/>
        </w:trPr>
        <w:tc>
          <w:tcPr>
            <w:tcW w:w="2093" w:type="dxa"/>
            <w:tcBorders>
              <w:top w:val="nil"/>
              <w:bottom w:val="nil"/>
            </w:tcBorders>
            <w:shd w:val="clear" w:color="auto" w:fill="007FAD"/>
          </w:tcPr>
          <w:p w:rsidR="0025176D" w:rsidRPr="0058185B" w:rsidRDefault="0025176D" w:rsidP="005A7AB4">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2b</w:t>
            </w:r>
          </w:p>
        </w:tc>
        <w:tc>
          <w:tcPr>
            <w:tcW w:w="6757" w:type="dxa"/>
            <w:tcBorders>
              <w:top w:val="nil"/>
              <w:bottom w:val="nil"/>
            </w:tcBorders>
          </w:tcPr>
          <w:p w:rsidR="0025176D" w:rsidRPr="00B256FF" w:rsidRDefault="0025176D" w:rsidP="005A7AB4">
            <w:pPr>
              <w:pStyle w:val="BodyText"/>
              <w:spacing w:before="80" w:after="80" w:line="200" w:lineRule="atLeast"/>
              <w:rPr>
                <w:iCs/>
                <w:noProof/>
                <w:sz w:val="17"/>
                <w:szCs w:val="17"/>
                <w:lang w:eastAsia="en-US"/>
              </w:rPr>
            </w:pPr>
            <w:r w:rsidRPr="00B256FF">
              <w:rPr>
                <w:iCs/>
                <w:noProof/>
                <w:sz w:val="17"/>
                <w:szCs w:val="17"/>
                <w:lang w:eastAsia="en-US"/>
              </w:rPr>
              <w:t>Does the narrative explain and justify the progress ratings against each objective?</w:t>
            </w:r>
          </w:p>
        </w:tc>
      </w:tr>
      <w:tr w:rsidR="0025176D" w:rsidRPr="00B256FF" w:rsidTr="0058185B">
        <w:trPr>
          <w:trHeight w:val="57"/>
        </w:trPr>
        <w:tc>
          <w:tcPr>
            <w:tcW w:w="2093" w:type="dxa"/>
            <w:tcBorders>
              <w:top w:val="nil"/>
              <w:bottom w:val="nil"/>
            </w:tcBorders>
            <w:shd w:val="clear" w:color="auto" w:fill="007FAD"/>
          </w:tcPr>
          <w:p w:rsidR="0025176D" w:rsidRPr="0058185B" w:rsidRDefault="0025176D" w:rsidP="005A7AB4">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2c</w:t>
            </w:r>
          </w:p>
        </w:tc>
        <w:tc>
          <w:tcPr>
            <w:tcW w:w="6757" w:type="dxa"/>
            <w:tcBorders>
              <w:top w:val="nil"/>
              <w:bottom w:val="nil"/>
            </w:tcBorders>
          </w:tcPr>
          <w:p w:rsidR="0025176D" w:rsidRPr="00B256FF" w:rsidRDefault="0025176D" w:rsidP="005A7AB4">
            <w:pPr>
              <w:pStyle w:val="BodyText"/>
              <w:spacing w:before="80" w:after="80" w:line="200" w:lineRule="atLeast"/>
              <w:rPr>
                <w:iCs/>
                <w:noProof/>
                <w:sz w:val="17"/>
                <w:szCs w:val="17"/>
                <w:lang w:eastAsia="en-US"/>
              </w:rPr>
            </w:pPr>
            <w:r w:rsidRPr="00B256FF">
              <w:rPr>
                <w:iCs/>
                <w:noProof/>
                <w:sz w:val="17"/>
                <w:szCs w:val="17"/>
                <w:lang w:eastAsia="en-US"/>
              </w:rPr>
              <w:t>Where appropriate, is the policy dialogue engagement with partners clearly explained?</w:t>
            </w:r>
          </w:p>
        </w:tc>
      </w:tr>
      <w:tr w:rsidR="0025176D" w:rsidRPr="00B256FF" w:rsidTr="0058185B">
        <w:trPr>
          <w:trHeight w:val="57"/>
        </w:trPr>
        <w:tc>
          <w:tcPr>
            <w:tcW w:w="2093" w:type="dxa"/>
            <w:tcBorders>
              <w:top w:val="nil"/>
              <w:bottom w:val="nil"/>
            </w:tcBorders>
            <w:shd w:val="clear" w:color="auto" w:fill="007FAD"/>
          </w:tcPr>
          <w:p w:rsidR="0025176D" w:rsidRPr="0058185B" w:rsidRDefault="0025176D" w:rsidP="005A7AB4">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2d</w:t>
            </w:r>
          </w:p>
        </w:tc>
        <w:tc>
          <w:tcPr>
            <w:tcW w:w="6757" w:type="dxa"/>
            <w:tcBorders>
              <w:top w:val="nil"/>
              <w:bottom w:val="nil"/>
            </w:tcBorders>
          </w:tcPr>
          <w:p w:rsidR="0025176D" w:rsidRPr="009D2060" w:rsidRDefault="0025176D" w:rsidP="005A7AB4">
            <w:pPr>
              <w:pStyle w:val="BodyText"/>
              <w:spacing w:before="80" w:after="80" w:line="200" w:lineRule="atLeast"/>
              <w:rPr>
                <w:iCs/>
                <w:noProof/>
                <w:sz w:val="17"/>
                <w:szCs w:val="17"/>
                <w:lang w:eastAsia="en-US"/>
              </w:rPr>
            </w:pPr>
            <w:r w:rsidRPr="009D2060">
              <w:rPr>
                <w:noProof/>
                <w:sz w:val="17"/>
                <w:szCs w:val="17"/>
              </w:rPr>
              <w:t>Is there an appropriately open, balanced discussion of the program’s successes, failures and challenges?</w:t>
            </w:r>
          </w:p>
        </w:tc>
      </w:tr>
      <w:tr w:rsidR="0025176D" w:rsidRPr="00B256FF" w:rsidTr="0058185B">
        <w:trPr>
          <w:trHeight w:val="57"/>
        </w:trPr>
        <w:tc>
          <w:tcPr>
            <w:tcW w:w="2093" w:type="dxa"/>
            <w:tcBorders>
              <w:top w:val="nil"/>
              <w:bottom w:val="nil"/>
            </w:tcBorders>
            <w:shd w:val="clear" w:color="auto" w:fill="007FAD"/>
          </w:tcPr>
          <w:p w:rsidR="0025176D" w:rsidRPr="0058185B" w:rsidRDefault="0025176D" w:rsidP="005A7AB4">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2e</w:t>
            </w:r>
          </w:p>
        </w:tc>
        <w:tc>
          <w:tcPr>
            <w:tcW w:w="6757" w:type="dxa"/>
            <w:tcBorders>
              <w:top w:val="nil"/>
              <w:bottom w:val="nil"/>
            </w:tcBorders>
          </w:tcPr>
          <w:p w:rsidR="0025176D" w:rsidRPr="00B256FF" w:rsidRDefault="0025176D" w:rsidP="005A7AB4">
            <w:pPr>
              <w:pStyle w:val="BodyText"/>
              <w:spacing w:before="80" w:after="80" w:line="200" w:lineRule="atLeast"/>
              <w:rPr>
                <w:iCs/>
                <w:noProof/>
                <w:sz w:val="17"/>
                <w:szCs w:val="17"/>
                <w:lang w:eastAsia="en-US"/>
              </w:rPr>
            </w:pPr>
            <w:r w:rsidRPr="00B256FF">
              <w:rPr>
                <w:iCs/>
                <w:noProof/>
                <w:sz w:val="17"/>
                <w:szCs w:val="17"/>
                <w:lang w:eastAsia="en-US"/>
              </w:rPr>
              <w:t>Has relevant evidence been drawn from an appropriate range of internal and external sources given the program context?</w:t>
            </w:r>
          </w:p>
        </w:tc>
      </w:tr>
      <w:tr w:rsidR="0025176D" w:rsidRPr="00B256FF" w:rsidTr="0058185B">
        <w:trPr>
          <w:trHeight w:val="57"/>
        </w:trPr>
        <w:tc>
          <w:tcPr>
            <w:tcW w:w="2093" w:type="dxa"/>
            <w:tcBorders>
              <w:top w:val="nil"/>
              <w:bottom w:val="nil"/>
            </w:tcBorders>
            <w:shd w:val="clear" w:color="auto" w:fill="007FAD"/>
          </w:tcPr>
          <w:p w:rsidR="0025176D" w:rsidRPr="0058185B" w:rsidRDefault="0025176D" w:rsidP="005A7AB4">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2f</w:t>
            </w:r>
          </w:p>
        </w:tc>
        <w:tc>
          <w:tcPr>
            <w:tcW w:w="6757" w:type="dxa"/>
            <w:tcBorders>
              <w:top w:val="nil"/>
              <w:bottom w:val="nil"/>
            </w:tcBorders>
          </w:tcPr>
          <w:p w:rsidR="0025176D" w:rsidRPr="00B256FF" w:rsidRDefault="0025176D" w:rsidP="005A7AB4">
            <w:pPr>
              <w:pStyle w:val="BodyText"/>
              <w:spacing w:before="80" w:after="80" w:line="200" w:lineRule="atLeast"/>
              <w:rPr>
                <w:iCs/>
                <w:noProof/>
                <w:sz w:val="17"/>
                <w:szCs w:val="17"/>
                <w:lang w:eastAsia="en-US"/>
              </w:rPr>
            </w:pPr>
            <w:r>
              <w:rPr>
                <w:iCs/>
                <w:noProof/>
                <w:sz w:val="17"/>
                <w:szCs w:val="17"/>
                <w:lang w:eastAsia="en-US"/>
              </w:rPr>
              <w:t>Are</w:t>
            </w:r>
            <w:r w:rsidRPr="00B256FF">
              <w:rPr>
                <w:iCs/>
                <w:noProof/>
                <w:sz w:val="17"/>
                <w:szCs w:val="17"/>
                <w:lang w:eastAsia="en-US"/>
              </w:rPr>
              <w:t xml:space="preserve"> the results appropriately contextualised and the contribution of DFAT made clear?</w:t>
            </w:r>
          </w:p>
        </w:tc>
      </w:tr>
      <w:tr w:rsidR="0025176D" w:rsidRPr="00B256FF" w:rsidTr="0058185B">
        <w:trPr>
          <w:trHeight w:val="57"/>
        </w:trPr>
        <w:tc>
          <w:tcPr>
            <w:tcW w:w="2093" w:type="dxa"/>
            <w:tcBorders>
              <w:top w:val="nil"/>
              <w:bottom w:val="single" w:sz="4" w:space="0" w:color="808080"/>
            </w:tcBorders>
            <w:shd w:val="clear" w:color="auto" w:fill="007FAD"/>
          </w:tcPr>
          <w:p w:rsidR="0025176D" w:rsidRPr="0058185B" w:rsidRDefault="0025176D" w:rsidP="005A7AB4">
            <w:pPr>
              <w:pStyle w:val="TableHeading1"/>
              <w:spacing w:before="80" w:after="12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2g</w:t>
            </w:r>
          </w:p>
        </w:tc>
        <w:tc>
          <w:tcPr>
            <w:tcW w:w="6757" w:type="dxa"/>
            <w:tcBorders>
              <w:top w:val="nil"/>
              <w:bottom w:val="single" w:sz="4" w:space="0" w:color="808080"/>
            </w:tcBorders>
          </w:tcPr>
          <w:p w:rsidR="0025176D" w:rsidRPr="00B256FF" w:rsidRDefault="0025176D" w:rsidP="005A7AB4">
            <w:pPr>
              <w:pStyle w:val="BodyText"/>
              <w:spacing w:before="80" w:after="120" w:line="200" w:lineRule="atLeast"/>
              <w:rPr>
                <w:iCs/>
                <w:noProof/>
                <w:sz w:val="17"/>
                <w:szCs w:val="17"/>
                <w:lang w:eastAsia="en-US"/>
              </w:rPr>
            </w:pPr>
            <w:r w:rsidRPr="00B256FF">
              <w:rPr>
                <w:iCs/>
                <w:noProof/>
                <w:sz w:val="17"/>
                <w:szCs w:val="17"/>
                <w:lang w:eastAsia="en-US"/>
              </w:rPr>
              <w:t>Are the sources of evidence referenced appropriately?</w:t>
            </w:r>
          </w:p>
        </w:tc>
      </w:tr>
    </w:tbl>
    <w:p w:rsidR="005A5815" w:rsidRPr="00B256FF" w:rsidRDefault="005A5815" w:rsidP="005A5815">
      <w:pPr>
        <w:pStyle w:val="BodyText"/>
        <w:spacing w:before="57" w:after="142"/>
      </w:pPr>
    </w:p>
    <w:p w:rsidR="005A5815" w:rsidRPr="00B256FF" w:rsidRDefault="00076475" w:rsidP="006335F8">
      <w:pPr>
        <w:pStyle w:val="TableandFigureName"/>
        <w:numPr>
          <w:ilvl w:val="0"/>
          <w:numId w:val="0"/>
        </w:numPr>
        <w:tabs>
          <w:tab w:val="clear" w:pos="993"/>
          <w:tab w:val="left" w:pos="1276"/>
        </w:tabs>
      </w:pPr>
      <w:bookmarkStart w:id="34" w:name="_Toc408606454"/>
      <w:r>
        <w:t>Figure 6</w:t>
      </w:r>
      <w:r w:rsidR="006335F8">
        <w:tab/>
      </w:r>
      <w:bookmarkEnd w:id="34"/>
      <w:r w:rsidR="005A5815" w:rsidRPr="00B256FF">
        <w:t xml:space="preserve">Frequency of </w:t>
      </w:r>
      <w:r w:rsidR="005A5815">
        <w:t xml:space="preserve">quality </w:t>
      </w:r>
      <w:r w:rsidR="005A5815" w:rsidRPr="00B256FF">
        <w:t>ratings against ‘progress assessment’</w:t>
      </w:r>
    </w:p>
    <w:p w:rsidR="005A5815" w:rsidRPr="00DA372A" w:rsidRDefault="00DA372A" w:rsidP="000F08A4">
      <w:pPr>
        <w:rPr>
          <w:b/>
        </w:rPr>
      </w:pPr>
      <w:r w:rsidRPr="000F08A4">
        <w:rPr>
          <w:noProof/>
        </w:rPr>
        <w:drawing>
          <wp:inline distT="0" distB="0" distL="0" distR="0" wp14:anchorId="7CC67224" wp14:editId="6415D353">
            <wp:extent cx="5151967" cy="3188760"/>
            <wp:effectExtent l="0" t="0" r="0" b="0"/>
            <wp:docPr id="311" name="Chart 311" descr="Bar chart shows 12 APPRs were rated adequate, 14 good and 2 best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A5815" w:rsidRPr="00B256FF" w:rsidRDefault="005A5815" w:rsidP="005A5815">
      <w:pPr>
        <w:pStyle w:val="BodyText"/>
        <w:rPr>
          <w:noProof/>
        </w:rPr>
      </w:pPr>
      <w:r w:rsidRPr="00B256FF">
        <w:rPr>
          <w:noProof/>
        </w:rPr>
        <w:t xml:space="preserve">Program areas rate progress towards achieving objectives in the APPRs, using a green, amber, red </w:t>
      </w:r>
      <w:r>
        <w:rPr>
          <w:noProof/>
        </w:rPr>
        <w:t>‘</w:t>
      </w:r>
      <w:r w:rsidRPr="00B256FF">
        <w:rPr>
          <w:noProof/>
        </w:rPr>
        <w:t>traffic light</w:t>
      </w:r>
      <w:r>
        <w:rPr>
          <w:noProof/>
        </w:rPr>
        <w:t>’</w:t>
      </w:r>
      <w:r w:rsidRPr="00B256FF">
        <w:rPr>
          <w:noProof/>
        </w:rPr>
        <w:t xml:space="preserve"> system.</w:t>
      </w:r>
      <w:r w:rsidRPr="00B256FF">
        <w:rPr>
          <w:rStyle w:val="FootnoteReference"/>
          <w:noProof/>
        </w:rPr>
        <w:footnoteReference w:id="16"/>
      </w:r>
      <w:r w:rsidRPr="00B256FF">
        <w:rPr>
          <w:noProof/>
        </w:rPr>
        <w:t xml:space="preserve"> This requires a frank and balanced assessment of performance, clear objectives, and a clear justification for ratings, including a discussion around the contribution of policy dialogue. Framing a measurable objective involves presenting the objective in the narrative, the </w:t>
      </w:r>
      <w:r>
        <w:rPr>
          <w:noProof/>
        </w:rPr>
        <w:t xml:space="preserve">PAF </w:t>
      </w:r>
      <w:r w:rsidRPr="00B256FF">
        <w:rPr>
          <w:noProof/>
        </w:rPr>
        <w:t xml:space="preserve">or the objective statements themselves in a way that makes clear what is trying to be achieved, and </w:t>
      </w:r>
      <w:r w:rsidR="00ED0FAD">
        <w:rPr>
          <w:noProof/>
        </w:rPr>
        <w:t>the basis on which performance i</w:t>
      </w:r>
      <w:r w:rsidRPr="00B256FF">
        <w:rPr>
          <w:noProof/>
        </w:rPr>
        <w:t xml:space="preserve">s judged. For the ratings to be convincing, APPRs need to draw on concrete and contextualised evidence, usually beyond the level of individual investments. </w:t>
      </w:r>
    </w:p>
    <w:p w:rsidR="005A5815" w:rsidRPr="00B256FF" w:rsidRDefault="005A5815" w:rsidP="005A5815">
      <w:pPr>
        <w:pStyle w:val="BodyText"/>
        <w:rPr>
          <w:noProof/>
        </w:rPr>
      </w:pPr>
      <w:r w:rsidRPr="00B256FF">
        <w:rPr>
          <w:noProof/>
        </w:rPr>
        <w:t>All APPRs are at least satisfactory for thi</w:t>
      </w:r>
      <w:r w:rsidR="00076475">
        <w:rPr>
          <w:noProof/>
        </w:rPr>
        <w:t>s cornerstone question (Figure 6</w:t>
      </w:r>
      <w:r w:rsidRPr="00B256FF">
        <w:rPr>
          <w:noProof/>
        </w:rPr>
        <w:t>). Most APPRs provide a frank and balanced assessment of performance, with only a few painting an overly rosy picture. Eight of the</w:t>
      </w:r>
      <w:r w:rsidR="00415027">
        <w:rPr>
          <w:noProof/>
        </w:rPr>
        <w:t xml:space="preserve"> 28</w:t>
      </w:r>
      <w:r w:rsidRPr="00B256FF">
        <w:rPr>
          <w:noProof/>
        </w:rPr>
        <w:t xml:space="preserve"> APPRs</w:t>
      </w:r>
      <w:r w:rsidR="00415027">
        <w:rPr>
          <w:noProof/>
        </w:rPr>
        <w:t xml:space="preserve"> however,</w:t>
      </w:r>
      <w:r w:rsidRPr="00B256FF">
        <w:rPr>
          <w:noProof/>
        </w:rPr>
        <w:t xml:space="preserve"> had</w:t>
      </w:r>
      <w:r w:rsidR="00415027">
        <w:rPr>
          <w:noProof/>
        </w:rPr>
        <w:t xml:space="preserve"> one or more objective that was</w:t>
      </w:r>
      <w:r w:rsidRPr="00B256FF">
        <w:rPr>
          <w:noProof/>
        </w:rPr>
        <w:t xml:space="preserve"> too broad or vague, and did not explain or justify how performance ratings had been derived.</w:t>
      </w:r>
      <w:r w:rsidR="00415027">
        <w:rPr>
          <w:noProof/>
        </w:rPr>
        <w:t xml:space="preserve"> </w:t>
      </w:r>
      <w:r w:rsidR="00415027" w:rsidRPr="00B256FF">
        <w:rPr>
          <w:noProof/>
        </w:rPr>
        <w:t xml:space="preserve">Without measurable objectives, it is much more difficult to explain and justify progress ratings. </w:t>
      </w:r>
      <w:r>
        <w:rPr>
          <w:noProof/>
        </w:rPr>
        <w:t>For example, s</w:t>
      </w:r>
      <w:r w:rsidRPr="00B256FF">
        <w:rPr>
          <w:noProof/>
        </w:rPr>
        <w:t>imply stating the sector ‘infrastructure’</w:t>
      </w:r>
      <w:r>
        <w:rPr>
          <w:noProof/>
        </w:rPr>
        <w:t>, as done</w:t>
      </w:r>
      <w:r w:rsidRPr="00B256FF">
        <w:rPr>
          <w:noProof/>
        </w:rPr>
        <w:t xml:space="preserve"> in </w:t>
      </w:r>
      <w:r w:rsidR="00ED0FAD">
        <w:rPr>
          <w:noProof/>
        </w:rPr>
        <w:t>one APPR</w:t>
      </w:r>
      <w:r>
        <w:rPr>
          <w:noProof/>
        </w:rPr>
        <w:t>,</w:t>
      </w:r>
      <w:r w:rsidRPr="00B256FF">
        <w:rPr>
          <w:noProof/>
        </w:rPr>
        <w:t xml:space="preserve"> is inadequate as it is not clear what achievement is intended. Four APPRs were considered </w:t>
      </w:r>
      <w:r w:rsidR="00ED0FAD">
        <w:rPr>
          <w:noProof/>
        </w:rPr>
        <w:t>best</w:t>
      </w:r>
      <w:r w:rsidRPr="00B256FF">
        <w:rPr>
          <w:noProof/>
        </w:rPr>
        <w:t xml:space="preserve"> practice</w:t>
      </w:r>
      <w:r w:rsidR="00ED0FAD">
        <w:rPr>
          <w:noProof/>
        </w:rPr>
        <w:t xml:space="preserve"> in terms of framing objectives</w:t>
      </w:r>
      <w:r>
        <w:rPr>
          <w:noProof/>
        </w:rPr>
        <w:t xml:space="preserve"> (</w:t>
      </w:r>
      <w:r w:rsidRPr="00B256FF">
        <w:rPr>
          <w:noProof/>
        </w:rPr>
        <w:t xml:space="preserve">see </w:t>
      </w:r>
      <w:r w:rsidR="00ED0FAD">
        <w:rPr>
          <w:noProof/>
        </w:rPr>
        <w:t>Box 2 for one example</w:t>
      </w:r>
      <w:r>
        <w:rPr>
          <w:noProof/>
        </w:rPr>
        <w:t xml:space="preserve">). </w:t>
      </w:r>
    </w:p>
    <w:p w:rsidR="005A5815" w:rsidRPr="00B256FF" w:rsidRDefault="005A5815" w:rsidP="005A5815">
      <w:pPr>
        <w:pStyle w:val="BodyText"/>
        <w:rPr>
          <w:noProof/>
        </w:rPr>
      </w:pPr>
      <w:r w:rsidRPr="00B256FF">
        <w:rPr>
          <w:noProof/>
        </w:rPr>
        <w:t xml:space="preserve">Better APPRs explain the basis for the ratings, often in an opening statement in the performance discussion under each objective. This usually involves an analysis of the performance of multiple investments that lead to change at the program level, rather than being based solely on one investment. In some cases, however, singular investments do lead to systemic change (particularly sector wide approaches or large partnerships with the World Bank), and may be an exception. The ratings in the better APPRs are supported by concrete, well-referenced evidence that is beyond investment-level evidence. </w:t>
      </w:r>
    </w:p>
    <w:p w:rsidR="005A5815" w:rsidRPr="00B256FF" w:rsidRDefault="005A5815" w:rsidP="00041826">
      <w:pPr>
        <w:pStyle w:val="BoxHeading1"/>
      </w:pPr>
      <w:bookmarkStart w:id="35" w:name="_Toc408605694"/>
      <w:r w:rsidRPr="00B256FF">
        <w:t>Box 2</w:t>
      </w:r>
      <w:r>
        <w:tab/>
      </w:r>
      <w:r w:rsidR="004852A4">
        <w:t>Good</w:t>
      </w:r>
      <w:r w:rsidRPr="00B256FF">
        <w:t xml:space="preserve"> practice in framing objectives</w:t>
      </w:r>
      <w:bookmarkEnd w:id="35"/>
    </w:p>
    <w:p w:rsidR="005A5815" w:rsidRPr="004E547D" w:rsidRDefault="005A5815" w:rsidP="004E547D">
      <w:pPr>
        <w:pStyle w:val="BoxHeading2"/>
      </w:pPr>
      <w:r w:rsidRPr="004E547D">
        <w:t xml:space="preserve">Pakistan APPR: clear objectives and measures of performance </w:t>
      </w:r>
    </w:p>
    <w:p w:rsidR="005A5815" w:rsidRPr="00B256FF" w:rsidRDefault="005A5815" w:rsidP="00041826">
      <w:pPr>
        <w:pStyle w:val="CharChar"/>
      </w:pPr>
      <w:r w:rsidRPr="00B256FF">
        <w:t xml:space="preserve">The first objective in the APPR for Pakistan includes a number of specific outcomes. The </w:t>
      </w:r>
      <w:r>
        <w:t xml:space="preserve">PAF </w:t>
      </w:r>
      <w:r w:rsidRPr="00B256FF">
        <w:t>defines indicators of progress with targets for each of the coming three years. The following example is for one outcome:</w:t>
      </w:r>
    </w:p>
    <w:p w:rsidR="005A5815" w:rsidRPr="00B256FF" w:rsidRDefault="005A5815" w:rsidP="00041826">
      <w:pPr>
        <w:pStyle w:val="CharChar"/>
      </w:pPr>
      <w:r w:rsidRPr="00B256FF">
        <w:t>Objective 1: Generating economic growth and employment through increased trade and improvements in agriculture and industry</w:t>
      </w:r>
    </w:p>
    <w:p w:rsidR="005A5815" w:rsidRPr="00B256FF" w:rsidRDefault="005A5815" w:rsidP="00041826">
      <w:pPr>
        <w:pStyle w:val="CharChar"/>
      </w:pPr>
      <w:r w:rsidRPr="00B256FF">
        <w:t>Outcome 1: Poor women and men have increased income through business and employment opportunities and increased value of agricultural produce</w:t>
      </w:r>
    </w:p>
    <w:p w:rsidR="005A5815" w:rsidRPr="00B256FF" w:rsidRDefault="005A5815" w:rsidP="00041826">
      <w:pPr>
        <w:pStyle w:val="CharChar"/>
        <w:rPr>
          <w:rFonts w:cstheme="minorHAnsi"/>
        </w:rPr>
      </w:pPr>
      <w:r>
        <w:rPr>
          <w:rFonts w:cstheme="minorHAnsi"/>
        </w:rPr>
        <w:t>Indicators</w:t>
      </w:r>
      <w:r w:rsidRPr="00B256FF">
        <w:rPr>
          <w:rFonts w:cstheme="minorHAnsi"/>
        </w:rPr>
        <w:t>:</w:t>
      </w:r>
    </w:p>
    <w:p w:rsidR="005A5815" w:rsidRPr="00041826" w:rsidRDefault="00041826" w:rsidP="00041826">
      <w:pPr>
        <w:pStyle w:val="BoxListBulletorNumber2"/>
      </w:pPr>
      <w:r>
        <w:tab/>
        <w:t>–</w:t>
      </w:r>
      <w:r w:rsidR="00C60FB1">
        <w:tab/>
      </w:r>
      <w:r w:rsidR="005A5815" w:rsidRPr="00041826">
        <w:t>Number of poor farmers and small business owners who have increased their income</w:t>
      </w:r>
    </w:p>
    <w:p w:rsidR="005A5815" w:rsidRDefault="00041826" w:rsidP="00041826">
      <w:pPr>
        <w:pStyle w:val="BoxListBulletorNumber2"/>
      </w:pPr>
      <w:r>
        <w:tab/>
        <w:t>–</w:t>
      </w:r>
      <w:r w:rsidR="00C60FB1">
        <w:tab/>
      </w:r>
      <w:r w:rsidR="005A5815" w:rsidRPr="00041826">
        <w:t>Number of small businesses (% women’s small and medium enterprises) established, restored to operations or expanded to the poor</w:t>
      </w:r>
    </w:p>
    <w:p w:rsidR="005A5815" w:rsidRPr="00B256FF" w:rsidRDefault="00041826" w:rsidP="00C55AC8">
      <w:pPr>
        <w:pStyle w:val="BoxListBulletorNumber2"/>
      </w:pPr>
      <w:r>
        <w:tab/>
        <w:t>–</w:t>
      </w:r>
      <w:r w:rsidR="00C60FB1">
        <w:tab/>
      </w:r>
      <w:r w:rsidR="005A5815" w:rsidRPr="00041826">
        <w:t>Number of jobs (full-time equivalent) created for poor women and men.</w:t>
      </w:r>
    </w:p>
    <w:p w:rsidR="005A5815" w:rsidRPr="00B256FF" w:rsidRDefault="005A5815" w:rsidP="00023622">
      <w:pPr>
        <w:pStyle w:val="BodyText"/>
        <w:spacing w:before="240"/>
        <w:rPr>
          <w:noProof/>
          <w:color w:val="000000" w:themeColor="text1"/>
          <w:spacing w:val="-4"/>
          <w:szCs w:val="21"/>
        </w:rPr>
      </w:pPr>
      <w:r w:rsidRPr="00B256FF">
        <w:rPr>
          <w:noProof/>
          <w:spacing w:val="-4"/>
        </w:rPr>
        <w:t xml:space="preserve">Better APPRs – Indonesia for example – are also able to place evidence and results in context so the reader understands their significance. A few APPRs do less well in this regard. For example, an isolated result reported in </w:t>
      </w:r>
      <w:r w:rsidR="00C75BD3">
        <w:rPr>
          <w:noProof/>
          <w:spacing w:val="-4"/>
        </w:rPr>
        <w:t>one</w:t>
      </w:r>
      <w:r w:rsidRPr="00B256FF">
        <w:rPr>
          <w:noProof/>
          <w:spacing w:val="-4"/>
        </w:rPr>
        <w:t xml:space="preserve"> APPR</w:t>
      </w:r>
      <w:r>
        <w:rPr>
          <w:noProof/>
          <w:spacing w:val="-4"/>
        </w:rPr>
        <w:t>, which says</w:t>
      </w:r>
      <w:r w:rsidR="003A5CE1">
        <w:rPr>
          <w:noProof/>
          <w:spacing w:val="-4"/>
        </w:rPr>
        <w:t>,</w:t>
      </w:r>
      <w:r w:rsidRPr="00B256FF">
        <w:rPr>
          <w:noProof/>
          <w:spacing w:val="-4"/>
        </w:rPr>
        <w:t xml:space="preserve"> </w:t>
      </w:r>
      <w:r w:rsidRPr="00B4574B">
        <w:rPr>
          <w:i/>
          <w:spacing w:val="-4"/>
        </w:rPr>
        <w:t>“</w:t>
      </w:r>
      <w:r w:rsidRPr="00B256FF">
        <w:rPr>
          <w:i/>
          <w:noProof/>
          <w:spacing w:val="-4"/>
        </w:rPr>
        <w:t xml:space="preserve">It provided community based education classes to 6,715 children, including 960 girls”, </w:t>
      </w:r>
      <w:r w:rsidRPr="00B256FF">
        <w:rPr>
          <w:noProof/>
          <w:color w:val="000000" w:themeColor="text1"/>
          <w:spacing w:val="-4"/>
          <w:szCs w:val="21"/>
        </w:rPr>
        <w:t xml:space="preserve">provides no indication of the significance of this achievement in the </w:t>
      </w:r>
      <w:r w:rsidR="00C75BD3">
        <w:rPr>
          <w:noProof/>
          <w:color w:val="000000" w:themeColor="text1"/>
          <w:spacing w:val="-4"/>
          <w:szCs w:val="21"/>
        </w:rPr>
        <w:t>particular country</w:t>
      </w:r>
      <w:r w:rsidRPr="00B256FF">
        <w:rPr>
          <w:noProof/>
          <w:color w:val="000000" w:themeColor="text1"/>
          <w:spacing w:val="-4"/>
          <w:szCs w:val="21"/>
        </w:rPr>
        <w:t xml:space="preserve"> context.</w:t>
      </w:r>
    </w:p>
    <w:p w:rsidR="005A5815" w:rsidRPr="00B256FF" w:rsidRDefault="005A5815" w:rsidP="005A5815">
      <w:pPr>
        <w:pStyle w:val="Heading3"/>
        <w:rPr>
          <w:noProof/>
        </w:rPr>
      </w:pPr>
      <w:r w:rsidRPr="00B256FF">
        <w:rPr>
          <w:noProof/>
        </w:rPr>
        <w:t>Use of performance assessment frameworks</w:t>
      </w:r>
    </w:p>
    <w:p w:rsidR="005A5815" w:rsidRPr="00B256FF" w:rsidRDefault="005A5815" w:rsidP="005A5815">
      <w:pPr>
        <w:pStyle w:val="BodyText"/>
        <w:rPr>
          <w:noProof/>
        </w:rPr>
      </w:pPr>
      <w:r w:rsidRPr="00B256FF">
        <w:rPr>
          <w:noProof/>
        </w:rPr>
        <w:t xml:space="preserve">Almost all </w:t>
      </w:r>
      <w:r>
        <w:rPr>
          <w:noProof/>
        </w:rPr>
        <w:t xml:space="preserve">lower </w:t>
      </w:r>
      <w:r w:rsidRPr="00B256FF">
        <w:rPr>
          <w:noProof/>
        </w:rPr>
        <w:t xml:space="preserve">quality APPRs in terms of progress assessment do not have </w:t>
      </w:r>
      <w:r>
        <w:rPr>
          <w:noProof/>
        </w:rPr>
        <w:t xml:space="preserve">PAFs </w:t>
      </w:r>
      <w:r w:rsidRPr="00B256FF">
        <w:rPr>
          <w:noProof/>
        </w:rPr>
        <w:t>from which they draw assessments. A PAF is a document that sets out outcomes, indicators and baselines for the purpose of tracking progress towards program objectives. Good PAFs are underpinned by a clear program logic that explains how aid interventions will achieve objectives and the assumptions underlying this logic.</w:t>
      </w:r>
    </w:p>
    <w:p w:rsidR="005A5815" w:rsidRPr="00B256FF" w:rsidRDefault="005A5815" w:rsidP="005A5815">
      <w:pPr>
        <w:pStyle w:val="BodyText"/>
        <w:rPr>
          <w:noProof/>
        </w:rPr>
      </w:pPr>
      <w:r w:rsidRPr="00B256FF">
        <w:rPr>
          <w:noProof/>
        </w:rPr>
        <w:t>Programs with better quality PAFs were generally better able to</w:t>
      </w:r>
      <w:r w:rsidR="003E4131">
        <w:rPr>
          <w:noProof/>
        </w:rPr>
        <w:t xml:space="preserve"> </w:t>
      </w:r>
      <w:r w:rsidRPr="00B256FF">
        <w:rPr>
          <w:noProof/>
        </w:rPr>
        <w:t>justify</w:t>
      </w:r>
      <w:r w:rsidR="004555B0">
        <w:rPr>
          <w:noProof/>
        </w:rPr>
        <w:t xml:space="preserve"> progress</w:t>
      </w:r>
      <w:r w:rsidRPr="00B256FF">
        <w:rPr>
          <w:noProof/>
        </w:rPr>
        <w:t xml:space="preserve"> ratings</w:t>
      </w:r>
      <w:r w:rsidR="004555B0">
        <w:rPr>
          <w:noProof/>
        </w:rPr>
        <w:t xml:space="preserve"> against objectives</w:t>
      </w:r>
      <w:r w:rsidRPr="00B256FF">
        <w:rPr>
          <w:noProof/>
        </w:rPr>
        <w:t xml:space="preserve">. The weaker </w:t>
      </w:r>
      <w:r>
        <w:rPr>
          <w:noProof/>
        </w:rPr>
        <w:t>justifications</w:t>
      </w:r>
      <w:r w:rsidRPr="00B256FF">
        <w:rPr>
          <w:noProof/>
        </w:rPr>
        <w:t xml:space="preserve"> </w:t>
      </w:r>
      <w:r w:rsidR="004555B0">
        <w:rPr>
          <w:noProof/>
        </w:rPr>
        <w:t>(</w:t>
      </w:r>
      <w:r w:rsidRPr="00B256FF">
        <w:rPr>
          <w:noProof/>
        </w:rPr>
        <w:t>and PAFs</w:t>
      </w:r>
      <w:r w:rsidR="004555B0">
        <w:rPr>
          <w:noProof/>
        </w:rPr>
        <w:t>)</w:t>
      </w:r>
      <w:r w:rsidR="00986507">
        <w:rPr>
          <w:noProof/>
        </w:rPr>
        <w:t xml:space="preserve"> </w:t>
      </w:r>
      <w:r w:rsidRPr="00B256FF">
        <w:rPr>
          <w:noProof/>
        </w:rPr>
        <w:t>fail to explain the basis for the ratings or the connection between what the programs are doing and their claimed achievement against a high-level objective. Other poorer explanations rely solely on investment-level data even when those investments are relatively low level compared to the ambition of the objectives.</w:t>
      </w:r>
    </w:p>
    <w:p w:rsidR="00C75BD3" w:rsidRDefault="003E4131" w:rsidP="003E4131">
      <w:pPr>
        <w:pStyle w:val="BodyText"/>
      </w:pPr>
      <w:r w:rsidRPr="00B256FF">
        <w:rPr>
          <w:noProof/>
        </w:rPr>
        <w:t>Prior to the introduction of the</w:t>
      </w:r>
      <w:r>
        <w:rPr>
          <w:noProof/>
        </w:rPr>
        <w:t xml:space="preserve"> aid program’s</w:t>
      </w:r>
      <w:r w:rsidRPr="00B256FF">
        <w:rPr>
          <w:noProof/>
        </w:rPr>
        <w:t xml:space="preserve"> new performance framework all programs were expected to have a PAF in place, or a plan for its development, by the e</w:t>
      </w:r>
      <w:r w:rsidR="004555B0">
        <w:rPr>
          <w:noProof/>
        </w:rPr>
        <w:t>nd of 2013. As described in the previous</w:t>
      </w:r>
      <w:r w:rsidRPr="00B256FF">
        <w:rPr>
          <w:noProof/>
        </w:rPr>
        <w:t xml:space="preserve"> APPR quality review, for </w:t>
      </w:r>
      <w:r>
        <w:rPr>
          <w:noProof/>
        </w:rPr>
        <w:t xml:space="preserve">one-third </w:t>
      </w:r>
      <w:r w:rsidRPr="00B256FF">
        <w:rPr>
          <w:noProof/>
        </w:rPr>
        <w:t xml:space="preserve">of programs this did not occur. Under DFAT’s new Aid Programming Guide (released July 2014) it is mandatory that </w:t>
      </w:r>
      <w:r w:rsidRPr="004555B0">
        <w:rPr>
          <w:i/>
          <w:noProof/>
        </w:rPr>
        <w:t>major</w:t>
      </w:r>
      <w:r w:rsidRPr="00B256FF">
        <w:rPr>
          <w:noProof/>
        </w:rPr>
        <w:t xml:space="preserve"> country and regional programs (</w:t>
      </w:r>
      <w:r w:rsidR="004555B0">
        <w:rPr>
          <w:noProof/>
        </w:rPr>
        <w:t xml:space="preserve">i.e. those </w:t>
      </w:r>
      <w:r w:rsidRPr="00B256FF">
        <w:rPr>
          <w:noProof/>
        </w:rPr>
        <w:t xml:space="preserve">with an estimated total </w:t>
      </w:r>
      <w:r w:rsidR="00902382">
        <w:rPr>
          <w:noProof/>
        </w:rPr>
        <w:t>Official Development Assistance</w:t>
      </w:r>
      <w:r w:rsidR="004555B0">
        <w:rPr>
          <w:noProof/>
        </w:rPr>
        <w:t xml:space="preserve"> value of</w:t>
      </w:r>
      <w:r w:rsidRPr="00B256FF">
        <w:rPr>
          <w:noProof/>
        </w:rPr>
        <w:t xml:space="preserve"> over $50 million per annum</w:t>
      </w:r>
      <w:r w:rsidR="004555B0">
        <w:rPr>
          <w:noProof/>
        </w:rPr>
        <w:t>,</w:t>
      </w:r>
      <w:r w:rsidRPr="00B256FF">
        <w:rPr>
          <w:noProof/>
        </w:rPr>
        <w:t xml:space="preserve"> or</w:t>
      </w:r>
      <w:r w:rsidR="004555B0">
        <w:rPr>
          <w:noProof/>
        </w:rPr>
        <w:t xml:space="preserve"> those</w:t>
      </w:r>
      <w:r w:rsidRPr="00B256FF">
        <w:rPr>
          <w:noProof/>
        </w:rPr>
        <w:t xml:space="preserve"> judged to be high-risk or sensitive) include a PAF as part of their Aid Investment Plans. A PAF is only </w:t>
      </w:r>
      <w:r w:rsidRPr="00B256FF">
        <w:rPr>
          <w:i/>
          <w:noProof/>
        </w:rPr>
        <w:t xml:space="preserve">recommended </w:t>
      </w:r>
      <w:r w:rsidRPr="00B256FF">
        <w:rPr>
          <w:noProof/>
        </w:rPr>
        <w:t xml:space="preserve">for other country and regional programs. </w:t>
      </w:r>
    </w:p>
    <w:p w:rsidR="00C75BD3" w:rsidRPr="00B256FF" w:rsidRDefault="00C75BD3" w:rsidP="003E4131">
      <w:pPr>
        <w:pStyle w:val="BodyText"/>
        <w:rPr>
          <w:noProof/>
        </w:rPr>
      </w:pPr>
      <w:r w:rsidRPr="00324D90">
        <w:t xml:space="preserve">Both this and last year’s quality reviews of APPRs demonstrate that the credibility of APPRs’ assessment of program performance is enhanced when programs can draw on good quality PAFs. </w:t>
      </w:r>
      <w:r>
        <w:t xml:space="preserve">ODE therefore considers that PAFs should be required for </w:t>
      </w:r>
      <w:r w:rsidRPr="00C75BD3">
        <w:rPr>
          <w:i/>
        </w:rPr>
        <w:t>all</w:t>
      </w:r>
      <w:r>
        <w:t xml:space="preserve"> programs that produce APPRs</w:t>
      </w:r>
      <w:r w:rsidR="003A5CE1">
        <w:t>.</w:t>
      </w:r>
    </w:p>
    <w:p w:rsidR="005A5815" w:rsidRPr="00B256FF" w:rsidRDefault="005A5815" w:rsidP="005A5815">
      <w:pPr>
        <w:pStyle w:val="Heading3"/>
        <w:rPr>
          <w:noProof/>
        </w:rPr>
      </w:pPr>
      <w:r w:rsidRPr="00B256FF">
        <w:rPr>
          <w:noProof/>
        </w:rPr>
        <w:t>Contribution of policy dialogue to program progress</w:t>
      </w:r>
    </w:p>
    <w:p w:rsidR="005A5815" w:rsidRPr="00B256FF" w:rsidRDefault="005A5815" w:rsidP="005A5815">
      <w:pPr>
        <w:pStyle w:val="BodyText"/>
        <w:rPr>
          <w:noProof/>
        </w:rPr>
      </w:pPr>
      <w:r w:rsidRPr="00B256FF">
        <w:rPr>
          <w:noProof/>
        </w:rPr>
        <w:t xml:space="preserve">Better discussions about policy dialogue make it clear what the dialogue aims to achieve and </w:t>
      </w:r>
      <w:r>
        <w:rPr>
          <w:noProof/>
        </w:rPr>
        <w:t>are</w:t>
      </w:r>
      <w:r w:rsidRPr="00B256FF">
        <w:rPr>
          <w:noProof/>
        </w:rPr>
        <w:t xml:space="preserve"> more precise about the means of that dialogue. Bangladesh, Laos and Pakistan were all excellent reports in this respect (see Laos example in Box 3).</w:t>
      </w:r>
    </w:p>
    <w:p w:rsidR="005A5815" w:rsidRPr="00B256FF" w:rsidRDefault="005A5815" w:rsidP="00C55AC8">
      <w:pPr>
        <w:pStyle w:val="BoxHeading1"/>
      </w:pPr>
      <w:bookmarkStart w:id="36" w:name="_Toc408605695"/>
      <w:r w:rsidRPr="00B256FF">
        <w:t>Box 3</w:t>
      </w:r>
      <w:r w:rsidRPr="00B256FF">
        <w:tab/>
        <w:t>Good practice policy dialogue reporting</w:t>
      </w:r>
      <w:bookmarkEnd w:id="36"/>
    </w:p>
    <w:p w:rsidR="005A5815" w:rsidRPr="00E558D0" w:rsidRDefault="005A5815" w:rsidP="00C55AC8">
      <w:pPr>
        <w:pStyle w:val="BoxHeading2"/>
      </w:pPr>
      <w:r w:rsidRPr="00E558D0">
        <w:t>Laos APPR</w:t>
      </w:r>
    </w:p>
    <w:p w:rsidR="005A5815" w:rsidRPr="00C55AC8" w:rsidRDefault="005A5815" w:rsidP="007A64DD">
      <w:pPr>
        <w:pStyle w:val="BoxQuote"/>
        <w:rPr>
          <w:noProof/>
        </w:rPr>
      </w:pPr>
      <w:r w:rsidRPr="00C55AC8">
        <w:t xml:space="preserve">Australia </w:t>
      </w:r>
      <w:r w:rsidRPr="00C55AC8">
        <w:rPr>
          <w:noProof/>
        </w:rPr>
        <w:t>continued in its role as co-chair of the Education Sector Working Group (ESWG), which enabled substantive policy dialogue, particularly on education disadvantage, inclusive education, and transparency in budgeting and planning. Four focal groups were established under the ESWG to enable technical discussions between the Lao Government and development partners (including civil society) to support evidence-based policy-making. Provincial ESWG coordination meetings were planned, but did not occur.</w:t>
      </w:r>
    </w:p>
    <w:p w:rsidR="005A5815" w:rsidRPr="00C55AC8" w:rsidRDefault="005A5815" w:rsidP="007A64DD">
      <w:pPr>
        <w:pStyle w:val="BoxQuote"/>
        <w:rPr>
          <w:noProof/>
        </w:rPr>
      </w:pPr>
      <w:r w:rsidRPr="00C55AC8">
        <w:rPr>
          <w:noProof/>
        </w:rPr>
        <w:t>Shaping dialogue through the ESWG were recommendations from the 2013 Mid Term Review of the Education Sector Development Plan (ESDP), to which Australia contributed technical assistance. The review highlighted some of the most pressing issues faced by the sector, such as the government decision to increase civil servant wages (including teacher wages) in 2012–13 and again in 2013–14, putting serious pressure on the non-wage recurrent budget. Inefficiencies related to teacher management and deployment were also highlighted, as teacher salaries consumed 88 per cent of the education recurrent budget for 2013–14, and 94 per cent of the sub-national recurrent budget. The review prompted the Ministry of Education and Sports to take some actions to address this issue, however further substantive action is required.</w:t>
      </w:r>
    </w:p>
    <w:p w:rsidR="005A5815" w:rsidRPr="00B256FF" w:rsidRDefault="005A5815" w:rsidP="007A64DD">
      <w:pPr>
        <w:pStyle w:val="BoxQuote"/>
      </w:pPr>
      <w:r w:rsidRPr="00C55AC8">
        <w:rPr>
          <w:noProof/>
        </w:rPr>
        <w:t>The Government of Laos has requested Australia’s help in preparing the next ESDP (2016–2020), an indication of the high regard for Australia’s leadership role in the sector. In April 2014, Australia funded, jointly with UNICEF, a workshop as a first stage in developing the new plan. Australia was also asked to help establish a methodology to review the Education Law (2007). Critical issues highlighted for further consultation both within government and with development partners include language of</w:t>
      </w:r>
      <w:r w:rsidRPr="00C55AC8">
        <w:t xml:space="preserve"> instruction and the length of compulsory education. Australia will pursue this further through the ESWG.</w:t>
      </w:r>
    </w:p>
    <w:p w:rsidR="005A5815" w:rsidRPr="00C55AC8" w:rsidRDefault="005A5815" w:rsidP="00C55AC8">
      <w:pPr>
        <w:pStyle w:val="BoxNoteSource"/>
        <w:jc w:val="right"/>
        <w:rPr>
          <w:noProof/>
          <w:sz w:val="20"/>
          <w:szCs w:val="22"/>
        </w:rPr>
      </w:pPr>
      <w:r w:rsidRPr="00C55AC8">
        <w:rPr>
          <w:noProof/>
          <w:sz w:val="20"/>
          <w:szCs w:val="22"/>
        </w:rPr>
        <w:t>Laos APPR 2013–14</w:t>
      </w:r>
    </w:p>
    <w:p w:rsidR="005A5815" w:rsidRPr="00B256FF" w:rsidRDefault="005A5815" w:rsidP="005A5815">
      <w:pPr>
        <w:pStyle w:val="Heading2"/>
      </w:pPr>
      <w:bookmarkStart w:id="37" w:name="_Toc403110166"/>
      <w:bookmarkStart w:id="38" w:name="_Toc403836178"/>
      <w:bookmarkStart w:id="39" w:name="_Toc416250720"/>
      <w:bookmarkStart w:id="40" w:name="_Toc422327005"/>
      <w:r>
        <w:t>2.3</w:t>
      </w:r>
      <w:r>
        <w:tab/>
      </w:r>
      <w:r w:rsidRPr="00B256FF">
        <w:t xml:space="preserve">Partner </w:t>
      </w:r>
      <w:bookmarkEnd w:id="37"/>
      <w:bookmarkEnd w:id="38"/>
      <w:bookmarkEnd w:id="39"/>
      <w:r>
        <w:t>contribution</w:t>
      </w:r>
      <w:bookmarkEnd w:id="40"/>
    </w:p>
    <w:tbl>
      <w:tblPr>
        <w:tblStyle w:val="DFATTable0"/>
        <w:tblW w:w="8850" w:type="dxa"/>
        <w:tblBorders>
          <w:top w:val="single" w:sz="4" w:space="0" w:color="808080"/>
          <w:bottom w:val="single" w:sz="4" w:space="0" w:color="808080"/>
        </w:tblBorders>
        <w:shd w:val="clear" w:color="auto" w:fill="FFFFFF" w:themeFill="background1"/>
        <w:tblLayout w:type="fixed"/>
        <w:tblLook w:val="00A0" w:firstRow="1" w:lastRow="0" w:firstColumn="1" w:lastColumn="0" w:noHBand="0" w:noVBand="0"/>
      </w:tblPr>
      <w:tblGrid>
        <w:gridCol w:w="2093"/>
        <w:gridCol w:w="6757"/>
      </w:tblGrid>
      <w:tr w:rsidR="0025176D" w:rsidRPr="00810482" w:rsidTr="0058185B">
        <w:trPr>
          <w:trHeight w:val="57"/>
        </w:trPr>
        <w:tc>
          <w:tcPr>
            <w:tcW w:w="2093" w:type="dxa"/>
            <w:shd w:val="clear" w:color="auto" w:fill="007FAD"/>
          </w:tcPr>
          <w:p w:rsidR="0025176D" w:rsidRPr="0058185B" w:rsidRDefault="0025176D" w:rsidP="005A7AB4">
            <w:pPr>
              <w:pStyle w:val="TableHeading1"/>
              <w:spacing w:before="120" w:after="80"/>
              <w:rPr>
                <w:color w:val="FFFFFF" w:themeColor="background1"/>
                <w:szCs w:val="18"/>
              </w:rPr>
            </w:pPr>
            <w:r w:rsidRPr="0058185B">
              <w:rPr>
                <w:color w:val="FFFFFF" w:themeColor="background1"/>
                <w:szCs w:val="18"/>
              </w:rPr>
              <w:t>CORNERSTONE QUESTION 3</w:t>
            </w:r>
          </w:p>
        </w:tc>
        <w:tc>
          <w:tcPr>
            <w:tcW w:w="6757" w:type="dxa"/>
            <w:shd w:val="clear" w:color="auto" w:fill="FFFFFF" w:themeFill="background1"/>
          </w:tcPr>
          <w:p w:rsidR="0025176D" w:rsidRPr="00810482" w:rsidRDefault="0025176D" w:rsidP="005A7AB4">
            <w:pPr>
              <w:pStyle w:val="TableTextEntries"/>
              <w:spacing w:before="120" w:after="80"/>
              <w:rPr>
                <w:iCs w:val="0"/>
              </w:rPr>
            </w:pPr>
            <w:r w:rsidRPr="00810482">
              <w:rPr>
                <w:b/>
              </w:rPr>
              <w:t>Does the APPR provide a proportionate, balanced discussion of the contribution of partner governments and delivery partners?</w:t>
            </w:r>
          </w:p>
        </w:tc>
      </w:tr>
      <w:tr w:rsidR="0025176D" w:rsidRPr="00810482" w:rsidTr="0058185B">
        <w:trPr>
          <w:trHeight w:val="57"/>
        </w:trPr>
        <w:tc>
          <w:tcPr>
            <w:tcW w:w="2093" w:type="dxa"/>
            <w:shd w:val="clear" w:color="auto" w:fill="007FAD"/>
          </w:tcPr>
          <w:p w:rsidR="0025176D" w:rsidRPr="0058185B" w:rsidRDefault="0025176D" w:rsidP="005A7AB4">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3a</w:t>
            </w:r>
          </w:p>
        </w:tc>
        <w:tc>
          <w:tcPr>
            <w:tcW w:w="6757" w:type="dxa"/>
            <w:shd w:val="clear" w:color="auto" w:fill="FFFFFF" w:themeFill="background1"/>
          </w:tcPr>
          <w:p w:rsidR="0025176D" w:rsidRPr="00810482" w:rsidRDefault="0025176D" w:rsidP="005A7AB4">
            <w:pPr>
              <w:pStyle w:val="BodyText"/>
              <w:spacing w:before="80" w:after="80" w:line="200" w:lineRule="atLeast"/>
              <w:rPr>
                <w:iCs/>
                <w:noProof/>
                <w:sz w:val="17"/>
                <w:szCs w:val="17"/>
                <w:lang w:eastAsia="en-US"/>
              </w:rPr>
            </w:pPr>
            <w:r w:rsidRPr="00810482">
              <w:rPr>
                <w:iCs/>
                <w:noProof/>
                <w:sz w:val="17"/>
                <w:szCs w:val="17"/>
                <w:lang w:eastAsia="en-US"/>
              </w:rPr>
              <w:t xml:space="preserve">For partner governments? </w:t>
            </w:r>
          </w:p>
        </w:tc>
      </w:tr>
      <w:tr w:rsidR="0025176D" w:rsidRPr="00810482" w:rsidTr="0058185B">
        <w:trPr>
          <w:trHeight w:val="57"/>
        </w:trPr>
        <w:tc>
          <w:tcPr>
            <w:tcW w:w="2093" w:type="dxa"/>
            <w:shd w:val="clear" w:color="auto" w:fill="007FAD"/>
          </w:tcPr>
          <w:p w:rsidR="0025176D" w:rsidRPr="0058185B" w:rsidRDefault="0025176D" w:rsidP="005A7AB4">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3b</w:t>
            </w:r>
          </w:p>
        </w:tc>
        <w:tc>
          <w:tcPr>
            <w:tcW w:w="6757" w:type="dxa"/>
            <w:shd w:val="clear" w:color="auto" w:fill="FFFFFF" w:themeFill="background1"/>
          </w:tcPr>
          <w:p w:rsidR="0025176D" w:rsidRPr="00810482" w:rsidRDefault="0025176D" w:rsidP="005A7AB4">
            <w:pPr>
              <w:pStyle w:val="TableTextEntries"/>
              <w:spacing w:before="80" w:after="80"/>
              <w:rPr>
                <w:noProof/>
              </w:rPr>
            </w:pPr>
            <w:r w:rsidRPr="00810482">
              <w:rPr>
                <w:noProof/>
              </w:rPr>
              <w:t>For whole-of-government partners?</w:t>
            </w:r>
          </w:p>
        </w:tc>
      </w:tr>
      <w:tr w:rsidR="0025176D" w:rsidRPr="00810482" w:rsidTr="0058185B">
        <w:trPr>
          <w:trHeight w:val="57"/>
        </w:trPr>
        <w:tc>
          <w:tcPr>
            <w:tcW w:w="2093" w:type="dxa"/>
            <w:shd w:val="clear" w:color="auto" w:fill="007FAD"/>
          </w:tcPr>
          <w:p w:rsidR="0025176D" w:rsidRPr="0058185B" w:rsidRDefault="0025176D" w:rsidP="005A7AB4">
            <w:pPr>
              <w:pStyle w:val="TableHeading1"/>
              <w:spacing w:before="80" w:after="8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3c</w:t>
            </w:r>
          </w:p>
        </w:tc>
        <w:tc>
          <w:tcPr>
            <w:tcW w:w="6757" w:type="dxa"/>
            <w:shd w:val="clear" w:color="auto" w:fill="FFFFFF" w:themeFill="background1"/>
          </w:tcPr>
          <w:p w:rsidR="0025176D" w:rsidRPr="00810482" w:rsidRDefault="0025176D" w:rsidP="005A7AB4">
            <w:pPr>
              <w:pStyle w:val="BodyText"/>
              <w:spacing w:before="80" w:after="80" w:line="200" w:lineRule="atLeast"/>
              <w:rPr>
                <w:iCs/>
                <w:noProof/>
                <w:sz w:val="17"/>
                <w:szCs w:val="17"/>
                <w:lang w:eastAsia="en-US"/>
              </w:rPr>
            </w:pPr>
            <w:r w:rsidRPr="00810482">
              <w:rPr>
                <w:iCs/>
                <w:noProof/>
                <w:sz w:val="17"/>
                <w:szCs w:val="17"/>
                <w:lang w:eastAsia="en-US"/>
              </w:rPr>
              <w:t>For international partners?</w:t>
            </w:r>
          </w:p>
        </w:tc>
      </w:tr>
      <w:tr w:rsidR="0025176D" w:rsidRPr="00810482" w:rsidTr="0058185B">
        <w:trPr>
          <w:trHeight w:val="57"/>
        </w:trPr>
        <w:tc>
          <w:tcPr>
            <w:tcW w:w="2093" w:type="dxa"/>
            <w:shd w:val="clear" w:color="auto" w:fill="007FAD"/>
          </w:tcPr>
          <w:p w:rsidR="0025176D" w:rsidRPr="0058185B" w:rsidRDefault="0025176D" w:rsidP="005A7AB4">
            <w:pPr>
              <w:pStyle w:val="TableHeading1"/>
              <w:spacing w:before="80" w:after="120"/>
              <w:rPr>
                <w:color w:val="FFFFFF" w:themeColor="background1"/>
              </w:rPr>
            </w:pPr>
            <w:proofErr w:type="spellStart"/>
            <w:r w:rsidRPr="0058185B">
              <w:rPr>
                <w:color w:val="FFFFFF" w:themeColor="background1"/>
              </w:rPr>
              <w:t>Subquestion</w:t>
            </w:r>
            <w:proofErr w:type="spellEnd"/>
            <w:r w:rsidRPr="0058185B">
              <w:rPr>
                <w:color w:val="FFFFFF" w:themeColor="background1"/>
              </w:rPr>
              <w:t xml:space="preserve"> 3d</w:t>
            </w:r>
          </w:p>
        </w:tc>
        <w:tc>
          <w:tcPr>
            <w:tcW w:w="6757" w:type="dxa"/>
            <w:shd w:val="clear" w:color="auto" w:fill="FFFFFF" w:themeFill="background1"/>
          </w:tcPr>
          <w:p w:rsidR="0025176D" w:rsidRPr="00810482" w:rsidRDefault="0025176D" w:rsidP="005A7AB4">
            <w:pPr>
              <w:pStyle w:val="BodyText"/>
              <w:spacing w:before="80" w:after="120" w:line="200" w:lineRule="atLeast"/>
              <w:rPr>
                <w:iCs/>
                <w:noProof/>
                <w:sz w:val="17"/>
                <w:szCs w:val="17"/>
                <w:lang w:eastAsia="en-US"/>
              </w:rPr>
            </w:pPr>
            <w:r w:rsidRPr="00810482">
              <w:rPr>
                <w:iCs/>
                <w:noProof/>
                <w:sz w:val="17"/>
                <w:szCs w:val="17"/>
                <w:lang w:eastAsia="en-US"/>
              </w:rPr>
              <w:t>For civil society and private sector organisations?</w:t>
            </w:r>
          </w:p>
        </w:tc>
      </w:tr>
    </w:tbl>
    <w:p w:rsidR="005A5815" w:rsidRPr="0058185B" w:rsidRDefault="005A5815" w:rsidP="0025176D">
      <w:pPr>
        <w:rPr>
          <w:rFonts w:ascii="Franklin Gothic Book" w:hAnsi="Franklin Gothic Book"/>
          <w:noProof/>
          <w:sz w:val="21"/>
        </w:rPr>
      </w:pPr>
    </w:p>
    <w:p w:rsidR="005A5815" w:rsidRPr="00B256FF" w:rsidRDefault="00076475" w:rsidP="00023622">
      <w:pPr>
        <w:pStyle w:val="TableandFigureName"/>
        <w:numPr>
          <w:ilvl w:val="0"/>
          <w:numId w:val="0"/>
        </w:numPr>
        <w:tabs>
          <w:tab w:val="clear" w:pos="993"/>
          <w:tab w:val="left" w:pos="1276"/>
        </w:tabs>
        <w:spacing w:before="360"/>
      </w:pPr>
      <w:bookmarkStart w:id="41" w:name="_Toc408606455"/>
      <w:r>
        <w:t>Figure 7</w:t>
      </w:r>
      <w:r w:rsidR="006335F8">
        <w:tab/>
      </w:r>
      <w:r w:rsidR="005A5815" w:rsidRPr="00B256FF">
        <w:t xml:space="preserve">Frequency of </w:t>
      </w:r>
      <w:r w:rsidR="005A5815">
        <w:t xml:space="preserve">quality </w:t>
      </w:r>
      <w:r w:rsidR="005A5815" w:rsidRPr="00B256FF">
        <w:t>ratings against</w:t>
      </w:r>
      <w:bookmarkEnd w:id="41"/>
      <w:r w:rsidR="005A5815" w:rsidRPr="00B256FF">
        <w:t xml:space="preserve"> ‘partner </w:t>
      </w:r>
      <w:r w:rsidR="005A5815">
        <w:t>contribution</w:t>
      </w:r>
      <w:r w:rsidR="005A5815" w:rsidRPr="00B256FF">
        <w:t>’</w:t>
      </w:r>
    </w:p>
    <w:p w:rsidR="005A5815" w:rsidRPr="00B256FF" w:rsidRDefault="00DA372A" w:rsidP="005A5815">
      <w:r>
        <w:rPr>
          <w:noProof/>
        </w:rPr>
        <w:drawing>
          <wp:inline distT="0" distB="0" distL="0" distR="0" wp14:anchorId="1415A688" wp14:editId="1DA25FBD">
            <wp:extent cx="5154083" cy="3176059"/>
            <wp:effectExtent l="0" t="0" r="8890" b="5715"/>
            <wp:docPr id="312" name="Chart 312" descr="Bar chart shows 2 APPRs were rated unsatisfactory (below expectation), 11 adequate, 14 good and 1 best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B415E" w:rsidRDefault="005A5815" w:rsidP="005A5815">
      <w:pPr>
        <w:pStyle w:val="BodyText"/>
        <w:rPr>
          <w:noProof/>
        </w:rPr>
      </w:pPr>
      <w:r w:rsidRPr="00B256FF">
        <w:rPr>
          <w:noProof/>
        </w:rPr>
        <w:t xml:space="preserve">APPRs report on </w:t>
      </w:r>
      <w:r>
        <w:rPr>
          <w:noProof/>
        </w:rPr>
        <w:t xml:space="preserve">the </w:t>
      </w:r>
      <w:r w:rsidRPr="00B256FF">
        <w:rPr>
          <w:noProof/>
        </w:rPr>
        <w:t xml:space="preserve">contribution </w:t>
      </w:r>
      <w:r>
        <w:rPr>
          <w:noProof/>
        </w:rPr>
        <w:t xml:space="preserve">of </w:t>
      </w:r>
      <w:r w:rsidRPr="00B256FF">
        <w:rPr>
          <w:noProof/>
        </w:rPr>
        <w:t>partner government</w:t>
      </w:r>
      <w:r>
        <w:rPr>
          <w:noProof/>
        </w:rPr>
        <w:t>s</w:t>
      </w:r>
      <w:r w:rsidRPr="00B256FF">
        <w:rPr>
          <w:noProof/>
        </w:rPr>
        <w:t xml:space="preserve"> and delivery partner</w:t>
      </w:r>
      <w:r>
        <w:rPr>
          <w:noProof/>
        </w:rPr>
        <w:t>s</w:t>
      </w:r>
      <w:r w:rsidRPr="00B256FF">
        <w:rPr>
          <w:noProof/>
        </w:rPr>
        <w:t xml:space="preserve"> towards delivering the aid program objectives. Most reports are at least satisfactory in </w:t>
      </w:r>
      <w:r>
        <w:rPr>
          <w:noProof/>
        </w:rPr>
        <w:t xml:space="preserve">assessing </w:t>
      </w:r>
      <w:r w:rsidRPr="00B256FF">
        <w:rPr>
          <w:noProof/>
        </w:rPr>
        <w:t xml:space="preserve">partner </w:t>
      </w:r>
      <w:r>
        <w:rPr>
          <w:noProof/>
        </w:rPr>
        <w:t>contribution,</w:t>
      </w:r>
      <w:r w:rsidR="00076475">
        <w:rPr>
          <w:noProof/>
        </w:rPr>
        <w:t xml:space="preserve"> but two were not (Figure 7</w:t>
      </w:r>
      <w:r w:rsidRPr="00B256FF">
        <w:rPr>
          <w:noProof/>
        </w:rPr>
        <w:t xml:space="preserve">). </w:t>
      </w:r>
    </w:p>
    <w:p w:rsidR="005A5815" w:rsidRPr="00B256FF" w:rsidRDefault="005A5815" w:rsidP="005A5815">
      <w:pPr>
        <w:pStyle w:val="BodyText"/>
        <w:rPr>
          <w:noProof/>
        </w:rPr>
      </w:pPr>
      <w:r w:rsidRPr="00B256FF">
        <w:rPr>
          <w:noProof/>
        </w:rPr>
        <w:t xml:space="preserve">Whole-of-government partners are mentioned in most APPRs when relevant in describing the program, but their performance is not usually assessed. </w:t>
      </w:r>
      <w:r>
        <w:rPr>
          <w:noProof/>
        </w:rPr>
        <w:t xml:space="preserve">In </w:t>
      </w:r>
      <w:r w:rsidRPr="00B256FF">
        <w:rPr>
          <w:noProof/>
        </w:rPr>
        <w:t xml:space="preserve">regard to assessment of international (multilateral) partners and </w:t>
      </w:r>
      <w:r>
        <w:rPr>
          <w:noProof/>
        </w:rPr>
        <w:t>non-government</w:t>
      </w:r>
      <w:r w:rsidRPr="00B256FF">
        <w:rPr>
          <w:noProof/>
        </w:rPr>
        <w:t xml:space="preserve"> organisation (NGO) partners</w:t>
      </w:r>
      <w:r>
        <w:rPr>
          <w:noProof/>
        </w:rPr>
        <w:t>,</w:t>
      </w:r>
      <w:r w:rsidRPr="00B256FF">
        <w:rPr>
          <w:noProof/>
        </w:rPr>
        <w:t xml:space="preserve"> some APPRs make a detailed assessment, particularly of multilateral organisations (as per the guidance), where</w:t>
      </w:r>
      <w:r>
        <w:rPr>
          <w:noProof/>
        </w:rPr>
        <w:t>as</w:t>
      </w:r>
      <w:r w:rsidRPr="00B256FF">
        <w:rPr>
          <w:noProof/>
        </w:rPr>
        <w:t xml:space="preserve"> others only mention them as partners. Given the aid program has developed a new partner performance system for key delivery partners (see Target 7 in </w:t>
      </w:r>
      <w:r w:rsidRPr="00B256FF">
        <w:rPr>
          <w:i/>
          <w:noProof/>
        </w:rPr>
        <w:t>Making Performance Count</w:t>
      </w:r>
      <w:r w:rsidRPr="00B256FF">
        <w:rPr>
          <w:noProof/>
        </w:rPr>
        <w:t>), expectations for performance reporting in this area would benefit from clarification for future APPR reporting.</w:t>
      </w:r>
    </w:p>
    <w:p w:rsidR="005A5815" w:rsidRPr="00B256FF" w:rsidRDefault="005A5815" w:rsidP="005A5815">
      <w:pPr>
        <w:pStyle w:val="Heading3"/>
        <w:rPr>
          <w:noProof/>
        </w:rPr>
      </w:pPr>
      <w:r w:rsidRPr="00B256FF">
        <w:rPr>
          <w:noProof/>
        </w:rPr>
        <w:t>Mutual obligations</w:t>
      </w:r>
    </w:p>
    <w:p w:rsidR="005A5815" w:rsidRPr="00B256FF" w:rsidRDefault="005A5815" w:rsidP="00291B06">
      <w:pPr>
        <w:pStyle w:val="BodyText"/>
        <w:rPr>
          <w:noProof/>
        </w:rPr>
      </w:pPr>
      <w:r w:rsidRPr="00B256FF">
        <w:rPr>
          <w:noProof/>
        </w:rPr>
        <w:t xml:space="preserve">A section on mutual obligations was introduced to APPRs for the first time in the 2014 reports. This was in response to </w:t>
      </w:r>
      <w:r w:rsidRPr="00B256FF">
        <w:rPr>
          <w:i/>
          <w:noProof/>
        </w:rPr>
        <w:t>Making Performance Count</w:t>
      </w:r>
      <w:r w:rsidRPr="00B256FF">
        <w:rPr>
          <w:noProof/>
        </w:rPr>
        <w:t>, which requires mutual obligations to reflect partners’ own reform commitments of particular importance to their development as well as Australia’s aid investments (</w:t>
      </w:r>
      <w:r>
        <w:rPr>
          <w:noProof/>
        </w:rPr>
        <w:t xml:space="preserve">see </w:t>
      </w:r>
      <w:r w:rsidRPr="00B256FF">
        <w:rPr>
          <w:noProof/>
        </w:rPr>
        <w:t xml:space="preserve">Box 4). DFAT’s intent is that APPRs will reflect on </w:t>
      </w:r>
      <w:r w:rsidRPr="00B256FF">
        <w:rPr>
          <w:b/>
          <w:noProof/>
        </w:rPr>
        <w:t>partner government</w:t>
      </w:r>
      <w:r w:rsidRPr="00B256FF">
        <w:rPr>
          <w:noProof/>
        </w:rPr>
        <w:t xml:space="preserve"> performance against mutual obligations while the obligations of other partners will be reported elsewhere.</w:t>
      </w:r>
    </w:p>
    <w:p w:rsidR="005A5815" w:rsidRPr="00B256FF" w:rsidRDefault="005A5815" w:rsidP="004E547D">
      <w:pPr>
        <w:pStyle w:val="BoxHeading1"/>
      </w:pPr>
      <w:bookmarkStart w:id="42" w:name="_Toc408605696"/>
      <w:r w:rsidRPr="00B256FF">
        <w:t>Box 4</w:t>
      </w:r>
      <w:r w:rsidRPr="00B256FF">
        <w:tab/>
        <w:t>Mutual obligations</w:t>
      </w:r>
      <w:bookmarkEnd w:id="42"/>
    </w:p>
    <w:p w:rsidR="005A5815" w:rsidRPr="004E547D" w:rsidRDefault="005A5815" w:rsidP="004E547D">
      <w:pPr>
        <w:pStyle w:val="BoxHeading2"/>
      </w:pPr>
      <w:r w:rsidRPr="004E547D">
        <w:t>High-level Target 6</w:t>
      </w:r>
    </w:p>
    <w:p w:rsidR="005A5815" w:rsidRPr="00B256FF" w:rsidRDefault="005A5815" w:rsidP="007A64DD">
      <w:pPr>
        <w:pStyle w:val="BoxQuote"/>
        <w:rPr>
          <w:noProof/>
        </w:rPr>
      </w:pPr>
      <w:r w:rsidRPr="00B256FF">
        <w:rPr>
          <w:b/>
          <w:bCs/>
          <w:noProof/>
        </w:rPr>
        <w:t xml:space="preserve">Delivering on commitments: </w:t>
      </w:r>
      <w:r w:rsidRPr="00B256FF">
        <w:rPr>
          <w:noProof/>
        </w:rPr>
        <w:t xml:space="preserve">From July 2015, progress against mutual obligations agreed between Australia and its key partner governments and organisations will form part of program performance assessments. </w:t>
      </w:r>
    </w:p>
    <w:p w:rsidR="005A5815" w:rsidRPr="00B256FF" w:rsidRDefault="005A5815" w:rsidP="007A64DD">
      <w:pPr>
        <w:pStyle w:val="BoxQuote"/>
        <w:rPr>
          <w:noProof/>
        </w:rPr>
      </w:pPr>
      <w:r w:rsidRPr="00B256FF">
        <w:rPr>
          <w:noProof/>
        </w:rPr>
        <w:t>Aid by itself cannot deliver development. We need to move away from traditional donor</w:t>
      </w:r>
      <w:r>
        <w:rPr>
          <w:noProof/>
        </w:rPr>
        <w:t>–</w:t>
      </w:r>
      <w:r w:rsidRPr="00B256FF">
        <w:rPr>
          <w:noProof/>
        </w:rPr>
        <w:t>recipient relationships to more mature partnerships. Greater mutual accountability is critical in making this transition. While Australia will be held to account for the performance of its investments, partner governments and organisations also need to contribute to shared development goals. Progress by both Australia and its partners in meeting mutual obligations will be assessed and reflected in future budget allocations. The mutual obligations of partner governments and organisations will generally reflect their own reform commitments of particular importance to their development and Australia’s aid investments.</w:t>
      </w:r>
    </w:p>
    <w:p w:rsidR="005A5815" w:rsidRPr="00B256FF" w:rsidRDefault="005A5815" w:rsidP="004E547D">
      <w:pPr>
        <w:pStyle w:val="CharChar"/>
        <w:jc w:val="right"/>
      </w:pPr>
      <w:r w:rsidRPr="00314A7D">
        <w:rPr>
          <w:i/>
        </w:rPr>
        <w:t>Making Performance Count</w:t>
      </w:r>
      <w:r w:rsidRPr="00B256FF">
        <w:t>, p.10.</w:t>
      </w:r>
    </w:p>
    <w:p w:rsidR="005A5815" w:rsidRPr="00B256FF" w:rsidRDefault="005A5815" w:rsidP="00023622">
      <w:pPr>
        <w:pStyle w:val="BodyText"/>
        <w:spacing w:before="240"/>
        <w:rPr>
          <w:noProof/>
        </w:rPr>
      </w:pPr>
      <w:r w:rsidRPr="001C2AF7">
        <w:rPr>
          <w:noProof/>
        </w:rPr>
        <w:t>Partner government performance is discussed throughout reports and within the new report section</w:t>
      </w:r>
      <w:r w:rsidRPr="00B256FF">
        <w:rPr>
          <w:noProof/>
        </w:rPr>
        <w:t xml:space="preserve"> titled ‘mutual obligations’. Better reports (such as Burma, Laos, Palestinian Territories, Philippines and Solomon Islands) carefully explain the strengths and weaknesses of partner government systems and how the aid program works in those contexts. Other reports assume knowledge or </w:t>
      </w:r>
      <w:r w:rsidR="00596266">
        <w:rPr>
          <w:noProof/>
        </w:rPr>
        <w:t>do not</w:t>
      </w:r>
      <w:r w:rsidRPr="00B256FF">
        <w:rPr>
          <w:noProof/>
        </w:rPr>
        <w:t xml:space="preserve"> fully explain the relationship between the aid pr</w:t>
      </w:r>
      <w:r w:rsidR="00CB415E">
        <w:rPr>
          <w:noProof/>
        </w:rPr>
        <w:t>ogram and partner governments</w:t>
      </w:r>
      <w:r w:rsidRPr="00B256FF">
        <w:rPr>
          <w:noProof/>
        </w:rPr>
        <w:t>.</w:t>
      </w:r>
    </w:p>
    <w:p w:rsidR="005A5815" w:rsidRPr="00B256FF" w:rsidRDefault="00CB415E" w:rsidP="005A5815">
      <w:pPr>
        <w:pStyle w:val="BodyText"/>
        <w:rPr>
          <w:noProof/>
        </w:rPr>
      </w:pPr>
      <w:r>
        <w:rPr>
          <w:noProof/>
        </w:rPr>
        <w:t>Staff prep</w:t>
      </w:r>
      <w:r w:rsidR="00596266">
        <w:rPr>
          <w:noProof/>
        </w:rPr>
        <w:t>a</w:t>
      </w:r>
      <w:r>
        <w:rPr>
          <w:noProof/>
        </w:rPr>
        <w:t xml:space="preserve">ring </w:t>
      </w:r>
      <w:r w:rsidR="005A5815" w:rsidRPr="00B256FF">
        <w:rPr>
          <w:noProof/>
        </w:rPr>
        <w:t>APPRs have interpreted the guidance on how to address mutual obligations in a variety of ways. The section is missing entirely in three APPRs. In most Pacific APPRs, reference is made to the mutual obligations in the Pacific Partnerships that are linked to performance payments. The Pacific Regional APPR’s mutual obligations draw on core funding arrangements with regional organisations and specific obligations that need to be met. Several APPRs</w:t>
      </w:r>
      <w:r w:rsidR="005A5815" w:rsidRPr="00B256FF">
        <w:rPr>
          <w:rStyle w:val="FootnoteReference"/>
          <w:noProof/>
        </w:rPr>
        <w:footnoteReference w:id="17"/>
      </w:r>
      <w:r w:rsidR="005A5815" w:rsidRPr="00B256FF">
        <w:rPr>
          <w:noProof/>
        </w:rPr>
        <w:t xml:space="preserve"> reflect a common understanding of high-level mutual obligations and specific mechanisms through which they are reviewed. Others discuss mutual obligations at the investment level.</w:t>
      </w:r>
      <w:r w:rsidR="005A5815" w:rsidRPr="00B256FF">
        <w:rPr>
          <w:rStyle w:val="FootnoteReference"/>
          <w:noProof/>
        </w:rPr>
        <w:footnoteReference w:id="18"/>
      </w:r>
    </w:p>
    <w:p w:rsidR="005A5815" w:rsidRPr="00B256FF" w:rsidRDefault="005A5815" w:rsidP="00291B06">
      <w:pPr>
        <w:pStyle w:val="BodyText"/>
        <w:rPr>
          <w:noProof/>
        </w:rPr>
      </w:pPr>
      <w:r w:rsidRPr="00B256FF">
        <w:rPr>
          <w:noProof/>
        </w:rPr>
        <w:t xml:space="preserve">Two good practice sections on mutual obligations are from the Philippines and Solomon Islands APPRs (see Box 5). These are considered good practice because they contain clear partner government obligations and are able to describe progress against them, drawing on sound evidence. </w:t>
      </w:r>
    </w:p>
    <w:p w:rsidR="00023622" w:rsidRDefault="00023622">
      <w:pPr>
        <w:rPr>
          <w:rFonts w:ascii="Helvetica" w:hAnsi="Helvetica" w:cs="Arial"/>
          <w:b/>
          <w:iCs/>
          <w:color w:val="134486"/>
          <w:spacing w:val="4"/>
          <w:kern w:val="28"/>
          <w:szCs w:val="28"/>
        </w:rPr>
      </w:pPr>
      <w:bookmarkStart w:id="43" w:name="_Toc408605697"/>
      <w:r>
        <w:br w:type="page"/>
      </w:r>
    </w:p>
    <w:p w:rsidR="005A5815" w:rsidRPr="00B256FF" w:rsidRDefault="005A5815" w:rsidP="004E547D">
      <w:pPr>
        <w:pStyle w:val="BoxHeading1"/>
      </w:pPr>
      <w:r w:rsidRPr="00B256FF">
        <w:t>Box 5</w:t>
      </w:r>
      <w:r w:rsidRPr="00B256FF">
        <w:tab/>
        <w:t>Good practice reporting of mutual obligations</w:t>
      </w:r>
      <w:bookmarkEnd w:id="43"/>
    </w:p>
    <w:p w:rsidR="005A5815" w:rsidRPr="00E558D0" w:rsidRDefault="005A5815" w:rsidP="004E547D">
      <w:pPr>
        <w:pStyle w:val="BoxHeading2"/>
      </w:pPr>
      <w:r w:rsidRPr="00E558D0">
        <w:t>Philippines APPR</w:t>
      </w:r>
    </w:p>
    <w:p w:rsidR="005A5815" w:rsidRPr="007A64DD" w:rsidRDefault="005A5815" w:rsidP="004E547D">
      <w:pPr>
        <w:pStyle w:val="CharChar"/>
        <w:rPr>
          <w:rStyle w:val="BoxTextChar"/>
        </w:rPr>
      </w:pPr>
      <w:r w:rsidRPr="00B256FF">
        <w:rPr>
          <w:noProof/>
        </w:rPr>
        <w:t xml:space="preserve">The </w:t>
      </w:r>
      <w:r w:rsidRPr="007A64DD">
        <w:rPr>
          <w:rStyle w:val="BoxTextChar"/>
        </w:rPr>
        <w:t>Philippines APPR explains how the Philippine Government articulates its development agenda in the Philippines Development Plan 2011–2016, which forms the anchor for the bilateral development agreement between Philippines and Australia, through the Statement of Commitment signed in March 2012. The Philippine Government is making significant progress in its eight commitments under the Statement of Commitment; the APPR lists the eight commitments and gives a detailed progress report against each.</w:t>
      </w:r>
    </w:p>
    <w:p w:rsidR="005A5815" w:rsidRPr="004E547D" w:rsidRDefault="005A5815" w:rsidP="004E547D">
      <w:pPr>
        <w:pStyle w:val="BoxHeading2"/>
      </w:pPr>
      <w:r w:rsidRPr="004E547D">
        <w:t xml:space="preserve">Solomon Islands APPR </w:t>
      </w:r>
    </w:p>
    <w:p w:rsidR="005A5815" w:rsidRPr="007A64DD" w:rsidRDefault="005A5815" w:rsidP="004E547D">
      <w:pPr>
        <w:pStyle w:val="CharChar"/>
        <w:rPr>
          <w:rStyle w:val="BoxTextChar"/>
        </w:rPr>
      </w:pPr>
      <w:r w:rsidRPr="00B256FF">
        <w:rPr>
          <w:noProof/>
        </w:rPr>
        <w:t xml:space="preserve">The Solomon </w:t>
      </w:r>
      <w:r w:rsidRPr="007A64DD">
        <w:rPr>
          <w:rStyle w:val="BoxTextChar"/>
        </w:rPr>
        <w:t>Islands APPR carefully explains how Solomon Islands Government–donor engagement takes place, through the Core Economic Working Group (CEWG). It describes major, concrete achievements; for example, the Solomon Islands Government has approved the Public Finance Management Reform Roadmap, published a Budget Outcome Statement and enacted the Constituency Development Fund Act, with regulations under development. It explains that Australia and Solomon Islands have formally agreed mutual outcomes in the health, education, transport and governance sectors and reports against these in detail. Independent assessment of 2013 performance confirms that, overall, insufficient targets were reached, making a performance-linked aid payment in 2013 unlikely. The APPR details the arrangements and performance under the CEWG and the link to incentive payments available under that mechanism.</w:t>
      </w:r>
    </w:p>
    <w:p w:rsidR="005A5815" w:rsidRPr="00B256FF" w:rsidRDefault="005A5815" w:rsidP="00023622">
      <w:pPr>
        <w:pStyle w:val="BodyText"/>
        <w:spacing w:before="240"/>
        <w:rPr>
          <w:noProof/>
        </w:rPr>
      </w:pPr>
      <w:bookmarkStart w:id="44" w:name="_Toc403110167"/>
      <w:bookmarkStart w:id="45" w:name="_Toc403836180"/>
      <w:r w:rsidRPr="00B256FF">
        <w:rPr>
          <w:noProof/>
        </w:rPr>
        <w:t xml:space="preserve">The varied interpretation across APPRs on how to report on mutual obligations reflects the newness of this requirement and the </w:t>
      </w:r>
      <w:r w:rsidR="003F5745">
        <w:rPr>
          <w:noProof/>
        </w:rPr>
        <w:t>associated</w:t>
      </w:r>
      <w:r w:rsidRPr="00B256FF">
        <w:rPr>
          <w:noProof/>
        </w:rPr>
        <w:t xml:space="preserve"> lack of clarity in the APPR guidance (the template and good practice note).</w:t>
      </w:r>
      <w:r>
        <w:rPr>
          <w:noProof/>
        </w:rPr>
        <w:t xml:space="preserve"> </w:t>
      </w:r>
      <w:r w:rsidRPr="00B256FF">
        <w:rPr>
          <w:noProof/>
        </w:rPr>
        <w:t>This was the first instance of DFAT’s dealing with mutual obligations and will take some time to bed down. In future, mutual obligations will be articulated in Aid Investment Plans and reported against in subsequent APPRs</w:t>
      </w:r>
      <w:r w:rsidR="003A5CE1">
        <w:rPr>
          <w:noProof/>
        </w:rPr>
        <w:t>—</w:t>
      </w:r>
      <w:r>
        <w:rPr>
          <w:noProof/>
        </w:rPr>
        <w:t>this</w:t>
      </w:r>
      <w:r w:rsidRPr="00B256FF">
        <w:rPr>
          <w:noProof/>
        </w:rPr>
        <w:t xml:space="preserve"> should add clarity to what is required in APPRs. In addition, the next iteration of </w:t>
      </w:r>
      <w:r>
        <w:rPr>
          <w:noProof/>
        </w:rPr>
        <w:t>DFAT’s</w:t>
      </w:r>
      <w:r w:rsidRPr="00B256FF">
        <w:rPr>
          <w:noProof/>
        </w:rPr>
        <w:t xml:space="preserve"> APPR guidance should further clarify mutual obligation reporting expectations, including</w:t>
      </w:r>
      <w:r>
        <w:rPr>
          <w:noProof/>
        </w:rPr>
        <w:t xml:space="preserve"> direction on</w:t>
      </w:r>
      <w:r w:rsidRPr="00B256FF">
        <w:rPr>
          <w:noProof/>
        </w:rPr>
        <w:t xml:space="preserve"> what to include/exclude, how to assess positive versus negative performance, and whether just partner performance or </w:t>
      </w:r>
      <w:r w:rsidRPr="00B256FF">
        <w:rPr>
          <w:i/>
          <w:noProof/>
        </w:rPr>
        <w:t>mutual</w:t>
      </w:r>
      <w:r w:rsidRPr="00B256FF">
        <w:rPr>
          <w:noProof/>
        </w:rPr>
        <w:t xml:space="preserve"> performance against obligations is to be assessed.</w:t>
      </w:r>
    </w:p>
    <w:p w:rsidR="005A5815" w:rsidRPr="00B256FF" w:rsidRDefault="005A5815" w:rsidP="005A5815">
      <w:pPr>
        <w:pStyle w:val="Heading2"/>
        <w:tabs>
          <w:tab w:val="num" w:pos="1440"/>
        </w:tabs>
        <w:rPr>
          <w:noProof/>
        </w:rPr>
      </w:pPr>
      <w:bookmarkStart w:id="46" w:name="_Toc416250721"/>
      <w:bookmarkStart w:id="47" w:name="_Toc422327006"/>
      <w:r>
        <w:rPr>
          <w:noProof/>
        </w:rPr>
        <w:t>2.4</w:t>
      </w:r>
      <w:r>
        <w:rPr>
          <w:noProof/>
        </w:rPr>
        <w:tab/>
      </w:r>
      <w:r w:rsidRPr="00B256FF">
        <w:rPr>
          <w:noProof/>
        </w:rPr>
        <w:t>Management consequences</w:t>
      </w:r>
      <w:bookmarkEnd w:id="44"/>
      <w:bookmarkEnd w:id="45"/>
      <w:bookmarkEnd w:id="46"/>
      <w:bookmarkEnd w:id="47"/>
    </w:p>
    <w:tbl>
      <w:tblPr>
        <w:tblStyle w:val="DFATTable0"/>
        <w:tblW w:w="8850" w:type="dxa"/>
        <w:tblBorders>
          <w:top w:val="single" w:sz="4" w:space="0" w:color="808080"/>
          <w:bottom w:val="single" w:sz="4" w:space="0" w:color="808080"/>
        </w:tblBorders>
        <w:shd w:val="clear" w:color="auto" w:fill="FFFFFF" w:themeFill="background1"/>
        <w:tblLayout w:type="fixed"/>
        <w:tblLook w:val="00A0" w:firstRow="1" w:lastRow="0" w:firstColumn="1" w:lastColumn="0" w:noHBand="0" w:noVBand="0"/>
      </w:tblPr>
      <w:tblGrid>
        <w:gridCol w:w="2093"/>
        <w:gridCol w:w="6757"/>
      </w:tblGrid>
      <w:tr w:rsidR="0025176D" w:rsidRPr="001350E3" w:rsidTr="0058185B">
        <w:trPr>
          <w:trHeight w:val="408"/>
        </w:trPr>
        <w:tc>
          <w:tcPr>
            <w:tcW w:w="2093" w:type="dxa"/>
            <w:shd w:val="clear" w:color="auto" w:fill="007FAD"/>
          </w:tcPr>
          <w:p w:rsidR="0025176D" w:rsidRPr="0058185B" w:rsidRDefault="0025176D" w:rsidP="005A7AB4">
            <w:pPr>
              <w:pStyle w:val="TableHeading1"/>
              <w:spacing w:before="120" w:after="80"/>
              <w:rPr>
                <w:noProof/>
                <w:color w:val="FFFFFF" w:themeColor="background1"/>
                <w:szCs w:val="18"/>
              </w:rPr>
            </w:pPr>
            <w:r w:rsidRPr="0058185B">
              <w:rPr>
                <w:noProof/>
                <w:color w:val="FFFFFF" w:themeColor="background1"/>
                <w:szCs w:val="18"/>
              </w:rPr>
              <w:t>CORNERSTONE QUESTION 4</w:t>
            </w:r>
          </w:p>
        </w:tc>
        <w:tc>
          <w:tcPr>
            <w:tcW w:w="6757" w:type="dxa"/>
            <w:shd w:val="clear" w:color="auto" w:fill="FFFFFF" w:themeFill="background1"/>
          </w:tcPr>
          <w:p w:rsidR="0025176D" w:rsidRPr="001350E3" w:rsidRDefault="0025176D" w:rsidP="005A7AB4">
            <w:pPr>
              <w:pStyle w:val="TableTextEntries"/>
              <w:spacing w:before="120" w:after="80"/>
              <w:rPr>
                <w:iCs w:val="0"/>
                <w:noProof/>
              </w:rPr>
            </w:pPr>
            <w:r w:rsidRPr="001350E3">
              <w:rPr>
                <w:b/>
              </w:rPr>
              <w:t>Are the management consequences clearly linked to the ratings narratives and the identified risks to future progress?</w:t>
            </w:r>
            <w:r w:rsidRPr="001350E3">
              <w:rPr>
                <w:noProof/>
              </w:rPr>
              <w:t xml:space="preserve"> </w:t>
            </w:r>
          </w:p>
        </w:tc>
      </w:tr>
      <w:tr w:rsidR="0025176D" w:rsidRPr="001350E3" w:rsidTr="0058185B">
        <w:trPr>
          <w:trHeight w:val="472"/>
        </w:trPr>
        <w:tc>
          <w:tcPr>
            <w:tcW w:w="2093" w:type="dxa"/>
            <w:shd w:val="clear" w:color="auto" w:fill="007FAD"/>
          </w:tcPr>
          <w:p w:rsidR="0025176D" w:rsidRPr="0058185B" w:rsidRDefault="0025176D" w:rsidP="005A7AB4">
            <w:pPr>
              <w:pStyle w:val="TableHeading1"/>
              <w:spacing w:before="80" w:after="80"/>
              <w:rPr>
                <w:iCs/>
                <w:color w:val="FFFFFF" w:themeColor="background1"/>
                <w:sz w:val="17"/>
              </w:rPr>
            </w:pPr>
            <w:proofErr w:type="spellStart"/>
            <w:r w:rsidRPr="0058185B">
              <w:rPr>
                <w:iCs/>
                <w:color w:val="FFFFFF" w:themeColor="background1"/>
                <w:sz w:val="17"/>
              </w:rPr>
              <w:t>Subquestion</w:t>
            </w:r>
            <w:proofErr w:type="spellEnd"/>
            <w:r w:rsidRPr="0058185B">
              <w:rPr>
                <w:iCs/>
                <w:color w:val="FFFFFF" w:themeColor="background1"/>
                <w:sz w:val="17"/>
              </w:rPr>
              <w:t xml:space="preserve"> 4a</w:t>
            </w:r>
          </w:p>
        </w:tc>
        <w:tc>
          <w:tcPr>
            <w:tcW w:w="6757" w:type="dxa"/>
            <w:shd w:val="clear" w:color="auto" w:fill="FFFFFF" w:themeFill="background1"/>
          </w:tcPr>
          <w:p w:rsidR="0025176D" w:rsidRPr="001350E3" w:rsidRDefault="0025176D" w:rsidP="005A7AB4">
            <w:pPr>
              <w:pStyle w:val="TableTextEntries"/>
              <w:spacing w:before="80" w:after="80"/>
              <w:rPr>
                <w:iCs w:val="0"/>
                <w:noProof/>
              </w:rPr>
            </w:pPr>
            <w:r w:rsidRPr="001350E3">
              <w:rPr>
                <w:noProof/>
              </w:rPr>
              <w:t>Is there a logical connection between the management consequences section and the risks to future progress flagged in the other sections of the APPR?</w:t>
            </w:r>
          </w:p>
        </w:tc>
      </w:tr>
      <w:tr w:rsidR="0025176D" w:rsidRPr="001350E3" w:rsidTr="0058185B">
        <w:trPr>
          <w:trHeight w:val="803"/>
        </w:trPr>
        <w:tc>
          <w:tcPr>
            <w:tcW w:w="2093" w:type="dxa"/>
            <w:shd w:val="clear" w:color="auto" w:fill="007FAD"/>
          </w:tcPr>
          <w:p w:rsidR="0025176D" w:rsidRPr="0058185B" w:rsidRDefault="0025176D" w:rsidP="005A7AB4">
            <w:pPr>
              <w:pStyle w:val="TableHeading1"/>
              <w:spacing w:before="80" w:after="80"/>
              <w:rPr>
                <w:iCs/>
                <w:color w:val="FFFFFF" w:themeColor="background1"/>
                <w:sz w:val="17"/>
              </w:rPr>
            </w:pPr>
            <w:proofErr w:type="spellStart"/>
            <w:r w:rsidRPr="0058185B">
              <w:rPr>
                <w:iCs/>
                <w:color w:val="FFFFFF" w:themeColor="background1"/>
                <w:sz w:val="17"/>
              </w:rPr>
              <w:t>Subquestion</w:t>
            </w:r>
            <w:proofErr w:type="spellEnd"/>
            <w:r w:rsidRPr="0058185B">
              <w:rPr>
                <w:iCs/>
                <w:color w:val="FFFFFF" w:themeColor="background1"/>
                <w:sz w:val="17"/>
              </w:rPr>
              <w:t xml:space="preserve"> 4b</w:t>
            </w:r>
          </w:p>
        </w:tc>
        <w:tc>
          <w:tcPr>
            <w:tcW w:w="6757" w:type="dxa"/>
            <w:shd w:val="clear" w:color="auto" w:fill="FFFFFF" w:themeFill="background1"/>
          </w:tcPr>
          <w:p w:rsidR="0025176D" w:rsidRPr="001350E3" w:rsidRDefault="0025176D" w:rsidP="005A7AB4">
            <w:pPr>
              <w:pStyle w:val="TableTextEntries"/>
              <w:spacing w:before="80" w:after="80"/>
              <w:rPr>
                <w:noProof/>
              </w:rPr>
            </w:pPr>
            <w:r w:rsidRPr="001350E3">
              <w:rPr>
                <w:noProof/>
              </w:rPr>
              <w:t>Are the specific management consequences framed so they are relevant to program strategy and management and are also actionable within the reporting period? Are they also prioritised?</w:t>
            </w:r>
          </w:p>
        </w:tc>
      </w:tr>
      <w:tr w:rsidR="0025176D" w:rsidRPr="001350E3" w:rsidTr="0058185B">
        <w:trPr>
          <w:trHeight w:val="323"/>
        </w:trPr>
        <w:tc>
          <w:tcPr>
            <w:tcW w:w="2093" w:type="dxa"/>
            <w:shd w:val="clear" w:color="auto" w:fill="007FAD"/>
          </w:tcPr>
          <w:p w:rsidR="0025176D" w:rsidRPr="0058185B" w:rsidRDefault="0025176D" w:rsidP="005A7AB4">
            <w:pPr>
              <w:pStyle w:val="TableHeading1"/>
              <w:spacing w:before="80" w:after="120"/>
              <w:rPr>
                <w:iCs/>
                <w:color w:val="FFFFFF" w:themeColor="background1"/>
                <w:sz w:val="17"/>
              </w:rPr>
            </w:pPr>
            <w:proofErr w:type="spellStart"/>
            <w:r w:rsidRPr="0058185B">
              <w:rPr>
                <w:iCs/>
                <w:color w:val="FFFFFF" w:themeColor="background1"/>
                <w:sz w:val="17"/>
              </w:rPr>
              <w:t>Subquestion</w:t>
            </w:r>
            <w:proofErr w:type="spellEnd"/>
            <w:r w:rsidRPr="0058185B">
              <w:rPr>
                <w:iCs/>
                <w:color w:val="FFFFFF" w:themeColor="background1"/>
                <w:sz w:val="17"/>
              </w:rPr>
              <w:t xml:space="preserve"> 4c</w:t>
            </w:r>
          </w:p>
        </w:tc>
        <w:tc>
          <w:tcPr>
            <w:tcW w:w="6757" w:type="dxa"/>
            <w:shd w:val="clear" w:color="auto" w:fill="FFFFFF" w:themeFill="background1"/>
          </w:tcPr>
          <w:p w:rsidR="0025176D" w:rsidRPr="001350E3" w:rsidRDefault="0025176D" w:rsidP="005A7AB4">
            <w:pPr>
              <w:pStyle w:val="BodyText"/>
              <w:spacing w:before="80" w:after="120" w:line="200" w:lineRule="atLeast"/>
              <w:rPr>
                <w:rFonts w:eastAsia="Times New Roman"/>
                <w:bCs/>
                <w:i/>
                <w:iCs/>
                <w:noProof/>
                <w:sz w:val="17"/>
                <w:szCs w:val="17"/>
                <w:lang w:eastAsia="en-US"/>
              </w:rPr>
            </w:pPr>
            <w:r w:rsidRPr="001350E3">
              <w:rPr>
                <w:iCs/>
                <w:noProof/>
                <w:sz w:val="17"/>
                <w:szCs w:val="17"/>
                <w:lang w:eastAsia="en-US"/>
              </w:rPr>
              <w:t>Are lessons from the experience of implementing the previous year's management consequences noted and acted upon in this year's consequences section?</w:t>
            </w:r>
          </w:p>
        </w:tc>
      </w:tr>
    </w:tbl>
    <w:p w:rsidR="0058185B" w:rsidRPr="0058185B" w:rsidRDefault="0058185B" w:rsidP="0058185B">
      <w:pPr>
        <w:rPr>
          <w:rFonts w:ascii="Franklin Gothic Book" w:hAnsi="Franklin Gothic Book"/>
          <w:noProof/>
          <w:sz w:val="21"/>
        </w:rPr>
      </w:pPr>
    </w:p>
    <w:p w:rsidR="005A5815" w:rsidRPr="00B256FF" w:rsidRDefault="005A5815" w:rsidP="005A5815">
      <w:pPr>
        <w:pStyle w:val="BodyText"/>
        <w:spacing w:before="120"/>
        <w:rPr>
          <w:noProof/>
        </w:rPr>
      </w:pPr>
      <w:r w:rsidRPr="00B256FF">
        <w:rPr>
          <w:noProof/>
        </w:rPr>
        <w:t xml:space="preserve">Previous APPR </w:t>
      </w:r>
      <w:r>
        <w:rPr>
          <w:noProof/>
        </w:rPr>
        <w:t xml:space="preserve">quality </w:t>
      </w:r>
      <w:r w:rsidRPr="00B256FF">
        <w:rPr>
          <w:noProof/>
        </w:rPr>
        <w:t>reviews reinforced the importance of program teams</w:t>
      </w:r>
      <w:r>
        <w:rPr>
          <w:noProof/>
        </w:rPr>
        <w:t xml:space="preserve"> </w:t>
      </w:r>
      <w:r w:rsidRPr="00B256FF">
        <w:rPr>
          <w:noProof/>
        </w:rPr>
        <w:t>using the APPRs as management tools</w:t>
      </w:r>
      <w:r>
        <w:rPr>
          <w:noProof/>
        </w:rPr>
        <w:t>, and</w:t>
      </w:r>
      <w:r w:rsidRPr="00B256FF">
        <w:rPr>
          <w:noProof/>
        </w:rPr>
        <w:t xml:space="preserve"> not just for accountability purposes. It is </w:t>
      </w:r>
      <w:r w:rsidR="00C24FD0">
        <w:rPr>
          <w:noProof/>
        </w:rPr>
        <w:t>clear from this year’s (Figure 8</w:t>
      </w:r>
      <w:r w:rsidRPr="00B256FF">
        <w:rPr>
          <w:noProof/>
        </w:rPr>
        <w:t xml:space="preserve">) and last year’s quality assessment that progress towards this goal is well on track. Almost all APPRs provide considered management consequences, linking these to </w:t>
      </w:r>
      <w:r>
        <w:rPr>
          <w:noProof/>
        </w:rPr>
        <w:t xml:space="preserve">the </w:t>
      </w:r>
      <w:r w:rsidRPr="00B256FF">
        <w:rPr>
          <w:noProof/>
        </w:rPr>
        <w:t>prior year’s</w:t>
      </w:r>
      <w:r>
        <w:rPr>
          <w:noProof/>
        </w:rPr>
        <w:t xml:space="preserve"> </w:t>
      </w:r>
      <w:r w:rsidRPr="00B256FF">
        <w:rPr>
          <w:noProof/>
        </w:rPr>
        <w:t>responses and quality ratings in this year’s APPRs. The main point of difference between good practice and adequate practice is in the specific and actionable nature of the management consequences</w:t>
      </w:r>
      <w:r>
        <w:rPr>
          <w:noProof/>
        </w:rPr>
        <w:t>,</w:t>
      </w:r>
      <w:r w:rsidRPr="00B256FF">
        <w:rPr>
          <w:noProof/>
        </w:rPr>
        <w:t xml:space="preserve"> as well as being pitched at an appropriately strategic level (as opposed to listing each small action to be taken at investment level).</w:t>
      </w:r>
    </w:p>
    <w:p w:rsidR="005A5815" w:rsidRPr="00B256FF" w:rsidRDefault="005A5815" w:rsidP="005A5815">
      <w:pPr>
        <w:pStyle w:val="BodyText"/>
        <w:rPr>
          <w:noProof/>
        </w:rPr>
      </w:pPr>
      <w:r>
        <w:rPr>
          <w:noProof/>
        </w:rPr>
        <w:t>The</w:t>
      </w:r>
      <w:r w:rsidRPr="00B256FF">
        <w:rPr>
          <w:noProof/>
        </w:rPr>
        <w:t xml:space="preserve"> quality of this year’s responses </w:t>
      </w:r>
      <w:r>
        <w:rPr>
          <w:noProof/>
        </w:rPr>
        <w:t xml:space="preserve">to </w:t>
      </w:r>
      <w:r w:rsidRPr="00B256FF">
        <w:rPr>
          <w:noProof/>
        </w:rPr>
        <w:t xml:space="preserve">management consequences may be slightly lower than last year’s. </w:t>
      </w:r>
      <w:r w:rsidR="00B04923" w:rsidRPr="00524D18">
        <w:t xml:space="preserve">However, it is perhaps unsurprising that with </w:t>
      </w:r>
      <w:r w:rsidR="00B04923">
        <w:t>the</w:t>
      </w:r>
      <w:r w:rsidR="00B04923" w:rsidRPr="00524D18">
        <w:t xml:space="preserve"> budget uncertainly</w:t>
      </w:r>
      <w:r w:rsidR="00B04923">
        <w:t xml:space="preserve"> prevailing at the time they were authored</w:t>
      </w:r>
      <w:r w:rsidR="00B04923" w:rsidRPr="00524D18">
        <w:t>, some APPR</w:t>
      </w:r>
      <w:r w:rsidR="00B04923">
        <w:t>s</w:t>
      </w:r>
      <w:r w:rsidR="00B04923" w:rsidRPr="00524D18">
        <w:t xml:space="preserve"> are less concrete about management actions than they have been in previous years. This is because a large proportion of management responses have budget implications.</w:t>
      </w:r>
      <w:r w:rsidR="00B04923">
        <w:rPr>
          <w:noProof/>
        </w:rPr>
        <w:t xml:space="preserve"> </w:t>
      </w:r>
      <w:r w:rsidRPr="00B256FF">
        <w:rPr>
          <w:noProof/>
        </w:rPr>
        <w:t>Overall, they still indicate a reasonably actionable set of management consequences usually pitched at an appropriate level.</w:t>
      </w:r>
    </w:p>
    <w:p w:rsidR="005A5815" w:rsidRPr="00B256FF" w:rsidRDefault="00C24FD0" w:rsidP="00023622">
      <w:pPr>
        <w:pStyle w:val="TableandFigureName"/>
        <w:numPr>
          <w:ilvl w:val="0"/>
          <w:numId w:val="0"/>
        </w:numPr>
        <w:tabs>
          <w:tab w:val="clear" w:pos="993"/>
          <w:tab w:val="left" w:pos="1276"/>
        </w:tabs>
        <w:spacing w:before="360"/>
      </w:pPr>
      <w:bookmarkStart w:id="48" w:name="_Toc408606456"/>
      <w:r>
        <w:t xml:space="preserve">Figure </w:t>
      </w:r>
      <w:r w:rsidR="0002657F">
        <w:t>8</w:t>
      </w:r>
      <w:r w:rsidR="006335F8">
        <w:tab/>
      </w:r>
      <w:r w:rsidR="005A5815" w:rsidRPr="00B256FF">
        <w:t>Frequency of quality ratings against ‘management consequences’</w:t>
      </w:r>
      <w:bookmarkEnd w:id="48"/>
    </w:p>
    <w:p w:rsidR="005A5815" w:rsidRPr="000F08A4" w:rsidRDefault="00DA372A" w:rsidP="000F08A4">
      <w:r w:rsidRPr="000F08A4">
        <w:rPr>
          <w:noProof/>
        </w:rPr>
        <w:drawing>
          <wp:inline distT="0" distB="0" distL="0" distR="0" wp14:anchorId="5DDD81FC" wp14:editId="15D07EA9">
            <wp:extent cx="5156200" cy="2963334"/>
            <wp:effectExtent l="0" t="0" r="6350" b="8890"/>
            <wp:docPr id="308" name="Chart 308" descr="Bar chart shows 11 APPRs were rated adequate, 16 good and 1 best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A5815" w:rsidRPr="00B256FF" w:rsidRDefault="005A5815" w:rsidP="00023622">
      <w:pPr>
        <w:pStyle w:val="Heading2"/>
        <w:spacing w:before="240"/>
        <w:rPr>
          <w:noProof/>
        </w:rPr>
      </w:pPr>
      <w:bookmarkStart w:id="49" w:name="_Toc403836181"/>
      <w:bookmarkStart w:id="50" w:name="_Toc416250722"/>
      <w:bookmarkStart w:id="51" w:name="_Toc422327007"/>
      <w:bookmarkStart w:id="52" w:name="_Toc403110170"/>
      <w:r w:rsidRPr="00B256FF">
        <w:rPr>
          <w:noProof/>
        </w:rPr>
        <w:t>2.5</w:t>
      </w:r>
      <w:r w:rsidRPr="00B256FF">
        <w:rPr>
          <w:noProof/>
        </w:rPr>
        <w:tab/>
      </w:r>
      <w:bookmarkEnd w:id="49"/>
      <w:r w:rsidRPr="00B256FF">
        <w:rPr>
          <w:noProof/>
        </w:rPr>
        <w:t>Other observations</w:t>
      </w:r>
      <w:bookmarkEnd w:id="50"/>
      <w:bookmarkEnd w:id="51"/>
    </w:p>
    <w:bookmarkEnd w:id="52"/>
    <w:p w:rsidR="005A5815" w:rsidRPr="00B256FF" w:rsidRDefault="005A5815" w:rsidP="005A5815">
      <w:pPr>
        <w:pStyle w:val="Heading3"/>
        <w:rPr>
          <w:noProof/>
        </w:rPr>
      </w:pPr>
      <w:r w:rsidRPr="00B256FF">
        <w:rPr>
          <w:noProof/>
        </w:rPr>
        <w:t>Program size</w:t>
      </w:r>
    </w:p>
    <w:p w:rsidR="005A5815" w:rsidRPr="00B256FF" w:rsidRDefault="005A5815" w:rsidP="005A5815">
      <w:pPr>
        <w:pStyle w:val="BodyText"/>
        <w:rPr>
          <w:noProof/>
        </w:rPr>
      </w:pPr>
      <w:r w:rsidRPr="00B256FF">
        <w:rPr>
          <w:noProof/>
        </w:rPr>
        <w:t xml:space="preserve">APPRs for smaller programs—less than $50 million—tend to be </w:t>
      </w:r>
      <w:r>
        <w:rPr>
          <w:noProof/>
        </w:rPr>
        <w:t xml:space="preserve">lower </w:t>
      </w:r>
      <w:r w:rsidRPr="00B256FF">
        <w:rPr>
          <w:noProof/>
        </w:rPr>
        <w:t>quality (</w:t>
      </w:r>
      <w:r>
        <w:rPr>
          <w:noProof/>
        </w:rPr>
        <w:t xml:space="preserve">Appendix </w:t>
      </w:r>
      <w:r w:rsidRPr="00B256FF">
        <w:rPr>
          <w:noProof/>
        </w:rPr>
        <w:t>C). This is consisten</w:t>
      </w:r>
      <w:r w:rsidR="00561BD2">
        <w:rPr>
          <w:noProof/>
        </w:rPr>
        <w:t>t with the finding in the 2013 Quality R</w:t>
      </w:r>
      <w:r w:rsidRPr="00B256FF">
        <w:rPr>
          <w:noProof/>
        </w:rPr>
        <w:t>eview of APPRs that smaller programs m</w:t>
      </w:r>
      <w:r w:rsidR="005A0F9A">
        <w:rPr>
          <w:noProof/>
        </w:rPr>
        <w:t xml:space="preserve">ay produce lower quality APPRs. </w:t>
      </w:r>
      <w:r w:rsidRPr="00B256FF">
        <w:rPr>
          <w:noProof/>
        </w:rPr>
        <w:t xml:space="preserve">This </w:t>
      </w:r>
      <w:r w:rsidR="00B04923">
        <w:rPr>
          <w:noProof/>
        </w:rPr>
        <w:t>is likely to</w:t>
      </w:r>
      <w:r w:rsidRPr="00B256FF">
        <w:rPr>
          <w:noProof/>
        </w:rPr>
        <w:t xml:space="preserve"> be the result of smaller programs</w:t>
      </w:r>
      <w:r w:rsidR="00174367">
        <w:rPr>
          <w:noProof/>
        </w:rPr>
        <w:t xml:space="preserve"> having fewer staff</w:t>
      </w:r>
      <w:r w:rsidRPr="00B256FF">
        <w:rPr>
          <w:noProof/>
        </w:rPr>
        <w:t>. Under DFAT’s management system, often a single member of staff, more junior than those allocated to larger programs, covers multiple sectors and manages the program as well as reporting on it. If this is the case then the Kiribati team</w:t>
      </w:r>
      <w:r>
        <w:rPr>
          <w:noProof/>
        </w:rPr>
        <w:t>,</w:t>
      </w:r>
      <w:r w:rsidRPr="00B256FF">
        <w:rPr>
          <w:noProof/>
        </w:rPr>
        <w:t xml:space="preserve"> particularly</w:t>
      </w:r>
      <w:r>
        <w:rPr>
          <w:noProof/>
        </w:rPr>
        <w:t>,</w:t>
      </w:r>
      <w:r w:rsidRPr="00B256FF">
        <w:rPr>
          <w:noProof/>
        </w:rPr>
        <w:t xml:space="preserve"> </w:t>
      </w:r>
      <w:r>
        <w:rPr>
          <w:noProof/>
        </w:rPr>
        <w:t xml:space="preserve">should be </w:t>
      </w:r>
      <w:r w:rsidRPr="00B256FF">
        <w:rPr>
          <w:noProof/>
        </w:rPr>
        <w:t xml:space="preserve">congratulated for producing a high-quality APPR. </w:t>
      </w:r>
    </w:p>
    <w:p w:rsidR="005A5815" w:rsidRPr="00B256FF" w:rsidRDefault="005A5815" w:rsidP="005A5815">
      <w:pPr>
        <w:pStyle w:val="Heading3"/>
        <w:rPr>
          <w:noProof/>
        </w:rPr>
      </w:pPr>
      <w:r w:rsidRPr="00B256FF">
        <w:rPr>
          <w:noProof/>
        </w:rPr>
        <w:t>Gender equality and empowering women and girls</w:t>
      </w:r>
    </w:p>
    <w:p w:rsidR="005A5815" w:rsidRPr="00B256FF" w:rsidRDefault="005A5815" w:rsidP="005A5815">
      <w:pPr>
        <w:pStyle w:val="BodyText"/>
        <w:rPr>
          <w:noProof/>
        </w:rPr>
      </w:pPr>
      <w:r w:rsidRPr="00B256FF">
        <w:rPr>
          <w:noProof/>
        </w:rPr>
        <w:t>A highlight for several APPRs this year was a strong and strategic focus on gender equality and empowering women and girls. This was particularly true for the Burma, Fiji and PNG APPRs</w:t>
      </w:r>
      <w:r>
        <w:rPr>
          <w:noProof/>
        </w:rPr>
        <w:t>,</w:t>
      </w:r>
      <w:r w:rsidRPr="00B256FF">
        <w:rPr>
          <w:noProof/>
        </w:rPr>
        <w:t xml:space="preserve"> </w:t>
      </w:r>
      <w:r>
        <w:rPr>
          <w:noProof/>
        </w:rPr>
        <w:t xml:space="preserve">though </w:t>
      </w:r>
      <w:r w:rsidRPr="00B256FF">
        <w:rPr>
          <w:noProof/>
        </w:rPr>
        <w:t>gender equality issues were well discussed in most APPRs.</w:t>
      </w:r>
    </w:p>
    <w:p w:rsidR="005A5815" w:rsidRPr="00B256FF" w:rsidRDefault="005A5815" w:rsidP="005A5815">
      <w:pPr>
        <w:pStyle w:val="Heading3"/>
        <w:rPr>
          <w:noProof/>
        </w:rPr>
      </w:pPr>
      <w:r w:rsidRPr="00B256FF">
        <w:rPr>
          <w:noProof/>
        </w:rPr>
        <w:t>Regional APPRs</w:t>
      </w:r>
    </w:p>
    <w:p w:rsidR="005A5815" w:rsidRDefault="005A5815" w:rsidP="005A5815">
      <w:pPr>
        <w:pStyle w:val="BodyText"/>
        <w:rPr>
          <w:noProof/>
        </w:rPr>
        <w:sectPr w:rsidR="005A5815" w:rsidSect="000957A1">
          <w:footnotePr>
            <w:numFmt w:val="chicago"/>
            <w:numRestart w:val="eachPage"/>
          </w:footnotePr>
          <w:endnotePr>
            <w:numFmt w:val="decimal"/>
          </w:endnotePr>
          <w:pgSz w:w="11907" w:h="16840" w:code="9"/>
          <w:pgMar w:top="958" w:right="1701" w:bottom="907" w:left="1701" w:header="851" w:footer="567" w:gutter="0"/>
          <w:cols w:space="720"/>
          <w:docGrid w:linePitch="326"/>
        </w:sectPr>
      </w:pPr>
      <w:r w:rsidRPr="00B256FF">
        <w:rPr>
          <w:noProof/>
        </w:rPr>
        <w:t xml:space="preserve">Regional programs in the Australian aid program have long suffered from a lack of clarity in how they intersect with bilateral programs. This year’s APPRs do a better job in separating truly regional work from multi-country programs. The Pacific </w:t>
      </w:r>
      <w:r>
        <w:rPr>
          <w:noProof/>
        </w:rPr>
        <w:t xml:space="preserve">Regional </w:t>
      </w:r>
      <w:r w:rsidRPr="00B256FF">
        <w:rPr>
          <w:noProof/>
        </w:rPr>
        <w:t>APPR contains a series of annexes relating to the bilateral achievements from the regional program. In other APPRs</w:t>
      </w:r>
      <w:r w:rsidR="00174367">
        <w:rPr>
          <w:noProof/>
        </w:rPr>
        <w:t>—</w:t>
      </w:r>
      <w:r>
        <w:rPr>
          <w:noProof/>
        </w:rPr>
        <w:t xml:space="preserve">Nepal </w:t>
      </w:r>
      <w:r w:rsidRPr="00B256FF">
        <w:rPr>
          <w:noProof/>
        </w:rPr>
        <w:t>for example</w:t>
      </w:r>
      <w:r w:rsidR="00174367">
        <w:rPr>
          <w:noProof/>
        </w:rPr>
        <w:t>—</w:t>
      </w:r>
      <w:r w:rsidRPr="00B256FF">
        <w:rPr>
          <w:noProof/>
        </w:rPr>
        <w:t xml:space="preserve">the bilateral assessment includes regional (and global) contributions. Bilateral contributions from regional programs should be consistently reported in the bilateral APPRs as they form part of Australia’s aid contribution to achieving bilateral objectives. </w:t>
      </w:r>
    </w:p>
    <w:bookmarkStart w:id="53" w:name="_Toc416250723"/>
    <w:bookmarkStart w:id="54" w:name="_Toc422327008"/>
    <w:p w:rsidR="005A5815" w:rsidRPr="00B256FF" w:rsidRDefault="005A5815" w:rsidP="00E75545">
      <w:pPr>
        <w:pStyle w:val="Heading1b"/>
      </w:pPr>
      <w:r w:rsidRPr="00B256FF">
        <w:rPr>
          <w:noProof/>
        </w:rPr>
        <mc:AlternateContent>
          <mc:Choice Requires="wps">
            <w:drawing>
              <wp:anchor distT="0" distB="0" distL="114300" distR="114300" simplePos="0" relativeHeight="251708416" behindDoc="1" locked="0" layoutInCell="1" allowOverlap="1" wp14:anchorId="494AFBAC" wp14:editId="5CA5D3F8">
                <wp:simplePos x="0" y="0"/>
                <wp:positionH relativeFrom="page">
                  <wp:posOffset>0</wp:posOffset>
                </wp:positionH>
                <wp:positionV relativeFrom="paragraph">
                  <wp:posOffset>-200025</wp:posOffset>
                </wp:positionV>
                <wp:extent cx="7610400" cy="1191600"/>
                <wp:effectExtent l="0" t="0" r="0" b="8890"/>
                <wp:wrapNone/>
                <wp:docPr id="15" name="Rectangle 15"/>
                <wp:cNvGraphicFramePr/>
                <a:graphic xmlns:a="http://schemas.openxmlformats.org/drawingml/2006/main">
                  <a:graphicData uri="http://schemas.microsoft.com/office/word/2010/wordprocessingShape">
                    <wps:wsp>
                      <wps:cNvSpPr/>
                      <wps:spPr>
                        <a:xfrm>
                          <a:off x="0" y="0"/>
                          <a:ext cx="7610400" cy="11916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0;margin-top:-15.75pt;width:599.25pt;height:93.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" fillcolor="#124486" stroked="f" strokeweight="2pt">
                <w10:wrap anchorx="page"/>
              </v:rect>
            </w:pict>
          </mc:Fallback>
        </mc:AlternateContent>
      </w:r>
      <w:r w:rsidR="00346694">
        <w:t>3</w:t>
      </w:r>
      <w:r w:rsidR="00346694">
        <w:tab/>
      </w:r>
      <w:r w:rsidRPr="00B256FF">
        <w:t>Performance benchmarks</w:t>
      </w:r>
      <w:bookmarkEnd w:id="53"/>
      <w:bookmarkEnd w:id="54"/>
    </w:p>
    <w:p w:rsidR="00291B06" w:rsidRPr="00B256FF" w:rsidRDefault="00291B06" w:rsidP="00291B06">
      <w:pPr>
        <w:pStyle w:val="BodyText"/>
        <w:rPr>
          <w:rFonts w:eastAsia="Georgia"/>
          <w:noProof/>
          <w:lang w:eastAsia="en-US"/>
        </w:rPr>
      </w:pPr>
      <w:r w:rsidRPr="00B256FF">
        <w:rPr>
          <w:rFonts w:eastAsia="Georgia"/>
          <w:i/>
          <w:noProof/>
          <w:lang w:eastAsia="en-US"/>
        </w:rPr>
        <w:t xml:space="preserve">Making Performance Count </w:t>
      </w:r>
      <w:r w:rsidRPr="00B256FF">
        <w:rPr>
          <w:rFonts w:eastAsia="Georgia"/>
          <w:noProof/>
          <w:lang w:eastAsia="en-US"/>
        </w:rPr>
        <w:t>establishes the requirement that country and regional programs set performance benchmarks to assess progress towards objectives, and to inform annual budget allocations. Aid Investment Plans</w:t>
      </w:r>
      <w:r w:rsidR="00C20F1A">
        <w:rPr>
          <w:rFonts w:eastAsia="Georgia"/>
          <w:noProof/>
          <w:lang w:eastAsia="en-US"/>
        </w:rPr>
        <w:t>, due September 2015,</w:t>
      </w:r>
      <w:r w:rsidR="00CB415E">
        <w:rPr>
          <w:rFonts w:eastAsia="Georgia"/>
          <w:noProof/>
          <w:lang w:eastAsia="en-US"/>
        </w:rPr>
        <w:t xml:space="preserve"> </w:t>
      </w:r>
      <w:r w:rsidRPr="00B256FF">
        <w:rPr>
          <w:rFonts w:eastAsia="Georgia"/>
          <w:noProof/>
          <w:lang w:eastAsia="en-US"/>
        </w:rPr>
        <w:t xml:space="preserve">will include </w:t>
      </w:r>
      <w:r w:rsidR="00F550B2">
        <w:rPr>
          <w:rFonts w:eastAsia="Georgia"/>
          <w:noProof/>
          <w:lang w:eastAsia="en-US"/>
        </w:rPr>
        <w:t xml:space="preserve">longer-term </w:t>
      </w:r>
      <w:r w:rsidRPr="00B256FF">
        <w:rPr>
          <w:rFonts w:eastAsia="Georgia"/>
          <w:noProof/>
          <w:lang w:eastAsia="en-US"/>
        </w:rPr>
        <w:t xml:space="preserve">performance benchmarks, covering the duration of the </w:t>
      </w:r>
      <w:r w:rsidR="00F550B2">
        <w:rPr>
          <w:rFonts w:eastAsia="Georgia"/>
          <w:noProof/>
          <w:lang w:eastAsia="en-US"/>
        </w:rPr>
        <w:t>p</w:t>
      </w:r>
      <w:r w:rsidRPr="00B256FF">
        <w:rPr>
          <w:rFonts w:eastAsia="Georgia"/>
          <w:noProof/>
          <w:lang w:eastAsia="en-US"/>
        </w:rPr>
        <w:t>lans</w:t>
      </w:r>
      <w:r w:rsidR="00F550B2">
        <w:rPr>
          <w:rFonts w:eastAsia="Georgia"/>
          <w:noProof/>
          <w:lang w:eastAsia="en-US"/>
        </w:rPr>
        <w:t xml:space="preserve"> (</w:t>
      </w:r>
      <w:r w:rsidR="00F550B2" w:rsidRPr="00F550B2">
        <w:rPr>
          <w:rFonts w:eastAsia="Georgia"/>
          <w:noProof/>
          <w:lang w:eastAsia="en-US"/>
        </w:rPr>
        <w:t>generally four years in line with budget forward estimates</w:t>
      </w:r>
      <w:r w:rsidR="00F550B2">
        <w:rPr>
          <w:rFonts w:eastAsia="Georgia"/>
          <w:noProof/>
          <w:lang w:eastAsia="en-US"/>
        </w:rPr>
        <w:t>)</w:t>
      </w:r>
      <w:r w:rsidRPr="00B256FF">
        <w:rPr>
          <w:rFonts w:eastAsia="Georgia"/>
          <w:noProof/>
          <w:lang w:eastAsia="en-US"/>
        </w:rPr>
        <w:t xml:space="preserve">. In the meantime, country and regional programs identified a small set of temporary benchmarks in 2013–14 APPRs to assess progress in 2014–15. </w:t>
      </w:r>
      <w:r w:rsidRPr="001B5D27">
        <w:rPr>
          <w:rFonts w:eastAsia="Georgia"/>
          <w:noProof/>
          <w:lang w:eastAsia="en-US"/>
        </w:rPr>
        <w:t xml:space="preserve">This ‘pilot’ of performance benchmarks allows learning to inform the </w:t>
      </w:r>
      <w:r w:rsidR="00F550B2">
        <w:rPr>
          <w:rFonts w:eastAsia="Georgia"/>
          <w:noProof/>
          <w:lang w:eastAsia="en-US"/>
        </w:rPr>
        <w:t>longer-term</w:t>
      </w:r>
      <w:r w:rsidRPr="001B5D27">
        <w:rPr>
          <w:rFonts w:eastAsia="Georgia"/>
          <w:noProof/>
          <w:lang w:eastAsia="en-US"/>
        </w:rPr>
        <w:t xml:space="preserve"> benchmarks to be included in Aid Investment Plans.</w:t>
      </w:r>
      <w:r w:rsidRPr="00B256FF">
        <w:rPr>
          <w:rFonts w:eastAsia="Georgia"/>
          <w:noProof/>
          <w:lang w:eastAsia="en-US"/>
        </w:rPr>
        <w:t xml:space="preserve"> The following analysis contributes to this learning.</w:t>
      </w:r>
    </w:p>
    <w:p w:rsidR="00291B06" w:rsidRPr="00B256FF" w:rsidRDefault="00291B06" w:rsidP="00291B06">
      <w:pPr>
        <w:pStyle w:val="BodyText"/>
        <w:rPr>
          <w:rFonts w:cs="Arial"/>
          <w:noProof/>
          <w:lang w:eastAsia="en-GB"/>
        </w:rPr>
      </w:pPr>
      <w:r w:rsidRPr="00B256FF">
        <w:rPr>
          <w:rFonts w:eastAsia="Georgia"/>
          <w:noProof/>
          <w:lang w:eastAsia="en-GB"/>
        </w:rPr>
        <w:t>The 2013</w:t>
      </w:r>
      <w:r w:rsidRPr="00B256FF">
        <w:rPr>
          <w:rFonts w:eastAsia="Georgia"/>
          <w:noProof/>
          <w:lang w:eastAsia="en-US"/>
        </w:rPr>
        <w:t>–</w:t>
      </w:r>
      <w:r w:rsidRPr="00B256FF">
        <w:rPr>
          <w:rFonts w:eastAsia="Georgia"/>
          <w:noProof/>
          <w:lang w:eastAsia="en-GB"/>
        </w:rPr>
        <w:t xml:space="preserve">14 APPR guidance suggests </w:t>
      </w:r>
      <w:r w:rsidRPr="00B256FF">
        <w:rPr>
          <w:rFonts w:cs="Arial"/>
          <w:noProof/>
          <w:lang w:eastAsia="en-GB"/>
        </w:rPr>
        <w:t>an indicative number of benchmarks for different sized programs</w:t>
      </w:r>
      <w:r w:rsidR="00C20F1A">
        <w:rPr>
          <w:rStyle w:val="FootnoteReference"/>
          <w:rFonts w:cs="Arial"/>
          <w:noProof/>
          <w:lang w:eastAsia="en-GB"/>
        </w:rPr>
        <w:footnoteReference w:id="19"/>
      </w:r>
      <w:r w:rsidRPr="00B256FF">
        <w:rPr>
          <w:rFonts w:cs="Arial"/>
          <w:noProof/>
          <w:lang w:eastAsia="en-GB"/>
        </w:rPr>
        <w:t>, and states that benchmarks should:</w:t>
      </w:r>
    </w:p>
    <w:p w:rsidR="00291B06" w:rsidRPr="00B256FF" w:rsidRDefault="00291B06" w:rsidP="00291B06">
      <w:pPr>
        <w:pStyle w:val="Bullet"/>
        <w:numPr>
          <w:ilvl w:val="0"/>
          <w:numId w:val="9"/>
        </w:numPr>
        <w:rPr>
          <w:noProof/>
        </w:rPr>
      </w:pPr>
      <w:r w:rsidRPr="00B256FF">
        <w:rPr>
          <w:noProof/>
        </w:rPr>
        <w:t>be relevant indicators of progress</w:t>
      </w:r>
      <w:r>
        <w:rPr>
          <w:noProof/>
        </w:rPr>
        <w:t>,</w:t>
      </w:r>
      <w:r w:rsidRPr="00B256FF">
        <w:rPr>
          <w:noProof/>
        </w:rPr>
        <w:t xml:space="preserve"> providing a clear link between country program aid objectives and benchmarks </w:t>
      </w:r>
    </w:p>
    <w:p w:rsidR="00291B06" w:rsidRPr="00B256FF" w:rsidRDefault="00291B06" w:rsidP="00291B06">
      <w:pPr>
        <w:pStyle w:val="Bullet"/>
        <w:numPr>
          <w:ilvl w:val="0"/>
          <w:numId w:val="9"/>
        </w:numPr>
        <w:rPr>
          <w:noProof/>
        </w:rPr>
      </w:pPr>
      <w:r w:rsidRPr="00B256FF">
        <w:rPr>
          <w:noProof/>
        </w:rPr>
        <w:t>be predominantly within Australia’s control to achieve</w:t>
      </w:r>
    </w:p>
    <w:p w:rsidR="00291B06" w:rsidRPr="00B256FF" w:rsidRDefault="00291B06" w:rsidP="00291B06">
      <w:pPr>
        <w:pStyle w:val="Bullet"/>
        <w:numPr>
          <w:ilvl w:val="0"/>
          <w:numId w:val="9"/>
        </w:numPr>
        <w:rPr>
          <w:noProof/>
        </w:rPr>
      </w:pPr>
      <w:r w:rsidRPr="00B256FF">
        <w:rPr>
          <w:noProof/>
        </w:rPr>
        <w:t xml:space="preserve">be achievable and measurable within a 12-month period (however, programs </w:t>
      </w:r>
      <w:r w:rsidR="00C20F1A">
        <w:rPr>
          <w:noProof/>
        </w:rPr>
        <w:t>could</w:t>
      </w:r>
      <w:r w:rsidRPr="00B256FF">
        <w:rPr>
          <w:noProof/>
        </w:rPr>
        <w:t xml:space="preserve"> identify longer term benchmarks that c</w:t>
      </w:r>
      <w:r w:rsidR="00C20F1A">
        <w:rPr>
          <w:noProof/>
        </w:rPr>
        <w:t>ould</w:t>
      </w:r>
      <w:r w:rsidRPr="00B256FF">
        <w:rPr>
          <w:noProof/>
        </w:rPr>
        <w:t xml:space="preserve"> be carried over to Aid Investment Plans)</w:t>
      </w:r>
    </w:p>
    <w:p w:rsidR="00291B06" w:rsidRPr="00B256FF" w:rsidRDefault="00291B06" w:rsidP="00291B06">
      <w:pPr>
        <w:pStyle w:val="Bullet"/>
        <w:numPr>
          <w:ilvl w:val="0"/>
          <w:numId w:val="9"/>
        </w:numPr>
        <w:rPr>
          <w:noProof/>
        </w:rPr>
      </w:pPr>
      <w:r w:rsidRPr="00B256FF">
        <w:rPr>
          <w:noProof/>
        </w:rPr>
        <w:t>draw on existing monitoring and data collection efforts</w:t>
      </w:r>
    </w:p>
    <w:p w:rsidR="00291B06" w:rsidRPr="00B256FF" w:rsidRDefault="00291B06" w:rsidP="00291B06">
      <w:pPr>
        <w:pStyle w:val="BulletLast"/>
        <w:numPr>
          <w:ilvl w:val="0"/>
          <w:numId w:val="9"/>
        </w:numPr>
        <w:rPr>
          <w:noProof/>
        </w:rPr>
      </w:pPr>
      <w:r w:rsidRPr="00B256FF">
        <w:rPr>
          <w:noProof/>
        </w:rPr>
        <w:t>reflect program size and sectoral breadth, focusing on the most significant financial and strategic investments, including (at programs’ discretion) the activities of other government departments where they deliver a significant amount of Australian</w:t>
      </w:r>
      <w:r w:rsidRPr="001B5D27">
        <w:rPr>
          <w:noProof/>
        </w:rPr>
        <w:t xml:space="preserve"> </w:t>
      </w:r>
      <w:r w:rsidR="00902382">
        <w:rPr>
          <w:noProof/>
        </w:rPr>
        <w:t>Official Development Assistance</w:t>
      </w:r>
      <w:r w:rsidRPr="00B256FF">
        <w:rPr>
          <w:noProof/>
        </w:rPr>
        <w:t>.</w:t>
      </w:r>
    </w:p>
    <w:p w:rsidR="00291B06" w:rsidRPr="00B256FF" w:rsidRDefault="00291B06" w:rsidP="00291B06">
      <w:pPr>
        <w:pStyle w:val="BodyText"/>
        <w:rPr>
          <w:rFonts w:eastAsia="Georgia"/>
          <w:noProof/>
          <w:lang w:eastAsia="en-GB"/>
        </w:rPr>
      </w:pPr>
      <w:r w:rsidRPr="00B256FF">
        <w:rPr>
          <w:rFonts w:eastAsia="Georgia"/>
          <w:noProof/>
          <w:lang w:eastAsia="en-GB"/>
        </w:rPr>
        <w:t xml:space="preserve">This chapter examines the characteristics and quality of the temporary benchmarks. </w:t>
      </w:r>
    </w:p>
    <w:p w:rsidR="00291B06" w:rsidRPr="00B256FF" w:rsidRDefault="00291B06" w:rsidP="00291B06">
      <w:pPr>
        <w:pStyle w:val="Heading2"/>
        <w:rPr>
          <w:noProof/>
          <w:lang w:eastAsia="en-GB"/>
        </w:rPr>
      </w:pPr>
      <w:bookmarkStart w:id="55" w:name="_Toc402997735"/>
      <w:bookmarkStart w:id="56" w:name="_Toc416250724"/>
      <w:bookmarkStart w:id="57" w:name="_Toc422327009"/>
      <w:r w:rsidRPr="00B256FF">
        <w:rPr>
          <w:noProof/>
          <w:lang w:eastAsia="en-GB"/>
        </w:rPr>
        <w:t>3.1</w:t>
      </w:r>
      <w:r w:rsidRPr="00B256FF">
        <w:rPr>
          <w:noProof/>
          <w:lang w:eastAsia="en-GB"/>
        </w:rPr>
        <w:tab/>
        <w:t>Performance benchmark</w:t>
      </w:r>
      <w:bookmarkEnd w:id="55"/>
      <w:r w:rsidRPr="00B256FF">
        <w:rPr>
          <w:noProof/>
          <w:lang w:eastAsia="en-GB"/>
        </w:rPr>
        <w:t xml:space="preserve"> characteristics</w:t>
      </w:r>
      <w:bookmarkEnd w:id="56"/>
      <w:bookmarkEnd w:id="57"/>
    </w:p>
    <w:p w:rsidR="00291B06" w:rsidRPr="00B256FF" w:rsidRDefault="00291B06" w:rsidP="00291B06">
      <w:pPr>
        <w:pStyle w:val="BodyText"/>
        <w:rPr>
          <w:noProof/>
        </w:rPr>
      </w:pPr>
      <w:r w:rsidRPr="00B256FF">
        <w:rPr>
          <w:rFonts w:eastAsia="Georgia"/>
          <w:noProof/>
          <w:lang w:eastAsia="en-US"/>
        </w:rPr>
        <w:t>The 28 APPRs</w:t>
      </w:r>
      <w:r w:rsidR="00C20F1A">
        <w:rPr>
          <w:rFonts w:eastAsia="Georgia"/>
          <w:noProof/>
          <w:lang w:eastAsia="en-US"/>
        </w:rPr>
        <w:t xml:space="preserve"> from 2013-14 </w:t>
      </w:r>
      <w:r w:rsidRPr="00B256FF">
        <w:rPr>
          <w:rFonts w:eastAsia="Georgia"/>
          <w:noProof/>
          <w:lang w:eastAsia="en-US"/>
        </w:rPr>
        <w:t xml:space="preserve"> contain 218 performance benchmarks of seven different types (Table 2). The majority of benchmarks were classified as one type, but some were given more than one classification. For example, we classified the benchmark </w:t>
      </w:r>
      <w:r w:rsidRPr="002708F5">
        <w:rPr>
          <w:rFonts w:eastAsia="Georgia"/>
          <w:i/>
          <w:lang w:eastAsia="en-US"/>
        </w:rPr>
        <w:t>“</w:t>
      </w:r>
      <w:r w:rsidRPr="00B256FF">
        <w:rPr>
          <w:rFonts w:eastAsia="Georgia"/>
          <w:i/>
          <w:noProof/>
          <w:lang w:eastAsia="en-US"/>
        </w:rPr>
        <w:t>40 partnerships with private sector in place”</w:t>
      </w:r>
      <w:r w:rsidRPr="00B256FF">
        <w:rPr>
          <w:rFonts w:eastAsia="Georgia"/>
          <w:noProof/>
          <w:lang w:eastAsia="en-US"/>
        </w:rPr>
        <w:t xml:space="preserve"> as both an ‘output’ and ‘strengthen partnerships’ type of benchmark. </w:t>
      </w:r>
      <w:r w:rsidRPr="00B256FF">
        <w:rPr>
          <w:noProof/>
        </w:rPr>
        <w:t>The most frequently used benchmarks were outputs, followed by outcomes</w:t>
      </w:r>
      <w:r w:rsidR="00C24FD0">
        <w:rPr>
          <w:noProof/>
        </w:rPr>
        <w:t xml:space="preserve"> and aggregate results (Figure 9</w:t>
      </w:r>
      <w:r w:rsidRPr="00B256FF">
        <w:rPr>
          <w:noProof/>
        </w:rPr>
        <w:t>). Programs generally used a mix of the different types.</w:t>
      </w:r>
    </w:p>
    <w:p w:rsidR="00291B06" w:rsidRDefault="00291B06">
      <w:pPr>
        <w:rPr>
          <w:rFonts w:ascii="Franklin Gothic Book" w:hAnsi="Franklin Gothic Book"/>
          <w:b/>
          <w:bCs/>
          <w:sz w:val="22"/>
          <w:szCs w:val="21"/>
        </w:rPr>
      </w:pPr>
      <w:bookmarkStart w:id="58" w:name="_Toc408606444"/>
      <w:r>
        <w:br w:type="page"/>
      </w:r>
    </w:p>
    <w:p w:rsidR="00291B06" w:rsidRPr="00B256FF" w:rsidRDefault="00291B06" w:rsidP="006335F8">
      <w:pPr>
        <w:pStyle w:val="TableandFigureName"/>
        <w:numPr>
          <w:ilvl w:val="0"/>
          <w:numId w:val="0"/>
        </w:numPr>
        <w:tabs>
          <w:tab w:val="clear" w:pos="993"/>
          <w:tab w:val="left" w:pos="1276"/>
        </w:tabs>
      </w:pPr>
      <w:r w:rsidRPr="00B256FF">
        <w:t>Table 2</w:t>
      </w:r>
      <w:r w:rsidRPr="00B256FF">
        <w:tab/>
        <w:t>Types of performance benchmark</w:t>
      </w:r>
      <w:bookmarkEnd w:id="58"/>
      <w:r w:rsidRPr="00B256FF">
        <w:t>s in APPRs</w:t>
      </w:r>
    </w:p>
    <w:tbl>
      <w:tblPr>
        <w:tblStyle w:val="TableGrid2"/>
        <w:tblW w:w="5000" w:type="pct"/>
        <w:tblBorders>
          <w:top w:val="single" w:sz="4" w:space="0" w:color="808080"/>
          <w:bottom w:val="single" w:sz="4" w:space="0" w:color="808080"/>
          <w:insideH w:val="single" w:sz="4" w:space="0" w:color="808080"/>
        </w:tblBorders>
        <w:tblLook w:val="04A0" w:firstRow="1" w:lastRow="0" w:firstColumn="1" w:lastColumn="0" w:noHBand="0" w:noVBand="1"/>
      </w:tblPr>
      <w:tblGrid>
        <w:gridCol w:w="1786"/>
        <w:gridCol w:w="3539"/>
        <w:gridCol w:w="3396"/>
      </w:tblGrid>
      <w:tr w:rsidR="000767B0" w:rsidRPr="000767B0" w:rsidTr="00587630">
        <w:trPr>
          <w:cnfStyle w:val="100000000000" w:firstRow="1" w:lastRow="0" w:firstColumn="0" w:lastColumn="0" w:oddVBand="0" w:evenVBand="0" w:oddHBand="0" w:evenHBand="0" w:firstRowFirstColumn="0" w:firstRowLastColumn="0" w:lastRowFirstColumn="0" w:lastRowLastColumn="0"/>
        </w:trPr>
        <w:tc>
          <w:tcPr>
            <w:tcW w:w="1024" w:type="pct"/>
            <w:shd w:val="clear" w:color="auto" w:fill="auto"/>
          </w:tcPr>
          <w:p w:rsidR="000767B0" w:rsidRPr="000767B0" w:rsidRDefault="000767B0" w:rsidP="00A046B2">
            <w:pPr>
              <w:pStyle w:val="TableHeading1"/>
              <w:spacing w:before="120" w:after="120"/>
            </w:pPr>
            <w:r w:rsidRPr="000767B0">
              <w:t>Benchmark type</w:t>
            </w:r>
          </w:p>
        </w:tc>
        <w:tc>
          <w:tcPr>
            <w:tcW w:w="2029" w:type="pct"/>
            <w:shd w:val="clear" w:color="auto" w:fill="auto"/>
          </w:tcPr>
          <w:p w:rsidR="000767B0" w:rsidRPr="000767B0" w:rsidRDefault="000767B0" w:rsidP="00A046B2">
            <w:pPr>
              <w:pStyle w:val="TableHeading1"/>
              <w:spacing w:before="120" w:after="120"/>
            </w:pPr>
            <w:r w:rsidRPr="000767B0">
              <w:t>Definition</w:t>
            </w:r>
          </w:p>
        </w:tc>
        <w:tc>
          <w:tcPr>
            <w:tcW w:w="1947" w:type="pct"/>
            <w:shd w:val="clear" w:color="auto" w:fill="auto"/>
          </w:tcPr>
          <w:p w:rsidR="000767B0" w:rsidRPr="000767B0" w:rsidRDefault="000767B0" w:rsidP="00A046B2">
            <w:pPr>
              <w:pStyle w:val="TableHeading1"/>
              <w:spacing w:before="120" w:after="120"/>
            </w:pPr>
            <w:r w:rsidRPr="000767B0">
              <w:t>Example</w:t>
            </w:r>
          </w:p>
        </w:tc>
      </w:tr>
      <w:tr w:rsidR="000767B0" w:rsidRPr="000767B0" w:rsidTr="00587630">
        <w:tc>
          <w:tcPr>
            <w:tcW w:w="1024" w:type="pct"/>
          </w:tcPr>
          <w:p w:rsidR="000767B0" w:rsidRPr="000767B0" w:rsidRDefault="000767B0" w:rsidP="000767B0">
            <w:pPr>
              <w:pStyle w:val="TableHeading2"/>
            </w:pPr>
            <w:r w:rsidRPr="000767B0">
              <w:t>Milestone</w:t>
            </w:r>
          </w:p>
        </w:tc>
        <w:tc>
          <w:tcPr>
            <w:tcW w:w="2029" w:type="pct"/>
          </w:tcPr>
          <w:p w:rsidR="000767B0" w:rsidRPr="000767B0" w:rsidRDefault="000767B0" w:rsidP="000767B0">
            <w:pPr>
              <w:pStyle w:val="TableText"/>
              <w:rPr>
                <w:b/>
              </w:rPr>
            </w:pPr>
            <w:r w:rsidRPr="000767B0">
              <w:t>A significant point in a contract/program</w:t>
            </w:r>
          </w:p>
        </w:tc>
        <w:tc>
          <w:tcPr>
            <w:tcW w:w="1947" w:type="pct"/>
          </w:tcPr>
          <w:p w:rsidR="000767B0" w:rsidRPr="000767B0" w:rsidRDefault="000767B0" w:rsidP="000767B0">
            <w:pPr>
              <w:pStyle w:val="TableText"/>
            </w:pPr>
            <w:r w:rsidRPr="000767B0">
              <w:t>Commencement of civil works on National Highway One</w:t>
            </w:r>
          </w:p>
        </w:tc>
      </w:tr>
      <w:tr w:rsidR="000767B0" w:rsidRPr="000767B0" w:rsidTr="00587630">
        <w:tc>
          <w:tcPr>
            <w:tcW w:w="1024" w:type="pct"/>
          </w:tcPr>
          <w:p w:rsidR="000767B0" w:rsidRPr="000767B0" w:rsidRDefault="000767B0" w:rsidP="000767B0">
            <w:pPr>
              <w:pStyle w:val="TableHeading2"/>
              <w:rPr>
                <w:sz w:val="21"/>
                <w:szCs w:val="20"/>
              </w:rPr>
            </w:pPr>
            <w:r w:rsidRPr="000767B0">
              <w:t>Output</w:t>
            </w:r>
          </w:p>
        </w:tc>
        <w:tc>
          <w:tcPr>
            <w:tcW w:w="2029" w:type="pct"/>
          </w:tcPr>
          <w:p w:rsidR="000767B0" w:rsidRPr="000767B0" w:rsidRDefault="000767B0" w:rsidP="000767B0">
            <w:pPr>
              <w:pStyle w:val="TableText"/>
              <w:rPr>
                <w:b/>
              </w:rPr>
            </w:pPr>
            <w:r w:rsidRPr="000767B0">
              <w:t>Good/service delivered by the intervention</w:t>
            </w:r>
          </w:p>
        </w:tc>
        <w:tc>
          <w:tcPr>
            <w:tcW w:w="1947" w:type="pct"/>
          </w:tcPr>
          <w:p w:rsidR="000767B0" w:rsidRPr="000767B0" w:rsidRDefault="000767B0" w:rsidP="000767B0">
            <w:pPr>
              <w:pStyle w:val="TableText"/>
              <w:rPr>
                <w:b/>
              </w:rPr>
            </w:pPr>
            <w:r w:rsidRPr="000767B0">
              <w:t>Eight irrigation infrastructure improvements completed</w:t>
            </w:r>
          </w:p>
        </w:tc>
      </w:tr>
      <w:tr w:rsidR="000767B0" w:rsidRPr="000767B0" w:rsidTr="00587630">
        <w:tc>
          <w:tcPr>
            <w:tcW w:w="1024" w:type="pct"/>
          </w:tcPr>
          <w:p w:rsidR="000767B0" w:rsidRPr="000767B0" w:rsidRDefault="000767B0" w:rsidP="007E425F">
            <w:pPr>
              <w:pStyle w:val="TableHeading2"/>
              <w:rPr>
                <w:sz w:val="21"/>
                <w:szCs w:val="20"/>
              </w:rPr>
            </w:pPr>
            <w:r w:rsidRPr="000767B0">
              <w:t xml:space="preserve">Aggregate </w:t>
            </w:r>
            <w:r w:rsidR="007E425F">
              <w:t>r</w:t>
            </w:r>
            <w:r w:rsidRPr="000767B0">
              <w:t>esult</w:t>
            </w:r>
            <w:r w:rsidRPr="000767B0">
              <w:footnoteReference w:id="20"/>
            </w:r>
          </w:p>
        </w:tc>
        <w:tc>
          <w:tcPr>
            <w:tcW w:w="2029" w:type="pct"/>
          </w:tcPr>
          <w:p w:rsidR="000767B0" w:rsidRPr="000767B0" w:rsidRDefault="000767B0" w:rsidP="000767B0">
            <w:pPr>
              <w:pStyle w:val="TableText"/>
              <w:rPr>
                <w:b/>
              </w:rPr>
            </w:pPr>
            <w:r w:rsidRPr="000767B0">
              <w:t>Intended results of the program, often relating to beneficiaries</w:t>
            </w:r>
          </w:p>
        </w:tc>
        <w:tc>
          <w:tcPr>
            <w:tcW w:w="1947" w:type="pct"/>
          </w:tcPr>
          <w:p w:rsidR="000767B0" w:rsidRPr="000767B0" w:rsidRDefault="000767B0" w:rsidP="000767B0">
            <w:pPr>
              <w:pStyle w:val="TableText"/>
              <w:rPr>
                <w:b/>
              </w:rPr>
            </w:pPr>
            <w:r w:rsidRPr="000767B0">
              <w:t>10,000 children receive measles immunisation</w:t>
            </w:r>
          </w:p>
        </w:tc>
      </w:tr>
      <w:tr w:rsidR="000767B0" w:rsidRPr="000767B0" w:rsidTr="00587630">
        <w:tc>
          <w:tcPr>
            <w:tcW w:w="1024" w:type="pct"/>
          </w:tcPr>
          <w:p w:rsidR="000767B0" w:rsidRPr="000767B0" w:rsidRDefault="000767B0" w:rsidP="000767B0">
            <w:pPr>
              <w:pStyle w:val="TableHeading2"/>
              <w:rPr>
                <w:sz w:val="21"/>
                <w:szCs w:val="20"/>
              </w:rPr>
            </w:pPr>
            <w:r w:rsidRPr="000767B0">
              <w:t>Outcome</w:t>
            </w:r>
          </w:p>
        </w:tc>
        <w:tc>
          <w:tcPr>
            <w:tcW w:w="2029" w:type="pct"/>
          </w:tcPr>
          <w:p w:rsidR="000767B0" w:rsidRPr="000767B0" w:rsidRDefault="000767B0" w:rsidP="000767B0">
            <w:pPr>
              <w:pStyle w:val="TableText"/>
            </w:pPr>
            <w:r w:rsidRPr="000767B0">
              <w:t xml:space="preserve">Changes that the interventions aim to deliver in the communities they are working in </w:t>
            </w:r>
          </w:p>
          <w:p w:rsidR="000767B0" w:rsidRPr="000767B0" w:rsidRDefault="000767B0" w:rsidP="000767B0">
            <w:pPr>
              <w:pStyle w:val="TableText"/>
            </w:pPr>
            <w:r w:rsidRPr="000767B0">
              <w:t>Short term: changes in knowledge, skills, attitudes and motivation</w:t>
            </w:r>
          </w:p>
          <w:p w:rsidR="000767B0" w:rsidRPr="000767B0" w:rsidRDefault="000767B0" w:rsidP="000767B0">
            <w:pPr>
              <w:pStyle w:val="TableText"/>
            </w:pPr>
            <w:r w:rsidRPr="000767B0">
              <w:t>Medium term: behaviour change</w:t>
            </w:r>
          </w:p>
        </w:tc>
        <w:tc>
          <w:tcPr>
            <w:tcW w:w="1947" w:type="pct"/>
          </w:tcPr>
          <w:p w:rsidR="000767B0" w:rsidRPr="000767B0" w:rsidRDefault="000767B0" w:rsidP="000767B0">
            <w:pPr>
              <w:pStyle w:val="TableText"/>
            </w:pPr>
            <w:r w:rsidRPr="000767B0">
              <w:t>80% of trained teachers more confident in their ability to teach new curriculum</w:t>
            </w:r>
          </w:p>
          <w:p w:rsidR="000767B0" w:rsidRPr="000767B0" w:rsidRDefault="000767B0" w:rsidP="000767B0">
            <w:pPr>
              <w:pStyle w:val="TableText"/>
            </w:pPr>
            <w:r w:rsidRPr="000767B0">
              <w:t>10% increase in men demonstrating health seeking behaviours</w:t>
            </w:r>
          </w:p>
        </w:tc>
      </w:tr>
      <w:tr w:rsidR="000767B0" w:rsidRPr="000767B0" w:rsidTr="00587630">
        <w:tc>
          <w:tcPr>
            <w:tcW w:w="1024" w:type="pct"/>
          </w:tcPr>
          <w:p w:rsidR="000767B0" w:rsidRPr="000767B0" w:rsidRDefault="000767B0" w:rsidP="007E425F">
            <w:pPr>
              <w:pStyle w:val="TableHeading2"/>
              <w:rPr>
                <w:sz w:val="21"/>
                <w:szCs w:val="20"/>
              </w:rPr>
            </w:pPr>
            <w:r w:rsidRPr="000767B0">
              <w:t xml:space="preserve">Program </w:t>
            </w:r>
            <w:r w:rsidR="007E425F">
              <w:t>m</w:t>
            </w:r>
            <w:r w:rsidRPr="000767B0">
              <w:t>anagement</w:t>
            </w:r>
          </w:p>
        </w:tc>
        <w:tc>
          <w:tcPr>
            <w:tcW w:w="2029" w:type="pct"/>
          </w:tcPr>
          <w:p w:rsidR="000767B0" w:rsidRPr="000767B0" w:rsidRDefault="000767B0" w:rsidP="000767B0">
            <w:pPr>
              <w:pStyle w:val="TableText"/>
            </w:pPr>
            <w:r w:rsidRPr="000767B0">
              <w:t>Related to administration of the aid program; may cover aspects of efficiency,</w:t>
            </w:r>
            <w:r w:rsidR="00C03AD5">
              <w:t xml:space="preserve"> or</w:t>
            </w:r>
            <w:r w:rsidRPr="000767B0">
              <w:t xml:space="preserve"> how the program is targeted/aligned</w:t>
            </w:r>
          </w:p>
        </w:tc>
        <w:tc>
          <w:tcPr>
            <w:tcW w:w="1947" w:type="pct"/>
          </w:tcPr>
          <w:p w:rsidR="000767B0" w:rsidRPr="000767B0" w:rsidRDefault="000767B0" w:rsidP="000767B0">
            <w:pPr>
              <w:pStyle w:val="TableText"/>
            </w:pPr>
            <w:r w:rsidRPr="000767B0">
              <w:t>Increase the percentage of program budget invested in private sector development, aid for trade and infrastructure from 40 per cent to 60 per cent</w:t>
            </w:r>
          </w:p>
        </w:tc>
      </w:tr>
      <w:tr w:rsidR="000767B0" w:rsidRPr="000767B0" w:rsidTr="00587630">
        <w:tc>
          <w:tcPr>
            <w:tcW w:w="1024" w:type="pct"/>
          </w:tcPr>
          <w:p w:rsidR="000767B0" w:rsidRPr="000767B0" w:rsidRDefault="000767B0" w:rsidP="007E425F">
            <w:pPr>
              <w:pStyle w:val="TableHeading2"/>
              <w:rPr>
                <w:sz w:val="21"/>
                <w:szCs w:val="20"/>
              </w:rPr>
            </w:pPr>
            <w:r w:rsidRPr="000767B0">
              <w:t xml:space="preserve">Strengthen </w:t>
            </w:r>
            <w:r w:rsidR="007E425F">
              <w:t>p</w:t>
            </w:r>
            <w:r w:rsidRPr="000767B0">
              <w:t>artnerships</w:t>
            </w:r>
          </w:p>
        </w:tc>
        <w:tc>
          <w:tcPr>
            <w:tcW w:w="2029" w:type="pct"/>
          </w:tcPr>
          <w:p w:rsidR="000767B0" w:rsidRPr="000767B0" w:rsidRDefault="000767B0" w:rsidP="000767B0">
            <w:pPr>
              <w:pStyle w:val="TableText"/>
            </w:pPr>
            <w:r w:rsidRPr="000767B0">
              <w:t>Focus on the relationship between DFAT and partners (partner government, NGOs, multilaterals)</w:t>
            </w:r>
          </w:p>
        </w:tc>
        <w:tc>
          <w:tcPr>
            <w:tcW w:w="1947" w:type="pct"/>
          </w:tcPr>
          <w:p w:rsidR="000767B0" w:rsidRPr="000767B0" w:rsidRDefault="000767B0" w:rsidP="000767B0">
            <w:pPr>
              <w:pStyle w:val="TableText"/>
            </w:pPr>
            <w:r w:rsidRPr="000767B0">
              <w:t xml:space="preserve">Host annual development cooperation partnership talks </w:t>
            </w:r>
          </w:p>
        </w:tc>
      </w:tr>
      <w:tr w:rsidR="000767B0" w:rsidRPr="000767B0" w:rsidTr="00587630">
        <w:tc>
          <w:tcPr>
            <w:tcW w:w="1024" w:type="pct"/>
          </w:tcPr>
          <w:p w:rsidR="000767B0" w:rsidRPr="000767B0" w:rsidRDefault="000767B0" w:rsidP="007E425F">
            <w:pPr>
              <w:pStyle w:val="TableHeading2"/>
              <w:rPr>
                <w:sz w:val="21"/>
                <w:szCs w:val="20"/>
              </w:rPr>
            </w:pPr>
            <w:r w:rsidRPr="000767B0">
              <w:t xml:space="preserve">Policy </w:t>
            </w:r>
            <w:r w:rsidR="007E425F">
              <w:t>d</w:t>
            </w:r>
            <w:r w:rsidRPr="000767B0">
              <w:t>ialogue</w:t>
            </w:r>
          </w:p>
        </w:tc>
        <w:tc>
          <w:tcPr>
            <w:tcW w:w="2029" w:type="pct"/>
          </w:tcPr>
          <w:p w:rsidR="000767B0" w:rsidRPr="000767B0" w:rsidRDefault="000767B0" w:rsidP="000767B0">
            <w:pPr>
              <w:pStyle w:val="TableText"/>
            </w:pPr>
            <w:r w:rsidRPr="000767B0">
              <w:t>Australia discussing policy with partner governments</w:t>
            </w:r>
          </w:p>
        </w:tc>
        <w:tc>
          <w:tcPr>
            <w:tcW w:w="1947" w:type="pct"/>
          </w:tcPr>
          <w:p w:rsidR="000767B0" w:rsidRPr="000767B0" w:rsidRDefault="000767B0" w:rsidP="000767B0">
            <w:pPr>
              <w:pStyle w:val="TableText"/>
            </w:pPr>
            <w:r w:rsidRPr="000767B0">
              <w:t>Agree with partner government on Australian/other donor assistance to support a program of reforms to improve public financial management</w:t>
            </w:r>
          </w:p>
        </w:tc>
      </w:tr>
    </w:tbl>
    <w:p w:rsidR="00291B06" w:rsidRPr="00B256FF" w:rsidRDefault="00291B06" w:rsidP="00291B06">
      <w:pPr>
        <w:pStyle w:val="BodyText"/>
        <w:rPr>
          <w:b/>
        </w:rPr>
      </w:pPr>
    </w:p>
    <w:p w:rsidR="00291B06" w:rsidRPr="00B256FF" w:rsidRDefault="00C24FD0" w:rsidP="006335F8">
      <w:pPr>
        <w:pStyle w:val="TableandFigureName"/>
        <w:numPr>
          <w:ilvl w:val="0"/>
          <w:numId w:val="0"/>
        </w:numPr>
        <w:tabs>
          <w:tab w:val="clear" w:pos="993"/>
          <w:tab w:val="left" w:pos="1276"/>
        </w:tabs>
      </w:pPr>
      <w:bookmarkStart w:id="59" w:name="_Toc408606457"/>
      <w:r>
        <w:t>Figure 9</w:t>
      </w:r>
      <w:r w:rsidR="006335F8">
        <w:tab/>
      </w:r>
      <w:r w:rsidR="00291B06" w:rsidRPr="00B256FF">
        <w:t>The most common types of performance benchmarks</w:t>
      </w:r>
      <w:bookmarkEnd w:id="59"/>
      <w:r w:rsidR="00291B06" w:rsidRPr="00B256FF">
        <w:t xml:space="preserve"> identified in 2013–14 APPRs were outputs, outcomes</w:t>
      </w:r>
      <w:r w:rsidR="00291B06">
        <w:t xml:space="preserve"> and</w:t>
      </w:r>
      <w:r w:rsidR="00291B06" w:rsidRPr="00B256FF">
        <w:t xml:space="preserve"> aggregate results</w:t>
      </w:r>
    </w:p>
    <w:p w:rsidR="00291B06" w:rsidRPr="00B256FF" w:rsidRDefault="00CB7D80" w:rsidP="00291B06">
      <w:pPr>
        <w:pStyle w:val="Heading3"/>
      </w:pPr>
      <w:bookmarkStart w:id="60" w:name="_Toc402997737"/>
      <w:r>
        <w:rPr>
          <w:noProof/>
        </w:rPr>
        <w:drawing>
          <wp:inline distT="0" distB="0" distL="0" distR="0" wp14:anchorId="60C1ACCE" wp14:editId="010F4144">
            <wp:extent cx="5400675" cy="2962858"/>
            <wp:effectExtent l="0" t="0" r="0" b="0"/>
            <wp:docPr id="393" name="Chart 393" descr="Bar chart shows results as follows: 28 Milestones, 59 Outputs, 48 Aggregate results, 52 Outcomes, 27 Program management benchmarks, 13 Strengthening partnerships benchmarks, and 12 relating to Policy dialogu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291B06" w:rsidRPr="00B256FF">
        <w:t>Quality of performance benchmarks</w:t>
      </w:r>
      <w:bookmarkEnd w:id="60"/>
    </w:p>
    <w:p w:rsidR="00291B06" w:rsidRPr="00B256FF" w:rsidRDefault="00291B06" w:rsidP="00862708">
      <w:pPr>
        <w:pStyle w:val="BodyText"/>
        <w:rPr>
          <w:noProof/>
        </w:rPr>
      </w:pPr>
      <w:r w:rsidRPr="00B256FF">
        <w:rPr>
          <w:noProof/>
        </w:rPr>
        <w:t>APPRs did not provide enough information to assess the achievability of the performance benchmarks or to measure the extent of stretch or ambition of the targets. The absence of baselines was the biggest hindrance in this regard. In spite of this limitation, each program’s benchmarks were assessed as being higher, adequate or lower quality (Table 3)</w:t>
      </w:r>
      <w:r>
        <w:rPr>
          <w:noProof/>
        </w:rPr>
        <w:t>.</w:t>
      </w:r>
      <w:r w:rsidRPr="00B256FF">
        <w:rPr>
          <w:rStyle w:val="FootnoteReference"/>
          <w:noProof/>
        </w:rPr>
        <w:footnoteReference w:id="21"/>
      </w:r>
      <w:r w:rsidRPr="00B256FF">
        <w:rPr>
          <w:noProof/>
        </w:rPr>
        <w:t xml:space="preserve"> The Cambodia, Pakistan and Timor</w:t>
      </w:r>
      <w:r>
        <w:rPr>
          <w:noProof/>
        </w:rPr>
        <w:t>-</w:t>
      </w:r>
      <w:r w:rsidRPr="00B256FF">
        <w:rPr>
          <w:noProof/>
        </w:rPr>
        <w:t>Leste APPRs had particularly strong sets of benchmarks.</w:t>
      </w:r>
    </w:p>
    <w:p w:rsidR="00291B06" w:rsidRPr="00B256FF" w:rsidRDefault="00291B06" w:rsidP="00CB7D80">
      <w:pPr>
        <w:pStyle w:val="BodyText"/>
        <w:rPr>
          <w:noProof/>
        </w:rPr>
      </w:pPr>
      <w:r w:rsidRPr="00B256FF">
        <w:rPr>
          <w:noProof/>
        </w:rPr>
        <w:t>The assessment was based on analysis of:</w:t>
      </w:r>
    </w:p>
    <w:p w:rsidR="00291B06" w:rsidRPr="00B256FF" w:rsidRDefault="00291B06" w:rsidP="00291B06">
      <w:pPr>
        <w:pStyle w:val="Bullet"/>
        <w:numPr>
          <w:ilvl w:val="0"/>
          <w:numId w:val="9"/>
        </w:numPr>
        <w:rPr>
          <w:noProof/>
        </w:rPr>
      </w:pPr>
      <w:r w:rsidRPr="00B256FF">
        <w:rPr>
          <w:noProof/>
        </w:rPr>
        <w:t>whether DFAT</w:t>
      </w:r>
      <w:r>
        <w:rPr>
          <w:noProof/>
        </w:rPr>
        <w:t>’s</w:t>
      </w:r>
      <w:r w:rsidRPr="00B256FF">
        <w:rPr>
          <w:noProof/>
        </w:rPr>
        <w:t xml:space="preserve"> contribution to achieving the benchmark was distinguishable (from partner governments) and significant</w:t>
      </w:r>
    </w:p>
    <w:p w:rsidR="00291B06" w:rsidRPr="00B256FF" w:rsidRDefault="00291B06" w:rsidP="00291B06">
      <w:pPr>
        <w:pStyle w:val="Bullet"/>
        <w:numPr>
          <w:ilvl w:val="0"/>
          <w:numId w:val="9"/>
        </w:numPr>
        <w:rPr>
          <w:noProof/>
        </w:rPr>
      </w:pPr>
      <w:r w:rsidRPr="00B256FF">
        <w:rPr>
          <w:noProof/>
        </w:rPr>
        <w:t>alignment with APPR objectives</w:t>
      </w:r>
    </w:p>
    <w:p w:rsidR="00291B06" w:rsidRPr="00B256FF" w:rsidRDefault="00291B06" w:rsidP="00291B06">
      <w:pPr>
        <w:pStyle w:val="Bullet"/>
        <w:numPr>
          <w:ilvl w:val="0"/>
          <w:numId w:val="9"/>
        </w:numPr>
        <w:rPr>
          <w:noProof/>
        </w:rPr>
      </w:pPr>
      <w:r w:rsidRPr="00B256FF">
        <w:rPr>
          <w:noProof/>
        </w:rPr>
        <w:t xml:space="preserve">sectoral coverage, comparing the number of benchmarks and proportion of budget allocated to each sector </w:t>
      </w:r>
    </w:p>
    <w:p w:rsidR="00291B06" w:rsidRPr="00B256FF" w:rsidRDefault="00291B06" w:rsidP="00291B06">
      <w:pPr>
        <w:pStyle w:val="Bullet"/>
        <w:numPr>
          <w:ilvl w:val="0"/>
          <w:numId w:val="9"/>
        </w:numPr>
        <w:rPr>
          <w:noProof/>
        </w:rPr>
      </w:pPr>
      <w:r w:rsidRPr="00B256FF">
        <w:rPr>
          <w:noProof/>
        </w:rPr>
        <w:t xml:space="preserve">whether benchmarks reflected an orientation to new aid </w:t>
      </w:r>
      <w:r>
        <w:rPr>
          <w:noProof/>
        </w:rPr>
        <w:t xml:space="preserve">policy </w:t>
      </w:r>
      <w:r w:rsidRPr="00B256FF">
        <w:rPr>
          <w:noProof/>
        </w:rPr>
        <w:t xml:space="preserve">priorities, specifically aid for trade, private sector investment, </w:t>
      </w:r>
      <w:r>
        <w:rPr>
          <w:noProof/>
        </w:rPr>
        <w:t xml:space="preserve">and </w:t>
      </w:r>
      <w:r w:rsidRPr="00B256FF">
        <w:rPr>
          <w:noProof/>
        </w:rPr>
        <w:t xml:space="preserve">women and girls </w:t>
      </w:r>
    </w:p>
    <w:p w:rsidR="00291B06" w:rsidRPr="00B256FF" w:rsidRDefault="00291B06" w:rsidP="00291B06">
      <w:pPr>
        <w:pStyle w:val="Bullet"/>
        <w:numPr>
          <w:ilvl w:val="0"/>
          <w:numId w:val="9"/>
        </w:numPr>
        <w:rPr>
          <w:noProof/>
        </w:rPr>
      </w:pPr>
      <w:r w:rsidRPr="00B256FF">
        <w:rPr>
          <w:noProof/>
        </w:rPr>
        <w:t>quality, content and specificity of the benchmarks, consi</w:t>
      </w:r>
      <w:r>
        <w:rPr>
          <w:noProof/>
        </w:rPr>
        <w:t xml:space="preserve">dering whether they meet the </w:t>
      </w:r>
      <w:r w:rsidRPr="002708F5">
        <w:rPr>
          <w:i/>
          <w:noProof/>
        </w:rPr>
        <w:t>specific, measurable, achievable, realistic and time-bound</w:t>
      </w:r>
      <w:r w:rsidRPr="00B256FF">
        <w:rPr>
          <w:noProof/>
        </w:rPr>
        <w:t xml:space="preserve"> (SMART) criteria. </w:t>
      </w:r>
    </w:p>
    <w:p w:rsidR="00850CDE" w:rsidRDefault="00850CDE">
      <w:pPr>
        <w:rPr>
          <w:rFonts w:ascii="Helvetica" w:hAnsi="Helvetica" w:cs="Arial"/>
          <w:b/>
          <w:kern w:val="28"/>
          <w:sz w:val="20"/>
          <w:szCs w:val="22"/>
          <w:lang w:eastAsia="zh-CN"/>
        </w:rPr>
      </w:pPr>
      <w:bookmarkStart w:id="61" w:name="_Toc408606441"/>
      <w:r>
        <w:br w:type="page"/>
      </w:r>
    </w:p>
    <w:p w:rsidR="00291B06" w:rsidRPr="00B256FF" w:rsidRDefault="00291B06" w:rsidP="006335F8">
      <w:pPr>
        <w:pStyle w:val="TableandFigureName"/>
        <w:numPr>
          <w:ilvl w:val="0"/>
          <w:numId w:val="0"/>
        </w:numPr>
        <w:tabs>
          <w:tab w:val="clear" w:pos="993"/>
          <w:tab w:val="left" w:pos="1276"/>
        </w:tabs>
      </w:pPr>
      <w:r w:rsidRPr="00B256FF">
        <w:t>Table 3</w:t>
      </w:r>
      <w:r w:rsidRPr="00B256FF">
        <w:tab/>
        <w:t>Quality of program benchmarks by country</w:t>
      </w:r>
      <w:r>
        <w:t xml:space="preserve"> or </w:t>
      </w:r>
      <w:r w:rsidRPr="00B256FF">
        <w:t xml:space="preserve">regional </w:t>
      </w:r>
      <w:bookmarkEnd w:id="61"/>
      <w:r>
        <w:t>program</w:t>
      </w:r>
    </w:p>
    <w:tbl>
      <w:tblPr>
        <w:tblStyle w:val="TableGrid"/>
        <w:tblW w:w="8472" w:type="dxa"/>
        <w:tblBorders>
          <w:top w:val="single" w:sz="4" w:space="0" w:color="808080"/>
          <w:left w:val="none" w:sz="0" w:space="0" w:color="auto"/>
          <w:bottom w:val="single" w:sz="4" w:space="0" w:color="808080"/>
          <w:right w:val="none" w:sz="0" w:space="0" w:color="auto"/>
          <w:insideH w:val="single" w:sz="4" w:space="0" w:color="808080"/>
          <w:insideV w:val="none" w:sz="0" w:space="0" w:color="auto"/>
        </w:tblBorders>
        <w:tblLook w:val="04A0" w:firstRow="1" w:lastRow="0" w:firstColumn="1" w:lastColumn="0" w:noHBand="0" w:noVBand="1"/>
      </w:tblPr>
      <w:tblGrid>
        <w:gridCol w:w="3085"/>
        <w:gridCol w:w="5387"/>
      </w:tblGrid>
      <w:tr w:rsidR="00F27C0E" w:rsidRPr="00862708" w:rsidTr="00023622">
        <w:trPr>
          <w:trHeight w:val="419"/>
        </w:trPr>
        <w:tc>
          <w:tcPr>
            <w:tcW w:w="3085" w:type="dxa"/>
            <w:tcBorders>
              <w:bottom w:val="single" w:sz="4" w:space="0" w:color="808080"/>
            </w:tcBorders>
            <w:vAlign w:val="center"/>
          </w:tcPr>
          <w:p w:rsidR="00F27C0E" w:rsidRPr="00862708" w:rsidRDefault="00F27C0E" w:rsidP="00A046B2">
            <w:pPr>
              <w:pStyle w:val="TableHeading1"/>
              <w:spacing w:before="120" w:after="120"/>
            </w:pPr>
            <w:r>
              <w:t>Quality category</w:t>
            </w:r>
          </w:p>
        </w:tc>
        <w:tc>
          <w:tcPr>
            <w:tcW w:w="5387" w:type="dxa"/>
            <w:tcBorders>
              <w:bottom w:val="single" w:sz="4" w:space="0" w:color="808080"/>
            </w:tcBorders>
            <w:vAlign w:val="center"/>
          </w:tcPr>
          <w:p w:rsidR="00F27C0E" w:rsidRPr="00B256FF" w:rsidRDefault="00F27C0E" w:rsidP="00A046B2">
            <w:pPr>
              <w:pStyle w:val="TableHeading1"/>
              <w:spacing w:before="120" w:after="120"/>
            </w:pPr>
            <w:r>
              <w:t>C</w:t>
            </w:r>
            <w:r w:rsidRPr="00B256FF">
              <w:t>ountry</w:t>
            </w:r>
            <w:r>
              <w:t xml:space="preserve"> or </w:t>
            </w:r>
            <w:r w:rsidRPr="00B256FF">
              <w:t xml:space="preserve">regional </w:t>
            </w:r>
            <w:r>
              <w:t>program</w:t>
            </w:r>
          </w:p>
        </w:tc>
      </w:tr>
      <w:tr w:rsidR="00F27C0E" w:rsidRPr="00862708" w:rsidTr="00023622">
        <w:trPr>
          <w:trHeight w:val="419"/>
        </w:trPr>
        <w:tc>
          <w:tcPr>
            <w:tcW w:w="3085" w:type="dxa"/>
            <w:tcBorders>
              <w:bottom w:val="single" w:sz="4" w:space="0" w:color="808080"/>
            </w:tcBorders>
          </w:tcPr>
          <w:p w:rsidR="00F27C0E" w:rsidRPr="00862708" w:rsidRDefault="00F27C0E" w:rsidP="00A046B2">
            <w:pPr>
              <w:pStyle w:val="TableHeading2"/>
              <w:spacing w:before="120" w:after="120"/>
            </w:pPr>
            <w:bookmarkStart w:id="62" w:name="_Toc402997738"/>
            <w:r w:rsidRPr="00862708">
              <w:t>Higher quality</w:t>
            </w:r>
            <w:r>
              <w:t xml:space="preserve"> </w:t>
            </w:r>
            <w:r w:rsidRPr="00862708">
              <w:t>benchmarks</w:t>
            </w:r>
          </w:p>
        </w:tc>
        <w:tc>
          <w:tcPr>
            <w:tcW w:w="5387" w:type="dxa"/>
            <w:tcBorders>
              <w:bottom w:val="single" w:sz="4" w:space="0" w:color="808080"/>
            </w:tcBorders>
          </w:tcPr>
          <w:p w:rsidR="00F27C0E" w:rsidRPr="00862708" w:rsidRDefault="00F27C0E" w:rsidP="00A046B2">
            <w:pPr>
              <w:pStyle w:val="TableText"/>
              <w:spacing w:before="120"/>
              <w:rPr>
                <w:b/>
              </w:rPr>
            </w:pPr>
            <w:r w:rsidRPr="00B256FF">
              <w:t>Bangladesh*, Cambodia*, Laos*,</w:t>
            </w:r>
            <w:r>
              <w:t xml:space="preserve"> </w:t>
            </w:r>
            <w:r w:rsidRPr="00B256FF">
              <w:t>Pacific Regional, Pakistan*,</w:t>
            </w:r>
            <w:r>
              <w:t xml:space="preserve"> </w:t>
            </w:r>
            <w:r w:rsidRPr="00B256FF">
              <w:t>Palestinian Territories, Solomon Islands*, Timor-Leste*, Vietnam*</w:t>
            </w:r>
          </w:p>
        </w:tc>
      </w:tr>
      <w:tr w:rsidR="00F27C0E" w:rsidRPr="00B256FF" w:rsidTr="00023622">
        <w:trPr>
          <w:trHeight w:val="300"/>
        </w:trPr>
        <w:tc>
          <w:tcPr>
            <w:tcW w:w="3085" w:type="dxa"/>
            <w:tcBorders>
              <w:top w:val="single" w:sz="4" w:space="0" w:color="808080"/>
              <w:bottom w:val="single" w:sz="4" w:space="0" w:color="808080"/>
            </w:tcBorders>
          </w:tcPr>
          <w:p w:rsidR="00F27C0E" w:rsidRPr="00B256FF" w:rsidRDefault="00F27C0E" w:rsidP="00A046B2">
            <w:pPr>
              <w:pStyle w:val="TableHeading2"/>
              <w:spacing w:before="120" w:after="120"/>
            </w:pPr>
            <w:r w:rsidRPr="00862708">
              <w:t>Adequate quality</w:t>
            </w:r>
            <w:r>
              <w:t xml:space="preserve"> </w:t>
            </w:r>
            <w:r w:rsidRPr="00862708">
              <w:t>benchmarks</w:t>
            </w:r>
          </w:p>
        </w:tc>
        <w:tc>
          <w:tcPr>
            <w:tcW w:w="5387" w:type="dxa"/>
            <w:tcBorders>
              <w:top w:val="single" w:sz="4" w:space="0" w:color="808080"/>
              <w:bottom w:val="single" w:sz="4" w:space="0" w:color="808080"/>
            </w:tcBorders>
          </w:tcPr>
          <w:p w:rsidR="00F27C0E" w:rsidRPr="00B256FF" w:rsidRDefault="00F27C0E" w:rsidP="00A046B2">
            <w:pPr>
              <w:pStyle w:val="TableText"/>
              <w:spacing w:before="120"/>
            </w:pPr>
            <w:r w:rsidRPr="00B256FF">
              <w:t xml:space="preserve">Afghanistan*, </w:t>
            </w:r>
            <w:r>
              <w:t xml:space="preserve">ANCP, </w:t>
            </w:r>
            <w:r w:rsidRPr="00B256FF">
              <w:t>Burma*, East Asia Regional*, Fiji,</w:t>
            </w:r>
            <w:r>
              <w:t xml:space="preserve"> </w:t>
            </w:r>
            <w:r w:rsidRPr="00B256FF">
              <w:t>Indonesia, Mekong Water Resources</w:t>
            </w:r>
            <w:r>
              <w:t xml:space="preserve"> Program</w:t>
            </w:r>
            <w:r w:rsidRPr="00B256FF">
              <w:t>*,</w:t>
            </w:r>
            <w:r>
              <w:t xml:space="preserve"> </w:t>
            </w:r>
            <w:r w:rsidRPr="00B256FF">
              <w:t>Mongolia*, Nepal, Philippines*, South Asia Regional,</w:t>
            </w:r>
            <w:r>
              <w:t xml:space="preserve"> </w:t>
            </w:r>
            <w:r w:rsidRPr="00B256FF">
              <w:t>Sub-Saharan Africa, Tuvalu, Vanuatu</w:t>
            </w:r>
          </w:p>
        </w:tc>
      </w:tr>
      <w:tr w:rsidR="00F27C0E" w:rsidRPr="00B256FF" w:rsidTr="00023622">
        <w:trPr>
          <w:trHeight w:val="300"/>
        </w:trPr>
        <w:tc>
          <w:tcPr>
            <w:tcW w:w="3085" w:type="dxa"/>
            <w:tcBorders>
              <w:top w:val="single" w:sz="4" w:space="0" w:color="808080"/>
            </w:tcBorders>
          </w:tcPr>
          <w:p w:rsidR="00F27C0E" w:rsidRPr="00862708" w:rsidRDefault="00F27C0E" w:rsidP="00A046B2">
            <w:pPr>
              <w:pStyle w:val="TableHeading2"/>
              <w:spacing w:before="120" w:after="120"/>
            </w:pPr>
            <w:r w:rsidRPr="00862708">
              <w:t xml:space="preserve">Lower </w:t>
            </w:r>
            <w:r>
              <w:t xml:space="preserve">quality </w:t>
            </w:r>
            <w:r w:rsidRPr="00862708">
              <w:t>benchmarks</w:t>
            </w:r>
          </w:p>
        </w:tc>
        <w:tc>
          <w:tcPr>
            <w:tcW w:w="5387" w:type="dxa"/>
            <w:tcBorders>
              <w:top w:val="single" w:sz="4" w:space="0" w:color="808080"/>
            </w:tcBorders>
          </w:tcPr>
          <w:p w:rsidR="00F27C0E" w:rsidRPr="00B256FF" w:rsidRDefault="00F27C0E" w:rsidP="00A046B2">
            <w:pPr>
              <w:pStyle w:val="TableText"/>
              <w:spacing w:before="120"/>
            </w:pPr>
            <w:r w:rsidRPr="00B256FF">
              <w:t>Kiribati, PNG, Samoa, Sri Lanka, Tonga</w:t>
            </w:r>
          </w:p>
        </w:tc>
      </w:tr>
    </w:tbl>
    <w:p w:rsidR="00F27C0E" w:rsidRDefault="00F27C0E" w:rsidP="00F27C0E">
      <w:pPr>
        <w:pStyle w:val="TableFigureNote"/>
      </w:pPr>
      <w:r w:rsidRPr="00B256FF">
        <w:t xml:space="preserve">* Programs with a </w:t>
      </w:r>
      <w:r>
        <w:t>PAF</w:t>
      </w:r>
      <w:r w:rsidRPr="00B256FF">
        <w:t>.</w:t>
      </w:r>
    </w:p>
    <w:p w:rsidR="00291B06" w:rsidRPr="00B256FF" w:rsidRDefault="00291B06" w:rsidP="00291B06">
      <w:pPr>
        <w:pStyle w:val="Heading3"/>
      </w:pPr>
      <w:r w:rsidRPr="00B256FF">
        <w:t xml:space="preserve">Characteristics of higher and lower quality </w:t>
      </w:r>
      <w:r>
        <w:t xml:space="preserve">performance </w:t>
      </w:r>
      <w:r w:rsidRPr="00B256FF">
        <w:t>benchmarks</w:t>
      </w:r>
      <w:bookmarkEnd w:id="62"/>
    </w:p>
    <w:p w:rsidR="00291B06" w:rsidRPr="00B256FF" w:rsidRDefault="00291B06" w:rsidP="00DA2C4C">
      <w:pPr>
        <w:pStyle w:val="BodyText"/>
      </w:pPr>
      <w:r w:rsidRPr="00B256FF">
        <w:t xml:space="preserve">Three main factors affected the quality of performance benchmarks: the use of a </w:t>
      </w:r>
      <w:r>
        <w:t>PAF</w:t>
      </w:r>
      <w:r w:rsidRPr="00B256FF">
        <w:t>; program size and geography; and specificity and mix of benchmark types.</w:t>
      </w:r>
    </w:p>
    <w:p w:rsidR="00291B06" w:rsidRPr="00B256FF" w:rsidRDefault="00291B06" w:rsidP="00291B06">
      <w:pPr>
        <w:pStyle w:val="ListParagraph"/>
        <w:numPr>
          <w:ilvl w:val="0"/>
          <w:numId w:val="28"/>
        </w:numPr>
      </w:pPr>
      <w:r w:rsidRPr="00B256FF">
        <w:t>Thirteen country</w:t>
      </w:r>
      <w:r>
        <w:t>/</w:t>
      </w:r>
      <w:r w:rsidRPr="00B256FF">
        <w:t xml:space="preserve">regional programs have a PAF (Table 3). While having a PAF is no guarantee of stronger benchmarks, there does appear to be a relationship between having a PAF and identifying an adequate or better set of benchmarks. </w:t>
      </w:r>
    </w:p>
    <w:p w:rsidR="00291B06" w:rsidRPr="00B256FF" w:rsidRDefault="00291B06" w:rsidP="00291B06">
      <w:pPr>
        <w:pStyle w:val="ListParagraph"/>
        <w:numPr>
          <w:ilvl w:val="0"/>
          <w:numId w:val="28"/>
        </w:numPr>
      </w:pPr>
      <w:r w:rsidRPr="00B256FF">
        <w:t>Programs with smaller budgets—particularly in the Pacific—had the most trouble producing good quality benchmarks</w:t>
      </w:r>
      <w:r w:rsidR="00C03AD5">
        <w:t>. This likely relates to the resourcing issues mentioned above</w:t>
      </w:r>
      <w:r w:rsidRPr="00B256FF">
        <w:t xml:space="preserve">. Pacific programs constituted four of the five that fell into the </w:t>
      </w:r>
      <w:r>
        <w:t>category of lower quality benchmarks</w:t>
      </w:r>
      <w:r w:rsidRPr="00B256FF">
        <w:t xml:space="preserve"> (Table 3). Three other Pacific programs were found to have </w:t>
      </w:r>
      <w:r>
        <w:t>adequate</w:t>
      </w:r>
      <w:r w:rsidRPr="00B256FF">
        <w:t xml:space="preserve"> quality benchmarks, and one, Solomon Islands, was the standout among Pacific program</w:t>
      </w:r>
      <w:r>
        <w:t>s</w:t>
      </w:r>
      <w:r w:rsidRPr="00B256FF">
        <w:t xml:space="preserve">, with </w:t>
      </w:r>
      <w:r>
        <w:t>higher</w:t>
      </w:r>
      <w:r w:rsidRPr="00B256FF">
        <w:t xml:space="preserve"> quality benchmarks. On balance, programs in the Pacific may require further support to identify an appropriate set of performance benchmarks </w:t>
      </w:r>
      <w:r w:rsidR="00D23003">
        <w:t>in Aid Investment Plans</w:t>
      </w:r>
      <w:r w:rsidRPr="00B256FF">
        <w:t xml:space="preserve">. </w:t>
      </w:r>
    </w:p>
    <w:p w:rsidR="00291B06" w:rsidRPr="00B256FF" w:rsidRDefault="00291B06" w:rsidP="00291B06">
      <w:pPr>
        <w:pStyle w:val="ListParagraph"/>
        <w:numPr>
          <w:ilvl w:val="0"/>
          <w:numId w:val="28"/>
        </w:numPr>
      </w:pPr>
      <w:r w:rsidRPr="00B256FF">
        <w:t>Higher quality sets of benchmarks benefited from the specificity of measures framed as aggregate results and fewer milestones. In contrast, lower quality benchmarks suffered from a higher proportion of poorly defined outcome</w:t>
      </w:r>
      <w:r>
        <w:t>s</w:t>
      </w:r>
      <w:r w:rsidRPr="00B256FF">
        <w:t xml:space="preserve">. </w:t>
      </w:r>
    </w:p>
    <w:p w:rsidR="00291B06" w:rsidRPr="00B256FF" w:rsidRDefault="00291B06" w:rsidP="00DA2C4C">
      <w:pPr>
        <w:pStyle w:val="BodyText"/>
      </w:pPr>
      <w:r w:rsidRPr="00B256FF">
        <w:t>Characteristics common to the nine programs with higher quality performance benchmarks and the five programs with lower quality performance benchmarks are listed in Table 4.</w:t>
      </w:r>
    </w:p>
    <w:p w:rsidR="00EA0033" w:rsidRDefault="00EA0033">
      <w:pPr>
        <w:rPr>
          <w:rFonts w:ascii="Helvetica" w:hAnsi="Helvetica" w:cs="Arial"/>
          <w:b/>
          <w:kern w:val="28"/>
          <w:sz w:val="20"/>
          <w:szCs w:val="22"/>
          <w:lang w:eastAsia="zh-CN"/>
        </w:rPr>
      </w:pPr>
      <w:bookmarkStart w:id="63" w:name="_Toc408606442"/>
      <w:r>
        <w:br w:type="page"/>
      </w:r>
    </w:p>
    <w:p w:rsidR="00EA0033" w:rsidRPr="00B256FF" w:rsidRDefault="00291B06" w:rsidP="006335F8">
      <w:pPr>
        <w:pStyle w:val="TableandFigureName"/>
        <w:numPr>
          <w:ilvl w:val="0"/>
          <w:numId w:val="0"/>
        </w:numPr>
        <w:tabs>
          <w:tab w:val="clear" w:pos="993"/>
          <w:tab w:val="left" w:pos="1276"/>
        </w:tabs>
      </w:pPr>
      <w:r w:rsidRPr="00B256FF">
        <w:t>Table 4</w:t>
      </w:r>
      <w:r w:rsidRPr="00B256FF">
        <w:tab/>
        <w:t xml:space="preserve">Characteristics </w:t>
      </w:r>
      <w:r>
        <w:t>of</w:t>
      </w:r>
      <w:r w:rsidRPr="00B256FF">
        <w:t xml:space="preserve"> good and poor quality performance benchmarks</w:t>
      </w:r>
      <w:bookmarkEnd w:id="63"/>
    </w:p>
    <w:tbl>
      <w:tblPr>
        <w:tblStyle w:val="TableGrid"/>
        <w:tblW w:w="0" w:type="auto"/>
        <w:tblBorders>
          <w:top w:val="single" w:sz="4" w:space="0" w:color="808080"/>
          <w:left w:val="none" w:sz="0" w:space="0" w:color="auto"/>
          <w:bottom w:val="single" w:sz="4" w:space="0" w:color="808080"/>
          <w:right w:val="none" w:sz="0" w:space="0" w:color="auto"/>
          <w:insideH w:val="single" w:sz="4" w:space="0" w:color="808080"/>
          <w:insideV w:val="none" w:sz="0" w:space="0" w:color="auto"/>
        </w:tblBorders>
        <w:tblLook w:val="04A0" w:firstRow="1" w:lastRow="0" w:firstColumn="1" w:lastColumn="0" w:noHBand="0" w:noVBand="1"/>
      </w:tblPr>
      <w:tblGrid>
        <w:gridCol w:w="2518"/>
        <w:gridCol w:w="5954"/>
      </w:tblGrid>
      <w:tr w:rsidR="00EA0033" w:rsidRPr="00DA2C4C" w:rsidTr="00D2730D">
        <w:tc>
          <w:tcPr>
            <w:tcW w:w="2518" w:type="dxa"/>
          </w:tcPr>
          <w:p w:rsidR="00EA0033" w:rsidRPr="00DA2C4C" w:rsidRDefault="00EA0033" w:rsidP="00EA0033">
            <w:pPr>
              <w:pStyle w:val="TableHeading1"/>
              <w:spacing w:before="120" w:after="120"/>
            </w:pPr>
            <w:r>
              <w:t>Quality category</w:t>
            </w:r>
          </w:p>
        </w:tc>
        <w:tc>
          <w:tcPr>
            <w:tcW w:w="5954" w:type="dxa"/>
          </w:tcPr>
          <w:p w:rsidR="00EA0033" w:rsidRPr="00B256FF" w:rsidRDefault="00EA0033" w:rsidP="00EA0033">
            <w:pPr>
              <w:pStyle w:val="TableHeading1"/>
              <w:spacing w:before="120" w:after="120"/>
              <w:rPr>
                <w:noProof/>
              </w:rPr>
            </w:pPr>
            <w:r w:rsidRPr="00B256FF">
              <w:t>Characteristics</w:t>
            </w:r>
          </w:p>
        </w:tc>
      </w:tr>
      <w:tr w:rsidR="00291B06" w:rsidRPr="00DA2C4C" w:rsidTr="00D2730D">
        <w:tc>
          <w:tcPr>
            <w:tcW w:w="2518" w:type="dxa"/>
          </w:tcPr>
          <w:p w:rsidR="00291B06" w:rsidRPr="00DA2C4C" w:rsidRDefault="00EA0033" w:rsidP="00EA0033">
            <w:pPr>
              <w:pStyle w:val="TableHeading2"/>
              <w:spacing w:before="120" w:after="120"/>
            </w:pPr>
            <w:r>
              <w:t xml:space="preserve">Higher quality </w:t>
            </w:r>
            <w:r w:rsidR="00291B06" w:rsidRPr="00DA2C4C">
              <w:t>benchmarks</w:t>
            </w:r>
          </w:p>
        </w:tc>
        <w:tc>
          <w:tcPr>
            <w:tcW w:w="5954" w:type="dxa"/>
          </w:tcPr>
          <w:p w:rsidR="00EA0033" w:rsidRPr="00B256FF" w:rsidRDefault="00EA0033" w:rsidP="00EA0033">
            <w:pPr>
              <w:pStyle w:val="TableListBullet"/>
              <w:spacing w:before="120" w:line="200" w:lineRule="atLeast"/>
              <w:rPr>
                <w:noProof/>
              </w:rPr>
            </w:pPr>
            <w:r w:rsidRPr="00B256FF">
              <w:rPr>
                <w:noProof/>
              </w:rPr>
              <w:t>Align to objectives and strategic priorities outlined in the APPR.</w:t>
            </w:r>
          </w:p>
          <w:p w:rsidR="00EA0033" w:rsidRPr="00B256FF" w:rsidRDefault="00EA0033" w:rsidP="00EA0033">
            <w:pPr>
              <w:pStyle w:val="TableListBullet"/>
              <w:spacing w:before="120" w:line="200" w:lineRule="atLeast"/>
              <w:rPr>
                <w:noProof/>
              </w:rPr>
            </w:pPr>
            <w:r w:rsidRPr="00B256FF">
              <w:rPr>
                <w:noProof/>
              </w:rPr>
              <w:t>Provide meaningful measures of the aid program</w:t>
            </w:r>
            <w:r>
              <w:rPr>
                <w:noProof/>
              </w:rPr>
              <w:t xml:space="preserve">; that </w:t>
            </w:r>
            <w:r w:rsidRPr="00B256FF">
              <w:rPr>
                <w:noProof/>
              </w:rPr>
              <w:t xml:space="preserve">is, </w:t>
            </w:r>
            <w:r>
              <w:rPr>
                <w:noProof/>
              </w:rPr>
              <w:t xml:space="preserve">DFAT’s </w:t>
            </w:r>
            <w:r w:rsidRPr="00B256FF">
              <w:rPr>
                <w:noProof/>
              </w:rPr>
              <w:t>contribution is distinguishable (from partner governments) and significant (in relation to progress towards achieving objectives).</w:t>
            </w:r>
          </w:p>
          <w:p w:rsidR="00EA0033" w:rsidRPr="00B256FF" w:rsidRDefault="00EA0033" w:rsidP="00EA0033">
            <w:pPr>
              <w:pStyle w:val="TableListBullet"/>
              <w:spacing w:before="120" w:line="200" w:lineRule="atLeast"/>
              <w:rPr>
                <w:noProof/>
              </w:rPr>
            </w:pPr>
            <w:r w:rsidRPr="00B256FF">
              <w:rPr>
                <w:noProof/>
              </w:rPr>
              <w:t>Are commonly drawn from a good PAF that sets out a trajectory of change in relation to each of the APPR objectives and identifies DFAT</w:t>
            </w:r>
            <w:r>
              <w:rPr>
                <w:noProof/>
              </w:rPr>
              <w:t>’s</w:t>
            </w:r>
            <w:r w:rsidRPr="00B256FF">
              <w:rPr>
                <w:noProof/>
              </w:rPr>
              <w:t xml:space="preserve"> contribution to these objectives. </w:t>
            </w:r>
          </w:p>
          <w:p w:rsidR="00EA0033" w:rsidRPr="00B256FF" w:rsidRDefault="00EA0033" w:rsidP="00EA0033">
            <w:pPr>
              <w:pStyle w:val="TableListBullet"/>
              <w:spacing w:before="120" w:line="200" w:lineRule="atLeast"/>
              <w:rPr>
                <w:noProof/>
              </w:rPr>
            </w:pPr>
            <w:r w:rsidRPr="00B256FF">
              <w:rPr>
                <w:noProof/>
              </w:rPr>
              <w:t>Have a balance of types of benchmarks, with a bias towards aggregate results.</w:t>
            </w:r>
          </w:p>
          <w:p w:rsidR="00EA0033" w:rsidRDefault="00EA0033" w:rsidP="00EA0033">
            <w:pPr>
              <w:pStyle w:val="TableListBullet"/>
              <w:spacing w:before="120" w:line="200" w:lineRule="atLeast"/>
              <w:rPr>
                <w:noProof/>
              </w:rPr>
            </w:pPr>
            <w:r w:rsidRPr="00B256FF">
              <w:rPr>
                <w:noProof/>
              </w:rPr>
              <w:t xml:space="preserve">Are clear, specific and measurable. </w:t>
            </w:r>
          </w:p>
          <w:p w:rsidR="00291B06" w:rsidRPr="00DA2C4C" w:rsidRDefault="00EA0033" w:rsidP="00EA0033">
            <w:pPr>
              <w:pStyle w:val="TableListBullet"/>
              <w:spacing w:before="120" w:line="200" w:lineRule="atLeast"/>
              <w:rPr>
                <w:b/>
              </w:rPr>
            </w:pPr>
            <w:r>
              <w:rPr>
                <w:noProof/>
              </w:rPr>
              <w:t>P</w:t>
            </w:r>
            <w:r w:rsidRPr="00B256FF">
              <w:rPr>
                <w:noProof/>
              </w:rPr>
              <w:t>rovide a baseline and/or targets.</w:t>
            </w:r>
          </w:p>
        </w:tc>
      </w:tr>
      <w:tr w:rsidR="00EA0033" w:rsidRPr="00B256FF" w:rsidTr="00D2730D">
        <w:tc>
          <w:tcPr>
            <w:tcW w:w="2518" w:type="dxa"/>
          </w:tcPr>
          <w:p w:rsidR="00EA0033" w:rsidRPr="00B256FF" w:rsidRDefault="00EA0033" w:rsidP="00EA0033">
            <w:pPr>
              <w:pStyle w:val="TableHeading2"/>
              <w:spacing w:before="120" w:after="120"/>
              <w:rPr>
                <w:noProof/>
              </w:rPr>
            </w:pPr>
            <w:r w:rsidRPr="00DA2C4C">
              <w:t>Lower quality benchmarks</w:t>
            </w:r>
          </w:p>
        </w:tc>
        <w:tc>
          <w:tcPr>
            <w:tcW w:w="5954" w:type="dxa"/>
          </w:tcPr>
          <w:p w:rsidR="00EA0033" w:rsidRPr="00B256FF" w:rsidRDefault="00EA0033" w:rsidP="00EA0033">
            <w:pPr>
              <w:pStyle w:val="TableListBullet"/>
              <w:spacing w:before="120" w:line="200" w:lineRule="atLeast"/>
              <w:rPr>
                <w:noProof/>
              </w:rPr>
            </w:pPr>
            <w:r>
              <w:rPr>
                <w:noProof/>
              </w:rPr>
              <w:t>Include too</w:t>
            </w:r>
            <w:r w:rsidRPr="00B256FF">
              <w:rPr>
                <w:noProof/>
              </w:rPr>
              <w:t xml:space="preserve"> many benchmarks. </w:t>
            </w:r>
          </w:p>
          <w:p w:rsidR="00EA0033" w:rsidRPr="00B256FF" w:rsidRDefault="00EA0033" w:rsidP="00EA0033">
            <w:pPr>
              <w:pStyle w:val="TableListBullet"/>
              <w:spacing w:before="120" w:line="200" w:lineRule="atLeast"/>
              <w:rPr>
                <w:noProof/>
              </w:rPr>
            </w:pPr>
            <w:r w:rsidRPr="00B256FF">
              <w:rPr>
                <w:noProof/>
              </w:rPr>
              <w:t>Are not specific or assessable.</w:t>
            </w:r>
          </w:p>
          <w:p w:rsidR="00EA0033" w:rsidRPr="00B256FF" w:rsidRDefault="00EA0033" w:rsidP="00EA0033">
            <w:pPr>
              <w:pStyle w:val="TableListBullet"/>
              <w:spacing w:before="120" w:line="200" w:lineRule="atLeast"/>
              <w:rPr>
                <w:noProof/>
              </w:rPr>
            </w:pPr>
            <w:r w:rsidRPr="00B256FF">
              <w:rPr>
                <w:noProof/>
              </w:rPr>
              <w:t>Combine multiple concepts or measures.</w:t>
            </w:r>
          </w:p>
          <w:p w:rsidR="00EA0033" w:rsidRPr="00B256FF" w:rsidRDefault="00EA0033" w:rsidP="00EA0033">
            <w:pPr>
              <w:pStyle w:val="TableListBullet"/>
              <w:spacing w:before="120" w:line="200" w:lineRule="atLeast"/>
              <w:rPr>
                <w:noProof/>
              </w:rPr>
            </w:pPr>
            <w:r w:rsidRPr="00B256FF">
              <w:rPr>
                <w:noProof/>
              </w:rPr>
              <w:t>Lack alignment with APPR objectives.</w:t>
            </w:r>
          </w:p>
          <w:p w:rsidR="00EA0033" w:rsidRPr="00B256FF" w:rsidRDefault="00EA0033" w:rsidP="00EA0033">
            <w:pPr>
              <w:pStyle w:val="TableListBullet"/>
              <w:spacing w:before="120" w:line="200" w:lineRule="atLeast"/>
              <w:rPr>
                <w:noProof/>
              </w:rPr>
            </w:pPr>
            <w:r w:rsidRPr="00B256FF">
              <w:rPr>
                <w:noProof/>
              </w:rPr>
              <w:t xml:space="preserve">Lack balance with sectoral priorities. </w:t>
            </w:r>
          </w:p>
          <w:p w:rsidR="00EA0033" w:rsidRPr="00B256FF" w:rsidRDefault="00EA0033" w:rsidP="00EA0033">
            <w:pPr>
              <w:pStyle w:val="TableListBullet"/>
              <w:spacing w:before="120" w:line="200" w:lineRule="atLeast"/>
              <w:rPr>
                <w:noProof/>
              </w:rPr>
            </w:pPr>
            <w:r w:rsidRPr="00B256FF">
              <w:rPr>
                <w:noProof/>
              </w:rPr>
              <w:t xml:space="preserve">Have a high proportion of outcome measures that are not specific. </w:t>
            </w:r>
          </w:p>
          <w:p w:rsidR="00EA0033" w:rsidRDefault="00EA0033" w:rsidP="00EA0033">
            <w:pPr>
              <w:pStyle w:val="TableListBullet"/>
              <w:spacing w:before="120" w:line="200" w:lineRule="atLeast"/>
              <w:rPr>
                <w:noProof/>
              </w:rPr>
            </w:pPr>
            <w:r w:rsidRPr="00B256FF">
              <w:rPr>
                <w:noProof/>
              </w:rPr>
              <w:t>Are drawn from investment-level documents</w:t>
            </w:r>
            <w:r>
              <w:rPr>
                <w:noProof/>
              </w:rPr>
              <w:t xml:space="preserve"> (</w:t>
            </w:r>
            <w:r w:rsidRPr="00B256FF">
              <w:rPr>
                <w:noProof/>
              </w:rPr>
              <w:t>where these are already reported in Aid Quality Checks they may not be ideal as benchmarks</w:t>
            </w:r>
            <w:r>
              <w:rPr>
                <w:noProof/>
              </w:rPr>
              <w:t>).</w:t>
            </w:r>
          </w:p>
        </w:tc>
      </w:tr>
    </w:tbl>
    <w:p w:rsidR="00291B06" w:rsidRPr="00B256FF" w:rsidRDefault="008A24A5" w:rsidP="00291B06">
      <w:pPr>
        <w:pStyle w:val="Heading2"/>
        <w:rPr>
          <w:noProof/>
        </w:rPr>
      </w:pPr>
      <w:bookmarkStart w:id="64" w:name="_Toc416250726"/>
      <w:bookmarkStart w:id="65" w:name="_Toc422327010"/>
      <w:r>
        <w:rPr>
          <w:noProof/>
        </w:rPr>
        <w:t>3.2</w:t>
      </w:r>
      <w:r w:rsidR="00291B06" w:rsidRPr="00B256FF">
        <w:rPr>
          <w:noProof/>
        </w:rPr>
        <w:tab/>
        <w:t>Performance benchmarks as measures of performance</w:t>
      </w:r>
      <w:bookmarkEnd w:id="64"/>
      <w:bookmarkEnd w:id="65"/>
    </w:p>
    <w:p w:rsidR="00FB3B27" w:rsidRDefault="00CB384B" w:rsidP="00291B06">
      <w:pPr>
        <w:pStyle w:val="BodyText"/>
        <w:rPr>
          <w:noProof/>
        </w:rPr>
      </w:pPr>
      <w:r w:rsidRPr="00FB3B27">
        <w:rPr>
          <w:noProof/>
        </w:rPr>
        <w:t xml:space="preserve">DFAT </w:t>
      </w:r>
      <w:r w:rsidR="00291B06" w:rsidRPr="00FB3B27">
        <w:rPr>
          <w:noProof/>
        </w:rPr>
        <w:t>intends to use the progress against performance benchmarks to inform annual budget allocations, so it is important that they are</w:t>
      </w:r>
      <w:r w:rsidR="00FB3B27" w:rsidRPr="00FB3B27">
        <w:rPr>
          <w:noProof/>
        </w:rPr>
        <w:t xml:space="preserve"> </w:t>
      </w:r>
      <w:r w:rsidR="00291B06" w:rsidRPr="00FB3B27">
        <w:rPr>
          <w:noProof/>
        </w:rPr>
        <w:t>robust</w:t>
      </w:r>
      <w:r w:rsidR="00FB3B27">
        <w:rPr>
          <w:noProof/>
        </w:rPr>
        <w:t xml:space="preserve"> performance</w:t>
      </w:r>
      <w:r w:rsidR="00291B06" w:rsidRPr="00FB3B27">
        <w:rPr>
          <w:noProof/>
        </w:rPr>
        <w:t xml:space="preserve"> indicators</w:t>
      </w:r>
      <w:r w:rsidR="00FB3B27" w:rsidRPr="00FB3B27">
        <w:rPr>
          <w:noProof/>
        </w:rPr>
        <w:t xml:space="preserve">. </w:t>
      </w:r>
      <w:r w:rsidR="00FB3B27">
        <w:rPr>
          <w:noProof/>
        </w:rPr>
        <w:t>Although the</w:t>
      </w:r>
      <w:r w:rsidR="00291B06" w:rsidRPr="00FB3B27">
        <w:rPr>
          <w:noProof/>
        </w:rPr>
        <w:t xml:space="preserve"> majority </w:t>
      </w:r>
      <w:r w:rsidR="00DC5C1B" w:rsidRPr="00FB3B27">
        <w:rPr>
          <w:noProof/>
        </w:rPr>
        <w:t xml:space="preserve">of performance benchmarks in 2013–14 APPRs </w:t>
      </w:r>
      <w:r w:rsidR="00291B06" w:rsidRPr="00FB3B27">
        <w:rPr>
          <w:noProof/>
        </w:rPr>
        <w:t>are of adequate or better qualit</w:t>
      </w:r>
      <w:r w:rsidR="00FB3B27" w:rsidRPr="00FB3B27">
        <w:rPr>
          <w:noProof/>
        </w:rPr>
        <w:t>y against the assessed criteria</w:t>
      </w:r>
      <w:r w:rsidR="00FB3B27">
        <w:rPr>
          <w:noProof/>
        </w:rPr>
        <w:t>, this does not mean that on their own they serve as good measure of program performance.</w:t>
      </w:r>
    </w:p>
    <w:p w:rsidR="00DC5C1B" w:rsidRPr="00FB3B27" w:rsidRDefault="00DC5C1B" w:rsidP="00291B06">
      <w:pPr>
        <w:pStyle w:val="BodyText"/>
        <w:rPr>
          <w:noProof/>
        </w:rPr>
      </w:pPr>
      <w:r w:rsidRPr="00FB3B27">
        <w:rPr>
          <w:noProof/>
        </w:rPr>
        <w:t>ODE</w:t>
      </w:r>
      <w:r w:rsidR="00FB3B27">
        <w:rPr>
          <w:noProof/>
        </w:rPr>
        <w:t xml:space="preserve"> consider that performance benchm</w:t>
      </w:r>
      <w:r w:rsidR="00A84627">
        <w:rPr>
          <w:noProof/>
        </w:rPr>
        <w:t>a</w:t>
      </w:r>
      <w:r w:rsidR="00FB3B27">
        <w:rPr>
          <w:noProof/>
        </w:rPr>
        <w:t xml:space="preserve">rks </w:t>
      </w:r>
      <w:r w:rsidR="00FB3B27" w:rsidRPr="00B24908">
        <w:rPr>
          <w:noProof/>
        </w:rPr>
        <w:t>can play a role in</w:t>
      </w:r>
      <w:r w:rsidR="00FB3B27">
        <w:rPr>
          <w:noProof/>
        </w:rPr>
        <w:t xml:space="preserve"> assessing program </w:t>
      </w:r>
      <w:r w:rsidR="00A84627">
        <w:rPr>
          <w:noProof/>
        </w:rPr>
        <w:t>performance; but that</w:t>
      </w:r>
      <w:r w:rsidRPr="00FB3B27">
        <w:rPr>
          <w:noProof/>
        </w:rPr>
        <w:t xml:space="preserve"> the benchmarks alone will </w:t>
      </w:r>
      <w:r w:rsidR="00A84627">
        <w:rPr>
          <w:noProof/>
        </w:rPr>
        <w:t xml:space="preserve">not </w:t>
      </w:r>
      <w:r w:rsidRPr="00FB3B27">
        <w:rPr>
          <w:noProof/>
        </w:rPr>
        <w:t>enable the most credible assessment</w:t>
      </w:r>
      <w:r w:rsidR="00E54CE5" w:rsidRPr="00FB3B27">
        <w:rPr>
          <w:noProof/>
        </w:rPr>
        <w:t xml:space="preserve">, particularly </w:t>
      </w:r>
      <w:r w:rsidR="00A84627">
        <w:rPr>
          <w:noProof/>
        </w:rPr>
        <w:t xml:space="preserve">of </w:t>
      </w:r>
      <w:r w:rsidR="00E54CE5" w:rsidRPr="00FB3B27">
        <w:rPr>
          <w:i/>
          <w:noProof/>
        </w:rPr>
        <w:t>relative</w:t>
      </w:r>
      <w:r w:rsidR="00E54CE5" w:rsidRPr="00FB3B27">
        <w:rPr>
          <w:noProof/>
        </w:rPr>
        <w:t xml:space="preserve"> program </w:t>
      </w:r>
      <w:r w:rsidR="00FB3B27" w:rsidRPr="00FB3B27">
        <w:rPr>
          <w:noProof/>
        </w:rPr>
        <w:t>perfor</w:t>
      </w:r>
      <w:r w:rsidR="00E54CE5" w:rsidRPr="00FB3B27">
        <w:rPr>
          <w:noProof/>
        </w:rPr>
        <w:t>mance</w:t>
      </w:r>
      <w:r w:rsidRPr="00FB3B27">
        <w:rPr>
          <w:noProof/>
        </w:rPr>
        <w:t>.</w:t>
      </w:r>
      <w:r w:rsidR="00420ECF" w:rsidRPr="00FB3B27">
        <w:rPr>
          <w:noProof/>
        </w:rPr>
        <w:t xml:space="preserve"> </w:t>
      </w:r>
      <w:r w:rsidRPr="00FB3B27">
        <w:rPr>
          <w:noProof/>
        </w:rPr>
        <w:t xml:space="preserve">Rather, it would be better for the </w:t>
      </w:r>
      <w:r w:rsidR="00DD496D" w:rsidRPr="00FB3B27">
        <w:rPr>
          <w:noProof/>
        </w:rPr>
        <w:t>department</w:t>
      </w:r>
      <w:r w:rsidRPr="00FB3B27">
        <w:rPr>
          <w:noProof/>
        </w:rPr>
        <w:t xml:space="preserve"> to </w:t>
      </w:r>
      <w:r w:rsidR="00FB3B27" w:rsidRPr="00FB3B27">
        <w:rPr>
          <w:noProof/>
        </w:rPr>
        <w:t>consider</w:t>
      </w:r>
      <w:r w:rsidRPr="00FB3B27">
        <w:rPr>
          <w:noProof/>
        </w:rPr>
        <w:t xml:space="preserve"> performance against the benchmarks in combination with other</w:t>
      </w:r>
      <w:r w:rsidR="00FB3B27" w:rsidRPr="00FB3B27">
        <w:rPr>
          <w:noProof/>
        </w:rPr>
        <w:t xml:space="preserve"> </w:t>
      </w:r>
      <w:r w:rsidRPr="00FB3B27">
        <w:rPr>
          <w:noProof/>
        </w:rPr>
        <w:t xml:space="preserve">measures, </w:t>
      </w:r>
      <w:r w:rsidR="002E7D18">
        <w:rPr>
          <w:noProof/>
        </w:rPr>
        <w:t>especially</w:t>
      </w:r>
      <w:r w:rsidRPr="00FB3B27">
        <w:rPr>
          <w:noProof/>
        </w:rPr>
        <w:t xml:space="preserve"> </w:t>
      </w:r>
      <w:r w:rsidR="00DD496D" w:rsidRPr="00FB3B27">
        <w:rPr>
          <w:noProof/>
        </w:rPr>
        <w:t>APPR ‘traffic light’ ratings</w:t>
      </w:r>
      <w:r w:rsidR="00A84627">
        <w:rPr>
          <w:noProof/>
        </w:rPr>
        <w:t>,</w:t>
      </w:r>
      <w:r w:rsidR="00E54CE5" w:rsidRPr="00FB3B27">
        <w:rPr>
          <w:noProof/>
        </w:rPr>
        <w:t xml:space="preserve"> to inform assessments of program performance.</w:t>
      </w:r>
      <w:r w:rsidR="00EF76E1" w:rsidRPr="00FB3B27">
        <w:rPr>
          <w:noProof/>
        </w:rPr>
        <w:t xml:space="preserve"> </w:t>
      </w:r>
    </w:p>
    <w:p w:rsidR="005A5815" w:rsidRDefault="005A5815" w:rsidP="005A5815">
      <w:pPr>
        <w:pStyle w:val="BodyText"/>
        <w:rPr>
          <w:noProof/>
        </w:rPr>
      </w:pPr>
    </w:p>
    <w:p w:rsidR="00C3109B" w:rsidRDefault="002E7D18" w:rsidP="005A5815">
      <w:pPr>
        <w:pStyle w:val="BodyText"/>
        <w:rPr>
          <w:noProof/>
        </w:rPr>
        <w:sectPr w:rsidR="00C3109B" w:rsidSect="000957A1">
          <w:footnotePr>
            <w:numFmt w:val="chicago"/>
            <w:numRestart w:val="eachPage"/>
          </w:footnotePr>
          <w:endnotePr>
            <w:numFmt w:val="decimal"/>
          </w:endnotePr>
          <w:pgSz w:w="11907" w:h="16840" w:code="9"/>
          <w:pgMar w:top="958" w:right="1701" w:bottom="907" w:left="1701" w:header="851" w:footer="567" w:gutter="0"/>
          <w:cols w:space="720"/>
          <w:docGrid w:linePitch="326"/>
        </w:sectPr>
      </w:pPr>
      <w:r>
        <w:rPr>
          <w:noProof/>
        </w:rPr>
        <w:tab/>
      </w:r>
    </w:p>
    <w:bookmarkStart w:id="66" w:name="_Toc416250727"/>
    <w:bookmarkStart w:id="67" w:name="_Toc422327011"/>
    <w:bookmarkStart w:id="68" w:name="_Toc403110172"/>
    <w:bookmarkStart w:id="69" w:name="_Toc403836186"/>
    <w:p w:rsidR="00C3109B" w:rsidRPr="00B256FF" w:rsidRDefault="00C3109B" w:rsidP="00596A6F">
      <w:pPr>
        <w:pStyle w:val="Heading1b"/>
        <w:spacing w:after="960"/>
      </w:pPr>
      <w:r w:rsidRPr="00B256FF">
        <w:rPr>
          <w:noProof/>
        </w:rPr>
        <mc:AlternateContent>
          <mc:Choice Requires="wps">
            <w:drawing>
              <wp:anchor distT="0" distB="0" distL="114300" distR="114300" simplePos="0" relativeHeight="251716608" behindDoc="1" locked="0" layoutInCell="1" allowOverlap="1" wp14:anchorId="4435AE38" wp14:editId="5A696D5D">
                <wp:simplePos x="0" y="0"/>
                <wp:positionH relativeFrom="page">
                  <wp:posOffset>0</wp:posOffset>
                </wp:positionH>
                <wp:positionV relativeFrom="paragraph">
                  <wp:posOffset>0</wp:posOffset>
                </wp:positionV>
                <wp:extent cx="7610400" cy="1184400"/>
                <wp:effectExtent l="0" t="0" r="0" b="0"/>
                <wp:wrapNone/>
                <wp:docPr id="21" name="Rectangle 21"/>
                <wp:cNvGraphicFramePr/>
                <a:graphic xmlns:a="http://schemas.openxmlformats.org/drawingml/2006/main">
                  <a:graphicData uri="http://schemas.microsoft.com/office/word/2010/wordprocessingShape">
                    <wps:wsp>
                      <wps:cNvSpPr/>
                      <wps:spPr>
                        <a:xfrm>
                          <a:off x="0" y="0"/>
                          <a:ext cx="7610400" cy="11844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13F0" w:rsidRDefault="004813F0" w:rsidP="00CB7D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53" style="position:absolute;margin-left:0;margin-top:0;width:599.25pt;height:93.2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" fillcolor="#124486" stroked="f" strokeweight="2pt">
                <v:textbox>
                  <w:txbxContent>
                    <w:p w:rsidR="004813F0" w:rsidRDefault="004813F0" w:rsidP="00CB7D80"/>
                  </w:txbxContent>
                </v:textbox>
                <w10:wrap anchorx="page"/>
              </v:rect>
            </w:pict>
          </mc:Fallback>
        </mc:AlternateContent>
      </w:r>
      <w:r>
        <w:t xml:space="preserve">4 </w:t>
      </w:r>
      <w:bookmarkEnd w:id="66"/>
      <w:r w:rsidR="00596A6F">
        <w:t xml:space="preserve">  </w:t>
      </w:r>
      <w:r w:rsidR="00CB7D80">
        <w:t>How well do APPRs reflect changes in aid program performance?</w:t>
      </w:r>
      <w:bookmarkEnd w:id="67"/>
    </w:p>
    <w:bookmarkEnd w:id="68"/>
    <w:bookmarkEnd w:id="69"/>
    <w:p w:rsidR="00DA2C4C" w:rsidRPr="00B256FF" w:rsidRDefault="00DA2C4C" w:rsidP="00DA2C4C">
      <w:pPr>
        <w:pStyle w:val="BodyText"/>
      </w:pPr>
      <w:r w:rsidRPr="006F6363">
        <w:t xml:space="preserve">APPRs rate program progress towards objectives with a </w:t>
      </w:r>
      <w:r w:rsidR="004F3B48">
        <w:t>‘traffic light’ system (Figure 10</w:t>
      </w:r>
      <w:r w:rsidRPr="006F6363">
        <w:t>).</w:t>
      </w:r>
      <w:r w:rsidRPr="00B256FF">
        <w:t xml:space="preserve"> </w:t>
      </w:r>
    </w:p>
    <w:p w:rsidR="00DA2C4C" w:rsidRPr="00B256FF" w:rsidRDefault="00DA2C4C" w:rsidP="006335F8">
      <w:pPr>
        <w:pStyle w:val="TableandFigureName"/>
        <w:numPr>
          <w:ilvl w:val="0"/>
          <w:numId w:val="0"/>
        </w:numPr>
        <w:tabs>
          <w:tab w:val="clear" w:pos="993"/>
          <w:tab w:val="left" w:pos="1276"/>
        </w:tabs>
      </w:pPr>
      <w:r w:rsidRPr="00B256FF">
        <w:t xml:space="preserve">Figure </w:t>
      </w:r>
      <w:r w:rsidR="004F3B48">
        <w:t>10</w:t>
      </w:r>
      <w:r w:rsidRPr="00B256FF">
        <w:tab/>
        <w:t xml:space="preserve">APPR ‘traffic light’ </w:t>
      </w:r>
      <w:proofErr w:type="gramStart"/>
      <w:r w:rsidRPr="00B256FF">
        <w:t>system</w:t>
      </w:r>
      <w:proofErr w:type="gramEnd"/>
    </w:p>
    <w:tbl>
      <w:tblPr>
        <w:tblW w:w="7797" w:type="dxa"/>
        <w:tblInd w:w="108" w:type="dxa"/>
        <w:tblBorders>
          <w:top w:val="single" w:sz="4" w:space="0" w:color="808080"/>
          <w:bottom w:val="single" w:sz="4" w:space="0" w:color="808080"/>
        </w:tblBorders>
        <w:tblLook w:val="04A0" w:firstRow="1" w:lastRow="0" w:firstColumn="1" w:lastColumn="0" w:noHBand="0" w:noVBand="1"/>
      </w:tblPr>
      <w:tblGrid>
        <w:gridCol w:w="780"/>
        <w:gridCol w:w="7017"/>
      </w:tblGrid>
      <w:tr w:rsidR="00DA2C4C" w:rsidRPr="00B256FF" w:rsidTr="00D2730D">
        <w:trPr>
          <w:trHeight w:val="850"/>
        </w:trPr>
        <w:tc>
          <w:tcPr>
            <w:tcW w:w="780" w:type="dxa"/>
            <w:tcBorders>
              <w:top w:val="single" w:sz="4" w:space="0" w:color="808080"/>
              <w:bottom w:val="single" w:sz="4" w:space="0" w:color="808080"/>
            </w:tcBorders>
            <w:shd w:val="clear" w:color="000000" w:fill="1AD823"/>
            <w:vAlign w:val="center"/>
            <w:hideMark/>
          </w:tcPr>
          <w:p w:rsidR="00DA2C4C" w:rsidRPr="00DA2C4C" w:rsidRDefault="00DA2C4C" w:rsidP="004C7106">
            <w:pPr>
              <w:pStyle w:val="TableHeading1"/>
            </w:pPr>
            <w:r w:rsidRPr="00DA2C4C">
              <w:t>GREEN</w:t>
            </w:r>
          </w:p>
        </w:tc>
        <w:tc>
          <w:tcPr>
            <w:tcW w:w="7017" w:type="dxa"/>
            <w:tcBorders>
              <w:top w:val="single" w:sz="4" w:space="0" w:color="808080"/>
              <w:bottom w:val="single" w:sz="4" w:space="0" w:color="808080"/>
            </w:tcBorders>
            <w:shd w:val="clear" w:color="auto" w:fill="auto"/>
            <w:vAlign w:val="center"/>
            <w:hideMark/>
          </w:tcPr>
          <w:p w:rsidR="00DA2C4C" w:rsidRPr="00B256FF" w:rsidRDefault="00DA2C4C" w:rsidP="004C7106">
            <w:pPr>
              <w:pStyle w:val="TableText"/>
              <w:rPr>
                <w:noProof/>
              </w:rPr>
            </w:pPr>
            <w:r w:rsidRPr="00B256FF">
              <w:rPr>
                <w:noProof/>
              </w:rPr>
              <w:t>Progress is as expected for this point in time and it is likely that the objective will be achieved. Standard program management practices are sufficient.</w:t>
            </w:r>
          </w:p>
        </w:tc>
      </w:tr>
      <w:tr w:rsidR="00DA2C4C" w:rsidRPr="00B256FF" w:rsidTr="00D2730D">
        <w:trPr>
          <w:trHeight w:val="850"/>
        </w:trPr>
        <w:tc>
          <w:tcPr>
            <w:tcW w:w="780" w:type="dxa"/>
            <w:tcBorders>
              <w:top w:val="single" w:sz="4" w:space="0" w:color="808080"/>
              <w:bottom w:val="single" w:sz="4" w:space="0" w:color="808080"/>
            </w:tcBorders>
            <w:shd w:val="clear" w:color="000000" w:fill="FFC000"/>
            <w:vAlign w:val="center"/>
            <w:hideMark/>
          </w:tcPr>
          <w:p w:rsidR="00DA2C4C" w:rsidRPr="004C7106" w:rsidRDefault="00DA2C4C" w:rsidP="004C7106">
            <w:pPr>
              <w:pStyle w:val="TableHeading1"/>
            </w:pPr>
            <w:r w:rsidRPr="004C7106">
              <w:t>AMBER</w:t>
            </w:r>
          </w:p>
        </w:tc>
        <w:tc>
          <w:tcPr>
            <w:tcW w:w="7017" w:type="dxa"/>
            <w:tcBorders>
              <w:top w:val="single" w:sz="4" w:space="0" w:color="808080"/>
              <w:bottom w:val="single" w:sz="4" w:space="0" w:color="808080"/>
            </w:tcBorders>
            <w:shd w:val="clear" w:color="auto" w:fill="auto"/>
            <w:vAlign w:val="center"/>
            <w:hideMark/>
          </w:tcPr>
          <w:p w:rsidR="00DA2C4C" w:rsidRPr="00B256FF" w:rsidRDefault="00DA2C4C" w:rsidP="004C7106">
            <w:pPr>
              <w:pStyle w:val="TableText"/>
              <w:rPr>
                <w:noProof/>
              </w:rPr>
            </w:pPr>
            <w:r w:rsidRPr="00B256FF">
              <w:rPr>
                <w:noProof/>
                <w:lang w:eastAsia="en-GB"/>
              </w:rPr>
              <w:t xml:space="preserve">Progress is somewhat less than expected for this point in time and restorative action will be necessary if the </w:t>
            </w:r>
            <w:r w:rsidRPr="00B256FF">
              <w:rPr>
                <w:noProof/>
              </w:rPr>
              <w:t>objective</w:t>
            </w:r>
            <w:r w:rsidRPr="00B256FF">
              <w:rPr>
                <w:noProof/>
                <w:lang w:eastAsia="en-GB"/>
              </w:rPr>
              <w:t xml:space="preserve"> is to be achieved. Close performance monitoring is recommended.</w:t>
            </w:r>
          </w:p>
        </w:tc>
      </w:tr>
      <w:tr w:rsidR="00DA2C4C" w:rsidRPr="00B256FF" w:rsidTr="00D2730D">
        <w:trPr>
          <w:trHeight w:val="850"/>
        </w:trPr>
        <w:tc>
          <w:tcPr>
            <w:tcW w:w="780" w:type="dxa"/>
            <w:tcBorders>
              <w:top w:val="single" w:sz="4" w:space="0" w:color="808080"/>
              <w:bottom w:val="single" w:sz="4" w:space="0" w:color="808080"/>
            </w:tcBorders>
            <w:shd w:val="clear" w:color="000000" w:fill="FF0000"/>
            <w:vAlign w:val="center"/>
            <w:hideMark/>
          </w:tcPr>
          <w:p w:rsidR="00DA2C4C" w:rsidRPr="00DA2C4C" w:rsidRDefault="00DA2C4C" w:rsidP="004C7106">
            <w:pPr>
              <w:pStyle w:val="TableHeading1"/>
              <w:rPr>
                <w:b w:val="0"/>
              </w:rPr>
            </w:pPr>
            <w:r w:rsidRPr="00E3551E">
              <w:rPr>
                <w:color w:val="FFFFFF" w:themeColor="background1"/>
              </w:rPr>
              <w:t>RED</w:t>
            </w:r>
          </w:p>
        </w:tc>
        <w:tc>
          <w:tcPr>
            <w:tcW w:w="7017" w:type="dxa"/>
            <w:tcBorders>
              <w:top w:val="single" w:sz="4" w:space="0" w:color="808080"/>
              <w:bottom w:val="single" w:sz="4" w:space="0" w:color="808080"/>
            </w:tcBorders>
            <w:shd w:val="clear" w:color="auto" w:fill="auto"/>
            <w:vAlign w:val="center"/>
            <w:hideMark/>
          </w:tcPr>
          <w:p w:rsidR="00DA2C4C" w:rsidRPr="00B256FF" w:rsidRDefault="00DA2C4C" w:rsidP="004C7106">
            <w:pPr>
              <w:pStyle w:val="TableText"/>
              <w:rPr>
                <w:noProof/>
              </w:rPr>
            </w:pPr>
            <w:r w:rsidRPr="00B256FF">
              <w:rPr>
                <w:noProof/>
                <w:lang w:eastAsia="en-GB"/>
              </w:rPr>
              <w:t xml:space="preserve">Progress is significantly less than expected for this point in time and the objective is not likely to be </w:t>
            </w:r>
            <w:r w:rsidRPr="00B256FF">
              <w:rPr>
                <w:noProof/>
              </w:rPr>
              <w:t>met</w:t>
            </w:r>
            <w:r w:rsidRPr="00B256FF">
              <w:rPr>
                <w:noProof/>
                <w:lang w:eastAsia="en-GB"/>
              </w:rPr>
              <w:t xml:space="preserve"> given available resources and priorities. Recasting the objective may be required. </w:t>
            </w:r>
          </w:p>
        </w:tc>
      </w:tr>
    </w:tbl>
    <w:p w:rsidR="00DA2C4C" w:rsidRPr="00B256FF" w:rsidRDefault="00DA2C4C" w:rsidP="00DA2C4C">
      <w:pPr>
        <w:pStyle w:val="BodyText"/>
      </w:pPr>
    </w:p>
    <w:p w:rsidR="00DA2C4C" w:rsidRPr="00B256FF" w:rsidRDefault="00DA2C4C" w:rsidP="00DA2C4C">
      <w:pPr>
        <w:pStyle w:val="BodyText"/>
        <w:rPr>
          <w:noProof/>
        </w:rPr>
      </w:pPr>
      <w:r w:rsidRPr="00B256FF">
        <w:rPr>
          <w:noProof/>
        </w:rPr>
        <w:t xml:space="preserve">This distribution of APPR ratings over the past three years is shown in Figure </w:t>
      </w:r>
      <w:r w:rsidR="004F3B48">
        <w:rPr>
          <w:noProof/>
        </w:rPr>
        <w:t>11</w:t>
      </w:r>
      <w:r>
        <w:rPr>
          <w:noProof/>
        </w:rPr>
        <w:t>.</w:t>
      </w:r>
    </w:p>
    <w:p w:rsidR="00DA2C4C" w:rsidRPr="00B256FF" w:rsidRDefault="00DA2C4C" w:rsidP="006335F8">
      <w:pPr>
        <w:pStyle w:val="TableandFigureName"/>
        <w:numPr>
          <w:ilvl w:val="0"/>
          <w:numId w:val="0"/>
        </w:numPr>
        <w:tabs>
          <w:tab w:val="clear" w:pos="993"/>
          <w:tab w:val="left" w:pos="1276"/>
        </w:tabs>
      </w:pPr>
      <w:bookmarkStart w:id="70" w:name="_Toc408606459"/>
      <w:r w:rsidRPr="00B256FF">
        <w:t xml:space="preserve">Figure </w:t>
      </w:r>
      <w:r w:rsidR="004F3B48">
        <w:t>11</w:t>
      </w:r>
      <w:r w:rsidRPr="00B256FF">
        <w:tab/>
        <w:t>Distribution of APPR ratings</w:t>
      </w:r>
      <w:r>
        <w:t xml:space="preserve"> against objectives </w:t>
      </w:r>
      <w:r w:rsidRPr="00B256FF">
        <w:t xml:space="preserve">2011–12 </w:t>
      </w:r>
      <w:r w:rsidR="00786E71">
        <w:t xml:space="preserve">to </w:t>
      </w:r>
      <w:r w:rsidRPr="00B256FF">
        <w:t>2013–14</w:t>
      </w:r>
      <w:bookmarkEnd w:id="70"/>
      <w:r w:rsidRPr="00B256FF">
        <w:t xml:space="preserve"> </w:t>
      </w:r>
    </w:p>
    <w:p w:rsidR="008B3FCE" w:rsidRPr="008B3FCE" w:rsidRDefault="008B3FCE" w:rsidP="008B3FCE">
      <w:r w:rsidRPr="00B24908">
        <w:rPr>
          <w:b/>
          <w:noProof/>
        </w:rPr>
        <w:drawing>
          <wp:inline distT="0" distB="0" distL="0" distR="0" wp14:anchorId="6CA19A2F" wp14:editId="0EA4F4AA">
            <wp:extent cx="5266267" cy="3276600"/>
            <wp:effectExtent l="0" t="0" r="0" b="0"/>
            <wp:docPr id="396" name="Chart 396" descr="In 2011–12 APPRs, there were a total of 227 objectives. Performance ratings against these objectives comprised 102.5 green ratings, 109.5 amber ratings and 10 red ratings, and five objectives were not rated. In 2012–13 APPRs, there were a total of 181 objectives. Performance ratings against these objectives comprised 94 green ratings, 81 amber ratings and six red ratings. In 2013–14 APPRs, there were a total of 146 objectives. Performance ratings against these objectives comprised 97 green ratings, 46 amber ratings and two red ratings, and two objectives were not ra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A2C4C" w:rsidRDefault="00DA2C4C" w:rsidP="00DA2C4C">
      <w:pPr>
        <w:pStyle w:val="BodyText"/>
      </w:pPr>
      <w:r w:rsidRPr="00B256FF">
        <w:rPr>
          <w:noProof/>
        </w:rPr>
        <w:t xml:space="preserve">Figure </w:t>
      </w:r>
      <w:r w:rsidR="004F3B48">
        <w:rPr>
          <w:noProof/>
        </w:rPr>
        <w:t>11</w:t>
      </w:r>
      <w:r w:rsidRPr="00B256FF">
        <w:rPr>
          <w:noProof/>
        </w:rPr>
        <w:t xml:space="preserve"> shows a large decline in the number of objectives in APPRs </w:t>
      </w:r>
      <w:r>
        <w:rPr>
          <w:noProof/>
        </w:rPr>
        <w:t>since 2011–12 (from 227 to 146). The number of objectives</w:t>
      </w:r>
      <w:r w:rsidRPr="00B256FF">
        <w:rPr>
          <w:noProof/>
        </w:rPr>
        <w:t xml:space="preserve"> </w:t>
      </w:r>
      <w:r>
        <w:rPr>
          <w:noProof/>
        </w:rPr>
        <w:t>rated amber has</w:t>
      </w:r>
      <w:r w:rsidRPr="00B256FF">
        <w:rPr>
          <w:noProof/>
        </w:rPr>
        <w:t xml:space="preserve"> </w:t>
      </w:r>
      <w:r>
        <w:rPr>
          <w:noProof/>
        </w:rPr>
        <w:t>almost halved, and objectives rated red</w:t>
      </w:r>
      <w:r w:rsidRPr="00B256FF">
        <w:rPr>
          <w:noProof/>
        </w:rPr>
        <w:t xml:space="preserve">—though always low—have almost disappeared. </w:t>
      </w:r>
      <w:r>
        <w:rPr>
          <w:noProof/>
        </w:rPr>
        <w:t>The number of objectives</w:t>
      </w:r>
      <w:r w:rsidRPr="00B256FF">
        <w:rPr>
          <w:noProof/>
        </w:rPr>
        <w:t xml:space="preserve"> </w:t>
      </w:r>
      <w:r>
        <w:rPr>
          <w:noProof/>
        </w:rPr>
        <w:t>rated green have changed only slightly</w:t>
      </w:r>
      <w:r w:rsidRPr="00B256FF">
        <w:rPr>
          <w:noProof/>
        </w:rPr>
        <w:t xml:space="preserve">. If taken at face value, the greater </w:t>
      </w:r>
      <w:r>
        <w:rPr>
          <w:noProof/>
        </w:rPr>
        <w:t xml:space="preserve">relative </w:t>
      </w:r>
      <w:r w:rsidRPr="00B256FF">
        <w:rPr>
          <w:noProof/>
        </w:rPr>
        <w:t>prominence of green rating</w:t>
      </w:r>
      <w:r>
        <w:rPr>
          <w:noProof/>
        </w:rPr>
        <w:t>s in 2013–14 APPRs</w:t>
      </w:r>
      <w:r w:rsidRPr="00B256FF">
        <w:rPr>
          <w:noProof/>
        </w:rPr>
        <w:t xml:space="preserve"> </w:t>
      </w:r>
      <w:r>
        <w:rPr>
          <w:noProof/>
        </w:rPr>
        <w:t xml:space="preserve">(green representing 68 per cent of total ratings, compared with 52 per cent 2012–13 APPRs), combined with the </w:t>
      </w:r>
      <w:r w:rsidRPr="00B256FF">
        <w:rPr>
          <w:noProof/>
        </w:rPr>
        <w:t>reduced prominence of amber and red</w:t>
      </w:r>
      <w:r>
        <w:rPr>
          <w:noProof/>
        </w:rPr>
        <w:t xml:space="preserve"> ratings</w:t>
      </w:r>
      <w:r w:rsidR="005E6565">
        <w:rPr>
          <w:noProof/>
        </w:rPr>
        <w:t>,</w:t>
      </w:r>
      <w:r w:rsidRPr="00B256FF">
        <w:rPr>
          <w:noProof/>
        </w:rPr>
        <w:t xml:space="preserve"> could be read as indicating that the aid program is </w:t>
      </w:r>
      <w:r>
        <w:rPr>
          <w:noProof/>
        </w:rPr>
        <w:t>now much better</w:t>
      </w:r>
      <w:r w:rsidRPr="00B256FF">
        <w:rPr>
          <w:noProof/>
        </w:rPr>
        <w:t xml:space="preserve"> </w:t>
      </w:r>
      <w:r>
        <w:rPr>
          <w:noProof/>
        </w:rPr>
        <w:t xml:space="preserve">delivering on its objectives </w:t>
      </w:r>
      <w:r w:rsidRPr="00B256FF">
        <w:rPr>
          <w:noProof/>
        </w:rPr>
        <w:t xml:space="preserve">than it </w:t>
      </w:r>
      <w:r>
        <w:rPr>
          <w:noProof/>
        </w:rPr>
        <w:t>did</w:t>
      </w:r>
      <w:r w:rsidRPr="00B256FF">
        <w:rPr>
          <w:noProof/>
        </w:rPr>
        <w:t xml:space="preserve"> two years ago.</w:t>
      </w:r>
      <w:r>
        <w:rPr>
          <w:noProof/>
        </w:rPr>
        <w:t xml:space="preserve"> </w:t>
      </w:r>
      <w:r w:rsidRPr="00B256FF">
        <w:rPr>
          <w:noProof/>
        </w:rPr>
        <w:t xml:space="preserve">On this, it is </w:t>
      </w:r>
      <w:r>
        <w:rPr>
          <w:noProof/>
        </w:rPr>
        <w:t>relevant to note</w:t>
      </w:r>
      <w:r w:rsidRPr="00B256FF">
        <w:rPr>
          <w:noProof/>
        </w:rPr>
        <w:t xml:space="preserve"> the</w:t>
      </w:r>
      <w:r w:rsidR="00D06B9D">
        <w:rPr>
          <w:noProof/>
        </w:rPr>
        <w:t xml:space="preserve"> following</w:t>
      </w:r>
      <w:r w:rsidRPr="00B256FF">
        <w:rPr>
          <w:noProof/>
        </w:rPr>
        <w:t xml:space="preserve"> point </w:t>
      </w:r>
      <w:r>
        <w:rPr>
          <w:noProof/>
        </w:rPr>
        <w:t>ODE</w:t>
      </w:r>
      <w:r w:rsidRPr="00B256FF">
        <w:rPr>
          <w:noProof/>
        </w:rPr>
        <w:t xml:space="preserve"> made in </w:t>
      </w:r>
      <w:r>
        <w:rPr>
          <w:noProof/>
        </w:rPr>
        <w:t xml:space="preserve">our quality assurance of </w:t>
      </w:r>
      <w:r w:rsidRPr="00B256FF">
        <w:t xml:space="preserve">the </w:t>
      </w:r>
      <w:r w:rsidRPr="004436A3">
        <w:rPr>
          <w:i/>
        </w:rPr>
        <w:t>Performance of Australian Aid 2013–14</w:t>
      </w:r>
      <w:r w:rsidRPr="00B256FF">
        <w:t xml:space="preserve"> report</w:t>
      </w:r>
      <w:r w:rsidR="00D06B9D">
        <w:t>:</w:t>
      </w:r>
    </w:p>
    <w:p w:rsidR="00DA2C4C" w:rsidRPr="00B256FF" w:rsidRDefault="00DA2C4C" w:rsidP="00DA2C4C">
      <w:pPr>
        <w:pStyle w:val="Quote"/>
      </w:pPr>
      <w:r w:rsidRPr="00CC4EFA">
        <w:t xml:space="preserve">We caution against </w:t>
      </w:r>
      <w:r w:rsidRPr="00DA2C4C">
        <w:t>putting</w:t>
      </w:r>
      <w:r w:rsidRPr="00CC4EFA">
        <w:t xml:space="preserve"> significant weight on year-on-year comparisons of APPR ratings, especially given the long timeframes usually associated with achieving </w:t>
      </w:r>
      <w:r w:rsidR="00D06B9D">
        <w:t>substantial development results.</w:t>
      </w:r>
      <w:r w:rsidR="00EF76E1">
        <w:t xml:space="preserve"> </w:t>
      </w:r>
      <w:r w:rsidR="00D06B9D">
        <w:rPr>
          <w:rStyle w:val="FootnoteReference"/>
        </w:rPr>
        <w:footnoteReference w:id="22"/>
      </w:r>
    </w:p>
    <w:p w:rsidR="00DA2C4C" w:rsidRPr="00B256FF" w:rsidRDefault="00DA2C4C" w:rsidP="00DA2C4C">
      <w:pPr>
        <w:pStyle w:val="BodyText"/>
        <w:rPr>
          <w:noProof/>
        </w:rPr>
      </w:pPr>
      <w:r w:rsidRPr="00B256FF">
        <w:rPr>
          <w:noProof/>
        </w:rPr>
        <w:t xml:space="preserve">To better understand </w:t>
      </w:r>
      <w:r>
        <w:rPr>
          <w:noProof/>
        </w:rPr>
        <w:t xml:space="preserve">the reasons for this trend </w:t>
      </w:r>
      <w:r w:rsidRPr="00B256FF">
        <w:rPr>
          <w:noProof/>
        </w:rPr>
        <w:t>ODE focused on</w:t>
      </w:r>
      <w:r>
        <w:rPr>
          <w:noProof/>
        </w:rPr>
        <w:t xml:space="preserve"> </w:t>
      </w:r>
      <w:r w:rsidRPr="00B256FF">
        <w:rPr>
          <w:noProof/>
        </w:rPr>
        <w:t>changes between the 2012</w:t>
      </w:r>
      <w:r>
        <w:rPr>
          <w:noProof/>
        </w:rPr>
        <w:t>–</w:t>
      </w:r>
      <w:r w:rsidRPr="00B256FF">
        <w:rPr>
          <w:noProof/>
        </w:rPr>
        <w:t>13 and 2013</w:t>
      </w:r>
      <w:r>
        <w:rPr>
          <w:noProof/>
        </w:rPr>
        <w:t>–</w:t>
      </w:r>
      <w:r w:rsidRPr="00B256FF">
        <w:rPr>
          <w:noProof/>
        </w:rPr>
        <w:t xml:space="preserve">14 APPRs. </w:t>
      </w:r>
    </w:p>
    <w:p w:rsidR="00DA2C4C" w:rsidRDefault="00DA2C4C" w:rsidP="00DA2C4C">
      <w:pPr>
        <w:pStyle w:val="BodyText"/>
      </w:pPr>
      <w:r w:rsidRPr="00B256FF">
        <w:t xml:space="preserve">The first change we looked at was why there were </w:t>
      </w:r>
      <w:r>
        <w:t>36</w:t>
      </w:r>
      <w:r w:rsidRPr="002C6944">
        <w:t xml:space="preserve"> fewer objectives</w:t>
      </w:r>
      <w:r w:rsidRPr="00B256FF">
        <w:t xml:space="preserve"> in 2013</w:t>
      </w:r>
      <w:r>
        <w:t>–14</w:t>
      </w:r>
      <w:r>
        <w:rPr>
          <w:noProof/>
        </w:rPr>
        <w:t xml:space="preserve">. Firstly, </w:t>
      </w:r>
      <w:r w:rsidRPr="00B256FF">
        <w:rPr>
          <w:noProof/>
        </w:rPr>
        <w:t>policy changes meant fewer APPRs were completed in 2013</w:t>
      </w:r>
      <w:r>
        <w:rPr>
          <w:noProof/>
        </w:rPr>
        <w:t>–</w:t>
      </w:r>
      <w:r w:rsidRPr="00B256FF">
        <w:rPr>
          <w:noProof/>
        </w:rPr>
        <w:t>14.</w:t>
      </w:r>
      <w:r w:rsidRPr="00B256FF">
        <w:rPr>
          <w:rStyle w:val="FootnoteReference"/>
          <w:noProof/>
        </w:rPr>
        <w:footnoteReference w:id="23"/>
      </w:r>
      <w:r>
        <w:rPr>
          <w:noProof/>
        </w:rPr>
        <w:t xml:space="preserve"> The reduction in</w:t>
      </w:r>
      <w:r w:rsidRPr="00B256FF">
        <w:rPr>
          <w:noProof/>
        </w:rPr>
        <w:t xml:space="preserve"> </w:t>
      </w:r>
      <w:r>
        <w:rPr>
          <w:noProof/>
        </w:rPr>
        <w:t>APPRs</w:t>
      </w:r>
      <w:r w:rsidRPr="00B256FF">
        <w:rPr>
          <w:noProof/>
        </w:rPr>
        <w:t xml:space="preserve"> accounted for </w:t>
      </w:r>
      <w:r w:rsidR="004F3B48">
        <w:rPr>
          <w:noProof/>
        </w:rPr>
        <w:t>just over</w:t>
      </w:r>
      <w:r>
        <w:rPr>
          <w:noProof/>
        </w:rPr>
        <w:t xml:space="preserve"> half (20 out of 36) of the reduction in objectives</w:t>
      </w:r>
      <w:r w:rsidRPr="00B256FF">
        <w:rPr>
          <w:noProof/>
        </w:rPr>
        <w:t>, and had an equal effect on</w:t>
      </w:r>
      <w:r w:rsidRPr="00B256FF">
        <w:t xml:space="preserve"> amber and green ratings</w:t>
      </w:r>
      <w:r>
        <w:t xml:space="preserve">. </w:t>
      </w:r>
    </w:p>
    <w:p w:rsidR="00DA2C4C" w:rsidRDefault="00DA2C4C" w:rsidP="00DA2C4C">
      <w:pPr>
        <w:pStyle w:val="BodyText"/>
      </w:pPr>
      <w:r>
        <w:t xml:space="preserve">Secondly, 26 </w:t>
      </w:r>
      <w:r w:rsidRPr="00B256FF">
        <w:t xml:space="preserve">objectives </w:t>
      </w:r>
      <w:r>
        <w:t xml:space="preserve">were dropped, and 10 new objectives added. The net effect of removing or adding objectives was the reduction of 15 amber and red ratings—but only three green ratings. We could not confirm whether this was because investments supporting objectives rated amber or red were more likely to be discontinued than those that were going well. </w:t>
      </w:r>
    </w:p>
    <w:p w:rsidR="00DA2C4C" w:rsidRPr="00853090" w:rsidRDefault="00DA2C4C" w:rsidP="00DA2C4C">
      <w:pPr>
        <w:pStyle w:val="BodyText"/>
        <w:rPr>
          <w:noProof/>
        </w:rPr>
      </w:pPr>
      <w:r w:rsidRPr="00853090">
        <w:t>We then looked at any changes in ratings given for the objectives that remained</w:t>
      </w:r>
      <w:r>
        <w:t xml:space="preserve"> relatively</w:t>
      </w:r>
      <w:r w:rsidRPr="00853090">
        <w:t xml:space="preserve"> constant between 2012–13 and 2013–14</w:t>
      </w:r>
      <w:r w:rsidRPr="00853090">
        <w:rPr>
          <w:noProof/>
        </w:rPr>
        <w:t xml:space="preserve">. This was </w:t>
      </w:r>
      <w:r w:rsidRPr="00853090">
        <w:t xml:space="preserve">134 </w:t>
      </w:r>
      <w:r w:rsidRPr="00853090">
        <w:rPr>
          <w:noProof/>
        </w:rPr>
        <w:t>of 145, or 90 per cent of 2013–14 objectives</w:t>
      </w:r>
      <w:r>
        <w:rPr>
          <w:noProof/>
        </w:rPr>
        <w:t>. R</w:t>
      </w:r>
      <w:r w:rsidRPr="00853090">
        <w:rPr>
          <w:noProof/>
        </w:rPr>
        <w:t xml:space="preserve">atings against 82 of the 134 objectives were unchanged, and the remaining 52 either showed </w:t>
      </w:r>
      <w:r w:rsidRPr="00853090">
        <w:t xml:space="preserve">improved or deteriorated ratings. Of </w:t>
      </w:r>
      <w:r>
        <w:t>these</w:t>
      </w:r>
      <w:r w:rsidRPr="00853090">
        <w:t>, ratings against 15 objectives declined, and 37 improved</w:t>
      </w:r>
      <w:r w:rsidRPr="00853090">
        <w:rPr>
          <w:noProof/>
        </w:rPr>
        <w:t xml:space="preserve">. </w:t>
      </w:r>
    </w:p>
    <w:p w:rsidR="00DA2C4C" w:rsidRPr="00853090" w:rsidRDefault="00DA2C4C" w:rsidP="00DA2C4C">
      <w:pPr>
        <w:pStyle w:val="BodyText"/>
      </w:pPr>
      <w:r w:rsidRPr="00853090">
        <w:t>Looking at the 37 cases of reported improvements against program objectives in the latest APPRs, ODE analysis found that:</w:t>
      </w:r>
    </w:p>
    <w:p w:rsidR="00DA2C4C" w:rsidRDefault="00DA2C4C" w:rsidP="00DA2C4C">
      <w:pPr>
        <w:pStyle w:val="ListParagraph"/>
        <w:numPr>
          <w:ilvl w:val="0"/>
          <w:numId w:val="29"/>
        </w:numPr>
        <w:rPr>
          <w:noProof/>
        </w:rPr>
      </w:pPr>
      <w:r w:rsidRPr="00853090">
        <w:t>APPR narratives provided reasonable supporting evidence to justify 2</w:t>
      </w:r>
      <w:r>
        <w:t>2</w:t>
      </w:r>
      <w:r w:rsidRPr="00853090">
        <w:t xml:space="preserve"> of</w:t>
      </w:r>
      <w:r>
        <w:t xml:space="preserve"> these changes</w:t>
      </w:r>
    </w:p>
    <w:p w:rsidR="00DA2C4C" w:rsidRDefault="00DA2C4C" w:rsidP="00DA2C4C">
      <w:pPr>
        <w:pStyle w:val="ListParagraph"/>
        <w:numPr>
          <w:ilvl w:val="0"/>
          <w:numId w:val="29"/>
        </w:numPr>
        <w:rPr>
          <w:noProof/>
        </w:rPr>
      </w:pPr>
      <w:r>
        <w:rPr>
          <w:noProof/>
        </w:rPr>
        <w:t>in six</w:t>
      </w:r>
      <w:r w:rsidRPr="00876055">
        <w:rPr>
          <w:noProof/>
        </w:rPr>
        <w:t xml:space="preserve"> cases ratings improved because program areas introduced more realistic and specific performance expectations</w:t>
      </w:r>
      <w:r>
        <w:rPr>
          <w:noProof/>
        </w:rPr>
        <w:t>, or altered the scope of the objective</w:t>
      </w:r>
    </w:p>
    <w:p w:rsidR="00DA2C4C" w:rsidRPr="00B256FF" w:rsidRDefault="00DA2C4C" w:rsidP="00DA2C4C">
      <w:pPr>
        <w:pStyle w:val="ListParagraph"/>
        <w:numPr>
          <w:ilvl w:val="0"/>
          <w:numId w:val="29"/>
        </w:numPr>
        <w:rPr>
          <w:noProof/>
        </w:rPr>
      </w:pPr>
      <w:r>
        <w:rPr>
          <w:noProof/>
        </w:rPr>
        <w:t>for</w:t>
      </w:r>
      <w:r w:rsidRPr="00876055">
        <w:rPr>
          <w:noProof/>
        </w:rPr>
        <w:t xml:space="preserve"> the remaining </w:t>
      </w:r>
      <w:r>
        <w:rPr>
          <w:noProof/>
        </w:rPr>
        <w:t>nine</w:t>
      </w:r>
      <w:r w:rsidRPr="00876055">
        <w:rPr>
          <w:noProof/>
        </w:rPr>
        <w:t xml:space="preserve"> cases</w:t>
      </w:r>
      <w:r>
        <w:rPr>
          <w:noProof/>
        </w:rPr>
        <w:t>, improvements in ratings were</w:t>
      </w:r>
      <w:r w:rsidRPr="00876055">
        <w:rPr>
          <w:noProof/>
        </w:rPr>
        <w:t xml:space="preserve"> not well substantiated because the objectives</w:t>
      </w:r>
      <w:r>
        <w:rPr>
          <w:noProof/>
        </w:rPr>
        <w:t xml:space="preserve"> and/</w:t>
      </w:r>
      <w:r w:rsidRPr="00876055">
        <w:rPr>
          <w:noProof/>
        </w:rPr>
        <w:t>or indicators were too vague or</w:t>
      </w:r>
      <w:r>
        <w:rPr>
          <w:noProof/>
        </w:rPr>
        <w:t xml:space="preserve"> the</w:t>
      </w:r>
      <w:r w:rsidRPr="00876055">
        <w:rPr>
          <w:noProof/>
        </w:rPr>
        <w:t xml:space="preserve"> evidence presented</w:t>
      </w:r>
      <w:r>
        <w:rPr>
          <w:noProof/>
        </w:rPr>
        <w:t xml:space="preserve"> in APPRs</w:t>
      </w:r>
      <w:r w:rsidRPr="00876055">
        <w:rPr>
          <w:noProof/>
        </w:rPr>
        <w:t xml:space="preserve"> too weak.</w:t>
      </w:r>
      <w:r w:rsidRPr="00B256FF">
        <w:rPr>
          <w:noProof/>
        </w:rPr>
        <w:t xml:space="preserve"> </w:t>
      </w:r>
    </w:p>
    <w:p w:rsidR="00DA2C4C" w:rsidRDefault="00DA2C4C" w:rsidP="00DA2C4C">
      <w:pPr>
        <w:pStyle w:val="BodyText"/>
      </w:pPr>
      <w:r>
        <w:t xml:space="preserve">Overall, this analysis provides further substantiation to ODE’s preliminary findings, as reported in the </w:t>
      </w:r>
      <w:r w:rsidR="001646D0" w:rsidRPr="004436A3">
        <w:rPr>
          <w:i/>
        </w:rPr>
        <w:t>Performance of Australian Aid 2013–14</w:t>
      </w:r>
      <w:r w:rsidR="003A5CE1">
        <w:t>, where we suggested</w:t>
      </w:r>
      <w:r>
        <w:t xml:space="preserve">, </w:t>
      </w:r>
      <w:r w:rsidRPr="00052C6D">
        <w:t>that</w:t>
      </w:r>
      <w:r>
        <w:t>:</w:t>
      </w:r>
    </w:p>
    <w:p w:rsidR="00DA2C4C" w:rsidRDefault="00DA2C4C" w:rsidP="00DA2C4C">
      <w:pPr>
        <w:pStyle w:val="Quote"/>
      </w:pPr>
      <w:r w:rsidRPr="00052C6D">
        <w:t>To allow better understanding of change in country and regional program performance, it will be important to ensure consistency in indicators and interpretation of progress over time.</w:t>
      </w:r>
      <w:r w:rsidR="00D06B9D">
        <w:rPr>
          <w:rStyle w:val="FootnoteReference"/>
        </w:rPr>
        <w:footnoteReference w:id="24"/>
      </w:r>
      <w:r w:rsidRPr="00B60A0A">
        <w:rPr>
          <w:rStyle w:val="FootnoteReference"/>
        </w:rPr>
        <w:t xml:space="preserve"> </w:t>
      </w:r>
    </w:p>
    <w:p w:rsidR="00DA2C4C" w:rsidRPr="00B256FF" w:rsidRDefault="00DA2C4C" w:rsidP="00DA2C4C">
      <w:pPr>
        <w:pStyle w:val="BodyText"/>
      </w:pPr>
      <w:r>
        <w:t>Following from this, changes in APPR objectives, and the way progress against them is measured, must be taken into account if ratings against APPR objectives are to be used to claim changes in program performance over time.</w:t>
      </w:r>
    </w:p>
    <w:p w:rsidR="00346694" w:rsidRDefault="00DA2C4C" w:rsidP="005A5815">
      <w:pPr>
        <w:pStyle w:val="BodyText"/>
        <w:rPr>
          <w:noProof/>
        </w:rPr>
      </w:pPr>
      <w:r>
        <w:t xml:space="preserve">If the department wishes to strengthen </w:t>
      </w:r>
      <w:r w:rsidR="00210BEE">
        <w:t xml:space="preserve">the capacity of APPRs </w:t>
      </w:r>
      <w:r>
        <w:t xml:space="preserve">to measure performance over time, country and regional programs should ensure stability of objectives, and indicators from </w:t>
      </w:r>
      <w:r w:rsidR="001B50B9">
        <w:t xml:space="preserve">year to year </w:t>
      </w:r>
      <w:r>
        <w:t>(including transparency of how progress against them is measured). Encouraging this stability, Aid Management and Contracting Division could monitor changes to objectives and indicators in APPRs each year.</w:t>
      </w:r>
    </w:p>
    <w:p w:rsidR="00E059DE" w:rsidRDefault="00E059DE" w:rsidP="005A5815">
      <w:pPr>
        <w:pStyle w:val="BodyText"/>
        <w:rPr>
          <w:noProof/>
        </w:rPr>
        <w:sectPr w:rsidR="00E059DE" w:rsidSect="000957A1">
          <w:footnotePr>
            <w:numFmt w:val="chicago"/>
            <w:numRestart w:val="eachPage"/>
          </w:footnotePr>
          <w:endnotePr>
            <w:numFmt w:val="decimal"/>
          </w:endnotePr>
          <w:pgSz w:w="11907" w:h="16840" w:code="9"/>
          <w:pgMar w:top="958" w:right="1701" w:bottom="907" w:left="1701" w:header="851" w:footer="567" w:gutter="0"/>
          <w:cols w:space="720"/>
          <w:docGrid w:linePitch="326"/>
        </w:sectPr>
      </w:pPr>
    </w:p>
    <w:p w:rsidR="009E33A2" w:rsidRDefault="00E059DE" w:rsidP="009E33A2">
      <w:pPr>
        <w:pStyle w:val="Heading1"/>
      </w:pPr>
      <w:bookmarkStart w:id="71" w:name="_Toc422327012"/>
      <w:r w:rsidRPr="00DC3B84">
        <w:t>Appendi</w:t>
      </w:r>
      <w:r w:rsidR="00902382">
        <w:t>c</w:t>
      </w:r>
      <w:r w:rsidR="009E33A2">
        <w:t>es</w:t>
      </w:r>
      <w:bookmarkEnd w:id="71"/>
    </w:p>
    <w:p w:rsidR="00E059DE" w:rsidRPr="00DC3B84" w:rsidRDefault="00902382" w:rsidP="00902382">
      <w:pPr>
        <w:pStyle w:val="Heading2"/>
      </w:pPr>
      <w:bookmarkStart w:id="72" w:name="_Toc422327013"/>
      <w:r>
        <w:t xml:space="preserve">Appendix A: Terms </w:t>
      </w:r>
      <w:r w:rsidR="00E059DE" w:rsidRPr="00DC3B84">
        <w:t>of reference</w:t>
      </w:r>
      <w:r w:rsidR="00C215BF">
        <w:t xml:space="preserve"> (excerpt)</w:t>
      </w:r>
      <w:bookmarkEnd w:id="72"/>
    </w:p>
    <w:p w:rsidR="005C72E2" w:rsidRPr="00B256FF" w:rsidRDefault="005C72E2" w:rsidP="005C72E2">
      <w:pPr>
        <w:pStyle w:val="Heading3"/>
        <w:rPr>
          <w:noProof/>
        </w:rPr>
      </w:pPr>
      <w:r w:rsidRPr="00B256FF">
        <w:rPr>
          <w:noProof/>
        </w:rPr>
        <w:t>Objectives</w:t>
      </w:r>
    </w:p>
    <w:p w:rsidR="005C72E2" w:rsidRPr="00B256FF" w:rsidRDefault="005C72E2" w:rsidP="005C72E2">
      <w:pPr>
        <w:pStyle w:val="BodyText"/>
        <w:numPr>
          <w:ilvl w:val="0"/>
          <w:numId w:val="30"/>
        </w:numPr>
        <w:spacing w:before="57" w:after="142" w:line="288" w:lineRule="auto"/>
        <w:ind w:left="426"/>
        <w:rPr>
          <w:noProof/>
        </w:rPr>
      </w:pPr>
      <w:r w:rsidRPr="00B256FF">
        <w:rPr>
          <w:noProof/>
        </w:rPr>
        <w:t>In quality assuring and analysing the 2013–14 APPRs, ODE’s 2014</w:t>
      </w:r>
      <w:r>
        <w:rPr>
          <w:noProof/>
        </w:rPr>
        <w:t xml:space="preserve"> </w:t>
      </w:r>
      <w:r w:rsidR="0013745C">
        <w:rPr>
          <w:noProof/>
        </w:rPr>
        <w:t>Quality Review</w:t>
      </w:r>
      <w:r w:rsidRPr="00B256FF">
        <w:rPr>
          <w:noProof/>
        </w:rPr>
        <w:t xml:space="preserve"> of APPRs will:</w:t>
      </w:r>
    </w:p>
    <w:p w:rsidR="005C72E2" w:rsidRPr="00B256FF" w:rsidRDefault="005C72E2" w:rsidP="005C72E2">
      <w:pPr>
        <w:pStyle w:val="BodyText"/>
        <w:numPr>
          <w:ilvl w:val="2"/>
          <w:numId w:val="30"/>
        </w:numPr>
        <w:spacing w:before="57" w:after="142" w:line="288" w:lineRule="auto"/>
        <w:ind w:left="1134"/>
        <w:rPr>
          <w:noProof/>
        </w:rPr>
      </w:pPr>
      <w:r w:rsidRPr="00B256FF">
        <w:rPr>
          <w:noProof/>
        </w:rPr>
        <w:t xml:space="preserve">Comment on the coverage and key characteristics of the country and regional program-level performance benchmarks proposed in the 2013–14 APPRs </w:t>
      </w:r>
    </w:p>
    <w:p w:rsidR="005C72E2" w:rsidRPr="00B256FF" w:rsidRDefault="005C72E2" w:rsidP="005C72E2">
      <w:pPr>
        <w:pStyle w:val="BodyText"/>
        <w:numPr>
          <w:ilvl w:val="2"/>
          <w:numId w:val="30"/>
        </w:numPr>
        <w:spacing w:before="57" w:after="142" w:line="288" w:lineRule="auto"/>
        <w:ind w:left="1134"/>
        <w:rPr>
          <w:noProof/>
        </w:rPr>
      </w:pPr>
      <w:r w:rsidRPr="00B256FF">
        <w:rPr>
          <w:noProof/>
        </w:rPr>
        <w:t xml:space="preserve">Report on the reasonableness of the performance narratives in the 2013–14 APPRs and the use of evidence. </w:t>
      </w:r>
    </w:p>
    <w:p w:rsidR="005C72E2" w:rsidRPr="00B256FF" w:rsidRDefault="005C72E2" w:rsidP="005C72E2">
      <w:pPr>
        <w:pStyle w:val="Heading3"/>
        <w:rPr>
          <w:noProof/>
        </w:rPr>
      </w:pPr>
      <w:r w:rsidRPr="00B256FF">
        <w:rPr>
          <w:noProof/>
        </w:rPr>
        <w:t>Approach</w:t>
      </w:r>
    </w:p>
    <w:p w:rsidR="005C72E2" w:rsidRPr="00B256FF" w:rsidRDefault="005C72E2" w:rsidP="005C72E2">
      <w:pPr>
        <w:pStyle w:val="BodyText"/>
        <w:numPr>
          <w:ilvl w:val="0"/>
          <w:numId w:val="30"/>
        </w:numPr>
        <w:spacing w:before="57" w:after="142" w:line="288" w:lineRule="auto"/>
        <w:ind w:left="426"/>
        <w:rPr>
          <w:noProof/>
        </w:rPr>
      </w:pPr>
      <w:r w:rsidRPr="00B256FF">
        <w:rPr>
          <w:noProof/>
        </w:rPr>
        <w:t xml:space="preserve">Evidence for the 2014 </w:t>
      </w:r>
      <w:r w:rsidR="0013745C">
        <w:rPr>
          <w:noProof/>
        </w:rPr>
        <w:t>Quality Review</w:t>
      </w:r>
      <w:r w:rsidRPr="00B256FF">
        <w:rPr>
          <w:noProof/>
        </w:rPr>
        <w:t xml:space="preserve"> of APPRs will be gathered from the following sources:</w:t>
      </w:r>
    </w:p>
    <w:p w:rsidR="005C72E2" w:rsidRPr="00B256FF" w:rsidRDefault="005C72E2" w:rsidP="005C72E2">
      <w:pPr>
        <w:pStyle w:val="BodyText"/>
        <w:numPr>
          <w:ilvl w:val="2"/>
          <w:numId w:val="30"/>
        </w:numPr>
        <w:spacing w:before="57" w:after="142" w:line="288" w:lineRule="auto"/>
        <w:ind w:left="1134"/>
        <w:rPr>
          <w:noProof/>
        </w:rPr>
      </w:pPr>
      <w:r w:rsidRPr="00B256FF">
        <w:rPr>
          <w:noProof/>
        </w:rPr>
        <w:t>Documents concerning the emerging performance benchmarks and simplified reporting system</w:t>
      </w:r>
    </w:p>
    <w:p w:rsidR="005C72E2" w:rsidRPr="00B256FF" w:rsidRDefault="005C72E2" w:rsidP="005C72E2">
      <w:pPr>
        <w:pStyle w:val="BodyText"/>
        <w:numPr>
          <w:ilvl w:val="2"/>
          <w:numId w:val="30"/>
        </w:numPr>
        <w:spacing w:before="57" w:after="142" w:line="288" w:lineRule="auto"/>
        <w:ind w:left="1134"/>
        <w:rPr>
          <w:noProof/>
        </w:rPr>
      </w:pPr>
      <w:r w:rsidRPr="00B256FF">
        <w:rPr>
          <w:noProof/>
        </w:rPr>
        <w:t>2013–14 APPRs</w:t>
      </w:r>
    </w:p>
    <w:p w:rsidR="005C72E2" w:rsidRPr="00B256FF" w:rsidRDefault="005C72E2" w:rsidP="005C72E2">
      <w:pPr>
        <w:pStyle w:val="BodyText"/>
        <w:numPr>
          <w:ilvl w:val="2"/>
          <w:numId w:val="30"/>
        </w:numPr>
        <w:spacing w:before="57" w:after="142" w:line="288" w:lineRule="auto"/>
        <w:ind w:left="1134"/>
        <w:rPr>
          <w:noProof/>
        </w:rPr>
      </w:pPr>
      <w:r w:rsidRPr="00B256FF">
        <w:rPr>
          <w:noProof/>
        </w:rPr>
        <w:t>2012–13 APPRs (to compare performance and quality)</w:t>
      </w:r>
    </w:p>
    <w:p w:rsidR="005C72E2" w:rsidRPr="00B256FF" w:rsidRDefault="005C72E2" w:rsidP="005C72E2">
      <w:pPr>
        <w:pStyle w:val="BodyText"/>
        <w:numPr>
          <w:ilvl w:val="2"/>
          <w:numId w:val="30"/>
        </w:numPr>
        <w:spacing w:before="57" w:after="142" w:line="288" w:lineRule="auto"/>
        <w:ind w:left="1134"/>
        <w:rPr>
          <w:noProof/>
        </w:rPr>
      </w:pPr>
      <w:r w:rsidRPr="00B256FF">
        <w:rPr>
          <w:noProof/>
        </w:rPr>
        <w:t xml:space="preserve">APPR good practice notes and templates </w:t>
      </w:r>
    </w:p>
    <w:p w:rsidR="005C72E2" w:rsidRPr="00B256FF" w:rsidRDefault="005C72E2" w:rsidP="005C72E2">
      <w:pPr>
        <w:pStyle w:val="BodyText"/>
        <w:numPr>
          <w:ilvl w:val="2"/>
          <w:numId w:val="30"/>
        </w:numPr>
        <w:spacing w:before="57" w:after="142" w:line="288" w:lineRule="auto"/>
        <w:ind w:left="1134"/>
        <w:rPr>
          <w:noProof/>
        </w:rPr>
      </w:pPr>
      <w:r w:rsidRPr="00B256FF">
        <w:rPr>
          <w:noProof/>
        </w:rPr>
        <w:t>Previous ODE APPR quality reviews and working papers.</w:t>
      </w:r>
    </w:p>
    <w:p w:rsidR="005C72E2" w:rsidRPr="00B256FF" w:rsidRDefault="005C72E2" w:rsidP="005C72E2">
      <w:pPr>
        <w:pStyle w:val="BodyText"/>
        <w:numPr>
          <w:ilvl w:val="0"/>
          <w:numId w:val="30"/>
        </w:numPr>
        <w:spacing w:before="57" w:after="142" w:line="288" w:lineRule="auto"/>
        <w:ind w:left="426"/>
        <w:rPr>
          <w:noProof/>
        </w:rPr>
      </w:pPr>
      <w:r w:rsidRPr="00B256FF">
        <w:rPr>
          <w:noProof/>
        </w:rPr>
        <w:t>The quality review consists of three main tasks:</w:t>
      </w:r>
    </w:p>
    <w:p w:rsidR="005C72E2" w:rsidRPr="00B256FF" w:rsidRDefault="005C72E2" w:rsidP="005C72E2">
      <w:pPr>
        <w:pStyle w:val="BodyText"/>
        <w:numPr>
          <w:ilvl w:val="2"/>
          <w:numId w:val="30"/>
        </w:numPr>
        <w:spacing w:before="57" w:after="142" w:line="288" w:lineRule="auto"/>
        <w:ind w:left="1134"/>
        <w:rPr>
          <w:noProof/>
        </w:rPr>
      </w:pPr>
      <w:r w:rsidRPr="00B256FF">
        <w:rPr>
          <w:noProof/>
        </w:rPr>
        <w:t>Review the performance benchmarks proposed in all 2013–14 APPRs, focusing on their coverage</w:t>
      </w:r>
      <w:r w:rsidR="00462C37">
        <w:rPr>
          <w:noProof/>
        </w:rPr>
        <w:t>, quality</w:t>
      </w:r>
      <w:r w:rsidRPr="00B256FF">
        <w:rPr>
          <w:noProof/>
        </w:rPr>
        <w:t xml:space="preserve"> and character </w:t>
      </w:r>
    </w:p>
    <w:p w:rsidR="005C72E2" w:rsidRPr="00B256FF" w:rsidRDefault="005C72E2" w:rsidP="005C72E2">
      <w:pPr>
        <w:pStyle w:val="BodyText"/>
        <w:numPr>
          <w:ilvl w:val="2"/>
          <w:numId w:val="30"/>
        </w:numPr>
        <w:spacing w:before="57" w:after="142" w:line="288" w:lineRule="auto"/>
        <w:ind w:left="1134"/>
        <w:rPr>
          <w:noProof/>
        </w:rPr>
      </w:pPr>
      <w:r w:rsidRPr="00B256FF">
        <w:rPr>
          <w:noProof/>
        </w:rPr>
        <w:t>Assess the 2013–14 APPRs against the following quality criteria, consulting with ODE on the assessment method:</w:t>
      </w:r>
    </w:p>
    <w:p w:rsidR="005C72E2" w:rsidRPr="00B256FF" w:rsidRDefault="005C72E2" w:rsidP="005C72E2">
      <w:pPr>
        <w:pStyle w:val="BodyText"/>
        <w:numPr>
          <w:ilvl w:val="3"/>
          <w:numId w:val="30"/>
        </w:numPr>
        <w:spacing w:before="57" w:after="142" w:line="288" w:lineRule="auto"/>
        <w:ind w:left="1843"/>
        <w:rPr>
          <w:noProof/>
        </w:rPr>
      </w:pPr>
      <w:r w:rsidRPr="007D7D63">
        <w:rPr>
          <w:noProof/>
        </w:rPr>
        <w:t>Does the APPR provide a clear, balanced description of program relevance within the country/regional context and the new aid policy framework</w:t>
      </w:r>
      <w:r w:rsidRPr="00B256FF">
        <w:rPr>
          <w:noProof/>
        </w:rPr>
        <w:t>?</w:t>
      </w:r>
    </w:p>
    <w:p w:rsidR="005C72E2" w:rsidRPr="00B256FF" w:rsidRDefault="005C72E2" w:rsidP="005C72E2">
      <w:pPr>
        <w:pStyle w:val="BodyText"/>
        <w:numPr>
          <w:ilvl w:val="3"/>
          <w:numId w:val="30"/>
        </w:numPr>
        <w:spacing w:before="57" w:after="142" w:line="288" w:lineRule="auto"/>
        <w:ind w:left="1843"/>
        <w:rPr>
          <w:noProof/>
        </w:rPr>
      </w:pPr>
      <w:r w:rsidRPr="00B256FF">
        <w:rPr>
          <w:noProof/>
        </w:rPr>
        <w:t xml:space="preserve">Does the APPR narrative explain and justify, in a proportionate way, the progress ratings against each program objective? </w:t>
      </w:r>
    </w:p>
    <w:p w:rsidR="005C72E2" w:rsidRPr="00B256FF" w:rsidRDefault="005C72E2" w:rsidP="005C72E2">
      <w:pPr>
        <w:pStyle w:val="BodyText"/>
        <w:numPr>
          <w:ilvl w:val="3"/>
          <w:numId w:val="30"/>
        </w:numPr>
        <w:spacing w:before="57" w:after="142" w:line="288" w:lineRule="auto"/>
        <w:ind w:left="1843"/>
        <w:rPr>
          <w:noProof/>
        </w:rPr>
      </w:pPr>
      <w:r w:rsidRPr="00B256FF">
        <w:rPr>
          <w:noProof/>
        </w:rPr>
        <w:t>Does the APPR provide a proportionate, balanced discussion of the contribution of partner governments and delivery partners?</w:t>
      </w:r>
    </w:p>
    <w:p w:rsidR="005C72E2" w:rsidRPr="00B256FF" w:rsidRDefault="005C72E2" w:rsidP="005C72E2">
      <w:pPr>
        <w:pStyle w:val="BodyText"/>
        <w:numPr>
          <w:ilvl w:val="3"/>
          <w:numId w:val="30"/>
        </w:numPr>
        <w:spacing w:before="57" w:after="142" w:line="288" w:lineRule="auto"/>
        <w:ind w:left="1843"/>
        <w:rPr>
          <w:noProof/>
        </w:rPr>
      </w:pPr>
      <w:r w:rsidRPr="00B256FF">
        <w:rPr>
          <w:noProof/>
        </w:rPr>
        <w:t xml:space="preserve">Are the management consequences clearly linked to the ratings narratives and the identified risks to future progress? </w:t>
      </w:r>
    </w:p>
    <w:p w:rsidR="005C72E2" w:rsidRPr="00B256FF" w:rsidRDefault="005C72E2" w:rsidP="005C72E2">
      <w:pPr>
        <w:pStyle w:val="BodyText"/>
        <w:numPr>
          <w:ilvl w:val="2"/>
          <w:numId w:val="30"/>
        </w:numPr>
        <w:spacing w:before="57" w:after="142" w:line="288" w:lineRule="auto"/>
        <w:ind w:left="1134"/>
        <w:rPr>
          <w:noProof/>
        </w:rPr>
      </w:pPr>
      <w:r w:rsidRPr="00B256FF">
        <w:rPr>
          <w:noProof/>
        </w:rPr>
        <w:t xml:space="preserve">Write the 2014 </w:t>
      </w:r>
      <w:r w:rsidR="0013745C">
        <w:rPr>
          <w:noProof/>
        </w:rPr>
        <w:t>Quality Review</w:t>
      </w:r>
      <w:r w:rsidRPr="00B256FF">
        <w:rPr>
          <w:noProof/>
        </w:rPr>
        <w:t xml:space="preserve"> of APPRs.</w:t>
      </w:r>
    </w:p>
    <w:p w:rsidR="00E059DE" w:rsidRDefault="00E059DE" w:rsidP="005A5815">
      <w:pPr>
        <w:pStyle w:val="BodyText"/>
      </w:pPr>
    </w:p>
    <w:p w:rsidR="005A5815" w:rsidRDefault="005A5815" w:rsidP="005A5815">
      <w:pPr>
        <w:pStyle w:val="BodyText"/>
        <w:rPr>
          <w:noProof/>
        </w:rPr>
        <w:sectPr w:rsidR="005A5815" w:rsidSect="000957A1">
          <w:footnotePr>
            <w:numFmt w:val="chicago"/>
            <w:numRestart w:val="eachPage"/>
          </w:footnotePr>
          <w:endnotePr>
            <w:numFmt w:val="decimal"/>
          </w:endnotePr>
          <w:pgSz w:w="11907" w:h="16840" w:code="9"/>
          <w:pgMar w:top="958" w:right="1701" w:bottom="907" w:left="1701" w:header="851" w:footer="567" w:gutter="0"/>
          <w:cols w:space="720"/>
          <w:docGrid w:linePitch="326"/>
        </w:sectPr>
      </w:pPr>
    </w:p>
    <w:p w:rsidR="00730153" w:rsidRPr="00481AD1" w:rsidRDefault="00730153" w:rsidP="009E33A2">
      <w:pPr>
        <w:pStyle w:val="Heading2"/>
      </w:pPr>
      <w:bookmarkStart w:id="73" w:name="_Toc422327014"/>
      <w:r w:rsidRPr="00DC3B84">
        <w:t xml:space="preserve">Appendix B: APPR </w:t>
      </w:r>
      <w:r w:rsidR="00561BD2">
        <w:t>q</w:t>
      </w:r>
      <w:r w:rsidR="0013745C">
        <w:t xml:space="preserve">uality </w:t>
      </w:r>
      <w:r w:rsidR="00561BD2">
        <w:t>r</w:t>
      </w:r>
      <w:r w:rsidR="0013745C">
        <w:t>eview</w:t>
      </w:r>
      <w:r w:rsidR="00481AD1">
        <w:t xml:space="preserve"> as</w:t>
      </w:r>
      <w:r w:rsidRPr="00481AD1">
        <w:t>sessment questions</w:t>
      </w:r>
      <w:bookmarkEnd w:id="73"/>
    </w:p>
    <w:p w:rsidR="005C72E2" w:rsidRPr="00B256FF" w:rsidRDefault="005C72E2" w:rsidP="005C72E2">
      <w:pPr>
        <w:pStyle w:val="Heading3"/>
        <w:rPr>
          <w:noProof/>
        </w:rPr>
      </w:pPr>
      <w:bookmarkStart w:id="74" w:name="_Toc403836190"/>
      <w:r>
        <w:rPr>
          <w:noProof/>
        </w:rPr>
        <w:t>A)</w:t>
      </w:r>
      <w:r>
        <w:rPr>
          <w:noProof/>
        </w:rPr>
        <w:tab/>
      </w:r>
      <w:r w:rsidRPr="00B256FF">
        <w:rPr>
          <w:noProof/>
        </w:rPr>
        <w:tab/>
        <w:t>CONTEXT AND STRATEGIC ORIENTATION</w:t>
      </w:r>
      <w:bookmarkEnd w:id="74"/>
    </w:p>
    <w:p w:rsidR="005C72E2" w:rsidRDefault="005C72E2" w:rsidP="005C72E2">
      <w:pPr>
        <w:pStyle w:val="Heading3a"/>
        <w:rPr>
          <w:rFonts w:ascii="Franklin Gothic Book" w:hAnsi="Franklin Gothic Book" w:cs="Times New Roman"/>
          <w:bCs w:val="0"/>
          <w:noProof/>
          <w:color w:val="auto"/>
          <w:sz w:val="21"/>
          <w:szCs w:val="20"/>
        </w:rPr>
      </w:pPr>
      <w:r w:rsidRPr="00B256FF">
        <w:rPr>
          <w:rFonts w:ascii="Franklin Gothic Book" w:hAnsi="Franklin Gothic Book" w:cs="Times New Roman"/>
          <w:b/>
          <w:bCs w:val="0"/>
          <w:noProof/>
          <w:color w:val="auto"/>
          <w:sz w:val="21"/>
          <w:szCs w:val="20"/>
        </w:rPr>
        <w:t>Cornerstone question</w:t>
      </w:r>
      <w:r w:rsidRPr="00B256FF">
        <w:rPr>
          <w:rFonts w:ascii="Franklin Gothic Book" w:hAnsi="Franklin Gothic Book" w:cs="Times New Roman"/>
          <w:bCs w:val="0"/>
          <w:noProof/>
          <w:color w:val="auto"/>
          <w:sz w:val="21"/>
          <w:szCs w:val="20"/>
        </w:rPr>
        <w:t xml:space="preserve">: </w:t>
      </w:r>
      <w:r w:rsidRPr="007D7D63">
        <w:rPr>
          <w:rFonts w:ascii="Franklin Gothic Book" w:hAnsi="Franklin Gothic Book" w:cs="Times New Roman"/>
          <w:bCs w:val="0"/>
          <w:noProof/>
          <w:color w:val="auto"/>
          <w:sz w:val="21"/>
          <w:szCs w:val="20"/>
        </w:rPr>
        <w:t>Does the APPR provide a clear, balanced description of program relevance within the country/regional context and the new aid policy framework?</w:t>
      </w:r>
    </w:p>
    <w:p w:rsidR="005C72E2" w:rsidRPr="00B256FF" w:rsidRDefault="005C72E2" w:rsidP="005C72E2">
      <w:pPr>
        <w:pStyle w:val="Heading3a"/>
        <w:rPr>
          <w:rFonts w:ascii="Franklin Gothic Book" w:hAnsi="Franklin Gothic Book" w:cs="Times New Roman"/>
          <w:b/>
          <w:bCs w:val="0"/>
          <w:noProof/>
          <w:color w:val="auto"/>
          <w:sz w:val="21"/>
          <w:szCs w:val="20"/>
        </w:rPr>
      </w:pPr>
      <w:r w:rsidRPr="00B256FF">
        <w:rPr>
          <w:rFonts w:ascii="Franklin Gothic Book" w:hAnsi="Franklin Gothic Book" w:cs="Times New Roman"/>
          <w:b/>
          <w:bCs w:val="0"/>
          <w:noProof/>
          <w:color w:val="auto"/>
          <w:sz w:val="21"/>
          <w:szCs w:val="20"/>
        </w:rPr>
        <w:t>Subquestions</w:t>
      </w:r>
      <w:r w:rsidRPr="00B256FF">
        <w:rPr>
          <w:rFonts w:ascii="Franklin Gothic Book" w:hAnsi="Franklin Gothic Book" w:cs="Times New Roman"/>
          <w:bCs w:val="0"/>
          <w:noProof/>
          <w:color w:val="auto"/>
          <w:sz w:val="21"/>
          <w:szCs w:val="20"/>
        </w:rPr>
        <w:t>:</w:t>
      </w:r>
    </w:p>
    <w:p w:rsidR="005C72E2" w:rsidRPr="00B256FF" w:rsidRDefault="005C72E2" w:rsidP="005C72E2">
      <w:pPr>
        <w:pStyle w:val="BodyText"/>
        <w:numPr>
          <w:ilvl w:val="0"/>
          <w:numId w:val="32"/>
        </w:numPr>
        <w:spacing w:before="40" w:after="120" w:line="288" w:lineRule="auto"/>
        <w:rPr>
          <w:noProof/>
        </w:rPr>
      </w:pPr>
      <w:r w:rsidRPr="00B256FF">
        <w:rPr>
          <w:noProof/>
        </w:rPr>
        <w:t>Does the APPR acknowledge, respond to and reflect the new aid policy?</w:t>
      </w:r>
    </w:p>
    <w:p w:rsidR="005C72E2" w:rsidRPr="00B256FF" w:rsidRDefault="005C72E2" w:rsidP="005C72E2">
      <w:pPr>
        <w:pStyle w:val="BodyText"/>
        <w:numPr>
          <w:ilvl w:val="0"/>
          <w:numId w:val="32"/>
        </w:numPr>
        <w:spacing w:before="40" w:after="120" w:line="288" w:lineRule="auto"/>
        <w:rPr>
          <w:noProof/>
        </w:rPr>
      </w:pPr>
      <w:r w:rsidRPr="00B256FF">
        <w:rPr>
          <w:noProof/>
        </w:rPr>
        <w:t>Does the context analysis explain the key development challenges/needs of the country/region, with an emphasis on changes that have occurred during the reporting period? Is this analysis used to explain the Australian program objectives?</w:t>
      </w:r>
    </w:p>
    <w:p w:rsidR="005C72E2" w:rsidRPr="00B256FF" w:rsidRDefault="005C72E2" w:rsidP="005C72E2">
      <w:pPr>
        <w:pStyle w:val="BodyText"/>
        <w:numPr>
          <w:ilvl w:val="0"/>
          <w:numId w:val="32"/>
        </w:numPr>
        <w:spacing w:before="40" w:after="120" w:line="288" w:lineRule="auto"/>
        <w:rPr>
          <w:noProof/>
        </w:rPr>
      </w:pPr>
      <w:r w:rsidRPr="00B256FF">
        <w:rPr>
          <w:noProof/>
        </w:rPr>
        <w:t xml:space="preserve">If there is a stated strategy or 'theory of change' does this explain how program objectives will be achieved, and does this explanation reference the country/regional context analysis? In the absence of a stated strategy or theory of change, is some other explanation for achieving program objectives, given the context, provided? </w:t>
      </w:r>
    </w:p>
    <w:p w:rsidR="005C72E2" w:rsidRPr="00B256FF" w:rsidRDefault="005C72E2" w:rsidP="005C72E2">
      <w:pPr>
        <w:pStyle w:val="BodyText"/>
        <w:numPr>
          <w:ilvl w:val="0"/>
          <w:numId w:val="32"/>
        </w:numPr>
        <w:spacing w:before="40" w:after="120" w:line="288" w:lineRule="auto"/>
        <w:rPr>
          <w:noProof/>
        </w:rPr>
      </w:pPr>
      <w:r w:rsidRPr="00B256FF">
        <w:rPr>
          <w:noProof/>
        </w:rPr>
        <w:t>Does the report make clear the proportion of Australia’s aid in relation to other donors and national indicators, and the program and strategy implications of that?</w:t>
      </w:r>
    </w:p>
    <w:p w:rsidR="005C72E2" w:rsidRPr="00B256FF" w:rsidRDefault="005C72E2" w:rsidP="005C72E2">
      <w:pPr>
        <w:pStyle w:val="Heading3"/>
        <w:rPr>
          <w:noProof/>
        </w:rPr>
      </w:pPr>
      <w:bookmarkStart w:id="75" w:name="_Toc403836191"/>
      <w:r w:rsidRPr="00B256FF">
        <w:rPr>
          <w:noProof/>
        </w:rPr>
        <w:t>B)</w:t>
      </w:r>
      <w:r>
        <w:rPr>
          <w:noProof/>
        </w:rPr>
        <w:tab/>
      </w:r>
      <w:r w:rsidRPr="00B256FF">
        <w:rPr>
          <w:noProof/>
        </w:rPr>
        <w:tab/>
        <w:t>ASSESSMENT</w:t>
      </w:r>
      <w:bookmarkEnd w:id="75"/>
      <w:r w:rsidRPr="00B256FF">
        <w:rPr>
          <w:noProof/>
        </w:rPr>
        <w:t xml:space="preserve"> OF PROGRESS TOWARDS OBJECTIVES </w:t>
      </w:r>
    </w:p>
    <w:p w:rsidR="005C72E2" w:rsidRPr="00B256FF" w:rsidRDefault="005C72E2" w:rsidP="005C72E2">
      <w:pPr>
        <w:pStyle w:val="BodyText"/>
        <w:spacing w:before="57" w:after="142"/>
        <w:rPr>
          <w:noProof/>
        </w:rPr>
      </w:pPr>
      <w:r w:rsidRPr="00B256FF">
        <w:rPr>
          <w:b/>
          <w:bCs/>
          <w:noProof/>
        </w:rPr>
        <w:t>Cornerstone question</w:t>
      </w:r>
      <w:r w:rsidRPr="00B256FF">
        <w:rPr>
          <w:noProof/>
        </w:rPr>
        <w:t xml:space="preserve">: Does the APPR narrative explain and justify, in a proportionate way, the progress ratings against each program objective? </w:t>
      </w:r>
    </w:p>
    <w:p w:rsidR="005C72E2" w:rsidRPr="00B256FF" w:rsidRDefault="005C72E2" w:rsidP="005C72E2">
      <w:pPr>
        <w:pStyle w:val="Heading3a"/>
        <w:rPr>
          <w:rFonts w:ascii="Franklin Gothic Book" w:hAnsi="Franklin Gothic Book" w:cs="Times New Roman"/>
          <w:b/>
          <w:bCs w:val="0"/>
          <w:noProof/>
          <w:color w:val="auto"/>
          <w:sz w:val="21"/>
          <w:szCs w:val="20"/>
        </w:rPr>
      </w:pPr>
      <w:r w:rsidRPr="00B256FF">
        <w:rPr>
          <w:rFonts w:ascii="Franklin Gothic Book" w:hAnsi="Franklin Gothic Book" w:cs="Times New Roman"/>
          <w:b/>
          <w:bCs w:val="0"/>
          <w:noProof/>
          <w:color w:val="auto"/>
          <w:sz w:val="21"/>
          <w:szCs w:val="20"/>
        </w:rPr>
        <w:t>Subquestions</w:t>
      </w:r>
      <w:r w:rsidRPr="00B256FF">
        <w:rPr>
          <w:rFonts w:ascii="Franklin Gothic Book" w:hAnsi="Franklin Gothic Book" w:cs="Times New Roman"/>
          <w:bCs w:val="0"/>
          <w:noProof/>
          <w:color w:val="auto"/>
          <w:sz w:val="21"/>
          <w:szCs w:val="20"/>
        </w:rPr>
        <w:t>:</w:t>
      </w:r>
    </w:p>
    <w:p w:rsidR="005C72E2" w:rsidRPr="00B256FF" w:rsidRDefault="005C72E2" w:rsidP="005C72E2">
      <w:pPr>
        <w:pStyle w:val="BodyText"/>
        <w:numPr>
          <w:ilvl w:val="0"/>
          <w:numId w:val="33"/>
        </w:numPr>
        <w:spacing w:before="40" w:after="120" w:line="288" w:lineRule="auto"/>
        <w:rPr>
          <w:noProof/>
        </w:rPr>
      </w:pPr>
      <w:r w:rsidRPr="00B256FF">
        <w:rPr>
          <w:noProof/>
        </w:rPr>
        <w:t>Are the objectives sufficiently framed at the outset or in the narrative as statements of intent that are measurable (quantitatively and/or qualitatively)?</w:t>
      </w:r>
    </w:p>
    <w:p w:rsidR="005C72E2" w:rsidRPr="00B256FF" w:rsidRDefault="005C72E2" w:rsidP="005C72E2">
      <w:pPr>
        <w:pStyle w:val="BodyText"/>
        <w:numPr>
          <w:ilvl w:val="0"/>
          <w:numId w:val="33"/>
        </w:numPr>
        <w:spacing w:before="40" w:after="120" w:line="288" w:lineRule="auto"/>
        <w:rPr>
          <w:noProof/>
        </w:rPr>
      </w:pPr>
      <w:r w:rsidRPr="00B256FF">
        <w:rPr>
          <w:noProof/>
        </w:rPr>
        <w:t>Does the narrative explain and justify the progress ratings against each objective?</w:t>
      </w:r>
    </w:p>
    <w:p w:rsidR="005C72E2" w:rsidRPr="00B256FF" w:rsidRDefault="005C72E2" w:rsidP="005C72E2">
      <w:pPr>
        <w:pStyle w:val="BodyText"/>
        <w:numPr>
          <w:ilvl w:val="0"/>
          <w:numId w:val="33"/>
        </w:numPr>
        <w:spacing w:before="40" w:after="120" w:line="288" w:lineRule="auto"/>
        <w:rPr>
          <w:noProof/>
        </w:rPr>
      </w:pPr>
      <w:r w:rsidRPr="00B256FF">
        <w:rPr>
          <w:noProof/>
        </w:rPr>
        <w:t>Where appropriate, is the policy dialogue engagement with partners clearly explained?</w:t>
      </w:r>
    </w:p>
    <w:p w:rsidR="005C72E2" w:rsidRPr="00B256FF" w:rsidRDefault="005C72E2" w:rsidP="005C72E2">
      <w:pPr>
        <w:pStyle w:val="BodyText"/>
        <w:numPr>
          <w:ilvl w:val="0"/>
          <w:numId w:val="33"/>
        </w:numPr>
        <w:spacing w:before="40" w:after="120" w:line="288" w:lineRule="auto"/>
        <w:rPr>
          <w:noProof/>
        </w:rPr>
      </w:pPr>
      <w:r w:rsidRPr="00B256FF">
        <w:rPr>
          <w:noProof/>
        </w:rPr>
        <w:t>Is there an appropriately open, balanced discussion of the program’s successes, failures and challenges?</w:t>
      </w:r>
    </w:p>
    <w:p w:rsidR="005C72E2" w:rsidRPr="00B256FF" w:rsidRDefault="005C72E2" w:rsidP="005C72E2">
      <w:pPr>
        <w:pStyle w:val="BodyText"/>
        <w:numPr>
          <w:ilvl w:val="0"/>
          <w:numId w:val="33"/>
        </w:numPr>
        <w:spacing w:before="40" w:after="120" w:line="288" w:lineRule="auto"/>
        <w:rPr>
          <w:noProof/>
        </w:rPr>
      </w:pPr>
      <w:r w:rsidRPr="00B256FF">
        <w:rPr>
          <w:noProof/>
        </w:rPr>
        <w:t>Has relevant evidence been drawn from an appropriate range of internal and external sources given the program context?</w:t>
      </w:r>
    </w:p>
    <w:p w:rsidR="005C72E2" w:rsidRPr="00B256FF" w:rsidRDefault="005C72E2" w:rsidP="005C72E2">
      <w:pPr>
        <w:pStyle w:val="BodyText"/>
        <w:numPr>
          <w:ilvl w:val="0"/>
          <w:numId w:val="33"/>
        </w:numPr>
        <w:spacing w:before="40" w:after="120" w:line="288" w:lineRule="auto"/>
        <w:rPr>
          <w:noProof/>
        </w:rPr>
      </w:pPr>
      <w:r>
        <w:rPr>
          <w:noProof/>
        </w:rPr>
        <w:t>Are the</w:t>
      </w:r>
      <w:r w:rsidRPr="00B256FF">
        <w:rPr>
          <w:noProof/>
        </w:rPr>
        <w:t xml:space="preserve"> results appropriately contextualised and the contribution of DFAT made clear?</w:t>
      </w:r>
    </w:p>
    <w:p w:rsidR="005C72E2" w:rsidRPr="00B256FF" w:rsidRDefault="005C72E2" w:rsidP="005C72E2">
      <w:pPr>
        <w:pStyle w:val="BodyText"/>
        <w:numPr>
          <w:ilvl w:val="0"/>
          <w:numId w:val="33"/>
        </w:numPr>
        <w:spacing w:before="40" w:after="120" w:line="288" w:lineRule="auto"/>
        <w:rPr>
          <w:noProof/>
        </w:rPr>
      </w:pPr>
      <w:r w:rsidRPr="00B256FF">
        <w:rPr>
          <w:noProof/>
        </w:rPr>
        <w:t>Are the sources of evidence referenced appropriately?</w:t>
      </w:r>
    </w:p>
    <w:p w:rsidR="00603EF0" w:rsidRDefault="00603EF0">
      <w:pPr>
        <w:rPr>
          <w:rFonts w:ascii="Helvetica" w:hAnsi="Helvetica" w:cs="Arial"/>
          <w:color w:val="007FAD"/>
          <w:spacing w:val="4"/>
          <w:kern w:val="28"/>
          <w:szCs w:val="28"/>
        </w:rPr>
      </w:pPr>
      <w:bookmarkStart w:id="76" w:name="_Toc403836192"/>
      <w:r>
        <w:br w:type="page"/>
      </w:r>
    </w:p>
    <w:p w:rsidR="005C72E2" w:rsidRPr="00B256FF" w:rsidRDefault="005C72E2" w:rsidP="005C72E2">
      <w:pPr>
        <w:pStyle w:val="Heading3"/>
      </w:pPr>
      <w:r w:rsidRPr="00B256FF">
        <w:t>C)</w:t>
      </w:r>
      <w:r w:rsidRPr="00B256FF">
        <w:tab/>
      </w:r>
      <w:r>
        <w:tab/>
      </w:r>
      <w:r w:rsidRPr="00B256FF">
        <w:t>PARTNER</w:t>
      </w:r>
      <w:bookmarkEnd w:id="76"/>
      <w:r w:rsidRPr="00B256FF">
        <w:t xml:space="preserve"> CONTRIBUTION</w:t>
      </w:r>
    </w:p>
    <w:p w:rsidR="005C72E2" w:rsidRPr="00B256FF" w:rsidRDefault="005C72E2" w:rsidP="005C72E2">
      <w:pPr>
        <w:pStyle w:val="BodyText"/>
        <w:spacing w:before="57" w:after="142"/>
        <w:rPr>
          <w:noProof/>
        </w:rPr>
      </w:pPr>
      <w:r w:rsidRPr="00B256FF">
        <w:rPr>
          <w:b/>
          <w:bCs/>
          <w:noProof/>
        </w:rPr>
        <w:t>Cornerstone question</w:t>
      </w:r>
      <w:r w:rsidRPr="00B256FF">
        <w:rPr>
          <w:bCs/>
          <w:noProof/>
        </w:rPr>
        <w:t xml:space="preserve">: </w:t>
      </w:r>
      <w:r w:rsidRPr="00B256FF">
        <w:rPr>
          <w:noProof/>
        </w:rPr>
        <w:t>Does the APPR provide a proportionate, balanced discussion of the contribution of partner governments and delivery partners?</w:t>
      </w:r>
    </w:p>
    <w:p w:rsidR="005C72E2" w:rsidRPr="00B256FF" w:rsidRDefault="005C72E2" w:rsidP="005C72E2">
      <w:pPr>
        <w:pStyle w:val="Heading3a"/>
        <w:rPr>
          <w:rFonts w:ascii="Franklin Gothic Book" w:hAnsi="Franklin Gothic Book" w:cs="Times New Roman"/>
          <w:b/>
          <w:bCs w:val="0"/>
          <w:noProof/>
          <w:color w:val="auto"/>
          <w:sz w:val="21"/>
          <w:szCs w:val="20"/>
        </w:rPr>
      </w:pPr>
      <w:r w:rsidRPr="00B256FF">
        <w:rPr>
          <w:rFonts w:ascii="Franklin Gothic Book" w:hAnsi="Franklin Gothic Book" w:cs="Times New Roman"/>
          <w:b/>
          <w:bCs w:val="0"/>
          <w:noProof/>
          <w:color w:val="auto"/>
          <w:sz w:val="21"/>
          <w:szCs w:val="20"/>
        </w:rPr>
        <w:t>Subquestions</w:t>
      </w:r>
      <w:r w:rsidRPr="00B256FF">
        <w:rPr>
          <w:rFonts w:ascii="Franklin Gothic Book" w:hAnsi="Franklin Gothic Book" w:cs="Times New Roman"/>
          <w:bCs w:val="0"/>
          <w:noProof/>
          <w:color w:val="auto"/>
          <w:sz w:val="21"/>
          <w:szCs w:val="20"/>
        </w:rPr>
        <w:t>:</w:t>
      </w:r>
    </w:p>
    <w:p w:rsidR="005C72E2" w:rsidRPr="00B256FF" w:rsidRDefault="005C72E2" w:rsidP="005C72E2">
      <w:pPr>
        <w:pStyle w:val="BodyText"/>
        <w:numPr>
          <w:ilvl w:val="0"/>
          <w:numId w:val="34"/>
        </w:numPr>
        <w:spacing w:before="40" w:after="120" w:line="288" w:lineRule="auto"/>
        <w:rPr>
          <w:noProof/>
        </w:rPr>
      </w:pPr>
      <w:r w:rsidRPr="00B256FF">
        <w:rPr>
          <w:noProof/>
        </w:rPr>
        <w:t>For partner governments</w:t>
      </w:r>
      <w:r>
        <w:rPr>
          <w:noProof/>
        </w:rPr>
        <w:t>?</w:t>
      </w:r>
      <w:r w:rsidRPr="00B256FF">
        <w:rPr>
          <w:noProof/>
        </w:rPr>
        <w:t xml:space="preserve"> </w:t>
      </w:r>
    </w:p>
    <w:p w:rsidR="005C72E2" w:rsidRPr="00B256FF" w:rsidRDefault="005C72E2" w:rsidP="005C72E2">
      <w:pPr>
        <w:pStyle w:val="BodyText"/>
        <w:numPr>
          <w:ilvl w:val="0"/>
          <w:numId w:val="34"/>
        </w:numPr>
        <w:spacing w:before="40" w:after="120" w:line="288" w:lineRule="auto"/>
        <w:rPr>
          <w:noProof/>
        </w:rPr>
      </w:pPr>
      <w:r w:rsidRPr="00B256FF">
        <w:rPr>
          <w:noProof/>
        </w:rPr>
        <w:t>For whole-of-government partners</w:t>
      </w:r>
      <w:r>
        <w:rPr>
          <w:noProof/>
        </w:rPr>
        <w:t>?</w:t>
      </w:r>
    </w:p>
    <w:p w:rsidR="005C72E2" w:rsidRPr="00B256FF" w:rsidRDefault="005C72E2" w:rsidP="005C72E2">
      <w:pPr>
        <w:pStyle w:val="BodyText"/>
        <w:numPr>
          <w:ilvl w:val="0"/>
          <w:numId w:val="34"/>
        </w:numPr>
        <w:spacing w:before="40" w:after="120" w:line="288" w:lineRule="auto"/>
        <w:rPr>
          <w:noProof/>
        </w:rPr>
      </w:pPr>
      <w:r w:rsidRPr="00B256FF">
        <w:rPr>
          <w:noProof/>
        </w:rPr>
        <w:t>For international partners</w:t>
      </w:r>
      <w:r>
        <w:rPr>
          <w:noProof/>
        </w:rPr>
        <w:t>?</w:t>
      </w:r>
      <w:r w:rsidRPr="00B256FF">
        <w:rPr>
          <w:noProof/>
        </w:rPr>
        <w:t xml:space="preserve"> </w:t>
      </w:r>
    </w:p>
    <w:p w:rsidR="005C72E2" w:rsidRPr="00B256FF" w:rsidRDefault="005C72E2" w:rsidP="005C72E2">
      <w:pPr>
        <w:pStyle w:val="BodyText"/>
        <w:numPr>
          <w:ilvl w:val="0"/>
          <w:numId w:val="34"/>
        </w:numPr>
        <w:spacing w:before="40" w:after="120" w:line="288" w:lineRule="auto"/>
        <w:rPr>
          <w:noProof/>
        </w:rPr>
      </w:pPr>
      <w:r w:rsidRPr="00B256FF">
        <w:rPr>
          <w:noProof/>
        </w:rPr>
        <w:t>For civil society and private sector organisations</w:t>
      </w:r>
      <w:r>
        <w:rPr>
          <w:noProof/>
        </w:rPr>
        <w:t>?</w:t>
      </w:r>
    </w:p>
    <w:p w:rsidR="005C72E2" w:rsidRPr="00B256FF" w:rsidRDefault="005C72E2" w:rsidP="005C72E2">
      <w:pPr>
        <w:pStyle w:val="Heading3"/>
        <w:rPr>
          <w:noProof/>
        </w:rPr>
      </w:pPr>
      <w:r w:rsidRPr="00B256FF">
        <w:rPr>
          <w:noProof/>
        </w:rPr>
        <w:t>D)</w:t>
      </w:r>
      <w:r w:rsidRPr="00B256FF">
        <w:rPr>
          <w:noProof/>
        </w:rPr>
        <w:tab/>
      </w:r>
      <w:bookmarkStart w:id="77" w:name="_Toc403836193"/>
      <w:r>
        <w:rPr>
          <w:noProof/>
        </w:rPr>
        <w:tab/>
      </w:r>
      <w:r w:rsidRPr="00B256FF">
        <w:rPr>
          <w:noProof/>
        </w:rPr>
        <w:t>MANAGEMENT CONSEQUENCES</w:t>
      </w:r>
      <w:bookmarkEnd w:id="77"/>
    </w:p>
    <w:p w:rsidR="005C72E2" w:rsidRPr="00B256FF" w:rsidRDefault="005C72E2" w:rsidP="005C72E2">
      <w:pPr>
        <w:pStyle w:val="BodyText"/>
        <w:rPr>
          <w:noProof/>
        </w:rPr>
      </w:pPr>
      <w:r w:rsidRPr="00B256FF">
        <w:rPr>
          <w:b/>
          <w:bCs/>
          <w:noProof/>
        </w:rPr>
        <w:t>Cornerstone question</w:t>
      </w:r>
      <w:r w:rsidRPr="00B256FF">
        <w:rPr>
          <w:bCs/>
          <w:noProof/>
        </w:rPr>
        <w:t xml:space="preserve">: </w:t>
      </w:r>
      <w:r w:rsidRPr="00B256FF">
        <w:rPr>
          <w:noProof/>
        </w:rPr>
        <w:t xml:space="preserve">Are the management consequences clearly linked to the ratings narratives and the identified risks to future progress? </w:t>
      </w:r>
    </w:p>
    <w:p w:rsidR="005C72E2" w:rsidRPr="00B256FF" w:rsidRDefault="005C72E2" w:rsidP="005C72E2">
      <w:pPr>
        <w:pStyle w:val="Heading3a"/>
        <w:rPr>
          <w:rFonts w:ascii="Franklin Gothic Book" w:hAnsi="Franklin Gothic Book" w:cs="Times New Roman"/>
          <w:b/>
          <w:bCs w:val="0"/>
          <w:noProof/>
          <w:color w:val="auto"/>
          <w:sz w:val="21"/>
          <w:szCs w:val="20"/>
        </w:rPr>
      </w:pPr>
      <w:r w:rsidRPr="00B256FF">
        <w:rPr>
          <w:rFonts w:ascii="Franklin Gothic Book" w:hAnsi="Franklin Gothic Book" w:cs="Times New Roman"/>
          <w:b/>
          <w:bCs w:val="0"/>
          <w:noProof/>
          <w:color w:val="auto"/>
          <w:sz w:val="21"/>
          <w:szCs w:val="20"/>
        </w:rPr>
        <w:t>Subquestions</w:t>
      </w:r>
      <w:r w:rsidRPr="00B256FF">
        <w:rPr>
          <w:rFonts w:ascii="Franklin Gothic Book" w:hAnsi="Franklin Gothic Book" w:cs="Times New Roman"/>
          <w:bCs w:val="0"/>
          <w:noProof/>
          <w:color w:val="auto"/>
          <w:sz w:val="21"/>
          <w:szCs w:val="20"/>
        </w:rPr>
        <w:t>:</w:t>
      </w:r>
    </w:p>
    <w:p w:rsidR="005C72E2" w:rsidRPr="00B256FF" w:rsidRDefault="005C72E2" w:rsidP="005C72E2">
      <w:pPr>
        <w:pStyle w:val="BodyText"/>
        <w:numPr>
          <w:ilvl w:val="0"/>
          <w:numId w:val="35"/>
        </w:numPr>
        <w:spacing w:before="40" w:after="120" w:line="288" w:lineRule="auto"/>
        <w:rPr>
          <w:noProof/>
        </w:rPr>
      </w:pPr>
      <w:r w:rsidRPr="00B256FF">
        <w:rPr>
          <w:noProof/>
        </w:rPr>
        <w:t>Is there a logical connection between the management consequences section and the risks to future progress flagged in</w:t>
      </w:r>
      <w:r>
        <w:rPr>
          <w:noProof/>
        </w:rPr>
        <w:t xml:space="preserve"> the other sections of the APPR?</w:t>
      </w:r>
    </w:p>
    <w:p w:rsidR="005C72E2" w:rsidRPr="00B256FF" w:rsidRDefault="005C72E2" w:rsidP="005C72E2">
      <w:pPr>
        <w:pStyle w:val="BodyText"/>
        <w:numPr>
          <w:ilvl w:val="0"/>
          <w:numId w:val="35"/>
        </w:numPr>
        <w:spacing w:before="40" w:after="120" w:line="288" w:lineRule="auto"/>
        <w:rPr>
          <w:noProof/>
        </w:rPr>
      </w:pPr>
      <w:r w:rsidRPr="00B256FF">
        <w:rPr>
          <w:noProof/>
        </w:rPr>
        <w:t>Are the specific management consequences framed so they are relevant to program strategy and management and are also actionable within the reporting period? Are they also prioritised?</w:t>
      </w:r>
    </w:p>
    <w:p w:rsidR="005C72E2" w:rsidRPr="00B256FF" w:rsidRDefault="005C72E2" w:rsidP="005C72E2">
      <w:pPr>
        <w:pStyle w:val="BodyText"/>
        <w:numPr>
          <w:ilvl w:val="0"/>
          <w:numId w:val="35"/>
        </w:numPr>
        <w:spacing w:before="40" w:after="120" w:line="288" w:lineRule="auto"/>
        <w:rPr>
          <w:noProof/>
        </w:rPr>
      </w:pPr>
      <w:r w:rsidRPr="00B256FF">
        <w:rPr>
          <w:noProof/>
        </w:rPr>
        <w:t>Are lessons from the experience of implementing the previous year's management consequences noted and acted upon in this year's consequences section?</w:t>
      </w:r>
    </w:p>
    <w:p w:rsidR="005C72E2" w:rsidRPr="00B256FF" w:rsidRDefault="005C72E2" w:rsidP="005C72E2">
      <w:pPr>
        <w:pStyle w:val="BodyText"/>
        <w:pBdr>
          <w:top w:val="single" w:sz="4" w:space="1" w:color="auto"/>
        </w:pBdr>
        <w:rPr>
          <w:noProof/>
        </w:rPr>
      </w:pPr>
      <w:r w:rsidRPr="00B256FF">
        <w:rPr>
          <w:noProof/>
        </w:rPr>
        <w:t>After each APPR was assessed against the above questions, the review team also</w:t>
      </w:r>
      <w:r>
        <w:rPr>
          <w:noProof/>
        </w:rPr>
        <w:t xml:space="preserve"> commented on</w:t>
      </w:r>
      <w:r w:rsidRPr="00B256FF">
        <w:rPr>
          <w:noProof/>
        </w:rPr>
        <w:t>:</w:t>
      </w:r>
    </w:p>
    <w:p w:rsidR="005C72E2" w:rsidRPr="00B256FF" w:rsidRDefault="005C72E2" w:rsidP="005C72E2">
      <w:pPr>
        <w:pStyle w:val="BodyText"/>
        <w:numPr>
          <w:ilvl w:val="0"/>
          <w:numId w:val="36"/>
        </w:numPr>
        <w:spacing w:before="40" w:after="120" w:line="288" w:lineRule="auto"/>
        <w:rPr>
          <w:noProof/>
        </w:rPr>
      </w:pPr>
      <w:r w:rsidRPr="00B256FF">
        <w:rPr>
          <w:noProof/>
        </w:rPr>
        <w:t>the overall quality of each APPR</w:t>
      </w:r>
    </w:p>
    <w:p w:rsidR="005C72E2" w:rsidRPr="00B256FF" w:rsidRDefault="005C72E2" w:rsidP="005C72E2">
      <w:pPr>
        <w:pStyle w:val="BodyText"/>
        <w:numPr>
          <w:ilvl w:val="0"/>
          <w:numId w:val="36"/>
        </w:numPr>
        <w:spacing w:before="40" w:after="120" w:line="288" w:lineRule="auto"/>
        <w:rPr>
          <w:noProof/>
        </w:rPr>
      </w:pPr>
      <w:r>
        <w:rPr>
          <w:noProof/>
        </w:rPr>
        <w:t>o</w:t>
      </w:r>
      <w:r w:rsidRPr="00B256FF">
        <w:rPr>
          <w:noProof/>
        </w:rPr>
        <w:t>ther observations (e.g. reflections on compliance with guidance and emerging themes coming from assessments).</w:t>
      </w:r>
    </w:p>
    <w:p w:rsidR="005C72E2" w:rsidRDefault="005C72E2" w:rsidP="005A5815">
      <w:pPr>
        <w:pStyle w:val="BodyText"/>
        <w:rPr>
          <w:noProof/>
        </w:rPr>
      </w:pPr>
    </w:p>
    <w:p w:rsidR="00730153" w:rsidRDefault="00730153" w:rsidP="005A5815">
      <w:pPr>
        <w:pStyle w:val="BodyText"/>
        <w:rPr>
          <w:noProof/>
        </w:rPr>
        <w:sectPr w:rsidR="00730153" w:rsidSect="000957A1">
          <w:footnotePr>
            <w:numFmt w:val="chicago"/>
            <w:numRestart w:val="eachPage"/>
          </w:footnotePr>
          <w:endnotePr>
            <w:numFmt w:val="decimal"/>
          </w:endnotePr>
          <w:pgSz w:w="11907" w:h="16840" w:code="9"/>
          <w:pgMar w:top="958" w:right="1701" w:bottom="907" w:left="1701" w:header="851" w:footer="567" w:gutter="0"/>
          <w:cols w:space="720"/>
          <w:docGrid w:linePitch="326"/>
        </w:sectPr>
      </w:pPr>
    </w:p>
    <w:p w:rsidR="00730153" w:rsidRPr="00481AD1" w:rsidRDefault="009B585B" w:rsidP="009E33A2">
      <w:pPr>
        <w:pStyle w:val="Heading2"/>
      </w:pPr>
      <w:bookmarkStart w:id="78" w:name="_Toc422327015"/>
      <w:r w:rsidRPr="00DC3B84">
        <w:t xml:space="preserve">Appendix C: APPR quality by </w:t>
      </w:r>
      <w:r w:rsidR="00730153" w:rsidRPr="00DC3B84">
        <w:t>size and</w:t>
      </w:r>
      <w:r w:rsidR="009E33A2">
        <w:t xml:space="preserve"> whether program has a</w:t>
      </w:r>
      <w:r w:rsidR="00730153" w:rsidRPr="00481AD1">
        <w:t xml:space="preserve"> performance assessment framework</w:t>
      </w:r>
      <w:bookmarkEnd w:id="78"/>
    </w:p>
    <w:p w:rsidR="005C72E2" w:rsidRPr="00B256FF" w:rsidRDefault="005C72E2" w:rsidP="008D0560">
      <w:pPr>
        <w:pStyle w:val="TableandFigureName"/>
        <w:numPr>
          <w:ilvl w:val="0"/>
          <w:numId w:val="0"/>
        </w:numPr>
        <w:tabs>
          <w:tab w:val="clear" w:pos="993"/>
          <w:tab w:val="left" w:pos="1276"/>
        </w:tabs>
        <w:spacing w:after="360"/>
      </w:pPr>
      <w:bookmarkStart w:id="79" w:name="_Toc408606443"/>
      <w:r w:rsidRPr="00B256FF">
        <w:t xml:space="preserve">Table </w:t>
      </w:r>
      <w:r>
        <w:t>C1</w:t>
      </w:r>
      <w:r w:rsidR="00F76858">
        <w:tab/>
      </w:r>
      <w:r w:rsidRPr="00B256FF">
        <w:t xml:space="preserve">APPR quality by </w:t>
      </w:r>
      <w:bookmarkEnd w:id="79"/>
      <w:r w:rsidRPr="00B256FF">
        <w:t>program size and PAF*</w:t>
      </w:r>
    </w:p>
    <w:tbl>
      <w:tblPr>
        <w:tblW w:w="5000" w:type="pct"/>
        <w:tblBorders>
          <w:top w:val="single" w:sz="4" w:space="0" w:color="808080"/>
          <w:bottom w:val="single" w:sz="4" w:space="0" w:color="808080"/>
          <w:insideH w:val="single" w:sz="4" w:space="0" w:color="808080"/>
        </w:tblBorders>
        <w:tblLook w:val="04A0" w:firstRow="1" w:lastRow="0" w:firstColumn="1" w:lastColumn="0" w:noHBand="0" w:noVBand="1"/>
      </w:tblPr>
      <w:tblGrid>
        <w:gridCol w:w="2235"/>
        <w:gridCol w:w="3242"/>
        <w:gridCol w:w="3244"/>
      </w:tblGrid>
      <w:tr w:rsidR="002A3C5F" w:rsidRPr="00B256FF" w:rsidTr="002A3C5F">
        <w:trPr>
          <w:trHeight w:val="555"/>
        </w:trPr>
        <w:tc>
          <w:tcPr>
            <w:tcW w:w="1281" w:type="pct"/>
            <w:tcBorders>
              <w:bottom w:val="single" w:sz="4" w:space="0" w:color="808080"/>
            </w:tcBorders>
            <w:shd w:val="clear" w:color="auto" w:fill="auto"/>
          </w:tcPr>
          <w:p w:rsidR="002A3C5F" w:rsidRPr="00B256FF" w:rsidRDefault="002A3C5F" w:rsidP="000F3EEB">
            <w:pPr>
              <w:pStyle w:val="TableHeading1"/>
              <w:spacing w:before="80" w:after="80"/>
              <w:rPr>
                <w:color w:val="FFFFFF" w:themeColor="background1"/>
              </w:rPr>
            </w:pPr>
            <w:r w:rsidRPr="002A3C5F">
              <w:t>Quality category</w:t>
            </w:r>
          </w:p>
        </w:tc>
        <w:tc>
          <w:tcPr>
            <w:tcW w:w="3719" w:type="pct"/>
            <w:gridSpan w:val="2"/>
            <w:tcBorders>
              <w:bottom w:val="single" w:sz="4" w:space="0" w:color="808080"/>
            </w:tcBorders>
            <w:shd w:val="clear" w:color="auto" w:fill="auto"/>
            <w:vAlign w:val="bottom"/>
          </w:tcPr>
          <w:p w:rsidR="002A3C5F" w:rsidRPr="00B256FF" w:rsidRDefault="002A3C5F" w:rsidP="000F3EEB">
            <w:pPr>
              <w:pStyle w:val="TableHeading1Centred"/>
              <w:spacing w:before="80" w:after="80"/>
              <w:rPr>
                <w:color w:val="92D050"/>
              </w:rPr>
            </w:pPr>
            <w:r w:rsidRPr="002A3C5F">
              <w:t xml:space="preserve">Country program size is highlighted: </w:t>
            </w:r>
            <w:r>
              <w:rPr>
                <w:color w:val="FFFFFF" w:themeColor="background1"/>
              </w:rPr>
              <w:br/>
            </w:r>
            <w:r w:rsidRPr="00022939">
              <w:rPr>
                <w:color w:val="E36C0A" w:themeColor="accent6" w:themeShade="BF"/>
              </w:rPr>
              <w:t>less than $50 million,</w:t>
            </w:r>
            <w:r w:rsidRPr="00B256FF">
              <w:rPr>
                <w:color w:val="5A5A5A" w:themeColor="text1" w:themeTint="A5"/>
              </w:rPr>
              <w:t xml:space="preserve"> </w:t>
            </w:r>
            <w:r>
              <w:rPr>
                <w:color w:val="5A5A5A" w:themeColor="text1" w:themeTint="A5"/>
              </w:rPr>
              <w:br/>
            </w:r>
            <w:r w:rsidRPr="00B256FF">
              <w:rPr>
                <w:color w:val="00B0F0"/>
              </w:rPr>
              <w:t>between $50 million and $300 million</w:t>
            </w:r>
            <w:r w:rsidRPr="00B256FF">
              <w:rPr>
                <w:color w:val="5A5A5A" w:themeColor="text1" w:themeTint="A5"/>
              </w:rPr>
              <w:t xml:space="preserve"> </w:t>
            </w:r>
            <w:r w:rsidRPr="00B256FF">
              <w:rPr>
                <w:color w:val="FFFFFF" w:themeColor="background1"/>
              </w:rPr>
              <w:t xml:space="preserve">and </w:t>
            </w:r>
            <w:r>
              <w:rPr>
                <w:color w:val="FFFFFF" w:themeColor="background1"/>
              </w:rPr>
              <w:br/>
            </w:r>
            <w:r w:rsidRPr="007F347F">
              <w:rPr>
                <w:color w:val="92D050"/>
                <w:szCs w:val="21"/>
              </w:rPr>
              <w:t>over $300 million</w:t>
            </w:r>
            <w:r w:rsidRPr="00B256FF">
              <w:rPr>
                <w:color w:val="92D050"/>
              </w:rPr>
              <w:t>.</w:t>
            </w:r>
          </w:p>
          <w:p w:rsidR="002A3C5F" w:rsidRPr="00B256FF" w:rsidRDefault="002A3C5F" w:rsidP="000F3EEB">
            <w:pPr>
              <w:pStyle w:val="TableHeading1Centred"/>
              <w:spacing w:before="80" w:after="80"/>
              <w:rPr>
                <w:color w:val="FFFFFF" w:themeColor="background1"/>
              </w:rPr>
            </w:pPr>
            <w:r w:rsidRPr="002A3C5F">
              <w:t>(*programs with a PAF)</w:t>
            </w:r>
          </w:p>
        </w:tc>
      </w:tr>
      <w:tr w:rsidR="002A3C5F" w:rsidRPr="00B256FF" w:rsidTr="008D0560">
        <w:trPr>
          <w:trHeight w:val="510"/>
        </w:trPr>
        <w:tc>
          <w:tcPr>
            <w:tcW w:w="1281" w:type="pct"/>
            <w:tcBorders>
              <w:bottom w:val="nil"/>
            </w:tcBorders>
            <w:shd w:val="clear" w:color="auto" w:fill="auto"/>
          </w:tcPr>
          <w:p w:rsidR="002A3C5F" w:rsidRPr="00B256FF" w:rsidRDefault="002A3C5F" w:rsidP="000F3EEB">
            <w:pPr>
              <w:pStyle w:val="TableHeading2"/>
              <w:spacing w:before="80" w:after="80"/>
            </w:pPr>
            <w:r w:rsidRPr="00B256FF">
              <w:t>High quality</w:t>
            </w:r>
          </w:p>
        </w:tc>
        <w:tc>
          <w:tcPr>
            <w:tcW w:w="1859" w:type="pct"/>
            <w:tcBorders>
              <w:right w:val="single" w:sz="4" w:space="0" w:color="808080"/>
            </w:tcBorders>
            <w:shd w:val="clear" w:color="auto" w:fill="00B0F0"/>
            <w:vAlign w:val="center"/>
          </w:tcPr>
          <w:p w:rsidR="002A3C5F" w:rsidRPr="00B256FF" w:rsidRDefault="002A3C5F" w:rsidP="002A3C5F">
            <w:pPr>
              <w:pStyle w:val="TableText"/>
            </w:pPr>
            <w:r w:rsidRPr="00B256FF">
              <w:t>Pakistan*</w:t>
            </w:r>
          </w:p>
        </w:tc>
        <w:tc>
          <w:tcPr>
            <w:tcW w:w="1860" w:type="pct"/>
            <w:tcBorders>
              <w:left w:val="single" w:sz="4" w:space="0" w:color="808080"/>
            </w:tcBorders>
            <w:shd w:val="clear" w:color="auto" w:fill="00B0F0"/>
            <w:vAlign w:val="center"/>
          </w:tcPr>
          <w:p w:rsidR="002A3C5F" w:rsidRPr="00B256FF" w:rsidRDefault="002A3C5F" w:rsidP="002A3C5F">
            <w:pPr>
              <w:pStyle w:val="TableText"/>
              <w:rPr>
                <w:highlight w:val="yellow"/>
              </w:rPr>
            </w:pPr>
            <w:r w:rsidRPr="00B256FF">
              <w:t>Solomon Islands*</w:t>
            </w:r>
          </w:p>
        </w:tc>
      </w:tr>
      <w:tr w:rsidR="002A3C5F" w:rsidRPr="00B256FF" w:rsidTr="008D0560">
        <w:trPr>
          <w:trHeight w:val="510"/>
        </w:trPr>
        <w:tc>
          <w:tcPr>
            <w:tcW w:w="1281" w:type="pct"/>
            <w:tcBorders>
              <w:top w:val="nil"/>
              <w:bottom w:val="nil"/>
            </w:tcBorders>
            <w:shd w:val="clear" w:color="auto" w:fill="auto"/>
          </w:tcPr>
          <w:p w:rsidR="002A3C5F" w:rsidRPr="00B256FF" w:rsidRDefault="002A3C5F" w:rsidP="000F3EEB">
            <w:pPr>
              <w:spacing w:before="80" w:after="80"/>
              <w:rPr>
                <w:b/>
                <w:color w:val="000000"/>
                <w:sz w:val="20"/>
              </w:rPr>
            </w:pPr>
          </w:p>
        </w:tc>
        <w:tc>
          <w:tcPr>
            <w:tcW w:w="1859" w:type="pct"/>
            <w:tcBorders>
              <w:right w:val="single" w:sz="4" w:space="0" w:color="808080"/>
            </w:tcBorders>
            <w:shd w:val="clear" w:color="auto" w:fill="00B0F0"/>
            <w:vAlign w:val="center"/>
          </w:tcPr>
          <w:p w:rsidR="002A3C5F" w:rsidRPr="00B256FF" w:rsidRDefault="002A3C5F" w:rsidP="002A3C5F">
            <w:pPr>
              <w:pStyle w:val="TableText"/>
            </w:pPr>
            <w:r w:rsidRPr="00B256FF">
              <w:t>Bangladesh*</w:t>
            </w:r>
          </w:p>
        </w:tc>
        <w:tc>
          <w:tcPr>
            <w:tcW w:w="1860" w:type="pct"/>
            <w:tcBorders>
              <w:left w:val="single" w:sz="4" w:space="0" w:color="808080"/>
            </w:tcBorders>
            <w:shd w:val="clear" w:color="auto" w:fill="00B0F0"/>
            <w:vAlign w:val="center"/>
          </w:tcPr>
          <w:p w:rsidR="002A3C5F" w:rsidRPr="00B256FF" w:rsidRDefault="002A3C5F" w:rsidP="002A3C5F">
            <w:pPr>
              <w:pStyle w:val="TableText"/>
              <w:rPr>
                <w:highlight w:val="yellow"/>
              </w:rPr>
            </w:pPr>
            <w:r w:rsidRPr="00B256FF">
              <w:t>Burma*</w:t>
            </w:r>
          </w:p>
        </w:tc>
      </w:tr>
      <w:tr w:rsidR="002A3C5F" w:rsidRPr="00B256FF" w:rsidTr="008D0560">
        <w:trPr>
          <w:trHeight w:val="510"/>
        </w:trPr>
        <w:tc>
          <w:tcPr>
            <w:tcW w:w="1281" w:type="pct"/>
            <w:tcBorders>
              <w:top w:val="nil"/>
              <w:bottom w:val="nil"/>
            </w:tcBorders>
            <w:shd w:val="clear" w:color="auto" w:fill="auto"/>
          </w:tcPr>
          <w:p w:rsidR="002A3C5F" w:rsidRPr="00B256FF" w:rsidRDefault="002A3C5F" w:rsidP="000F3EEB">
            <w:pPr>
              <w:spacing w:before="80" w:after="80"/>
              <w:rPr>
                <w:b/>
                <w:color w:val="000000"/>
                <w:sz w:val="20"/>
              </w:rPr>
            </w:pPr>
          </w:p>
        </w:tc>
        <w:tc>
          <w:tcPr>
            <w:tcW w:w="1859" w:type="pct"/>
            <w:tcBorders>
              <w:right w:val="single" w:sz="4" w:space="0" w:color="808080"/>
            </w:tcBorders>
            <w:shd w:val="clear" w:color="auto" w:fill="00B0F0"/>
            <w:vAlign w:val="center"/>
          </w:tcPr>
          <w:p w:rsidR="002A3C5F" w:rsidRPr="00B256FF" w:rsidRDefault="002A3C5F" w:rsidP="002A3C5F">
            <w:pPr>
              <w:pStyle w:val="TableText"/>
            </w:pPr>
            <w:r w:rsidRPr="00B256FF">
              <w:t>Palestinian Territories</w:t>
            </w:r>
          </w:p>
        </w:tc>
        <w:tc>
          <w:tcPr>
            <w:tcW w:w="1860" w:type="pct"/>
            <w:tcBorders>
              <w:left w:val="single" w:sz="4" w:space="0" w:color="808080"/>
            </w:tcBorders>
            <w:shd w:val="clear" w:color="auto" w:fill="F79646"/>
            <w:vAlign w:val="center"/>
          </w:tcPr>
          <w:p w:rsidR="002A3C5F" w:rsidRPr="00B256FF" w:rsidRDefault="002A3C5F" w:rsidP="002A3C5F">
            <w:pPr>
              <w:pStyle w:val="TableText"/>
            </w:pPr>
            <w:r w:rsidRPr="00B256FF">
              <w:t>Kiribati</w:t>
            </w:r>
          </w:p>
        </w:tc>
      </w:tr>
      <w:tr w:rsidR="002A3C5F" w:rsidRPr="00B256FF" w:rsidTr="008D0560">
        <w:trPr>
          <w:trHeight w:val="510"/>
        </w:trPr>
        <w:tc>
          <w:tcPr>
            <w:tcW w:w="1281" w:type="pct"/>
            <w:tcBorders>
              <w:top w:val="nil"/>
              <w:bottom w:val="single" w:sz="4" w:space="0" w:color="808080"/>
            </w:tcBorders>
            <w:shd w:val="clear" w:color="auto" w:fill="auto"/>
          </w:tcPr>
          <w:p w:rsidR="002A3C5F" w:rsidRPr="00B256FF" w:rsidRDefault="002A3C5F" w:rsidP="000F3EEB">
            <w:pPr>
              <w:spacing w:before="80" w:after="80"/>
              <w:rPr>
                <w:b/>
                <w:color w:val="000000"/>
                <w:sz w:val="20"/>
              </w:rPr>
            </w:pPr>
          </w:p>
        </w:tc>
        <w:tc>
          <w:tcPr>
            <w:tcW w:w="1859" w:type="pct"/>
            <w:tcBorders>
              <w:right w:val="single" w:sz="4" w:space="0" w:color="808080"/>
            </w:tcBorders>
            <w:shd w:val="clear" w:color="auto" w:fill="00B0F0"/>
            <w:vAlign w:val="center"/>
          </w:tcPr>
          <w:p w:rsidR="002A3C5F" w:rsidRPr="00B256FF" w:rsidRDefault="002A3C5F" w:rsidP="002A3C5F">
            <w:pPr>
              <w:pStyle w:val="TableText"/>
            </w:pPr>
            <w:r w:rsidRPr="00B256FF">
              <w:t>Philippines*</w:t>
            </w:r>
          </w:p>
        </w:tc>
        <w:tc>
          <w:tcPr>
            <w:tcW w:w="1860" w:type="pct"/>
            <w:tcBorders>
              <w:left w:val="single" w:sz="4" w:space="0" w:color="808080"/>
            </w:tcBorders>
            <w:shd w:val="clear" w:color="auto" w:fill="00B0F0"/>
            <w:vAlign w:val="center"/>
          </w:tcPr>
          <w:p w:rsidR="002A3C5F" w:rsidRPr="00B256FF" w:rsidRDefault="002A3C5F" w:rsidP="002A3C5F">
            <w:pPr>
              <w:pStyle w:val="TableText"/>
              <w:rPr>
                <w:highlight w:val="yellow"/>
              </w:rPr>
            </w:pPr>
            <w:r w:rsidRPr="00B256FF">
              <w:t>Timor</w:t>
            </w:r>
            <w:r>
              <w:t>-</w:t>
            </w:r>
            <w:r w:rsidRPr="00B256FF">
              <w:t>Leste*</w:t>
            </w:r>
          </w:p>
        </w:tc>
      </w:tr>
      <w:tr w:rsidR="002A3C5F" w:rsidRPr="00B256FF" w:rsidTr="008D0560">
        <w:trPr>
          <w:trHeight w:val="510"/>
        </w:trPr>
        <w:tc>
          <w:tcPr>
            <w:tcW w:w="1281" w:type="pct"/>
            <w:tcBorders>
              <w:bottom w:val="nil"/>
            </w:tcBorders>
            <w:shd w:val="clear" w:color="auto" w:fill="auto"/>
          </w:tcPr>
          <w:p w:rsidR="002A3C5F" w:rsidRPr="00B256FF" w:rsidRDefault="002A3C5F" w:rsidP="000F3EEB">
            <w:pPr>
              <w:pStyle w:val="TableHeading2"/>
              <w:spacing w:before="80" w:after="80"/>
            </w:pPr>
            <w:r w:rsidRPr="00B256FF">
              <w:t>Good quality</w:t>
            </w:r>
          </w:p>
        </w:tc>
        <w:tc>
          <w:tcPr>
            <w:tcW w:w="1859" w:type="pct"/>
            <w:tcBorders>
              <w:right w:val="single" w:sz="4" w:space="0" w:color="808080"/>
            </w:tcBorders>
            <w:shd w:val="clear" w:color="auto" w:fill="92D050"/>
            <w:vAlign w:val="center"/>
          </w:tcPr>
          <w:p w:rsidR="002A3C5F" w:rsidRPr="00B256FF" w:rsidRDefault="002A3C5F" w:rsidP="002A3C5F">
            <w:pPr>
              <w:pStyle w:val="TableText"/>
            </w:pPr>
            <w:r w:rsidRPr="00B256FF">
              <w:t>Indonesia</w:t>
            </w:r>
          </w:p>
        </w:tc>
        <w:tc>
          <w:tcPr>
            <w:tcW w:w="1860" w:type="pct"/>
            <w:tcBorders>
              <w:left w:val="single" w:sz="4" w:space="0" w:color="808080"/>
            </w:tcBorders>
            <w:shd w:val="clear" w:color="auto" w:fill="F79646" w:themeFill="accent6"/>
            <w:vAlign w:val="center"/>
          </w:tcPr>
          <w:p w:rsidR="002A3C5F" w:rsidRPr="00B256FF" w:rsidRDefault="002A3C5F" w:rsidP="002A3C5F">
            <w:pPr>
              <w:pStyle w:val="TableText"/>
            </w:pPr>
            <w:r w:rsidRPr="000F54D7">
              <w:t>Vanuatu</w:t>
            </w:r>
          </w:p>
        </w:tc>
      </w:tr>
      <w:tr w:rsidR="002A3C5F" w:rsidRPr="00B256FF" w:rsidTr="008D0560">
        <w:trPr>
          <w:trHeight w:val="510"/>
        </w:trPr>
        <w:tc>
          <w:tcPr>
            <w:tcW w:w="1281" w:type="pct"/>
            <w:tcBorders>
              <w:top w:val="nil"/>
              <w:bottom w:val="nil"/>
            </w:tcBorders>
            <w:shd w:val="clear" w:color="auto" w:fill="auto"/>
          </w:tcPr>
          <w:p w:rsidR="002A3C5F" w:rsidRPr="00B256FF" w:rsidRDefault="002A3C5F" w:rsidP="000F3EEB">
            <w:pPr>
              <w:spacing w:before="80" w:after="80"/>
              <w:rPr>
                <w:b/>
                <w:color w:val="000000"/>
                <w:sz w:val="20"/>
              </w:rPr>
            </w:pPr>
          </w:p>
        </w:tc>
        <w:tc>
          <w:tcPr>
            <w:tcW w:w="1859" w:type="pct"/>
            <w:tcBorders>
              <w:right w:val="single" w:sz="4" w:space="0" w:color="808080"/>
            </w:tcBorders>
            <w:shd w:val="clear" w:color="auto" w:fill="00B0F0"/>
            <w:vAlign w:val="center"/>
          </w:tcPr>
          <w:p w:rsidR="002A3C5F" w:rsidRPr="00B256FF" w:rsidRDefault="002A3C5F" w:rsidP="002A3C5F">
            <w:pPr>
              <w:pStyle w:val="TableText"/>
            </w:pPr>
            <w:r w:rsidRPr="00B256FF">
              <w:t>Laos*</w:t>
            </w:r>
          </w:p>
        </w:tc>
        <w:tc>
          <w:tcPr>
            <w:tcW w:w="1860" w:type="pct"/>
            <w:tcBorders>
              <w:left w:val="single" w:sz="4" w:space="0" w:color="808080"/>
            </w:tcBorders>
            <w:shd w:val="clear" w:color="auto" w:fill="00B0F0"/>
            <w:vAlign w:val="center"/>
          </w:tcPr>
          <w:p w:rsidR="002A3C5F" w:rsidRPr="00B256FF" w:rsidRDefault="002A3C5F" w:rsidP="002A3C5F">
            <w:pPr>
              <w:pStyle w:val="TableText"/>
              <w:rPr>
                <w:highlight w:val="yellow"/>
              </w:rPr>
            </w:pPr>
            <w:r w:rsidRPr="00B256FF">
              <w:t>Afghanistan*</w:t>
            </w:r>
          </w:p>
        </w:tc>
      </w:tr>
      <w:tr w:rsidR="002A3C5F" w:rsidRPr="00B256FF" w:rsidTr="008D0560">
        <w:trPr>
          <w:trHeight w:val="510"/>
        </w:trPr>
        <w:tc>
          <w:tcPr>
            <w:tcW w:w="1281" w:type="pct"/>
            <w:tcBorders>
              <w:top w:val="nil"/>
              <w:bottom w:val="nil"/>
            </w:tcBorders>
            <w:shd w:val="clear" w:color="auto" w:fill="auto"/>
          </w:tcPr>
          <w:p w:rsidR="002A3C5F" w:rsidRPr="00B256FF" w:rsidRDefault="002A3C5F" w:rsidP="000F3EEB">
            <w:pPr>
              <w:spacing w:before="80" w:after="80"/>
              <w:rPr>
                <w:b/>
                <w:color w:val="000000"/>
                <w:sz w:val="20"/>
              </w:rPr>
            </w:pPr>
          </w:p>
        </w:tc>
        <w:tc>
          <w:tcPr>
            <w:tcW w:w="1859" w:type="pct"/>
            <w:tcBorders>
              <w:right w:val="single" w:sz="4" w:space="0" w:color="808080"/>
            </w:tcBorders>
            <w:shd w:val="clear" w:color="auto" w:fill="F79646"/>
            <w:vAlign w:val="center"/>
          </w:tcPr>
          <w:p w:rsidR="002A3C5F" w:rsidRPr="00B256FF" w:rsidRDefault="002A3C5F" w:rsidP="002A3C5F">
            <w:pPr>
              <w:pStyle w:val="TableText"/>
            </w:pPr>
            <w:r w:rsidRPr="00B256FF">
              <w:t xml:space="preserve">Mekong Water </w:t>
            </w:r>
            <w:r>
              <w:t>R</w:t>
            </w:r>
            <w:r w:rsidRPr="00B256FF">
              <w:t>esource</w:t>
            </w:r>
            <w:r>
              <w:t>s</w:t>
            </w:r>
            <w:r w:rsidRPr="00B256FF">
              <w:t>*</w:t>
            </w:r>
          </w:p>
        </w:tc>
        <w:tc>
          <w:tcPr>
            <w:tcW w:w="1860" w:type="pct"/>
            <w:tcBorders>
              <w:left w:val="single" w:sz="4" w:space="0" w:color="808080"/>
            </w:tcBorders>
            <w:shd w:val="clear" w:color="auto" w:fill="00B0F0"/>
            <w:vAlign w:val="center"/>
          </w:tcPr>
          <w:p w:rsidR="002A3C5F" w:rsidRPr="00B256FF" w:rsidRDefault="002A3C5F" w:rsidP="002A3C5F">
            <w:pPr>
              <w:pStyle w:val="TableText"/>
              <w:rPr>
                <w:highlight w:val="yellow"/>
              </w:rPr>
            </w:pPr>
            <w:r w:rsidRPr="00B256FF">
              <w:t>Cambodia*</w:t>
            </w:r>
          </w:p>
        </w:tc>
      </w:tr>
      <w:tr w:rsidR="002A3C5F" w:rsidRPr="00B256FF" w:rsidTr="008D0560">
        <w:trPr>
          <w:trHeight w:val="510"/>
        </w:trPr>
        <w:tc>
          <w:tcPr>
            <w:tcW w:w="1281" w:type="pct"/>
            <w:tcBorders>
              <w:top w:val="nil"/>
              <w:bottom w:val="nil"/>
            </w:tcBorders>
            <w:shd w:val="clear" w:color="auto" w:fill="auto"/>
          </w:tcPr>
          <w:p w:rsidR="002A3C5F" w:rsidRPr="00B256FF" w:rsidRDefault="002A3C5F" w:rsidP="000F3EEB">
            <w:pPr>
              <w:spacing w:before="80" w:after="80"/>
              <w:rPr>
                <w:b/>
                <w:color w:val="000000"/>
                <w:sz w:val="20"/>
              </w:rPr>
            </w:pPr>
          </w:p>
        </w:tc>
        <w:tc>
          <w:tcPr>
            <w:tcW w:w="1859" w:type="pct"/>
            <w:tcBorders>
              <w:right w:val="single" w:sz="4" w:space="0" w:color="808080"/>
            </w:tcBorders>
            <w:shd w:val="clear" w:color="auto" w:fill="F79646"/>
            <w:vAlign w:val="center"/>
          </w:tcPr>
          <w:p w:rsidR="002A3C5F" w:rsidRPr="00B256FF" w:rsidRDefault="002A3C5F" w:rsidP="002A3C5F">
            <w:pPr>
              <w:pStyle w:val="TableText"/>
            </w:pPr>
            <w:r w:rsidRPr="00B256FF">
              <w:t>South Asia Regional</w:t>
            </w:r>
          </w:p>
        </w:tc>
        <w:tc>
          <w:tcPr>
            <w:tcW w:w="1860" w:type="pct"/>
            <w:tcBorders>
              <w:left w:val="single" w:sz="4" w:space="0" w:color="808080"/>
            </w:tcBorders>
            <w:shd w:val="clear" w:color="auto" w:fill="F79646" w:themeFill="accent6"/>
            <w:vAlign w:val="center"/>
          </w:tcPr>
          <w:p w:rsidR="002A3C5F" w:rsidRPr="00B256FF" w:rsidRDefault="002A3C5F" w:rsidP="002A3C5F">
            <w:pPr>
              <w:pStyle w:val="TableText"/>
            </w:pPr>
            <w:r w:rsidRPr="00B256FF">
              <w:t>East Asia Regional*</w:t>
            </w:r>
          </w:p>
        </w:tc>
      </w:tr>
      <w:tr w:rsidR="002A3C5F" w:rsidRPr="00B256FF" w:rsidTr="008D0560">
        <w:trPr>
          <w:trHeight w:val="510"/>
        </w:trPr>
        <w:tc>
          <w:tcPr>
            <w:tcW w:w="1281" w:type="pct"/>
            <w:tcBorders>
              <w:top w:val="nil"/>
              <w:bottom w:val="nil"/>
            </w:tcBorders>
            <w:shd w:val="clear" w:color="auto" w:fill="auto"/>
          </w:tcPr>
          <w:p w:rsidR="002A3C5F" w:rsidRPr="00B256FF" w:rsidRDefault="002A3C5F" w:rsidP="000F3EEB">
            <w:pPr>
              <w:spacing w:before="80" w:after="80"/>
              <w:rPr>
                <w:b/>
                <w:color w:val="000000"/>
                <w:sz w:val="20"/>
              </w:rPr>
            </w:pPr>
          </w:p>
        </w:tc>
        <w:tc>
          <w:tcPr>
            <w:tcW w:w="1859" w:type="pct"/>
            <w:tcBorders>
              <w:right w:val="single" w:sz="4" w:space="0" w:color="808080"/>
            </w:tcBorders>
            <w:shd w:val="clear" w:color="auto" w:fill="F79646"/>
            <w:vAlign w:val="center"/>
          </w:tcPr>
          <w:p w:rsidR="002A3C5F" w:rsidRPr="00B256FF" w:rsidRDefault="002A3C5F" w:rsidP="002A3C5F">
            <w:pPr>
              <w:pStyle w:val="TableText"/>
            </w:pPr>
            <w:r w:rsidRPr="00B256FF">
              <w:t>Sri Lanka</w:t>
            </w:r>
          </w:p>
        </w:tc>
        <w:tc>
          <w:tcPr>
            <w:tcW w:w="1860" w:type="pct"/>
            <w:tcBorders>
              <w:left w:val="single" w:sz="4" w:space="0" w:color="808080"/>
            </w:tcBorders>
            <w:shd w:val="clear" w:color="auto" w:fill="00B0F0"/>
            <w:vAlign w:val="center"/>
          </w:tcPr>
          <w:p w:rsidR="002A3C5F" w:rsidRPr="00B256FF" w:rsidRDefault="002A3C5F" w:rsidP="002A3C5F">
            <w:pPr>
              <w:pStyle w:val="TableText"/>
            </w:pPr>
            <w:r w:rsidRPr="00B256FF">
              <w:t>Pacific Regional</w:t>
            </w:r>
          </w:p>
        </w:tc>
      </w:tr>
      <w:tr w:rsidR="002A3C5F" w:rsidRPr="00B256FF" w:rsidTr="008D0560">
        <w:trPr>
          <w:trHeight w:val="510"/>
        </w:trPr>
        <w:tc>
          <w:tcPr>
            <w:tcW w:w="1281" w:type="pct"/>
            <w:tcBorders>
              <w:top w:val="nil"/>
              <w:bottom w:val="nil"/>
            </w:tcBorders>
            <w:shd w:val="clear" w:color="auto" w:fill="auto"/>
          </w:tcPr>
          <w:p w:rsidR="002A3C5F" w:rsidRPr="00B256FF" w:rsidRDefault="002A3C5F" w:rsidP="000F3EEB">
            <w:pPr>
              <w:spacing w:before="80" w:after="80"/>
              <w:rPr>
                <w:b/>
                <w:color w:val="000000"/>
                <w:sz w:val="20"/>
              </w:rPr>
            </w:pPr>
          </w:p>
        </w:tc>
        <w:tc>
          <w:tcPr>
            <w:tcW w:w="1859" w:type="pct"/>
            <w:tcBorders>
              <w:right w:val="single" w:sz="4" w:space="0" w:color="808080"/>
            </w:tcBorders>
            <w:shd w:val="clear" w:color="auto" w:fill="00B0F0"/>
            <w:vAlign w:val="center"/>
          </w:tcPr>
          <w:p w:rsidR="002A3C5F" w:rsidRPr="00B256FF" w:rsidRDefault="002A3C5F" w:rsidP="002A3C5F">
            <w:pPr>
              <w:pStyle w:val="TableText"/>
            </w:pPr>
            <w:r w:rsidRPr="00B256FF">
              <w:t>Vietnam*</w:t>
            </w:r>
          </w:p>
        </w:tc>
        <w:tc>
          <w:tcPr>
            <w:tcW w:w="1860" w:type="pct"/>
            <w:tcBorders>
              <w:left w:val="single" w:sz="4" w:space="0" w:color="808080"/>
            </w:tcBorders>
            <w:shd w:val="clear" w:color="auto" w:fill="92D050"/>
            <w:vAlign w:val="center"/>
          </w:tcPr>
          <w:p w:rsidR="002A3C5F" w:rsidRPr="00B256FF" w:rsidRDefault="002A3C5F" w:rsidP="002A3C5F">
            <w:pPr>
              <w:pStyle w:val="TableText"/>
            </w:pPr>
            <w:r w:rsidRPr="00B256FF">
              <w:t>PNG</w:t>
            </w:r>
          </w:p>
        </w:tc>
      </w:tr>
      <w:tr w:rsidR="002A3C5F" w:rsidRPr="00B256FF" w:rsidTr="008D0560">
        <w:trPr>
          <w:trHeight w:val="510"/>
        </w:trPr>
        <w:tc>
          <w:tcPr>
            <w:tcW w:w="1281" w:type="pct"/>
            <w:tcBorders>
              <w:top w:val="nil"/>
              <w:bottom w:val="nil"/>
            </w:tcBorders>
            <w:shd w:val="clear" w:color="auto" w:fill="auto"/>
          </w:tcPr>
          <w:p w:rsidR="002A3C5F" w:rsidRPr="00B256FF" w:rsidRDefault="002A3C5F" w:rsidP="000F3EEB">
            <w:pPr>
              <w:spacing w:before="80" w:after="80"/>
              <w:rPr>
                <w:b/>
                <w:color w:val="000000"/>
                <w:sz w:val="20"/>
              </w:rPr>
            </w:pPr>
          </w:p>
        </w:tc>
        <w:tc>
          <w:tcPr>
            <w:tcW w:w="1859" w:type="pct"/>
            <w:tcBorders>
              <w:right w:val="single" w:sz="4" w:space="0" w:color="808080"/>
            </w:tcBorders>
            <w:shd w:val="clear" w:color="auto" w:fill="F79646"/>
            <w:vAlign w:val="center"/>
          </w:tcPr>
          <w:p w:rsidR="002A3C5F" w:rsidRPr="00B256FF" w:rsidRDefault="002A3C5F" w:rsidP="002A3C5F">
            <w:pPr>
              <w:pStyle w:val="TableText"/>
            </w:pPr>
            <w:r w:rsidRPr="00B256FF">
              <w:t>Samoa</w:t>
            </w:r>
          </w:p>
        </w:tc>
        <w:tc>
          <w:tcPr>
            <w:tcW w:w="1860" w:type="pct"/>
            <w:tcBorders>
              <w:left w:val="single" w:sz="4" w:space="0" w:color="808080"/>
            </w:tcBorders>
            <w:shd w:val="clear" w:color="auto" w:fill="F79646"/>
            <w:vAlign w:val="center"/>
          </w:tcPr>
          <w:p w:rsidR="002A3C5F" w:rsidRPr="00B256FF" w:rsidRDefault="002A3C5F" w:rsidP="002A3C5F">
            <w:pPr>
              <w:pStyle w:val="TableText"/>
            </w:pPr>
            <w:r w:rsidRPr="00B256FF">
              <w:t>Tonga</w:t>
            </w:r>
          </w:p>
        </w:tc>
      </w:tr>
      <w:tr w:rsidR="002A3C5F" w:rsidRPr="00B256FF" w:rsidTr="008D0560">
        <w:trPr>
          <w:trHeight w:val="510"/>
        </w:trPr>
        <w:tc>
          <w:tcPr>
            <w:tcW w:w="1281" w:type="pct"/>
            <w:tcBorders>
              <w:top w:val="nil"/>
              <w:bottom w:val="single" w:sz="4" w:space="0" w:color="808080"/>
            </w:tcBorders>
            <w:shd w:val="clear" w:color="auto" w:fill="auto"/>
          </w:tcPr>
          <w:p w:rsidR="002A3C5F" w:rsidRPr="00B256FF" w:rsidRDefault="002A3C5F" w:rsidP="000F3EEB">
            <w:pPr>
              <w:spacing w:before="80" w:after="80"/>
              <w:rPr>
                <w:b/>
                <w:color w:val="000000"/>
                <w:sz w:val="20"/>
              </w:rPr>
            </w:pPr>
          </w:p>
        </w:tc>
        <w:tc>
          <w:tcPr>
            <w:tcW w:w="1859" w:type="pct"/>
            <w:tcBorders>
              <w:right w:val="single" w:sz="4" w:space="0" w:color="808080"/>
            </w:tcBorders>
            <w:shd w:val="clear" w:color="auto" w:fill="00B0F0"/>
            <w:vAlign w:val="center"/>
          </w:tcPr>
          <w:p w:rsidR="002A3C5F" w:rsidRPr="00B256FF" w:rsidRDefault="002A3C5F" w:rsidP="002A3C5F">
            <w:pPr>
              <w:pStyle w:val="TableText"/>
            </w:pPr>
            <w:r w:rsidRPr="00B256FF">
              <w:t>Sub-Saharan Africa</w:t>
            </w:r>
          </w:p>
        </w:tc>
        <w:tc>
          <w:tcPr>
            <w:tcW w:w="1860" w:type="pct"/>
            <w:tcBorders>
              <w:left w:val="single" w:sz="4" w:space="0" w:color="808080"/>
            </w:tcBorders>
            <w:shd w:val="clear" w:color="auto" w:fill="F79646" w:themeFill="accent6"/>
            <w:vAlign w:val="center"/>
          </w:tcPr>
          <w:p w:rsidR="002A3C5F" w:rsidRPr="00B256FF" w:rsidRDefault="002A3C5F" w:rsidP="002A3C5F">
            <w:pPr>
              <w:pStyle w:val="TableText"/>
            </w:pPr>
            <w:r w:rsidRPr="00B256FF">
              <w:t>Tuvalu</w:t>
            </w:r>
          </w:p>
        </w:tc>
      </w:tr>
      <w:tr w:rsidR="002A3C5F" w:rsidRPr="00B256FF" w:rsidTr="008D0560">
        <w:trPr>
          <w:trHeight w:val="510"/>
        </w:trPr>
        <w:tc>
          <w:tcPr>
            <w:tcW w:w="1281" w:type="pct"/>
            <w:tcBorders>
              <w:bottom w:val="nil"/>
            </w:tcBorders>
            <w:shd w:val="clear" w:color="auto" w:fill="auto"/>
          </w:tcPr>
          <w:p w:rsidR="002A3C5F" w:rsidRPr="00B256FF" w:rsidRDefault="002A3C5F" w:rsidP="000F3EEB">
            <w:pPr>
              <w:pStyle w:val="TableHeading2"/>
              <w:spacing w:before="80" w:after="80"/>
            </w:pPr>
            <w:r w:rsidRPr="00B256FF">
              <w:t>Adequate quality</w:t>
            </w:r>
          </w:p>
        </w:tc>
        <w:tc>
          <w:tcPr>
            <w:tcW w:w="1859" w:type="pct"/>
            <w:tcBorders>
              <w:right w:val="single" w:sz="4" w:space="0" w:color="808080"/>
            </w:tcBorders>
            <w:shd w:val="clear" w:color="auto" w:fill="00B0F0"/>
            <w:vAlign w:val="center"/>
          </w:tcPr>
          <w:p w:rsidR="002A3C5F" w:rsidRPr="00B256FF" w:rsidRDefault="002A3C5F" w:rsidP="002A3C5F">
            <w:pPr>
              <w:pStyle w:val="TableText"/>
            </w:pPr>
            <w:r w:rsidRPr="00B256FF">
              <w:t>ANCP</w:t>
            </w:r>
          </w:p>
        </w:tc>
        <w:tc>
          <w:tcPr>
            <w:tcW w:w="1860" w:type="pct"/>
            <w:tcBorders>
              <w:left w:val="single" w:sz="4" w:space="0" w:color="808080"/>
            </w:tcBorders>
            <w:shd w:val="clear" w:color="auto" w:fill="F79646" w:themeFill="accent6"/>
            <w:vAlign w:val="center"/>
          </w:tcPr>
          <w:p w:rsidR="002A3C5F" w:rsidRPr="00B256FF" w:rsidRDefault="002A3C5F" w:rsidP="002A3C5F">
            <w:pPr>
              <w:pStyle w:val="TableText"/>
            </w:pPr>
            <w:r w:rsidRPr="00B256FF">
              <w:t>Mongolia*</w:t>
            </w:r>
          </w:p>
        </w:tc>
      </w:tr>
      <w:tr w:rsidR="002A3C5F" w:rsidRPr="00B256FF" w:rsidTr="008D0560">
        <w:trPr>
          <w:trHeight w:val="510"/>
        </w:trPr>
        <w:tc>
          <w:tcPr>
            <w:tcW w:w="1281" w:type="pct"/>
            <w:tcBorders>
              <w:top w:val="nil"/>
            </w:tcBorders>
            <w:shd w:val="clear" w:color="auto" w:fill="auto"/>
          </w:tcPr>
          <w:p w:rsidR="002A3C5F" w:rsidRPr="00B256FF" w:rsidRDefault="002A3C5F" w:rsidP="005A7AB4">
            <w:pPr>
              <w:rPr>
                <w:b/>
                <w:color w:val="000000"/>
                <w:sz w:val="20"/>
              </w:rPr>
            </w:pPr>
          </w:p>
        </w:tc>
        <w:tc>
          <w:tcPr>
            <w:tcW w:w="1859" w:type="pct"/>
            <w:tcBorders>
              <w:right w:val="single" w:sz="4" w:space="0" w:color="808080"/>
            </w:tcBorders>
            <w:shd w:val="clear" w:color="auto" w:fill="F79646"/>
            <w:vAlign w:val="center"/>
          </w:tcPr>
          <w:p w:rsidR="002A3C5F" w:rsidRPr="00B256FF" w:rsidRDefault="002A3C5F" w:rsidP="002A3C5F">
            <w:pPr>
              <w:pStyle w:val="TableText"/>
            </w:pPr>
            <w:r w:rsidRPr="00B256FF">
              <w:t>Fiji</w:t>
            </w:r>
          </w:p>
        </w:tc>
        <w:tc>
          <w:tcPr>
            <w:tcW w:w="1860" w:type="pct"/>
            <w:tcBorders>
              <w:left w:val="single" w:sz="4" w:space="0" w:color="808080"/>
            </w:tcBorders>
            <w:shd w:val="clear" w:color="auto" w:fill="F79646" w:themeFill="accent6"/>
            <w:vAlign w:val="center"/>
          </w:tcPr>
          <w:p w:rsidR="002A3C5F" w:rsidRPr="00B256FF" w:rsidRDefault="002A3C5F" w:rsidP="002A3C5F">
            <w:pPr>
              <w:pStyle w:val="TableText"/>
            </w:pPr>
            <w:r w:rsidRPr="00B256FF">
              <w:t>Nepal</w:t>
            </w:r>
          </w:p>
        </w:tc>
      </w:tr>
    </w:tbl>
    <w:p w:rsidR="002A3C5F" w:rsidRDefault="002A3C5F" w:rsidP="005A5815">
      <w:pPr>
        <w:pStyle w:val="BodyText"/>
        <w:rPr>
          <w:color w:val="000000" w:themeColor="text1"/>
        </w:rPr>
      </w:pPr>
    </w:p>
    <w:p w:rsidR="00481AD1" w:rsidRDefault="00481AD1" w:rsidP="005A5815">
      <w:pPr>
        <w:pStyle w:val="BodyText"/>
        <w:rPr>
          <w:color w:val="000000" w:themeColor="text1"/>
        </w:rPr>
      </w:pPr>
    </w:p>
    <w:p w:rsidR="009B585B" w:rsidRDefault="009B585B" w:rsidP="005A5815">
      <w:pPr>
        <w:pStyle w:val="BodyText"/>
        <w:rPr>
          <w:color w:val="000000" w:themeColor="text1"/>
        </w:rPr>
        <w:sectPr w:rsidR="009B585B" w:rsidSect="000957A1">
          <w:footnotePr>
            <w:numFmt w:val="chicago"/>
            <w:numRestart w:val="eachPage"/>
          </w:footnotePr>
          <w:endnotePr>
            <w:numFmt w:val="decimal"/>
          </w:endnotePr>
          <w:pgSz w:w="11907" w:h="16840" w:code="9"/>
          <w:pgMar w:top="958" w:right="1701" w:bottom="907" w:left="1701" w:header="851" w:footer="567" w:gutter="0"/>
          <w:cols w:space="720"/>
          <w:docGrid w:linePitch="326"/>
        </w:sectPr>
      </w:pPr>
    </w:p>
    <w:p w:rsidR="000A13D6" w:rsidRDefault="000A13D6" w:rsidP="00005D7E">
      <w:pPr>
        <w:pStyle w:val="Heading2"/>
      </w:pPr>
      <w:bookmarkStart w:id="80" w:name="_Toc422327016"/>
      <w:r w:rsidRPr="00481AD1">
        <w:t>Appendix D: Cornerstone question assessment comparison over two years</w:t>
      </w:r>
      <w:bookmarkEnd w:id="80"/>
    </w:p>
    <w:p w:rsidR="00CD0ECB" w:rsidRPr="00B256FF" w:rsidRDefault="00CD0ECB" w:rsidP="00C07FEF">
      <w:pPr>
        <w:pStyle w:val="TableandFigureName"/>
        <w:numPr>
          <w:ilvl w:val="0"/>
          <w:numId w:val="0"/>
        </w:numPr>
        <w:tabs>
          <w:tab w:val="clear" w:pos="993"/>
          <w:tab w:val="left" w:pos="1276"/>
        </w:tabs>
      </w:pPr>
      <w:bookmarkStart w:id="81" w:name="_Toc408606460"/>
      <w:r w:rsidRPr="00B256FF">
        <w:t xml:space="preserve">Figure </w:t>
      </w:r>
      <w:r>
        <w:t>D1</w:t>
      </w:r>
      <w:r w:rsidR="00C07FEF">
        <w:tab/>
      </w:r>
      <w:r w:rsidRPr="00B256FF">
        <w:t xml:space="preserve">Comparison of ratings on cornerstone questions for </w:t>
      </w:r>
      <w:bookmarkEnd w:id="81"/>
      <w:r w:rsidRPr="00B256FF">
        <w:t xml:space="preserve">2014 and 2013 APPR </w:t>
      </w:r>
      <w:r w:rsidR="0013745C">
        <w:t>Q</w:t>
      </w:r>
      <w:r>
        <w:t xml:space="preserve">uality </w:t>
      </w:r>
      <w:r w:rsidR="0013745C">
        <w:t>R</w:t>
      </w:r>
      <w:r w:rsidRPr="00B256FF">
        <w:t>eviews</w:t>
      </w:r>
    </w:p>
    <w:p w:rsidR="004E721B" w:rsidRDefault="004852A4" w:rsidP="000F08A4">
      <w:r>
        <w:rPr>
          <w:noProof/>
        </w:rPr>
        <w:drawing>
          <wp:inline distT="0" distB="0" distL="0" distR="0" wp14:anchorId="282CFC37" wp14:editId="55F43F9C">
            <wp:extent cx="5400675" cy="4486860"/>
            <wp:effectExtent l="0" t="0" r="0" b="0"/>
            <wp:docPr id="4" name="Chart 4" descr="Bar chart shows results as follows: Cornerstone question 1: 3.67 in 2014, down from 3.93 in 2013; Cornerstone question 2: 3.67 in 2014, down from 3.78 in 2013; Cornerstone question 3: 3.56 in 2014, down from 4.15; and Cornerstone question 4: 3.67 down from 4.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D0ECB" w:rsidRDefault="00CD0ECB" w:rsidP="00481AD1">
      <w:pPr>
        <w:pStyle w:val="BodyText"/>
      </w:pPr>
    </w:p>
    <w:p w:rsidR="001C1A97" w:rsidRDefault="001C1A97" w:rsidP="00CD0ECB">
      <w:pPr>
        <w:pStyle w:val="Heading1"/>
        <w:sectPr w:rsidR="001C1A97" w:rsidSect="001C1A97">
          <w:footnotePr>
            <w:numFmt w:val="chicago"/>
            <w:numRestart w:val="eachPage"/>
          </w:footnotePr>
          <w:endnotePr>
            <w:numFmt w:val="decimal"/>
          </w:endnotePr>
          <w:type w:val="continuous"/>
          <w:pgSz w:w="11907" w:h="16840" w:code="9"/>
          <w:pgMar w:top="958" w:right="1701" w:bottom="907" w:left="1701" w:header="851" w:footer="567" w:gutter="0"/>
          <w:cols w:space="720"/>
          <w:docGrid w:linePitch="326"/>
        </w:sectPr>
      </w:pPr>
    </w:p>
    <w:p w:rsidR="00CD0ECB" w:rsidRPr="00CD0ECB" w:rsidRDefault="00CD0ECB" w:rsidP="00005D7E">
      <w:pPr>
        <w:pStyle w:val="Heading2"/>
      </w:pPr>
      <w:bookmarkStart w:id="82" w:name="_Toc422327017"/>
      <w:r w:rsidRPr="00CD0ECB">
        <w:t xml:space="preserve">Appendix E: Summary tables of quality ratings against all cornerstone questions and </w:t>
      </w:r>
      <w:proofErr w:type="spellStart"/>
      <w:r w:rsidRPr="00CD0ECB">
        <w:t>subquestions</w:t>
      </w:r>
      <w:bookmarkEnd w:id="82"/>
      <w:proofErr w:type="spellEnd"/>
    </w:p>
    <w:p w:rsidR="00CD0ECB" w:rsidRPr="00974A2F" w:rsidRDefault="00CD0ECB" w:rsidP="00171F41">
      <w:pPr>
        <w:pStyle w:val="TableandFigureName"/>
        <w:numPr>
          <w:ilvl w:val="0"/>
          <w:numId w:val="0"/>
        </w:numPr>
        <w:tabs>
          <w:tab w:val="clear" w:pos="993"/>
          <w:tab w:val="left" w:pos="1276"/>
        </w:tabs>
        <w:spacing w:before="0" w:after="60"/>
      </w:pPr>
      <w:r w:rsidRPr="00974A2F">
        <w:t>Figure E1</w:t>
      </w:r>
      <w:r w:rsidR="00974A2F">
        <w:tab/>
      </w:r>
      <w:r w:rsidRPr="00974A2F">
        <w:t>Context and strategic orientation – frequency of all quality ratings</w:t>
      </w:r>
      <w:r w:rsidR="00171F41">
        <w:rPr>
          <w:noProof/>
          <w:lang w:eastAsia="en-AU"/>
        </w:rPr>
        <w:drawing>
          <wp:inline distT="0" distB="0" distL="0" distR="0" wp14:anchorId="58E46B9C" wp14:editId="4E0126EC">
            <wp:extent cx="8178800" cy="4148667"/>
            <wp:effectExtent l="0" t="0" r="0" b="4445"/>
            <wp:docPr id="8" name="Chart 8" descr="Bar chart shows the following results. Cornerstone question 1: 11 adequate, 15 good and 2 best practice. Subquestion 1a: 5 unsatisfactory (below expectation), 11 adequate, 9 good and 3 best practice. Subquestion 1b: 8 adequate, 18 good and 2 best practice. Subquestion 1c: 4 unsatisfactory (below expectation), 10 adequate, 12 good and 2 best practice. Subquestion 1d: 2 unsatisfactory (below expectation), 16 adequate, 8 good and 2 best practice. "/>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55DBC" w:rsidRDefault="00355DBC">
      <w:pPr>
        <w:rPr>
          <w:rFonts w:ascii="Helvetica" w:hAnsi="Helvetica" w:cs="Arial"/>
          <w:b/>
          <w:kern w:val="28"/>
          <w:sz w:val="20"/>
          <w:szCs w:val="22"/>
          <w:lang w:eastAsia="zh-CN"/>
        </w:rPr>
        <w:sectPr w:rsidR="00355DBC" w:rsidSect="001C1A97">
          <w:footnotePr>
            <w:numFmt w:val="chicago"/>
            <w:numRestart w:val="eachPage"/>
          </w:footnotePr>
          <w:endnotePr>
            <w:numFmt w:val="decimal"/>
          </w:endnotePr>
          <w:pgSz w:w="16840" w:h="11907" w:orient="landscape" w:code="9"/>
          <w:pgMar w:top="1701" w:right="958" w:bottom="1701" w:left="907" w:header="851" w:footer="567" w:gutter="0"/>
          <w:cols w:space="720"/>
          <w:docGrid w:linePitch="326"/>
        </w:sectPr>
      </w:pPr>
    </w:p>
    <w:p w:rsidR="00A50541" w:rsidRDefault="00C07FEF" w:rsidP="00A50541">
      <w:pPr>
        <w:pStyle w:val="TableandFigureName"/>
        <w:numPr>
          <w:ilvl w:val="0"/>
          <w:numId w:val="0"/>
        </w:numPr>
        <w:tabs>
          <w:tab w:val="clear" w:pos="993"/>
          <w:tab w:val="left" w:pos="1276"/>
        </w:tabs>
      </w:pPr>
      <w:r>
        <w:t>Figure E2</w:t>
      </w:r>
      <w:r w:rsidR="00974A2F">
        <w:tab/>
      </w:r>
      <w:r w:rsidR="00CD0ECB" w:rsidRPr="00974A2F">
        <w:t xml:space="preserve">Progress assessment – frequency of all quality ratings </w:t>
      </w:r>
    </w:p>
    <w:p w:rsidR="009F194C" w:rsidRDefault="009F194C" w:rsidP="000F08A4">
      <w:r w:rsidRPr="000F08A4">
        <w:rPr>
          <w:noProof/>
        </w:rPr>
        <w:drawing>
          <wp:inline distT="0" distB="0" distL="0" distR="0" wp14:anchorId="1352110B" wp14:editId="4E648858">
            <wp:extent cx="8458200" cy="4087091"/>
            <wp:effectExtent l="0" t="0" r="0" b="8890"/>
            <wp:docPr id="13" name="Chart 13" descr="Bar chart shows the following results. Cornerstone question 2: 12 adequate, 14 good and 2 best practice. Subquestion 2a: 8 unsatisfactory (below expectation), 11 adequate, 5 good and 4 best practice. Subquestion 2b: 2 unsatisfactory (below expectation), 9 adequate, 15 good and 2 best practice. Subquestion 2c: 1 unsatisfactory (weak), 5 unsatisfactory (below expectation), 10 adequate, 9 good and 3 best practice. Subquestion 2d: 2 unsatisfactory (below expectation), 9 adequate, 11 good and 6 best practice. 2e: 3 unsatisfactory (below expectation), 14 adequate, 8 good and 3 best practice. 2f: 3 unsatisfactory (below expectation), 9 adequate, 13 good and 3 best practice. 2g: 3 unsatisfactory (weak), 3 unsatisfactory (below expectation), 14 adequate, 6 good and 2 best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F194C" w:rsidRDefault="009F194C" w:rsidP="00974A2F">
      <w:pPr>
        <w:pStyle w:val="TableandFigureName"/>
        <w:numPr>
          <w:ilvl w:val="0"/>
          <w:numId w:val="0"/>
        </w:numPr>
        <w:tabs>
          <w:tab w:val="clear" w:pos="993"/>
          <w:tab w:val="left" w:pos="1276"/>
        </w:tabs>
        <w:sectPr w:rsidR="009F194C" w:rsidSect="005A620A">
          <w:footnotePr>
            <w:numFmt w:val="chicago"/>
            <w:numRestart w:val="eachPage"/>
          </w:footnotePr>
          <w:endnotePr>
            <w:numFmt w:val="decimal"/>
          </w:endnotePr>
          <w:pgSz w:w="16840" w:h="11907" w:orient="landscape" w:code="9"/>
          <w:pgMar w:top="1701" w:right="958" w:bottom="1701" w:left="907" w:header="851" w:footer="567" w:gutter="0"/>
          <w:cols w:space="720"/>
          <w:docGrid w:linePitch="326"/>
        </w:sectPr>
      </w:pPr>
    </w:p>
    <w:p w:rsidR="00CD0ECB" w:rsidRPr="00974A2F" w:rsidRDefault="00CD0ECB" w:rsidP="00171F41">
      <w:pPr>
        <w:pStyle w:val="TableandFigureName"/>
        <w:numPr>
          <w:ilvl w:val="0"/>
          <w:numId w:val="0"/>
        </w:numPr>
        <w:tabs>
          <w:tab w:val="clear" w:pos="993"/>
          <w:tab w:val="left" w:pos="1276"/>
        </w:tabs>
        <w:spacing w:after="0"/>
      </w:pPr>
      <w:r w:rsidRPr="00974A2F">
        <w:t>Figure E3</w:t>
      </w:r>
      <w:r w:rsidR="00974A2F">
        <w:tab/>
      </w:r>
      <w:r w:rsidRPr="00974A2F">
        <w:t xml:space="preserve">Partner contribution – frequency of all quality ratings </w:t>
      </w:r>
    </w:p>
    <w:p w:rsidR="00B07759" w:rsidRDefault="00355DBC">
      <w:r>
        <w:rPr>
          <w:noProof/>
        </w:rPr>
        <w:drawing>
          <wp:inline distT="0" distB="0" distL="0" distR="0" wp14:anchorId="41681774" wp14:editId="1072EA70">
            <wp:extent cx="8534400" cy="4724400"/>
            <wp:effectExtent l="0" t="0" r="0" b="0"/>
            <wp:docPr id="5" name="Chart 5" descr="Bar chart shows the following results. Cornerstone question 3: 2 unsatisfactory, 11 adequate, 14 good and 1 best practice. Subquestion 3a: 1 unsatisfactory (below expectation), 9 adequate, 11 good and 6 best practice. Subquestion 3b: 5 unsatisfactory (below expectation), 10 adequate and 4 good. Subquestion 3c: 3 unsatisfactory (below expectation), 8 adequate, 12 good and 3 best practice. Subquestion 3d: 3 unsatisfactory (weak), 3 unsatisfactory (below expectation), 16 adequate, 3 good and 1 best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t xml:space="preserve"> </w:t>
      </w:r>
      <w:r w:rsidR="00B07759">
        <w:br w:type="page"/>
      </w:r>
    </w:p>
    <w:p w:rsidR="00CD0ECB" w:rsidRPr="00AD0A45" w:rsidRDefault="00CD0ECB" w:rsidP="00974A2F">
      <w:pPr>
        <w:pStyle w:val="TableandFigureName"/>
        <w:numPr>
          <w:ilvl w:val="0"/>
          <w:numId w:val="0"/>
        </w:numPr>
        <w:tabs>
          <w:tab w:val="clear" w:pos="993"/>
          <w:tab w:val="left" w:pos="1276"/>
        </w:tabs>
      </w:pPr>
      <w:r w:rsidRPr="00974A2F">
        <w:t>Figure E4</w:t>
      </w:r>
      <w:r w:rsidR="00974A2F">
        <w:tab/>
      </w:r>
      <w:r w:rsidRPr="00974A2F">
        <w:t>Management consequences – frequency of all quality ratings</w:t>
      </w:r>
    </w:p>
    <w:p w:rsidR="00355DBC" w:rsidRDefault="00355DBC" w:rsidP="000F08A4">
      <w:r>
        <w:rPr>
          <w:noProof/>
        </w:rPr>
        <w:drawing>
          <wp:inline distT="0" distB="0" distL="0" distR="0" wp14:anchorId="4ECD8C6A" wp14:editId="038A6212">
            <wp:extent cx="8486775" cy="4705350"/>
            <wp:effectExtent l="0" t="0" r="0" b="0"/>
            <wp:docPr id="7" name="Chart 7" descr="Bar chart shows the following results. Cornerstone question 4: 11 adequate, 16 good and 1 best practice. Subquestion 4a: 3 unsatisfactory (below expectation), 18 adequate and 7 good. Subquestion 4b: 10 adequate, 17 good and 1 best practice. Subquestion 4c: 1 unsatisfactory (weak), 3 unsatisfactory (below expectation), 16 adequate and 8 good."/>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17EB4" w:rsidRDefault="00817EB4" w:rsidP="00B07759">
      <w:pPr>
        <w:pStyle w:val="TableandFigureName"/>
        <w:numPr>
          <w:ilvl w:val="0"/>
          <w:numId w:val="0"/>
        </w:numPr>
        <w:tabs>
          <w:tab w:val="clear" w:pos="993"/>
          <w:tab w:val="left" w:pos="1276"/>
        </w:tabs>
        <w:sectPr w:rsidR="00817EB4" w:rsidSect="00B07759">
          <w:footnotePr>
            <w:numFmt w:val="chicago"/>
            <w:numRestart w:val="eachPage"/>
          </w:footnotePr>
          <w:endnotePr>
            <w:numFmt w:val="decimal"/>
          </w:endnotePr>
          <w:pgSz w:w="16840" w:h="11907" w:orient="landscape" w:code="9"/>
          <w:pgMar w:top="1701" w:right="958" w:bottom="1701" w:left="907" w:header="851" w:footer="567" w:gutter="0"/>
          <w:cols w:space="720"/>
          <w:docGrid w:linePitch="326"/>
        </w:sectPr>
      </w:pPr>
    </w:p>
    <w:p w:rsidR="007642DC" w:rsidRPr="00E75545" w:rsidRDefault="007642DC" w:rsidP="00E75545">
      <w:pPr>
        <w:pStyle w:val="Heading1"/>
      </w:pPr>
      <w:bookmarkStart w:id="83" w:name="_Toc416250733"/>
      <w:bookmarkStart w:id="84" w:name="_Toc422327018"/>
      <w:r w:rsidRPr="00E75545">
        <w:t>Abbreviations</w:t>
      </w:r>
      <w:bookmarkEnd w:id="83"/>
      <w:bookmarkEnd w:id="84"/>
    </w:p>
    <w:p w:rsidR="00E75545" w:rsidRPr="00B256FF" w:rsidRDefault="00E75545" w:rsidP="00603EF0">
      <w:pPr>
        <w:pStyle w:val="BodyText"/>
      </w:pPr>
      <w:r w:rsidRPr="00B256FF">
        <w:t>ANCP</w:t>
      </w:r>
      <w:r w:rsidRPr="00B256FF">
        <w:tab/>
      </w:r>
      <w:r w:rsidRPr="00B256FF">
        <w:tab/>
        <w:t>Australian-NGO Cooperation Program</w:t>
      </w:r>
    </w:p>
    <w:p w:rsidR="00E75545" w:rsidRPr="00B256FF" w:rsidRDefault="00E75545" w:rsidP="00603EF0">
      <w:pPr>
        <w:pStyle w:val="BodyText"/>
      </w:pPr>
      <w:r w:rsidRPr="00B256FF">
        <w:t>APPR</w:t>
      </w:r>
      <w:r w:rsidRPr="00B256FF">
        <w:tab/>
      </w:r>
      <w:r w:rsidRPr="00B256FF">
        <w:tab/>
        <w:t>Aid Program Performance Report</w:t>
      </w:r>
    </w:p>
    <w:p w:rsidR="00E75545" w:rsidRPr="00B256FF" w:rsidRDefault="00E75545" w:rsidP="00603EF0">
      <w:pPr>
        <w:pStyle w:val="BodyText"/>
      </w:pPr>
      <w:r w:rsidRPr="00B256FF">
        <w:t xml:space="preserve">CEWG </w:t>
      </w:r>
      <w:r>
        <w:tab/>
      </w:r>
      <w:r w:rsidRPr="00B256FF">
        <w:t>Core Economic Working Group</w:t>
      </w:r>
    </w:p>
    <w:p w:rsidR="00E75545" w:rsidRPr="00B256FF" w:rsidRDefault="00E75545" w:rsidP="00603EF0">
      <w:pPr>
        <w:pStyle w:val="BodyText"/>
      </w:pPr>
      <w:r w:rsidRPr="00B256FF">
        <w:t>DFAT</w:t>
      </w:r>
      <w:r w:rsidRPr="00B256FF">
        <w:tab/>
      </w:r>
      <w:r w:rsidRPr="00B256FF">
        <w:tab/>
        <w:t>Department of Foreign Affairs and Trade</w:t>
      </w:r>
    </w:p>
    <w:p w:rsidR="00E75545" w:rsidRPr="00B256FF" w:rsidRDefault="00E75545" w:rsidP="00603EF0">
      <w:pPr>
        <w:pStyle w:val="BodyText"/>
      </w:pPr>
      <w:r w:rsidRPr="00B256FF">
        <w:rPr>
          <w:rFonts w:eastAsia="Calibri"/>
        </w:rPr>
        <w:t>ESWG</w:t>
      </w:r>
      <w:r w:rsidRPr="00B256FF">
        <w:rPr>
          <w:rFonts w:eastAsia="Calibri"/>
        </w:rPr>
        <w:tab/>
      </w:r>
      <w:r w:rsidRPr="00B256FF">
        <w:rPr>
          <w:rFonts w:eastAsia="Calibri"/>
        </w:rPr>
        <w:tab/>
        <w:t xml:space="preserve">Education Sector Working Group </w:t>
      </w:r>
    </w:p>
    <w:p w:rsidR="00E75545" w:rsidRPr="00B256FF" w:rsidRDefault="00E75545" w:rsidP="00603EF0">
      <w:pPr>
        <w:pStyle w:val="BodyText"/>
      </w:pPr>
      <w:r w:rsidRPr="00B256FF">
        <w:t>NGO</w:t>
      </w:r>
      <w:r w:rsidRPr="00B256FF">
        <w:tab/>
      </w:r>
      <w:r w:rsidRPr="00B256FF">
        <w:tab/>
      </w:r>
      <w:r w:rsidR="00603EF0">
        <w:t>n</w:t>
      </w:r>
      <w:r w:rsidRPr="00B256FF">
        <w:t>on-</w:t>
      </w:r>
      <w:r w:rsidR="00603EF0">
        <w:t>g</w:t>
      </w:r>
      <w:r>
        <w:t>overnment</w:t>
      </w:r>
      <w:r w:rsidRPr="00B256FF">
        <w:t xml:space="preserve"> </w:t>
      </w:r>
      <w:r w:rsidR="00DF7A45" w:rsidRPr="00B256FF">
        <w:t>organisation</w:t>
      </w:r>
    </w:p>
    <w:p w:rsidR="00E75545" w:rsidRPr="00B256FF" w:rsidRDefault="00E75545" w:rsidP="00603EF0">
      <w:pPr>
        <w:pStyle w:val="BodyText"/>
      </w:pPr>
      <w:r w:rsidRPr="00B256FF">
        <w:t>ODE</w:t>
      </w:r>
      <w:r w:rsidRPr="00B256FF">
        <w:tab/>
      </w:r>
      <w:r w:rsidRPr="00B256FF">
        <w:tab/>
        <w:t>Office of Development Effectiveness</w:t>
      </w:r>
    </w:p>
    <w:p w:rsidR="00E75545" w:rsidRPr="00B256FF" w:rsidRDefault="00E75545" w:rsidP="00603EF0">
      <w:pPr>
        <w:pStyle w:val="BodyText"/>
      </w:pPr>
      <w:r w:rsidRPr="00364F84">
        <w:t>PAF</w:t>
      </w:r>
      <w:r w:rsidRPr="00364F84">
        <w:tab/>
      </w:r>
      <w:r w:rsidRPr="00364F84">
        <w:tab/>
        <w:t>performance assessment framework</w:t>
      </w:r>
    </w:p>
    <w:p w:rsidR="00E939AF" w:rsidRPr="00B256FF" w:rsidRDefault="00E75545" w:rsidP="00603EF0">
      <w:pPr>
        <w:pStyle w:val="BodyText"/>
      </w:pPr>
      <w:r w:rsidRPr="00B256FF">
        <w:t>PNG</w:t>
      </w:r>
      <w:r w:rsidRPr="00B256FF">
        <w:tab/>
      </w:r>
      <w:r w:rsidRPr="00B256FF">
        <w:tab/>
        <w:t>Papua New Guinea</w:t>
      </w:r>
    </w:p>
    <w:sectPr w:rsidR="00E939AF" w:rsidRPr="00B256FF" w:rsidSect="000957A1">
      <w:footnotePr>
        <w:numFmt w:val="chicago"/>
        <w:numRestart w:val="eachPage"/>
      </w:footnotePr>
      <w:endnotePr>
        <w:numFmt w:val="decimal"/>
      </w:endnotePr>
      <w:pgSz w:w="11907" w:h="16840" w:code="9"/>
      <w:pgMar w:top="1072" w:right="1701" w:bottom="907" w:left="1701" w:header="851"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3F0" w:rsidRDefault="004813F0">
      <w:r>
        <w:separator/>
      </w:r>
    </w:p>
    <w:p w:rsidR="004813F0" w:rsidRDefault="004813F0"/>
  </w:endnote>
  <w:endnote w:type="continuationSeparator" w:id="0">
    <w:p w:rsidR="004813F0" w:rsidRDefault="004813F0">
      <w:r>
        <w:continuationSeparator/>
      </w:r>
    </w:p>
    <w:p w:rsidR="004813F0" w:rsidRDefault="00481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MediumItalic">
    <w:altName w:val="Times New Roman"/>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024262"/>
      <w:docPartObj>
        <w:docPartGallery w:val="Page Numbers (Bottom of Page)"/>
        <w:docPartUnique/>
      </w:docPartObj>
    </w:sdtPr>
    <w:sdtEndPr>
      <w:rPr>
        <w:noProof/>
      </w:rPr>
    </w:sdtEndPr>
    <w:sdtContent>
      <w:p w:rsidR="004813F0" w:rsidRDefault="004813F0" w:rsidP="000C79F9">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370228"/>
      <w:docPartObj>
        <w:docPartGallery w:val="Page Numbers (Bottom of Page)"/>
        <w:docPartUnique/>
      </w:docPartObj>
    </w:sdtPr>
    <w:sdtEndPr>
      <w:rPr>
        <w:noProof/>
      </w:rPr>
    </w:sdtEndPr>
    <w:sdtContent>
      <w:p w:rsidR="004813F0" w:rsidRDefault="004813F0" w:rsidP="000C79F9">
        <w:pPr>
          <w:pStyle w:val="Footer"/>
          <w:jc w:val="center"/>
        </w:pPr>
        <w:r>
          <w:fldChar w:fldCharType="begin"/>
        </w:r>
        <w:r>
          <w:instrText xml:space="preserve"> PAGE   \* MERGEFORMAT </w:instrText>
        </w:r>
        <w:r>
          <w:fldChar w:fldCharType="separate"/>
        </w:r>
        <w:r w:rsidR="009B4D82">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F0" w:rsidRDefault="00481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3F0" w:rsidRDefault="004813F0" w:rsidP="00B90206">
      <w:pPr>
        <w:spacing w:before="60" w:after="40" w:line="180" w:lineRule="exact"/>
      </w:pPr>
      <w:r>
        <w:continuationSeparator/>
      </w:r>
    </w:p>
    <w:p w:rsidR="004813F0" w:rsidRDefault="004813F0"/>
  </w:footnote>
  <w:footnote w:type="continuationSeparator" w:id="0">
    <w:p w:rsidR="004813F0" w:rsidRDefault="004813F0">
      <w:r>
        <w:continuationSeparator/>
      </w:r>
    </w:p>
    <w:p w:rsidR="004813F0" w:rsidRDefault="004813F0"/>
  </w:footnote>
  <w:footnote w:type="continuationNotice" w:id="1">
    <w:p w:rsidR="004813F0" w:rsidRDefault="004813F0"/>
    <w:p w:rsidR="004813F0" w:rsidRDefault="004813F0"/>
  </w:footnote>
  <w:footnote w:id="2">
    <w:p w:rsidR="004813F0" w:rsidRDefault="004813F0">
      <w:pPr>
        <w:pStyle w:val="FootnoteText"/>
      </w:pPr>
      <w:r>
        <w:rPr>
          <w:rStyle w:val="FootnoteReference"/>
        </w:rPr>
        <w:footnoteRef/>
      </w:r>
      <w:r>
        <w:t xml:space="preserve"> </w:t>
      </w:r>
      <w:r w:rsidRPr="00B256FF">
        <w:rPr>
          <w:i/>
        </w:rPr>
        <w:t>Australian aid: promoting prosperity, reducing poverty and enhancing stability</w:t>
      </w:r>
      <w:r w:rsidRPr="00B256FF">
        <w:t>, DFAT</w:t>
      </w:r>
      <w:r>
        <w:t xml:space="preserve">, Canberra, </w:t>
      </w:r>
      <w:r w:rsidRPr="00B256FF">
        <w:t>2014</w:t>
      </w:r>
      <w:r>
        <w:t>.</w:t>
      </w:r>
    </w:p>
  </w:footnote>
  <w:footnote w:id="3">
    <w:p w:rsidR="004813F0" w:rsidRDefault="004813F0">
      <w:pPr>
        <w:pStyle w:val="FootnoteText"/>
      </w:pPr>
      <w:r>
        <w:rPr>
          <w:rStyle w:val="FootnoteReference"/>
        </w:rPr>
        <w:footnoteRef/>
      </w:r>
      <w:r>
        <w:t xml:space="preserve"> </w:t>
      </w:r>
      <w:proofErr w:type="gramStart"/>
      <w:r w:rsidRPr="003A6280">
        <w:rPr>
          <w:i/>
        </w:rPr>
        <w:t>Making Performance Count: enhancing the accountability and effectiveness of Australian aid</w:t>
      </w:r>
      <w:r>
        <w:t xml:space="preserve">, </w:t>
      </w:r>
      <w:r w:rsidRPr="00B256FF">
        <w:t>DFAT</w:t>
      </w:r>
      <w:r>
        <w:t xml:space="preserve">, Canberra, </w:t>
      </w:r>
      <w:r w:rsidRPr="00B256FF">
        <w:t>2014</w:t>
      </w:r>
      <w:r>
        <w:t>.</w:t>
      </w:r>
      <w:proofErr w:type="gramEnd"/>
    </w:p>
  </w:footnote>
  <w:footnote w:id="4">
    <w:p w:rsidR="004813F0" w:rsidRDefault="004813F0" w:rsidP="00D4416C">
      <w:pPr>
        <w:pStyle w:val="FootnoteText"/>
      </w:pPr>
      <w:r>
        <w:rPr>
          <w:rStyle w:val="FootnoteReference"/>
        </w:rPr>
        <w:footnoteRef/>
      </w:r>
      <w:r>
        <w:t xml:space="preserve"> The Nauru APPR was the 29</w:t>
      </w:r>
      <w:r w:rsidRPr="005474AB">
        <w:rPr>
          <w:vertAlign w:val="superscript"/>
        </w:rPr>
        <w:t>th</w:t>
      </w:r>
      <w:r>
        <w:t xml:space="preserve"> and final APPR for 2013–14. It was submitted too late for inclusion in the quality review.</w:t>
      </w:r>
    </w:p>
  </w:footnote>
  <w:footnote w:id="5">
    <w:p w:rsidR="004813F0" w:rsidRPr="00573EC8" w:rsidRDefault="004813F0" w:rsidP="00573EC8">
      <w:pPr>
        <w:pStyle w:val="FootnoteText"/>
      </w:pPr>
      <w:r w:rsidRPr="00573EC8">
        <w:rPr>
          <w:rStyle w:val="FootnoteReference"/>
        </w:rPr>
        <w:footnoteRef/>
      </w:r>
      <w:r w:rsidRPr="00573EC8">
        <w:t xml:space="preserve"> Aid Investment Plans will set out the direction for a country or regional program and link objectives, aid programming and results. </w:t>
      </w:r>
    </w:p>
  </w:footnote>
  <w:footnote w:id="6">
    <w:p w:rsidR="004813F0" w:rsidRDefault="004813F0" w:rsidP="00573EC8">
      <w:pPr>
        <w:pStyle w:val="FootnoteText"/>
      </w:pPr>
      <w:r w:rsidRPr="00573EC8">
        <w:rPr>
          <w:rStyle w:val="FootnoteReference"/>
        </w:rPr>
        <w:footnoteRef/>
      </w:r>
      <w:r w:rsidRPr="00573EC8">
        <w:rPr>
          <w:rStyle w:val="FootnoteReference"/>
        </w:rPr>
        <w:t xml:space="preserve"> </w:t>
      </w:r>
      <w:r w:rsidRPr="00573EC8">
        <w:t>In 2014 Aid Quality Checks, 74 per cent of investments were rated as performing satisfactorily or above on gender equality.</w:t>
      </w:r>
    </w:p>
  </w:footnote>
  <w:footnote w:id="7">
    <w:p w:rsidR="004813F0" w:rsidRPr="00B256FF" w:rsidRDefault="004813F0" w:rsidP="0021205F">
      <w:pPr>
        <w:pStyle w:val="FootnoteText"/>
        <w:ind w:left="0" w:firstLine="0"/>
      </w:pPr>
      <w:r w:rsidRPr="00B256FF">
        <w:rPr>
          <w:rStyle w:val="FootnoteReference"/>
        </w:rPr>
        <w:footnoteRef/>
      </w:r>
      <w:r w:rsidRPr="00B256FF">
        <w:t xml:space="preserve"> </w:t>
      </w:r>
      <w:r w:rsidRPr="00B256FF">
        <w:rPr>
          <w:i/>
        </w:rPr>
        <w:t>Australian aid: promoting prosperity, reducing poverty and enhancing stability</w:t>
      </w:r>
      <w:r w:rsidRPr="00B256FF">
        <w:t>, DFAT</w:t>
      </w:r>
      <w:r>
        <w:t xml:space="preserve">, Canberra, </w:t>
      </w:r>
      <w:r w:rsidRPr="00B256FF">
        <w:t>2014.</w:t>
      </w:r>
    </w:p>
  </w:footnote>
  <w:footnote w:id="8">
    <w:p w:rsidR="004813F0" w:rsidRDefault="004813F0">
      <w:pPr>
        <w:pStyle w:val="FootnoteText"/>
      </w:pPr>
      <w:r>
        <w:rPr>
          <w:rStyle w:val="FootnoteReference"/>
        </w:rPr>
        <w:footnoteRef/>
      </w:r>
      <w:r>
        <w:t xml:space="preserve"> </w:t>
      </w:r>
      <w:proofErr w:type="gramStart"/>
      <w:r w:rsidRPr="003A6280">
        <w:rPr>
          <w:i/>
        </w:rPr>
        <w:t>Making Performance Count: enhancing the accountability and effectiveness of Australian aid</w:t>
      </w:r>
      <w:r>
        <w:t xml:space="preserve">, </w:t>
      </w:r>
      <w:r w:rsidRPr="00B256FF">
        <w:t>DFAT</w:t>
      </w:r>
      <w:r>
        <w:t xml:space="preserve">, Canberra, </w:t>
      </w:r>
      <w:r w:rsidRPr="00B256FF">
        <w:t>2014</w:t>
      </w:r>
      <w:r>
        <w:t>.</w:t>
      </w:r>
      <w:proofErr w:type="gramEnd"/>
    </w:p>
  </w:footnote>
  <w:footnote w:id="9">
    <w:p w:rsidR="004813F0" w:rsidRPr="00B256FF" w:rsidRDefault="004813F0" w:rsidP="0021205F">
      <w:pPr>
        <w:pStyle w:val="FootnoteText"/>
        <w:ind w:left="0" w:firstLine="0"/>
        <w:rPr>
          <w:rStyle w:val="FootnoteReference"/>
        </w:rPr>
      </w:pPr>
      <w:r w:rsidRPr="00B256FF">
        <w:rPr>
          <w:rStyle w:val="FootnoteReference"/>
        </w:rPr>
        <w:footnoteRef/>
      </w:r>
      <w:r w:rsidRPr="00B256FF">
        <w:rPr>
          <w:rStyle w:val="FootnoteReference"/>
        </w:rPr>
        <w:t xml:space="preserve"> </w:t>
      </w:r>
      <w:r w:rsidRPr="00B256FF">
        <w:t>In its simplest form, aid policy dialogue is a conversation with policy</w:t>
      </w:r>
      <w:r>
        <w:t>-</w:t>
      </w:r>
      <w:r w:rsidRPr="00B256FF">
        <w:t>makers on the effectiveness of the overarching policy framework in which the aid is delivered. It provides an opportunity for stakeholders, including donors, to understand, inform and contribute to the development of that framework and the associated public expenditure choices. Policy dialogue is not just a technical challenge—the quality of the process also matters. Policy dialogue may, in practice</w:t>
      </w:r>
      <w:r>
        <w:t>,</w:t>
      </w:r>
      <w:r w:rsidRPr="00B256FF">
        <w:t xml:space="preserve"> take many forms.</w:t>
      </w:r>
      <w:r w:rsidRPr="00B256FF">
        <w:rPr>
          <w:rStyle w:val="FootnoteReference"/>
        </w:rPr>
        <w:t xml:space="preserve"> </w:t>
      </w:r>
    </w:p>
  </w:footnote>
  <w:footnote w:id="10">
    <w:p w:rsidR="004813F0" w:rsidRDefault="004813F0">
      <w:pPr>
        <w:pStyle w:val="FootnoteText"/>
      </w:pPr>
      <w:r>
        <w:rPr>
          <w:rStyle w:val="FootnoteReference"/>
        </w:rPr>
        <w:footnoteRef/>
      </w:r>
      <w:r>
        <w:t xml:space="preserve"> </w:t>
      </w:r>
      <w:proofErr w:type="gramStart"/>
      <w:r w:rsidRPr="003A6280">
        <w:rPr>
          <w:i/>
        </w:rPr>
        <w:t>Making Performance Count: enhancing the accountability and effectiveness of Australian aid</w:t>
      </w:r>
      <w:r>
        <w:t xml:space="preserve">, </w:t>
      </w:r>
      <w:r w:rsidRPr="00B256FF">
        <w:t>DFAT</w:t>
      </w:r>
      <w:r>
        <w:t xml:space="preserve">, Canberra, </w:t>
      </w:r>
      <w:r w:rsidRPr="00B256FF">
        <w:t>2014</w:t>
      </w:r>
      <w:r>
        <w:t>, p.13.</w:t>
      </w:r>
      <w:proofErr w:type="gramEnd"/>
    </w:p>
  </w:footnote>
  <w:footnote w:id="11">
    <w:p w:rsidR="004813F0" w:rsidRDefault="004813F0">
      <w:pPr>
        <w:pStyle w:val="FootnoteText"/>
      </w:pPr>
      <w:r>
        <w:rPr>
          <w:rStyle w:val="FootnoteReference"/>
        </w:rPr>
        <w:footnoteRef/>
      </w:r>
      <w:r>
        <w:t xml:space="preserve"> Programs with a total value of less than $50m in 2013–14 were restricted to a maximum page length (excluding annexes and title pages) of 10 pages; $50m–$300m to 15 pages; and more than $300m to 20 pages.</w:t>
      </w:r>
    </w:p>
  </w:footnote>
  <w:footnote w:id="12">
    <w:p w:rsidR="004813F0" w:rsidRPr="00B256FF" w:rsidRDefault="004813F0" w:rsidP="0021205F">
      <w:pPr>
        <w:pStyle w:val="FootnoteText"/>
      </w:pPr>
      <w:r w:rsidRPr="00B256FF">
        <w:rPr>
          <w:rStyle w:val="FootnoteReference"/>
        </w:rPr>
        <w:footnoteRef/>
      </w:r>
      <w:r w:rsidRPr="00B256FF">
        <w:t xml:space="preserve"> Mutual obligations will be more fully articulated in Aid Investment Plans.</w:t>
      </w:r>
    </w:p>
  </w:footnote>
  <w:footnote w:id="13">
    <w:p w:rsidR="004813F0" w:rsidRPr="00B256FF" w:rsidRDefault="004813F0" w:rsidP="0021205F">
      <w:pPr>
        <w:pStyle w:val="FootnoteText"/>
        <w:ind w:left="0" w:firstLine="0"/>
      </w:pPr>
      <w:r w:rsidRPr="00B256FF">
        <w:rPr>
          <w:rStyle w:val="FootnoteReference"/>
        </w:rPr>
        <w:footnoteRef/>
      </w:r>
      <w:r w:rsidRPr="00B256FF">
        <w:t xml:space="preserve"> This only applies to </w:t>
      </w:r>
      <w:r>
        <w:t>20</w:t>
      </w:r>
      <w:r w:rsidRPr="00B256FF">
        <w:t>13</w:t>
      </w:r>
      <w:r>
        <w:t>–</w:t>
      </w:r>
      <w:r w:rsidRPr="00B256FF">
        <w:t>14 APPRs; future APPRs will report on progress against the longer</w:t>
      </w:r>
      <w:r>
        <w:t xml:space="preserve"> </w:t>
      </w:r>
      <w:r w:rsidRPr="00B256FF">
        <w:t>term performance benchmarks (typically covering a four</w:t>
      </w:r>
      <w:r>
        <w:t>-</w:t>
      </w:r>
      <w:r w:rsidRPr="00B256FF">
        <w:t>year period) that will be articulated in Aid Investment Plans.</w:t>
      </w:r>
    </w:p>
  </w:footnote>
  <w:footnote w:id="14">
    <w:p w:rsidR="004813F0" w:rsidRPr="00B256FF" w:rsidRDefault="004813F0" w:rsidP="0021205F">
      <w:pPr>
        <w:pStyle w:val="FootnoteText"/>
      </w:pPr>
      <w:r w:rsidRPr="00B256FF">
        <w:rPr>
          <w:rStyle w:val="FootnoteReference"/>
        </w:rPr>
        <w:footnoteRef/>
      </w:r>
      <w:r w:rsidRPr="00B256FF">
        <w:t xml:space="preserve"> The Nauru APPR was submitted too late for inclusion in the quality review.</w:t>
      </w:r>
    </w:p>
  </w:footnote>
  <w:footnote w:id="15">
    <w:p w:rsidR="004813F0" w:rsidRPr="00B256FF" w:rsidRDefault="004813F0" w:rsidP="005A5815">
      <w:pPr>
        <w:pStyle w:val="FootnoteText"/>
        <w:ind w:left="0" w:firstLine="0"/>
      </w:pPr>
      <w:r w:rsidRPr="00B256FF">
        <w:rPr>
          <w:rStyle w:val="FootnoteReference"/>
        </w:rPr>
        <w:footnoteRef/>
      </w:r>
      <w:r w:rsidRPr="00B256FF">
        <w:t xml:space="preserve"> The new APPR template, under the </w:t>
      </w:r>
      <w:r>
        <w:t>“</w:t>
      </w:r>
      <w:r w:rsidRPr="00B256FF">
        <w:t>Context</w:t>
      </w:r>
      <w:r>
        <w:t>”</w:t>
      </w:r>
      <w:r w:rsidRPr="00B256FF">
        <w:t xml:space="preserve"> section</w:t>
      </w:r>
      <w:r>
        <w:t>,</w:t>
      </w:r>
      <w:r w:rsidRPr="00B256FF">
        <w:t xml:space="preserve"> prompts APPR authors to answer (among other questions): “Does the program/strategy remain relevant to the current context?”</w:t>
      </w:r>
    </w:p>
  </w:footnote>
  <w:footnote w:id="16">
    <w:p w:rsidR="004813F0" w:rsidRPr="00B256FF" w:rsidRDefault="004813F0" w:rsidP="005A5815">
      <w:pPr>
        <w:pStyle w:val="FootnoteText"/>
        <w:ind w:left="0" w:firstLine="0"/>
      </w:pPr>
      <w:r w:rsidRPr="00B256FF">
        <w:rPr>
          <w:rStyle w:val="FootnoteReference"/>
        </w:rPr>
        <w:footnoteRef/>
      </w:r>
      <w:r w:rsidRPr="00B256FF">
        <w:t xml:space="preserve"> Whereby </w:t>
      </w:r>
      <w:r>
        <w:t>G</w:t>
      </w:r>
      <w:r w:rsidRPr="00B256FF">
        <w:t>reen =</w:t>
      </w:r>
      <w:r w:rsidRPr="00B256FF">
        <w:rPr>
          <w:lang w:eastAsia="en-GB"/>
        </w:rPr>
        <w:t xml:space="preserve"> “Progress is as expected for this point in time and it is likely that the objective will be achieved. Standard program management practices are sufficient”; </w:t>
      </w:r>
      <w:r>
        <w:rPr>
          <w:lang w:eastAsia="en-GB"/>
        </w:rPr>
        <w:t>A</w:t>
      </w:r>
      <w:r w:rsidRPr="00B256FF">
        <w:rPr>
          <w:lang w:eastAsia="en-GB"/>
        </w:rPr>
        <w:t xml:space="preserve">mber = </w:t>
      </w:r>
      <w:r>
        <w:rPr>
          <w:lang w:eastAsia="en-GB"/>
        </w:rPr>
        <w:t>“</w:t>
      </w:r>
      <w:r w:rsidRPr="00B256FF">
        <w:rPr>
          <w:lang w:eastAsia="en-GB"/>
        </w:rPr>
        <w:t xml:space="preserve">Progress is somewhat less than expected for this point in time and restorative action will be necessary if the objective is to be achieved. Close performance monitoring is recommended”; and </w:t>
      </w:r>
      <w:r>
        <w:rPr>
          <w:lang w:eastAsia="en-GB"/>
        </w:rPr>
        <w:t>R</w:t>
      </w:r>
      <w:r w:rsidRPr="00B256FF">
        <w:rPr>
          <w:lang w:eastAsia="en-GB"/>
        </w:rPr>
        <w:t>ed = “Progress is significantly less than expected for this point in time and the objective is not likely to be met given available resources and priorities. Recasting the objective may be required.”</w:t>
      </w:r>
    </w:p>
  </w:footnote>
  <w:footnote w:id="17">
    <w:p w:rsidR="004813F0" w:rsidRPr="00B256FF" w:rsidRDefault="004813F0" w:rsidP="005A5815">
      <w:pPr>
        <w:pStyle w:val="FootnoteText"/>
      </w:pPr>
      <w:r w:rsidRPr="00B256FF">
        <w:rPr>
          <w:rStyle w:val="FootnoteReference"/>
        </w:rPr>
        <w:footnoteRef/>
      </w:r>
      <w:r w:rsidRPr="00B256FF">
        <w:t xml:space="preserve"> </w:t>
      </w:r>
      <w:proofErr w:type="gramStart"/>
      <w:r w:rsidRPr="00B256FF">
        <w:t>Afghanistan, Bangladesh, Burma, Laos, Nepal, Palestinian Territories, Philippines, Timor-Leste and Vietnam</w:t>
      </w:r>
      <w:r>
        <w:t>.</w:t>
      </w:r>
      <w:proofErr w:type="gramEnd"/>
    </w:p>
  </w:footnote>
  <w:footnote w:id="18">
    <w:p w:rsidR="004813F0" w:rsidRPr="00B256FF" w:rsidRDefault="004813F0" w:rsidP="005A5815">
      <w:pPr>
        <w:pStyle w:val="FootnoteText"/>
      </w:pPr>
      <w:r w:rsidRPr="00B256FF">
        <w:rPr>
          <w:rStyle w:val="FootnoteReference"/>
        </w:rPr>
        <w:footnoteRef/>
      </w:r>
      <w:r w:rsidRPr="00B256FF">
        <w:t xml:space="preserve"> </w:t>
      </w:r>
      <w:proofErr w:type="gramStart"/>
      <w:r w:rsidRPr="00B256FF">
        <w:t>Mekong Water</w:t>
      </w:r>
      <w:r>
        <w:t xml:space="preserve"> Resources Program</w:t>
      </w:r>
      <w:r w:rsidRPr="00B256FF">
        <w:t>, Mongolia, South Asia Regional, Sri Lanka</w:t>
      </w:r>
      <w:r>
        <w:t xml:space="preserve"> and</w:t>
      </w:r>
      <w:r w:rsidRPr="00B256FF">
        <w:t xml:space="preserve"> </w:t>
      </w:r>
      <w:r>
        <w:t>S</w:t>
      </w:r>
      <w:r w:rsidRPr="00B256FF">
        <w:t>ub-Saharan Africa</w:t>
      </w:r>
      <w:r>
        <w:t>.</w:t>
      </w:r>
      <w:proofErr w:type="gramEnd"/>
    </w:p>
  </w:footnote>
  <w:footnote w:id="19">
    <w:p w:rsidR="004813F0" w:rsidRDefault="004813F0">
      <w:pPr>
        <w:pStyle w:val="FootnoteText"/>
      </w:pPr>
      <w:r>
        <w:rPr>
          <w:rStyle w:val="FootnoteReference"/>
        </w:rPr>
        <w:footnoteRef/>
      </w:r>
      <w:r>
        <w:t xml:space="preserve"> The guidance suggests that programs with a total value of less than $50m in 2013–14 identify three to six performance benchmarks; $50m–$300 programs identify six to eight benchmarks; and program valued at more than $300m identify up to ten benchmarks.</w:t>
      </w:r>
    </w:p>
  </w:footnote>
  <w:footnote w:id="20">
    <w:p w:rsidR="004813F0" w:rsidRPr="00B256FF" w:rsidRDefault="004813F0" w:rsidP="000767B0">
      <w:pPr>
        <w:pStyle w:val="FootnoteText"/>
        <w:ind w:left="0" w:firstLine="0"/>
      </w:pPr>
      <w:r w:rsidRPr="00B256FF">
        <w:rPr>
          <w:rStyle w:val="FootnoteReference"/>
        </w:rPr>
        <w:footnoteRef/>
      </w:r>
      <w:r w:rsidRPr="00B256FF">
        <w:t xml:space="preserve"> Note that this benchmark type is unrelated to the DFAT Aggregate Development Results, which are a set of 20 specific measures that each monitored aid investment is required to report against on an annual basis, and which contributes to the set of </w:t>
      </w:r>
      <w:r>
        <w:t>d</w:t>
      </w:r>
      <w:r w:rsidRPr="00B256FF">
        <w:t>epartment-wide results from the aid program that are reported against on an annual basis.</w:t>
      </w:r>
    </w:p>
  </w:footnote>
  <w:footnote w:id="21">
    <w:p w:rsidR="004813F0" w:rsidRPr="00B256FF" w:rsidRDefault="004813F0" w:rsidP="00291B06">
      <w:pPr>
        <w:pStyle w:val="FootnoteText"/>
        <w:ind w:left="0" w:firstLine="0"/>
      </w:pPr>
      <w:r w:rsidRPr="00B256FF">
        <w:rPr>
          <w:rStyle w:val="FootnoteReference"/>
        </w:rPr>
        <w:footnoteRef/>
      </w:r>
      <w:r w:rsidRPr="00B256FF">
        <w:t xml:space="preserve"> The review team developed the initial framework for assessing performance benchmarks based on consideration of DFAT policy documents (e.g. APPR template and good practice note). The framework was then finalised in collaboration with ODE and Aid Management and Contracting Division.</w:t>
      </w:r>
    </w:p>
    <w:p w:rsidR="004813F0" w:rsidRPr="00B256FF" w:rsidRDefault="004813F0" w:rsidP="00291B06">
      <w:pPr>
        <w:pStyle w:val="FootnoteText"/>
        <w:ind w:left="0" w:firstLine="0"/>
      </w:pPr>
    </w:p>
  </w:footnote>
  <w:footnote w:id="22">
    <w:p w:rsidR="004813F0" w:rsidRPr="00F8515C" w:rsidRDefault="004813F0" w:rsidP="00D06B9D">
      <w:pPr>
        <w:pStyle w:val="BasicParagraph"/>
        <w:rPr>
          <w:rFonts w:ascii="Franklin Gothic Book" w:eastAsia="Times New Roman" w:hAnsi="Franklin Gothic Book" w:cs="Times New Roman"/>
          <w:i w:val="0"/>
          <w:iCs w:val="0"/>
          <w:color w:val="auto"/>
          <w:sz w:val="16"/>
          <w:szCs w:val="14"/>
          <w:lang w:val="en-AU" w:eastAsia="en-AU"/>
        </w:rPr>
      </w:pPr>
      <w:r>
        <w:rPr>
          <w:rStyle w:val="FootnoteReference"/>
        </w:rPr>
        <w:footnoteRef/>
      </w:r>
      <w:r>
        <w:t xml:space="preserve"> </w:t>
      </w:r>
      <w:proofErr w:type="gramStart"/>
      <w:r w:rsidRPr="00F8515C">
        <w:rPr>
          <w:rFonts w:ascii="Franklin Gothic Book" w:eastAsia="Times New Roman" w:hAnsi="Franklin Gothic Book" w:cs="Times New Roman"/>
          <w:iCs w:val="0"/>
          <w:color w:val="auto"/>
          <w:sz w:val="16"/>
          <w:szCs w:val="14"/>
          <w:lang w:val="en-AU" w:eastAsia="en-AU"/>
        </w:rPr>
        <w:t>Performance of Australian Aid 2013–14</w:t>
      </w:r>
      <w:r>
        <w:rPr>
          <w:rFonts w:ascii="Franklin Gothic Book" w:eastAsia="Times New Roman" w:hAnsi="Franklin Gothic Book" w:cs="Times New Roman"/>
          <w:i w:val="0"/>
          <w:iCs w:val="0"/>
          <w:color w:val="auto"/>
          <w:sz w:val="16"/>
          <w:szCs w:val="14"/>
          <w:lang w:val="en-AU" w:eastAsia="en-AU"/>
        </w:rPr>
        <w:t>,</w:t>
      </w:r>
      <w:r w:rsidRPr="00F8515C">
        <w:rPr>
          <w:rFonts w:ascii="Franklin Gothic Book" w:eastAsia="Times New Roman" w:hAnsi="Franklin Gothic Book" w:cs="Times New Roman"/>
          <w:i w:val="0"/>
          <w:iCs w:val="0"/>
          <w:color w:val="auto"/>
          <w:sz w:val="16"/>
          <w:szCs w:val="14"/>
          <w:lang w:val="en-AU" w:eastAsia="en-AU"/>
        </w:rPr>
        <w:t xml:space="preserve"> DFAT, Canberra, </w:t>
      </w:r>
      <w:r>
        <w:rPr>
          <w:rFonts w:ascii="Franklin Gothic Book" w:eastAsia="Times New Roman" w:hAnsi="Franklin Gothic Book" w:cs="Times New Roman"/>
          <w:i w:val="0"/>
          <w:iCs w:val="0"/>
          <w:color w:val="auto"/>
          <w:sz w:val="16"/>
          <w:szCs w:val="14"/>
          <w:lang w:val="en-AU" w:eastAsia="en-AU"/>
        </w:rPr>
        <w:t>2015, p.71.</w:t>
      </w:r>
      <w:proofErr w:type="gramEnd"/>
    </w:p>
  </w:footnote>
  <w:footnote w:id="23">
    <w:p w:rsidR="004813F0" w:rsidRPr="00B256FF" w:rsidRDefault="004813F0" w:rsidP="00DA2C4C">
      <w:pPr>
        <w:pStyle w:val="FootnoteText"/>
        <w:ind w:left="0" w:firstLine="0"/>
      </w:pPr>
      <w:r w:rsidRPr="00B256FF">
        <w:rPr>
          <w:rStyle w:val="FootnoteReference"/>
        </w:rPr>
        <w:footnoteRef/>
      </w:r>
      <w:r w:rsidRPr="00B256FF">
        <w:t xml:space="preserve"> In 2012–13</w:t>
      </w:r>
      <w:r>
        <w:t>,</w:t>
      </w:r>
      <w:r w:rsidRPr="00B256FF">
        <w:t xml:space="preserve"> APPRs were prepared for the Regional Assistance Mission to Solomon Islands (RAMSI); North Pacific; Middle East and North Africa; Latin America; and the Caribbean—but not in 2013</w:t>
      </w:r>
      <w:r>
        <w:t>–14</w:t>
      </w:r>
      <w:r w:rsidRPr="00B256FF">
        <w:t>. (Three mini APPRs—for Bhutan, India and Maldives—which were counted as one APPR were also completed in 2012–13</w:t>
      </w:r>
      <w:r>
        <w:t>,</w:t>
      </w:r>
      <w:r w:rsidRPr="00B256FF">
        <w:t xml:space="preserve"> but were not included in the counts of that year’s APPR objectives</w:t>
      </w:r>
      <w:r>
        <w:t>.</w:t>
      </w:r>
      <w:r w:rsidRPr="00B256FF">
        <w:t>)</w:t>
      </w:r>
    </w:p>
  </w:footnote>
  <w:footnote w:id="24">
    <w:p w:rsidR="004813F0" w:rsidRDefault="004813F0">
      <w:pPr>
        <w:pStyle w:val="FootnoteText"/>
      </w:pPr>
      <w:r>
        <w:rPr>
          <w:rStyle w:val="FootnoteReference"/>
        </w:rPr>
        <w:footnoteRef/>
      </w:r>
      <w:r>
        <w:t xml:space="preserve"> </w:t>
      </w:r>
      <w:proofErr w:type="gramStart"/>
      <w:r>
        <w:t>As per citation at * above.</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F0" w:rsidRDefault="00481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F0" w:rsidRDefault="004813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F0" w:rsidRDefault="004813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F0" w:rsidRDefault="004813F0" w:rsidP="00B90206">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F0" w:rsidRDefault="004813F0" w:rsidP="00B90206">
    <w:pPr>
      <w:pStyle w:val="Heade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F0" w:rsidRDefault="004813F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3F0" w:rsidRDefault="00481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965FD4"/>
    <w:lvl w:ilvl="0">
      <w:start w:val="1"/>
      <w:numFmt w:val="decimal"/>
      <w:lvlText w:val="%1."/>
      <w:lvlJc w:val="left"/>
      <w:pPr>
        <w:tabs>
          <w:tab w:val="num" w:pos="1492"/>
        </w:tabs>
        <w:ind w:left="1492" w:hanging="360"/>
      </w:pPr>
    </w:lvl>
  </w:abstractNum>
  <w:abstractNum w:abstractNumId="1">
    <w:nsid w:val="FFFFFF7D"/>
    <w:multiLevelType w:val="singleLevel"/>
    <w:tmpl w:val="4988384E"/>
    <w:lvl w:ilvl="0">
      <w:start w:val="1"/>
      <w:numFmt w:val="decimal"/>
      <w:lvlText w:val="%1."/>
      <w:lvlJc w:val="left"/>
      <w:pPr>
        <w:tabs>
          <w:tab w:val="num" w:pos="1209"/>
        </w:tabs>
        <w:ind w:left="1209" w:hanging="360"/>
      </w:pPr>
    </w:lvl>
  </w:abstractNum>
  <w:abstractNum w:abstractNumId="2">
    <w:nsid w:val="FFFFFF7E"/>
    <w:multiLevelType w:val="singleLevel"/>
    <w:tmpl w:val="167CEE9E"/>
    <w:lvl w:ilvl="0">
      <w:start w:val="1"/>
      <w:numFmt w:val="lowerRoman"/>
      <w:pStyle w:val="ListNumber3"/>
      <w:lvlText w:val="%1."/>
      <w:lvlJc w:val="left"/>
      <w:pPr>
        <w:ind w:left="926" w:hanging="360"/>
      </w:pPr>
      <w:rPr>
        <w:rFonts w:hint="default"/>
      </w:rPr>
    </w:lvl>
  </w:abstractNum>
  <w:abstractNum w:abstractNumId="3">
    <w:nsid w:val="FFFFFF80"/>
    <w:multiLevelType w:val="singleLevel"/>
    <w:tmpl w:val="C9DEF3E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70329C3C"/>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DB0AA1C"/>
    <w:lvl w:ilvl="0">
      <w:start w:val="1"/>
      <w:numFmt w:val="bullet"/>
      <w:pStyle w:val="ListBullet3"/>
      <w:lvlText w:val="o"/>
      <w:lvlJc w:val="left"/>
      <w:pPr>
        <w:ind w:left="927" w:hanging="360"/>
      </w:pPr>
      <w:rPr>
        <w:rFonts w:ascii="Courier New" w:hAnsi="Courier New" w:hint="default"/>
        <w:sz w:val="16"/>
      </w:rPr>
    </w:lvl>
  </w:abstractNum>
  <w:abstractNum w:abstractNumId="6">
    <w:nsid w:val="02C440E6"/>
    <w:multiLevelType w:val="hybridMultilevel"/>
    <w:tmpl w:val="80747B0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48C2F5C"/>
    <w:multiLevelType w:val="hybridMultilevel"/>
    <w:tmpl w:val="28AE06C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7B67778"/>
    <w:multiLevelType w:val="hybridMultilevel"/>
    <w:tmpl w:val="2E445AB6"/>
    <w:lvl w:ilvl="0" w:tplc="EEB2B4C2">
      <w:start w:val="1"/>
      <w:numFmt w:val="bullet"/>
      <w:lvlText w:val="»"/>
      <w:lvlJc w:val="left"/>
      <w:pPr>
        <w:ind w:left="1572" w:hanging="360"/>
      </w:pPr>
      <w:rPr>
        <w:rFonts w:ascii="Times New Roman" w:hAnsi="Times New Roman" w:cs="Times New Roman"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0">
    <w:nsid w:val="08E0238B"/>
    <w:multiLevelType w:val="hybridMultilevel"/>
    <w:tmpl w:val="80747B0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B7671EF"/>
    <w:multiLevelType w:val="hybridMultilevel"/>
    <w:tmpl w:val="80747B0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13">
    <w:nsid w:val="15E10C73"/>
    <w:multiLevelType w:val="hybridMultilevel"/>
    <w:tmpl w:val="7AE2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BB4224"/>
    <w:multiLevelType w:val="hybridMultilevel"/>
    <w:tmpl w:val="0E427BCE"/>
    <w:lvl w:ilvl="0" w:tplc="167A8A7E">
      <w:start w:val="1"/>
      <w:numFmt w:val="bullet"/>
      <w:pStyle w:val="BoxBullet"/>
      <w:lvlText w:val="›"/>
      <w:lvlJc w:val="left"/>
      <w:pPr>
        <w:tabs>
          <w:tab w:val="num" w:pos="357"/>
        </w:tabs>
        <w:ind w:left="357" w:hanging="35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7B7DD8"/>
    <w:multiLevelType w:val="hybridMultilevel"/>
    <w:tmpl w:val="AB264564"/>
    <w:lvl w:ilvl="0" w:tplc="731A1E60">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6">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7">
    <w:nsid w:val="186173FE"/>
    <w:multiLevelType w:val="hybridMultilevel"/>
    <w:tmpl w:val="B0E0EDDE"/>
    <w:lvl w:ilvl="0" w:tplc="8916997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1B013C8C"/>
    <w:multiLevelType w:val="multilevel"/>
    <w:tmpl w:val="36362CA8"/>
    <w:lvl w:ilvl="0">
      <w:start w:val="1"/>
      <w:numFmt w:val="bullet"/>
      <w:lvlText w:val=""/>
      <w:lvlJc w:val="left"/>
      <w:pPr>
        <w:ind w:left="36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DDF27C7"/>
    <w:multiLevelType w:val="hybridMultilevel"/>
    <w:tmpl w:val="A998B7AA"/>
    <w:lvl w:ilvl="0" w:tplc="24DC63D0">
      <w:start w:val="1"/>
      <w:numFmt w:val="decimal"/>
      <w:lvlText w:val="%1"/>
      <w:lvlJc w:val="left"/>
      <w:pPr>
        <w:ind w:left="2848" w:hanging="360"/>
      </w:pPr>
      <w:rPr>
        <w:rFonts w:hint="default"/>
      </w:rPr>
    </w:lvl>
    <w:lvl w:ilvl="1" w:tplc="0C090019" w:tentative="1">
      <w:start w:val="1"/>
      <w:numFmt w:val="lowerLetter"/>
      <w:lvlText w:val="%2."/>
      <w:lvlJc w:val="left"/>
      <w:pPr>
        <w:ind w:left="3568" w:hanging="360"/>
      </w:pPr>
    </w:lvl>
    <w:lvl w:ilvl="2" w:tplc="0C09001B" w:tentative="1">
      <w:start w:val="1"/>
      <w:numFmt w:val="lowerRoman"/>
      <w:lvlText w:val="%3."/>
      <w:lvlJc w:val="right"/>
      <w:pPr>
        <w:ind w:left="4288" w:hanging="180"/>
      </w:pPr>
    </w:lvl>
    <w:lvl w:ilvl="3" w:tplc="0C09000F" w:tentative="1">
      <w:start w:val="1"/>
      <w:numFmt w:val="decimal"/>
      <w:lvlText w:val="%4."/>
      <w:lvlJc w:val="left"/>
      <w:pPr>
        <w:ind w:left="5008" w:hanging="360"/>
      </w:pPr>
    </w:lvl>
    <w:lvl w:ilvl="4" w:tplc="0C090019" w:tentative="1">
      <w:start w:val="1"/>
      <w:numFmt w:val="lowerLetter"/>
      <w:lvlText w:val="%5."/>
      <w:lvlJc w:val="left"/>
      <w:pPr>
        <w:ind w:left="5728" w:hanging="360"/>
      </w:pPr>
    </w:lvl>
    <w:lvl w:ilvl="5" w:tplc="0C09001B" w:tentative="1">
      <w:start w:val="1"/>
      <w:numFmt w:val="lowerRoman"/>
      <w:lvlText w:val="%6."/>
      <w:lvlJc w:val="right"/>
      <w:pPr>
        <w:ind w:left="6448" w:hanging="180"/>
      </w:pPr>
    </w:lvl>
    <w:lvl w:ilvl="6" w:tplc="0C09000F" w:tentative="1">
      <w:start w:val="1"/>
      <w:numFmt w:val="decimal"/>
      <w:lvlText w:val="%7."/>
      <w:lvlJc w:val="left"/>
      <w:pPr>
        <w:ind w:left="7168" w:hanging="360"/>
      </w:pPr>
    </w:lvl>
    <w:lvl w:ilvl="7" w:tplc="0C090019" w:tentative="1">
      <w:start w:val="1"/>
      <w:numFmt w:val="lowerLetter"/>
      <w:lvlText w:val="%8."/>
      <w:lvlJc w:val="left"/>
      <w:pPr>
        <w:ind w:left="7888" w:hanging="360"/>
      </w:pPr>
    </w:lvl>
    <w:lvl w:ilvl="8" w:tplc="0C09001B" w:tentative="1">
      <w:start w:val="1"/>
      <w:numFmt w:val="lowerRoman"/>
      <w:lvlText w:val="%9."/>
      <w:lvlJc w:val="right"/>
      <w:pPr>
        <w:ind w:left="8608" w:hanging="180"/>
      </w:pPr>
    </w:lvl>
  </w:abstractNum>
  <w:abstractNum w:abstractNumId="20">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21">
    <w:nsid w:val="27551520"/>
    <w:multiLevelType w:val="hybridMultilevel"/>
    <w:tmpl w:val="68A4C4EC"/>
    <w:lvl w:ilvl="0" w:tplc="8590657A">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E4411E9"/>
    <w:multiLevelType w:val="hybridMultilevel"/>
    <w:tmpl w:val="6F9419C0"/>
    <w:lvl w:ilvl="0" w:tplc="34169F08">
      <w:start w:val="1"/>
      <w:numFmt w:val="bullet"/>
      <w:pStyle w:val="RecommendationBox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2D65A6"/>
    <w:multiLevelType w:val="hybridMultilevel"/>
    <w:tmpl w:val="A61283DE"/>
    <w:lvl w:ilvl="0" w:tplc="589499AE">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233F6B"/>
    <w:multiLevelType w:val="hybridMultilevel"/>
    <w:tmpl w:val="CBE0EEA8"/>
    <w:lvl w:ilvl="0" w:tplc="3146A58C">
      <w:start w:val="1"/>
      <w:numFmt w:val="lowerLetter"/>
      <w:lvlText w:val="%1."/>
      <w:lvlJc w:val="left"/>
      <w:pPr>
        <w:ind w:left="644" w:hanging="360"/>
      </w:pPr>
      <w:rPr>
        <w:rFonts w:hint="default"/>
        <w:color w:val="FFFFFF" w:themeColor="background1"/>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25">
    <w:nsid w:val="3AC150E2"/>
    <w:multiLevelType w:val="hybridMultilevel"/>
    <w:tmpl w:val="80747B0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4555175E"/>
    <w:multiLevelType w:val="hybridMultilevel"/>
    <w:tmpl w:val="36362CA8"/>
    <w:lvl w:ilvl="0" w:tplc="897E24BE">
      <w:start w:val="1"/>
      <w:numFmt w:val="bullet"/>
      <w:pStyle w:val="BoxListBullet"/>
      <w:lvlText w:val=""/>
      <w:lvlJc w:val="left"/>
      <w:pPr>
        <w:ind w:left="3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6D7C55"/>
    <w:multiLevelType w:val="hybridMultilevel"/>
    <w:tmpl w:val="B0E0EDDE"/>
    <w:lvl w:ilvl="0" w:tplc="8916997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EDD2CED"/>
    <w:multiLevelType w:val="hybridMultilevel"/>
    <w:tmpl w:val="80747B0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9740530"/>
    <w:multiLevelType w:val="hybridMultilevel"/>
    <w:tmpl w:val="469C2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B465916"/>
    <w:multiLevelType w:val="hybridMultilevel"/>
    <w:tmpl w:val="BC8611D8"/>
    <w:lvl w:ilvl="0" w:tplc="4CB4033E">
      <w:start w:val="1"/>
      <w:numFmt w:val="decimal"/>
      <w:lvlText w:val="%1."/>
      <w:lvlJc w:val="left"/>
      <w:pPr>
        <w:ind w:left="720" w:hanging="360"/>
      </w:pPr>
      <w:rPr>
        <w:rFonts w:hint="default"/>
      </w:rPr>
    </w:lvl>
    <w:lvl w:ilvl="1" w:tplc="FEB6413A">
      <w:start w:val="2"/>
      <w:numFmt w:val="bullet"/>
      <w:lvlText w:val="•"/>
      <w:lvlJc w:val="left"/>
      <w:pPr>
        <w:ind w:left="1440" w:hanging="360"/>
      </w:pPr>
      <w:rPr>
        <w:rFonts w:ascii="Franklin Gothic Book" w:eastAsia="Times New Roman" w:hAnsi="Franklin Gothic Book" w:cs="Times New Roman" w:hint="default"/>
      </w:rPr>
    </w:lvl>
    <w:lvl w:ilvl="2" w:tplc="5DCA69A4">
      <w:start w:val="1"/>
      <w:numFmt w:val="lowerLetter"/>
      <w:lvlText w:val="%3)"/>
      <w:lvlJc w:val="left"/>
      <w:pPr>
        <w:ind w:left="2340" w:hanging="360"/>
      </w:pPr>
      <w:rPr>
        <w:rFonts w:hint="default"/>
      </w:r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DF4299C"/>
    <w:multiLevelType w:val="hybridMultilevel"/>
    <w:tmpl w:val="9B44F6D4"/>
    <w:lvl w:ilvl="0" w:tplc="B2109BF6">
      <w:start w:val="3"/>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34">
    <w:nsid w:val="67975C7E"/>
    <w:multiLevelType w:val="hybridMultilevel"/>
    <w:tmpl w:val="161442FC"/>
    <w:lvl w:ilvl="0" w:tplc="B2F28E0E">
      <w:start w:val="6"/>
      <w:numFmt w:val="bullet"/>
      <w:lvlText w:val=""/>
      <w:lvlJc w:val="left"/>
      <w:pPr>
        <w:ind w:left="720" w:hanging="360"/>
      </w:pPr>
      <w:rPr>
        <w:rFonts w:ascii="Symbol" w:eastAsia="Times New Roman" w:hAnsi="Symbol"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634402"/>
    <w:multiLevelType w:val="multilevel"/>
    <w:tmpl w:val="DB9EB89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3"/>
  </w:num>
  <w:num w:numId="3">
    <w:abstractNumId w:val="15"/>
  </w:num>
  <w:num w:numId="4">
    <w:abstractNumId w:val="20"/>
  </w:num>
  <w:num w:numId="5">
    <w:abstractNumId w:val="24"/>
  </w:num>
  <w:num w:numId="6">
    <w:abstractNumId w:val="12"/>
  </w:num>
  <w:num w:numId="7">
    <w:abstractNumId w:val="23"/>
  </w:num>
  <w:num w:numId="8">
    <w:abstractNumId w:val="16"/>
  </w:num>
  <w:num w:numId="9">
    <w:abstractNumId w:val="36"/>
  </w:num>
  <w:num w:numId="10">
    <w:abstractNumId w:val="5"/>
  </w:num>
  <w:num w:numId="11">
    <w:abstractNumId w:val="2"/>
  </w:num>
  <w:num w:numId="12">
    <w:abstractNumId w:val="8"/>
  </w:num>
  <w:num w:numId="13">
    <w:abstractNumId w:val="9"/>
  </w:num>
  <w:num w:numId="14">
    <w:abstractNumId w:val="26"/>
  </w:num>
  <w:num w:numId="15">
    <w:abstractNumId w:val="36"/>
  </w:num>
  <w:num w:numId="16">
    <w:abstractNumId w:val="22"/>
  </w:num>
  <w:num w:numId="17">
    <w:abstractNumId w:val="21"/>
  </w:num>
  <w:num w:numId="18">
    <w:abstractNumId w:val="4"/>
  </w:num>
  <w:num w:numId="19">
    <w:abstractNumId w:val="3"/>
  </w:num>
  <w:num w:numId="20">
    <w:abstractNumId w:val="1"/>
  </w:num>
  <w:num w:numId="21">
    <w:abstractNumId w:val="0"/>
  </w:num>
  <w:num w:numId="22">
    <w:abstractNumId w:val="18"/>
  </w:num>
  <w:num w:numId="23">
    <w:abstractNumId w:val="19"/>
  </w:num>
  <w:num w:numId="24">
    <w:abstractNumId w:val="27"/>
  </w:num>
  <w:num w:numId="25">
    <w:abstractNumId w:val="29"/>
  </w:num>
  <w:num w:numId="26">
    <w:abstractNumId w:val="35"/>
  </w:num>
  <w:num w:numId="27">
    <w:abstractNumId w:val="32"/>
  </w:num>
  <w:num w:numId="28">
    <w:abstractNumId w:val="17"/>
  </w:num>
  <w:num w:numId="29">
    <w:abstractNumId w:val="7"/>
  </w:num>
  <w:num w:numId="30">
    <w:abstractNumId w:val="31"/>
  </w:num>
  <w:num w:numId="31">
    <w:abstractNumId w:val="14"/>
  </w:num>
  <w:num w:numId="32">
    <w:abstractNumId w:val="25"/>
  </w:num>
  <w:num w:numId="33">
    <w:abstractNumId w:val="11"/>
  </w:num>
  <w:num w:numId="34">
    <w:abstractNumId w:val="10"/>
  </w:num>
  <w:num w:numId="35">
    <w:abstractNumId w:val="28"/>
  </w:num>
  <w:num w:numId="36">
    <w:abstractNumId w:val="6"/>
  </w:num>
  <w:num w:numId="37">
    <w:abstractNumId w:val="13"/>
  </w:num>
  <w:num w:numId="38">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8673"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E5"/>
    <w:rsid w:val="000035B1"/>
    <w:rsid w:val="00005A8F"/>
    <w:rsid w:val="00005D7E"/>
    <w:rsid w:val="000147E2"/>
    <w:rsid w:val="0002189B"/>
    <w:rsid w:val="00023622"/>
    <w:rsid w:val="0002657F"/>
    <w:rsid w:val="0003065D"/>
    <w:rsid w:val="00031CF1"/>
    <w:rsid w:val="00031E7B"/>
    <w:rsid w:val="00033C14"/>
    <w:rsid w:val="00036BD9"/>
    <w:rsid w:val="00037D60"/>
    <w:rsid w:val="00041826"/>
    <w:rsid w:val="00042B25"/>
    <w:rsid w:val="0004449E"/>
    <w:rsid w:val="00050C77"/>
    <w:rsid w:val="000510E7"/>
    <w:rsid w:val="000562A5"/>
    <w:rsid w:val="00056C28"/>
    <w:rsid w:val="00061EC0"/>
    <w:rsid w:val="00074391"/>
    <w:rsid w:val="00074761"/>
    <w:rsid w:val="00076475"/>
    <w:rsid w:val="000767B0"/>
    <w:rsid w:val="00081B01"/>
    <w:rsid w:val="000916E9"/>
    <w:rsid w:val="000957A1"/>
    <w:rsid w:val="000A13D6"/>
    <w:rsid w:val="000A39ED"/>
    <w:rsid w:val="000A64CC"/>
    <w:rsid w:val="000C1CA7"/>
    <w:rsid w:val="000C79F9"/>
    <w:rsid w:val="000D11D0"/>
    <w:rsid w:val="000D55BC"/>
    <w:rsid w:val="000E0712"/>
    <w:rsid w:val="000F08A4"/>
    <w:rsid w:val="000F1BDC"/>
    <w:rsid w:val="000F3EEB"/>
    <w:rsid w:val="000F6224"/>
    <w:rsid w:val="00100E98"/>
    <w:rsid w:val="001077FE"/>
    <w:rsid w:val="00116D6B"/>
    <w:rsid w:val="00117270"/>
    <w:rsid w:val="001228F0"/>
    <w:rsid w:val="00133249"/>
    <w:rsid w:val="0013745C"/>
    <w:rsid w:val="0014135E"/>
    <w:rsid w:val="00145658"/>
    <w:rsid w:val="001456B2"/>
    <w:rsid w:val="00152F0E"/>
    <w:rsid w:val="0015309E"/>
    <w:rsid w:val="00160F41"/>
    <w:rsid w:val="001646D0"/>
    <w:rsid w:val="001661A3"/>
    <w:rsid w:val="00166B39"/>
    <w:rsid w:val="00171F41"/>
    <w:rsid w:val="00174367"/>
    <w:rsid w:val="001771DB"/>
    <w:rsid w:val="00181321"/>
    <w:rsid w:val="0018394C"/>
    <w:rsid w:val="00186131"/>
    <w:rsid w:val="0019023B"/>
    <w:rsid w:val="00190424"/>
    <w:rsid w:val="001A0270"/>
    <w:rsid w:val="001A5C25"/>
    <w:rsid w:val="001B50B9"/>
    <w:rsid w:val="001B57B8"/>
    <w:rsid w:val="001C1A97"/>
    <w:rsid w:val="001C26F2"/>
    <w:rsid w:val="001C653D"/>
    <w:rsid w:val="001D097D"/>
    <w:rsid w:val="001E7A82"/>
    <w:rsid w:val="001F0E70"/>
    <w:rsid w:val="001F38CC"/>
    <w:rsid w:val="00202DEB"/>
    <w:rsid w:val="002074F7"/>
    <w:rsid w:val="00210BEE"/>
    <w:rsid w:val="0021205F"/>
    <w:rsid w:val="002221EF"/>
    <w:rsid w:val="00222841"/>
    <w:rsid w:val="00227108"/>
    <w:rsid w:val="0023470A"/>
    <w:rsid w:val="00247F1C"/>
    <w:rsid w:val="0025176D"/>
    <w:rsid w:val="002626DF"/>
    <w:rsid w:val="0027552C"/>
    <w:rsid w:val="00287609"/>
    <w:rsid w:val="00290F46"/>
    <w:rsid w:val="002911BA"/>
    <w:rsid w:val="00291B06"/>
    <w:rsid w:val="00291B92"/>
    <w:rsid w:val="00294747"/>
    <w:rsid w:val="002A3C5F"/>
    <w:rsid w:val="002A54EA"/>
    <w:rsid w:val="002B0740"/>
    <w:rsid w:val="002B2B15"/>
    <w:rsid w:val="002B698E"/>
    <w:rsid w:val="002B728D"/>
    <w:rsid w:val="002C4326"/>
    <w:rsid w:val="002C526A"/>
    <w:rsid w:val="002D382F"/>
    <w:rsid w:val="002E14D7"/>
    <w:rsid w:val="002E7D18"/>
    <w:rsid w:val="002F0430"/>
    <w:rsid w:val="0030074F"/>
    <w:rsid w:val="00303A0E"/>
    <w:rsid w:val="00305716"/>
    <w:rsid w:val="00305D9C"/>
    <w:rsid w:val="00311268"/>
    <w:rsid w:val="0031311B"/>
    <w:rsid w:val="00315C8D"/>
    <w:rsid w:val="00316A50"/>
    <w:rsid w:val="00324D90"/>
    <w:rsid w:val="00324FC1"/>
    <w:rsid w:val="003272F5"/>
    <w:rsid w:val="00331241"/>
    <w:rsid w:val="00334B19"/>
    <w:rsid w:val="00346694"/>
    <w:rsid w:val="00355DBC"/>
    <w:rsid w:val="0036126B"/>
    <w:rsid w:val="00361535"/>
    <w:rsid w:val="0037177C"/>
    <w:rsid w:val="00374BD7"/>
    <w:rsid w:val="00377F4B"/>
    <w:rsid w:val="003850B0"/>
    <w:rsid w:val="003A1A9E"/>
    <w:rsid w:val="003A374D"/>
    <w:rsid w:val="003A5CE1"/>
    <w:rsid w:val="003A6280"/>
    <w:rsid w:val="003B153C"/>
    <w:rsid w:val="003B5BF3"/>
    <w:rsid w:val="003C458D"/>
    <w:rsid w:val="003C4E75"/>
    <w:rsid w:val="003D11B4"/>
    <w:rsid w:val="003D7D21"/>
    <w:rsid w:val="003E4131"/>
    <w:rsid w:val="003F5745"/>
    <w:rsid w:val="0040284E"/>
    <w:rsid w:val="00415027"/>
    <w:rsid w:val="00420ECF"/>
    <w:rsid w:val="00422DC4"/>
    <w:rsid w:val="0042347D"/>
    <w:rsid w:val="0042765D"/>
    <w:rsid w:val="00430381"/>
    <w:rsid w:val="004436A3"/>
    <w:rsid w:val="00444566"/>
    <w:rsid w:val="004555B0"/>
    <w:rsid w:val="00462C37"/>
    <w:rsid w:val="00467DDA"/>
    <w:rsid w:val="004813F0"/>
    <w:rsid w:val="00481AD1"/>
    <w:rsid w:val="00485214"/>
    <w:rsid w:val="004852A4"/>
    <w:rsid w:val="00485AB6"/>
    <w:rsid w:val="00485C89"/>
    <w:rsid w:val="00497F27"/>
    <w:rsid w:val="004B2FD9"/>
    <w:rsid w:val="004C1F33"/>
    <w:rsid w:val="004C4674"/>
    <w:rsid w:val="004C5183"/>
    <w:rsid w:val="004C7106"/>
    <w:rsid w:val="004D2003"/>
    <w:rsid w:val="004D57F6"/>
    <w:rsid w:val="004E0913"/>
    <w:rsid w:val="004E379D"/>
    <w:rsid w:val="004E547D"/>
    <w:rsid w:val="004E7145"/>
    <w:rsid w:val="004E721B"/>
    <w:rsid w:val="004F3B48"/>
    <w:rsid w:val="0050162E"/>
    <w:rsid w:val="00503F0D"/>
    <w:rsid w:val="00514717"/>
    <w:rsid w:val="0051715B"/>
    <w:rsid w:val="00524D18"/>
    <w:rsid w:val="00525996"/>
    <w:rsid w:val="00537EBC"/>
    <w:rsid w:val="00542235"/>
    <w:rsid w:val="00544846"/>
    <w:rsid w:val="00551D2B"/>
    <w:rsid w:val="00560E55"/>
    <w:rsid w:val="00561BD2"/>
    <w:rsid w:val="00563420"/>
    <w:rsid w:val="00566E33"/>
    <w:rsid w:val="005724C2"/>
    <w:rsid w:val="00573EC8"/>
    <w:rsid w:val="00576EF7"/>
    <w:rsid w:val="00580055"/>
    <w:rsid w:val="0058185B"/>
    <w:rsid w:val="005857E1"/>
    <w:rsid w:val="00585CCB"/>
    <w:rsid w:val="00587630"/>
    <w:rsid w:val="00593BB5"/>
    <w:rsid w:val="00596266"/>
    <w:rsid w:val="00596A6F"/>
    <w:rsid w:val="00597931"/>
    <w:rsid w:val="005A0F9A"/>
    <w:rsid w:val="005A36A0"/>
    <w:rsid w:val="005A55B8"/>
    <w:rsid w:val="005A5815"/>
    <w:rsid w:val="005A620A"/>
    <w:rsid w:val="005A7AB4"/>
    <w:rsid w:val="005B7FD3"/>
    <w:rsid w:val="005C0484"/>
    <w:rsid w:val="005C0BE8"/>
    <w:rsid w:val="005C2A5B"/>
    <w:rsid w:val="005C644F"/>
    <w:rsid w:val="005C72E2"/>
    <w:rsid w:val="005D146D"/>
    <w:rsid w:val="005D28EB"/>
    <w:rsid w:val="005E5813"/>
    <w:rsid w:val="005E6565"/>
    <w:rsid w:val="00603EF0"/>
    <w:rsid w:val="00611F77"/>
    <w:rsid w:val="00615C63"/>
    <w:rsid w:val="006179F6"/>
    <w:rsid w:val="006235DF"/>
    <w:rsid w:val="006335F8"/>
    <w:rsid w:val="00646BC6"/>
    <w:rsid w:val="00651F25"/>
    <w:rsid w:val="006573B0"/>
    <w:rsid w:val="006608B3"/>
    <w:rsid w:val="00665AC1"/>
    <w:rsid w:val="006778C5"/>
    <w:rsid w:val="006840B7"/>
    <w:rsid w:val="0068612A"/>
    <w:rsid w:val="00686925"/>
    <w:rsid w:val="0068754A"/>
    <w:rsid w:val="00690560"/>
    <w:rsid w:val="00692728"/>
    <w:rsid w:val="0069428D"/>
    <w:rsid w:val="006B1A21"/>
    <w:rsid w:val="006B4E42"/>
    <w:rsid w:val="006C1E9F"/>
    <w:rsid w:val="006C6485"/>
    <w:rsid w:val="006F2025"/>
    <w:rsid w:val="006F5DAB"/>
    <w:rsid w:val="007101BB"/>
    <w:rsid w:val="00712AB4"/>
    <w:rsid w:val="00716EC9"/>
    <w:rsid w:val="00721229"/>
    <w:rsid w:val="00721254"/>
    <w:rsid w:val="00725724"/>
    <w:rsid w:val="00726D20"/>
    <w:rsid w:val="00730153"/>
    <w:rsid w:val="00731DEB"/>
    <w:rsid w:val="007356D4"/>
    <w:rsid w:val="00742D7F"/>
    <w:rsid w:val="00746089"/>
    <w:rsid w:val="00757334"/>
    <w:rsid w:val="00760FF4"/>
    <w:rsid w:val="007642DC"/>
    <w:rsid w:val="00772E82"/>
    <w:rsid w:val="00786E71"/>
    <w:rsid w:val="007877C3"/>
    <w:rsid w:val="00792C5F"/>
    <w:rsid w:val="00795033"/>
    <w:rsid w:val="00796E56"/>
    <w:rsid w:val="007A37BA"/>
    <w:rsid w:val="007A64DD"/>
    <w:rsid w:val="007B4341"/>
    <w:rsid w:val="007C221F"/>
    <w:rsid w:val="007C4F01"/>
    <w:rsid w:val="007C6001"/>
    <w:rsid w:val="007D0C20"/>
    <w:rsid w:val="007D3443"/>
    <w:rsid w:val="007E310E"/>
    <w:rsid w:val="007E425F"/>
    <w:rsid w:val="007E77B1"/>
    <w:rsid w:val="007E7BC9"/>
    <w:rsid w:val="008011D8"/>
    <w:rsid w:val="00807BBA"/>
    <w:rsid w:val="00817EB4"/>
    <w:rsid w:val="00825820"/>
    <w:rsid w:val="00825F68"/>
    <w:rsid w:val="008305AC"/>
    <w:rsid w:val="008313FF"/>
    <w:rsid w:val="00836ED8"/>
    <w:rsid w:val="00842AE7"/>
    <w:rsid w:val="008444F9"/>
    <w:rsid w:val="00850CDE"/>
    <w:rsid w:val="00862708"/>
    <w:rsid w:val="00881733"/>
    <w:rsid w:val="00881A92"/>
    <w:rsid w:val="00886C4F"/>
    <w:rsid w:val="00891AD2"/>
    <w:rsid w:val="00891AEF"/>
    <w:rsid w:val="008968DF"/>
    <w:rsid w:val="008A24A5"/>
    <w:rsid w:val="008B203B"/>
    <w:rsid w:val="008B2285"/>
    <w:rsid w:val="008B3FCE"/>
    <w:rsid w:val="008B609C"/>
    <w:rsid w:val="008C05BD"/>
    <w:rsid w:val="008C561D"/>
    <w:rsid w:val="008D0560"/>
    <w:rsid w:val="008E0ABF"/>
    <w:rsid w:val="008E2B34"/>
    <w:rsid w:val="008E6EF7"/>
    <w:rsid w:val="00902382"/>
    <w:rsid w:val="0091071F"/>
    <w:rsid w:val="00910AB9"/>
    <w:rsid w:val="009224B8"/>
    <w:rsid w:val="00932FC4"/>
    <w:rsid w:val="009339EC"/>
    <w:rsid w:val="0093451C"/>
    <w:rsid w:val="00952B6C"/>
    <w:rsid w:val="00954A0A"/>
    <w:rsid w:val="009573E7"/>
    <w:rsid w:val="00957EBB"/>
    <w:rsid w:val="00971391"/>
    <w:rsid w:val="009718E1"/>
    <w:rsid w:val="00974A2F"/>
    <w:rsid w:val="00977685"/>
    <w:rsid w:val="00986507"/>
    <w:rsid w:val="00991431"/>
    <w:rsid w:val="009944BB"/>
    <w:rsid w:val="009A0A03"/>
    <w:rsid w:val="009B23FF"/>
    <w:rsid w:val="009B4D82"/>
    <w:rsid w:val="009B585B"/>
    <w:rsid w:val="009C4B84"/>
    <w:rsid w:val="009D2060"/>
    <w:rsid w:val="009E33A2"/>
    <w:rsid w:val="009F194C"/>
    <w:rsid w:val="009F6C03"/>
    <w:rsid w:val="00A046B2"/>
    <w:rsid w:val="00A26F15"/>
    <w:rsid w:val="00A3538F"/>
    <w:rsid w:val="00A36B6E"/>
    <w:rsid w:val="00A50541"/>
    <w:rsid w:val="00A50879"/>
    <w:rsid w:val="00A62C3E"/>
    <w:rsid w:val="00A67E34"/>
    <w:rsid w:val="00A71CB7"/>
    <w:rsid w:val="00A72C06"/>
    <w:rsid w:val="00A84627"/>
    <w:rsid w:val="00A84CC6"/>
    <w:rsid w:val="00A95CD0"/>
    <w:rsid w:val="00AA1024"/>
    <w:rsid w:val="00AB2A58"/>
    <w:rsid w:val="00AB459D"/>
    <w:rsid w:val="00AB49E2"/>
    <w:rsid w:val="00AB7D34"/>
    <w:rsid w:val="00AC2936"/>
    <w:rsid w:val="00AC33FD"/>
    <w:rsid w:val="00AC4587"/>
    <w:rsid w:val="00AD2ED4"/>
    <w:rsid w:val="00AD78BE"/>
    <w:rsid w:val="00AD7FC3"/>
    <w:rsid w:val="00AE2787"/>
    <w:rsid w:val="00AE3448"/>
    <w:rsid w:val="00AF60B8"/>
    <w:rsid w:val="00AF693F"/>
    <w:rsid w:val="00B0252E"/>
    <w:rsid w:val="00B04923"/>
    <w:rsid w:val="00B057B3"/>
    <w:rsid w:val="00B07759"/>
    <w:rsid w:val="00B20D34"/>
    <w:rsid w:val="00B2190B"/>
    <w:rsid w:val="00B22478"/>
    <w:rsid w:val="00B247F1"/>
    <w:rsid w:val="00B24908"/>
    <w:rsid w:val="00B3070C"/>
    <w:rsid w:val="00B37E9A"/>
    <w:rsid w:val="00B462AA"/>
    <w:rsid w:val="00B532F9"/>
    <w:rsid w:val="00B55AD4"/>
    <w:rsid w:val="00B770CD"/>
    <w:rsid w:val="00B82573"/>
    <w:rsid w:val="00B82A06"/>
    <w:rsid w:val="00B90206"/>
    <w:rsid w:val="00B92A10"/>
    <w:rsid w:val="00BB146D"/>
    <w:rsid w:val="00BB17C6"/>
    <w:rsid w:val="00BC4D31"/>
    <w:rsid w:val="00BD1063"/>
    <w:rsid w:val="00BD23E9"/>
    <w:rsid w:val="00BD6894"/>
    <w:rsid w:val="00BE1CD3"/>
    <w:rsid w:val="00BF01F9"/>
    <w:rsid w:val="00BF2894"/>
    <w:rsid w:val="00BF501E"/>
    <w:rsid w:val="00BF5201"/>
    <w:rsid w:val="00BF5845"/>
    <w:rsid w:val="00BF675A"/>
    <w:rsid w:val="00C03AD5"/>
    <w:rsid w:val="00C04BA3"/>
    <w:rsid w:val="00C07FEF"/>
    <w:rsid w:val="00C15ACA"/>
    <w:rsid w:val="00C16121"/>
    <w:rsid w:val="00C17733"/>
    <w:rsid w:val="00C20F1A"/>
    <w:rsid w:val="00C215BF"/>
    <w:rsid w:val="00C225D7"/>
    <w:rsid w:val="00C24FD0"/>
    <w:rsid w:val="00C27514"/>
    <w:rsid w:val="00C3109B"/>
    <w:rsid w:val="00C36563"/>
    <w:rsid w:val="00C41D5B"/>
    <w:rsid w:val="00C43093"/>
    <w:rsid w:val="00C45739"/>
    <w:rsid w:val="00C469FD"/>
    <w:rsid w:val="00C539CC"/>
    <w:rsid w:val="00C55AC8"/>
    <w:rsid w:val="00C60FB1"/>
    <w:rsid w:val="00C64CE7"/>
    <w:rsid w:val="00C66BEB"/>
    <w:rsid w:val="00C75BD3"/>
    <w:rsid w:val="00C76F7C"/>
    <w:rsid w:val="00C80908"/>
    <w:rsid w:val="00C85186"/>
    <w:rsid w:val="00C86901"/>
    <w:rsid w:val="00C91E0D"/>
    <w:rsid w:val="00C9507B"/>
    <w:rsid w:val="00CA2EEE"/>
    <w:rsid w:val="00CB179C"/>
    <w:rsid w:val="00CB384B"/>
    <w:rsid w:val="00CB415E"/>
    <w:rsid w:val="00CB4733"/>
    <w:rsid w:val="00CB6DE9"/>
    <w:rsid w:val="00CB7D80"/>
    <w:rsid w:val="00CC5FAE"/>
    <w:rsid w:val="00CC6B6E"/>
    <w:rsid w:val="00CC751E"/>
    <w:rsid w:val="00CD0ECB"/>
    <w:rsid w:val="00CD1216"/>
    <w:rsid w:val="00CD5522"/>
    <w:rsid w:val="00CE51EC"/>
    <w:rsid w:val="00CF5E4C"/>
    <w:rsid w:val="00D02AA0"/>
    <w:rsid w:val="00D06B9D"/>
    <w:rsid w:val="00D12FC6"/>
    <w:rsid w:val="00D14C13"/>
    <w:rsid w:val="00D23003"/>
    <w:rsid w:val="00D23BA4"/>
    <w:rsid w:val="00D2730D"/>
    <w:rsid w:val="00D31CEE"/>
    <w:rsid w:val="00D4416C"/>
    <w:rsid w:val="00D446FA"/>
    <w:rsid w:val="00D470E4"/>
    <w:rsid w:val="00D51FA2"/>
    <w:rsid w:val="00D5281F"/>
    <w:rsid w:val="00D546F7"/>
    <w:rsid w:val="00D578B8"/>
    <w:rsid w:val="00D616BE"/>
    <w:rsid w:val="00D619C6"/>
    <w:rsid w:val="00D667E5"/>
    <w:rsid w:val="00D70030"/>
    <w:rsid w:val="00D73B10"/>
    <w:rsid w:val="00D80349"/>
    <w:rsid w:val="00D807C1"/>
    <w:rsid w:val="00D80FF4"/>
    <w:rsid w:val="00D81B03"/>
    <w:rsid w:val="00D83216"/>
    <w:rsid w:val="00D8547A"/>
    <w:rsid w:val="00D91A64"/>
    <w:rsid w:val="00DA2C4C"/>
    <w:rsid w:val="00DA372A"/>
    <w:rsid w:val="00DB1ED5"/>
    <w:rsid w:val="00DB3B31"/>
    <w:rsid w:val="00DC0232"/>
    <w:rsid w:val="00DC3B84"/>
    <w:rsid w:val="00DC5C1B"/>
    <w:rsid w:val="00DD0563"/>
    <w:rsid w:val="00DD0969"/>
    <w:rsid w:val="00DD14F9"/>
    <w:rsid w:val="00DD16C0"/>
    <w:rsid w:val="00DD36AC"/>
    <w:rsid w:val="00DD419D"/>
    <w:rsid w:val="00DD496D"/>
    <w:rsid w:val="00DF461F"/>
    <w:rsid w:val="00DF5F6A"/>
    <w:rsid w:val="00DF6183"/>
    <w:rsid w:val="00DF7A45"/>
    <w:rsid w:val="00E05918"/>
    <w:rsid w:val="00E059DE"/>
    <w:rsid w:val="00E05ED0"/>
    <w:rsid w:val="00E203EF"/>
    <w:rsid w:val="00E30B3C"/>
    <w:rsid w:val="00E3214A"/>
    <w:rsid w:val="00E3551E"/>
    <w:rsid w:val="00E3605E"/>
    <w:rsid w:val="00E405FE"/>
    <w:rsid w:val="00E41CC3"/>
    <w:rsid w:val="00E47A13"/>
    <w:rsid w:val="00E54901"/>
    <w:rsid w:val="00E54CE5"/>
    <w:rsid w:val="00E57D08"/>
    <w:rsid w:val="00E674E0"/>
    <w:rsid w:val="00E71300"/>
    <w:rsid w:val="00E75545"/>
    <w:rsid w:val="00E85D3E"/>
    <w:rsid w:val="00E86256"/>
    <w:rsid w:val="00E87E4C"/>
    <w:rsid w:val="00E93758"/>
    <w:rsid w:val="00E939AF"/>
    <w:rsid w:val="00E95941"/>
    <w:rsid w:val="00EA0033"/>
    <w:rsid w:val="00EA5A39"/>
    <w:rsid w:val="00EA7F04"/>
    <w:rsid w:val="00EB0B45"/>
    <w:rsid w:val="00EB5937"/>
    <w:rsid w:val="00EB6564"/>
    <w:rsid w:val="00ED0FAD"/>
    <w:rsid w:val="00ED47B4"/>
    <w:rsid w:val="00ED7DE9"/>
    <w:rsid w:val="00EE41D5"/>
    <w:rsid w:val="00EF2734"/>
    <w:rsid w:val="00EF4CB2"/>
    <w:rsid w:val="00EF50BC"/>
    <w:rsid w:val="00EF76E1"/>
    <w:rsid w:val="00F04F5D"/>
    <w:rsid w:val="00F0676F"/>
    <w:rsid w:val="00F11E3A"/>
    <w:rsid w:val="00F17D22"/>
    <w:rsid w:val="00F2330A"/>
    <w:rsid w:val="00F23D98"/>
    <w:rsid w:val="00F268DC"/>
    <w:rsid w:val="00F27B1A"/>
    <w:rsid w:val="00F27C0E"/>
    <w:rsid w:val="00F312BE"/>
    <w:rsid w:val="00F33117"/>
    <w:rsid w:val="00F358FB"/>
    <w:rsid w:val="00F36C24"/>
    <w:rsid w:val="00F4368C"/>
    <w:rsid w:val="00F46211"/>
    <w:rsid w:val="00F50883"/>
    <w:rsid w:val="00F52285"/>
    <w:rsid w:val="00F550B2"/>
    <w:rsid w:val="00F61FA2"/>
    <w:rsid w:val="00F65022"/>
    <w:rsid w:val="00F65F11"/>
    <w:rsid w:val="00F71D57"/>
    <w:rsid w:val="00F76858"/>
    <w:rsid w:val="00F8515C"/>
    <w:rsid w:val="00F90CBD"/>
    <w:rsid w:val="00FA0759"/>
    <w:rsid w:val="00FA3170"/>
    <w:rsid w:val="00FA7B11"/>
    <w:rsid w:val="00FB3B27"/>
    <w:rsid w:val="00FC7E26"/>
    <w:rsid w:val="00FC7E5E"/>
    <w:rsid w:val="00FD570C"/>
    <w:rsid w:val="00FF1928"/>
    <w:rsid w:val="00FF7662"/>
    <w:rsid w:val="00FF7E6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rsid w:val="00971391"/>
    <w:rPr>
      <w:sz w:val="24"/>
      <w:szCs w:val="24"/>
    </w:rPr>
  </w:style>
  <w:style w:type="paragraph" w:styleId="Heading1">
    <w:name w:val="heading 1"/>
    <w:basedOn w:val="Normal"/>
    <w:next w:val="BodyText"/>
    <w:link w:val="Heading1Char"/>
    <w:autoRedefine/>
    <w:qFormat/>
    <w:rsid w:val="00902382"/>
    <w:pPr>
      <w:keepNext/>
      <w:pageBreakBefore/>
      <w:suppressLineNumbers/>
      <w:suppressAutoHyphens/>
      <w:spacing w:before="480" w:after="480" w:line="540" w:lineRule="atLeast"/>
      <w:outlineLvl w:val="0"/>
    </w:pPr>
    <w:rPr>
      <w:rFonts w:ascii="Arial" w:hAnsi="Arial"/>
      <w:color w:val="134486"/>
      <w:spacing w:val="-10"/>
      <w:kern w:val="28"/>
      <w:sz w:val="50"/>
      <w:szCs w:val="50"/>
    </w:rPr>
  </w:style>
  <w:style w:type="paragraph" w:styleId="Heading2">
    <w:name w:val="heading 2"/>
    <w:basedOn w:val="Normal"/>
    <w:next w:val="BodyText"/>
    <w:link w:val="Heading2Char"/>
    <w:qFormat/>
    <w:rsid w:val="00D807C1"/>
    <w:pPr>
      <w:keepNext/>
      <w:suppressLineNumbers/>
      <w:suppressAutoHyphens/>
      <w:spacing w:before="480" w:after="120"/>
      <w:outlineLvl w:val="1"/>
    </w:pPr>
    <w:rPr>
      <w:rFonts w:ascii="Helvetica" w:hAnsi="Helvetica" w:cs="Arial"/>
      <w:color w:val="124486"/>
      <w:kern w:val="28"/>
      <w:sz w:val="28"/>
      <w:szCs w:val="28"/>
    </w:rPr>
  </w:style>
  <w:style w:type="paragraph" w:styleId="Heading3">
    <w:name w:val="heading 3"/>
    <w:basedOn w:val="Normal"/>
    <w:next w:val="BodyText"/>
    <w:qFormat/>
    <w:rsid w:val="00E3214A"/>
    <w:pPr>
      <w:keepNext/>
      <w:suppressLineNumbers/>
      <w:suppressAutoHyphens/>
      <w:spacing w:before="360" w:after="120"/>
      <w:outlineLvl w:val="2"/>
    </w:pPr>
    <w:rPr>
      <w:rFonts w:ascii="Helvetica" w:hAnsi="Helvetica" w:cs="Arial"/>
      <w:color w:val="007FAD"/>
      <w:spacing w:val="4"/>
      <w:kern w:val="28"/>
      <w:szCs w:val="28"/>
    </w:rPr>
  </w:style>
  <w:style w:type="paragraph" w:styleId="Heading4">
    <w:name w:val="heading 4"/>
    <w:basedOn w:val="Normal"/>
    <w:next w:val="BodyText"/>
    <w:link w:val="Heading4Char"/>
    <w:qFormat/>
    <w:rsid w:val="00EA5A39"/>
    <w:pPr>
      <w:keepNext/>
      <w:numPr>
        <w:ilvl w:val="2"/>
      </w:numPr>
      <w:suppressLineNumbers/>
      <w:suppressAutoHyphens/>
      <w:spacing w:before="240" w:after="120"/>
      <w:outlineLvl w:val="3"/>
    </w:pPr>
    <w:rPr>
      <w:rFonts w:ascii="Helvetica" w:hAnsi="Helvetica" w:cs="Arial"/>
      <w:b/>
      <w:color w:val="124486"/>
      <w:kern w:val="28"/>
      <w:sz w:val="21"/>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9"/>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8"/>
      </w:numPr>
      <w:ind w:left="284" w:hanging="284"/>
    </w:pPr>
  </w:style>
  <w:style w:type="paragraph" w:styleId="ListNumber2">
    <w:name w:val="List Number 2"/>
    <w:basedOn w:val="ListNumber"/>
    <w:rsid w:val="006573B0"/>
    <w:pPr>
      <w:numPr>
        <w:numId w:val="12"/>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rsid w:val="00FA7B11"/>
    <w:pPr>
      <w:pageBreakBefore/>
      <w:spacing w:before="9840" w:line="640" w:lineRule="atLeast"/>
      <w:ind w:left="709" w:right="-624"/>
    </w:pPr>
    <w:rPr>
      <w:rFonts w:ascii="Helvetica" w:hAnsi="Helvetica"/>
      <w:noProof/>
      <w:color w:val="FFFFFF"/>
      <w:kern w:val="28"/>
      <w:sz w:val="50"/>
      <w:szCs w:val="50"/>
      <w:lang w:val="en-US" w:eastAsia="en-US"/>
    </w:rPr>
  </w:style>
  <w:style w:type="paragraph" w:styleId="Subtitle">
    <w:name w:val="Subtitle"/>
    <w:basedOn w:val="Title"/>
    <w:next w:val="Date"/>
    <w:link w:val="SubtitleChar"/>
    <w:rsid w:val="00FA7B11"/>
    <w:pPr>
      <w:pageBreakBefore w:val="0"/>
      <w:spacing w:before="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FA7B11"/>
    <w:rPr>
      <w:rFonts w:ascii="Helvetica" w:hAnsi="Helvetica"/>
      <w:noProof/>
      <w:color w:val="FFFFFF"/>
      <w:kern w:val="28"/>
      <w:sz w:val="32"/>
      <w:szCs w:val="32"/>
      <w:lang w:val="en-US" w:eastAsia="en-US"/>
    </w:rPr>
  </w:style>
  <w:style w:type="character" w:customStyle="1" w:styleId="TitleChar">
    <w:name w:val="Title Char"/>
    <w:link w:val="Title"/>
    <w:rsid w:val="00FA7B1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qFormat/>
    <w:rsid w:val="00D91A64"/>
    <w:pPr>
      <w:numPr>
        <w:numId w:val="14"/>
      </w:numPr>
      <w:ind w:left="284" w:hanging="284"/>
    </w:pPr>
  </w:style>
  <w:style w:type="paragraph" w:customStyle="1" w:styleId="BoxText">
    <w:name w:val="Box Text"/>
    <w:link w:val="BoxTextChar"/>
    <w:qFormat/>
    <w:rsid w:val="00F268DC"/>
    <w:pPr>
      <w:shd w:val="clear" w:color="auto" w:fill="D0DAE7"/>
      <w:spacing w:after="120" w:line="280" w:lineRule="exact"/>
    </w:pPr>
    <w:rPr>
      <w:rFonts w:ascii="Franklin Gothic Book" w:eastAsia="Calibri" w:hAnsi="Franklin Gothic Book"/>
      <w:iCs/>
      <w:color w:val="1F497D" w:themeColor="text2"/>
      <w:szCs w:val="22"/>
    </w:rPr>
  </w:style>
  <w:style w:type="character" w:customStyle="1" w:styleId="BoxTextChar">
    <w:name w:val="Box Text Char"/>
    <w:link w:val="BoxText"/>
    <w:rsid w:val="00F268DC"/>
    <w:rPr>
      <w:rFonts w:ascii="Franklin Gothic Book" w:eastAsia="Calibri" w:hAnsi="Franklin Gothic Book"/>
      <w:iCs/>
      <w:color w:val="1F497D" w:themeColor="text2"/>
      <w:szCs w:val="22"/>
      <w:shd w:val="clear" w:color="auto" w:fill="D0DAE7"/>
    </w:rPr>
  </w:style>
  <w:style w:type="paragraph" w:customStyle="1" w:styleId="TableFigureNote">
    <w:name w:val="Table Figure Note"/>
    <w:basedOn w:val="TableText"/>
    <w:next w:val="BodyText"/>
    <w:link w:val="TableFigureNoteChar"/>
    <w:rsid w:val="009C4B84"/>
    <w:pPr>
      <w:spacing w:after="240" w:line="180" w:lineRule="atLeast"/>
    </w:pPr>
    <w:rPr>
      <w:sz w:val="14"/>
      <w:szCs w:val="14"/>
    </w:rPr>
  </w:style>
  <w:style w:type="paragraph" w:customStyle="1" w:styleId="TableText">
    <w:name w:val="Table Text"/>
    <w:basedOn w:val="Normal"/>
    <w:qFormat/>
    <w:rsid w:val="00247F1C"/>
    <w:pPr>
      <w:spacing w:after="120" w:line="200" w:lineRule="atLeast"/>
    </w:pPr>
    <w:rPr>
      <w:rFonts w:ascii="Franklin Gothic Book" w:eastAsia="Calibri" w:hAnsi="Franklin Gothic Book"/>
      <w:sz w:val="17"/>
      <w:szCs w:val="17"/>
      <w:lang w:eastAsia="en-US"/>
    </w:rPr>
  </w:style>
  <w:style w:type="paragraph" w:customStyle="1" w:styleId="Source">
    <w:name w:val="Source"/>
    <w:basedOn w:val="TableFigureNote"/>
    <w:next w:val="BodyText"/>
    <w:rsid w:val="00C36563"/>
  </w:style>
  <w:style w:type="character" w:customStyle="1" w:styleId="TableFigureNoteChar">
    <w:name w:val="Table Figure Note Char"/>
    <w:link w:val="TableFigureNote"/>
    <w:rsid w:val="009C4B84"/>
    <w:rPr>
      <w:rFonts w:ascii="Franklin Gothic Book" w:eastAsia="Calibri" w:hAnsi="Franklin Gothic Book"/>
      <w:sz w:val="14"/>
      <w:szCs w:val="14"/>
      <w:lang w:eastAsia="en-US"/>
    </w:rPr>
  </w:style>
  <w:style w:type="paragraph" w:customStyle="1" w:styleId="BoxHeading1">
    <w:name w:val="Box Heading 1"/>
    <w:basedOn w:val="Heading3"/>
    <w:next w:val="BoxText"/>
    <w:qFormat/>
    <w:rsid w:val="00F268DC"/>
    <w:pPr>
      <w:shd w:val="clear" w:color="auto" w:fill="D0DAE7"/>
      <w:spacing w:before="240"/>
    </w:pPr>
    <w:rPr>
      <w:b/>
      <w:iCs/>
      <w:color w:val="134486"/>
    </w:rPr>
  </w:style>
  <w:style w:type="paragraph" w:customStyle="1" w:styleId="BoxHeading2">
    <w:name w:val="Box Heading 2"/>
    <w:basedOn w:val="BoxText"/>
    <w:next w:val="BoxText"/>
    <w:rsid w:val="00F268DC"/>
    <w:pPr>
      <w:spacing w:before="120"/>
    </w:pPr>
    <w:rPr>
      <w:b/>
      <w:i/>
      <w:iCs w:val="0"/>
      <w:spacing w:val="4"/>
    </w:rPr>
  </w:style>
  <w:style w:type="paragraph" w:customStyle="1" w:styleId="TableListBullet">
    <w:name w:val="Table List Bullet"/>
    <w:basedOn w:val="TableText"/>
    <w:rsid w:val="009B23F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BoxText">
    <w:name w:val="Recommendation Box Text"/>
    <w:basedOn w:val="RecommendationBox"/>
    <w:next w:val="BodyText"/>
    <w:semiHidden/>
    <w:rsid w:val="00F268DC"/>
    <w:pPr>
      <w:spacing w:before="0"/>
    </w:pPr>
    <w:rPr>
      <w:rFonts w:ascii="Franklin Gothic Book" w:hAnsi="Franklin Gothic Book"/>
      <w:b w:val="0"/>
      <w:sz w:val="22"/>
      <w:szCs w:val="22"/>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nR-ANZDEC,ftref,(NECG) Footnote Reference,Fußnotenzeichen DISS,de nota al pie,Ref,fr,16 Point,Superscript 6 Point,Footnote Ref in FtNote,SUPERS,Footnote text,BVI fnr,Normal + Font:9 Point,Superscript 3 Point Times,footnote ref"/>
    <w:rsid w:val="003A1A9E"/>
    <w:rPr>
      <w:rFonts w:ascii="Franklin Gothic Book" w:hAnsi="Franklin Gothic Book"/>
      <w:w w:val="100"/>
      <w:position w:val="6"/>
      <w:sz w:val="16"/>
      <w:szCs w:val="12"/>
      <w:vertAlign w:val="baseline"/>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qFormat/>
    <w:rsid w:val="00081B01"/>
    <w:pPr>
      <w:tabs>
        <w:tab w:val="left" w:pos="357"/>
      </w:tabs>
      <w:spacing w:after="0" w:line="180" w:lineRule="atLeast"/>
      <w:ind w:left="113" w:hanging="113"/>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rsid w:val="000916E9"/>
    <w:pPr>
      <w:ind w:right="284"/>
      <w:jc w:val="right"/>
    </w:pPr>
    <w:rPr>
      <w:rFonts w:ascii="Helvetica" w:hAnsi="Helvetica"/>
    </w:rPr>
  </w:style>
  <w:style w:type="paragraph" w:customStyle="1" w:styleId="TableHeading1Centred">
    <w:name w:val="Table Heading 1 Centred"/>
    <w:basedOn w:val="TableHeading1"/>
    <w:rsid w:val="009C4B84"/>
    <w:pPr>
      <w:jc w:val="center"/>
    </w:pPr>
  </w:style>
  <w:style w:type="paragraph" w:customStyle="1" w:styleId="TableHeading1">
    <w:name w:val="Table Heading 1"/>
    <w:basedOn w:val="Normal"/>
    <w:next w:val="TableText"/>
    <w:qFormat/>
    <w:rsid w:val="00FC7E5E"/>
    <w:pPr>
      <w:spacing w:after="40" w:line="200" w:lineRule="atLeast"/>
    </w:pPr>
    <w:rPr>
      <w:rFonts w:ascii="Franklin Gothic Book" w:eastAsia="Calibri" w:hAnsi="Franklin Gothic Book"/>
      <w:b/>
      <w:sz w:val="18"/>
      <w:szCs w:val="17"/>
      <w:lang w:eastAsia="en-US"/>
    </w:rPr>
  </w:style>
  <w:style w:type="paragraph" w:customStyle="1" w:styleId="TableHeading2">
    <w:name w:val="Table Heading 2"/>
    <w:basedOn w:val="Normal"/>
    <w:next w:val="TableText"/>
    <w:rsid w:val="009C4B84"/>
    <w:pPr>
      <w:spacing w:after="40" w:line="200" w:lineRule="atLeast"/>
    </w:pPr>
    <w:rPr>
      <w:rFonts w:ascii="Franklin Gothic Book" w:eastAsia="Calibri" w:hAnsi="Franklin Gothic Book"/>
      <w:b/>
      <w:i/>
      <w:sz w:val="17"/>
      <w:szCs w:val="17"/>
      <w:lang w:eastAsia="en-US"/>
    </w:rPr>
  </w:style>
  <w:style w:type="paragraph" w:customStyle="1" w:styleId="TableListBullet2">
    <w:name w:val="Table List Bullet 2"/>
    <w:basedOn w:val="TableListBullet"/>
    <w:link w:val="TableListBullet2Char"/>
    <w:rsid w:val="009B23FF"/>
    <w:pPr>
      <w:numPr>
        <w:numId w:val="6"/>
      </w:numPr>
      <w:ind w:left="568" w:hanging="284"/>
    </w:pPr>
  </w:style>
  <w:style w:type="character" w:customStyle="1" w:styleId="TableListBullet2Char">
    <w:name w:val="Table List Bullet 2 Char"/>
    <w:link w:val="TableListBullet2"/>
    <w:rsid w:val="009B23FF"/>
    <w:rPr>
      <w:rFonts w:ascii="Franklin Gothic Book" w:eastAsia="Calibri" w:hAnsi="Franklin Gothic Book"/>
      <w:sz w:val="17"/>
      <w:szCs w:val="17"/>
      <w:lang w:eastAsia="en-US"/>
    </w:rPr>
  </w:style>
  <w:style w:type="paragraph" w:customStyle="1" w:styleId="TableListNumber">
    <w:name w:val="Table List Number"/>
    <w:basedOn w:val="TableText"/>
    <w:rsid w:val="00005A8F"/>
    <w:pPr>
      <w:numPr>
        <w:numId w:val="1"/>
      </w:numPr>
      <w:spacing w:line="240" w:lineRule="auto"/>
      <w:ind w:left="284" w:hanging="284"/>
    </w:pPr>
  </w:style>
  <w:style w:type="paragraph" w:customStyle="1" w:styleId="TableListNumber2">
    <w:name w:val="Table List Number 2"/>
    <w:basedOn w:val="TableListNumber"/>
    <w:rsid w:val="009B23FF"/>
    <w:pPr>
      <w:numPr>
        <w:numId w:val="3"/>
      </w:numPr>
      <w:ind w:left="568" w:hanging="284"/>
    </w:pPr>
  </w:style>
  <w:style w:type="paragraph" w:customStyle="1" w:styleId="TableUnit">
    <w:name w:val="Table Unit"/>
    <w:basedOn w:val="Normal"/>
    <w:next w:val="TableData"/>
    <w:rsid w:val="009B23FF"/>
    <w:pPr>
      <w:keepNext/>
      <w:spacing w:before="80" w:after="80" w:line="200" w:lineRule="atLeast"/>
      <w:jc w:val="right"/>
    </w:pPr>
    <w:rPr>
      <w:rFonts w:ascii="Franklin Gothic Book" w:eastAsia="Calibri" w:hAnsi="Franklin Gothic Book"/>
      <w:b/>
      <w:sz w:val="17"/>
      <w:szCs w:val="17"/>
      <w:lang w:eastAsia="en-US"/>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orNumber2">
    <w:name w:val="Box List Bullet or Number 2"/>
    <w:basedOn w:val="BoxText"/>
    <w:rsid w:val="00D80349"/>
    <w:pPr>
      <w:tabs>
        <w:tab w:val="left" w:pos="284"/>
      </w:tabs>
      <w:ind w:left="567" w:hanging="567"/>
      <w:contextualSpacing/>
    </w:pPr>
  </w:style>
  <w:style w:type="paragraph" w:customStyle="1" w:styleId="BoxListNumber">
    <w:name w:val="Box List Number"/>
    <w:basedOn w:val="Normal"/>
    <w:next w:val="BoxText"/>
    <w:rsid w:val="00F268DC"/>
    <w:pPr>
      <w:keepLines/>
      <w:numPr>
        <w:numId w:val="7"/>
      </w:numPr>
      <w:shd w:val="clear" w:color="auto" w:fill="D0DAE7"/>
      <w:spacing w:after="120"/>
    </w:pPr>
    <w:rPr>
      <w:rFonts w:ascii="Franklin Gothic Book" w:eastAsia="Calibri" w:hAnsi="Franklin Gothic Book"/>
      <w:iCs/>
      <w:color w:val="1F497D" w:themeColor="text2"/>
      <w:sz w:val="20"/>
      <w:szCs w:val="20"/>
    </w:rPr>
  </w:style>
  <w:style w:type="paragraph" w:customStyle="1" w:styleId="BoxNoteSource">
    <w:name w:val="Box Note/Source"/>
    <w:basedOn w:val="BoxText"/>
    <w:rsid w:val="00CE51EC"/>
    <w:pPr>
      <w:spacing w:before="100" w:after="100" w:line="180" w:lineRule="atLeast"/>
    </w:pPr>
    <w:rPr>
      <w:sz w:val="14"/>
      <w:szCs w:val="14"/>
    </w:rPr>
  </w:style>
  <w:style w:type="paragraph" w:customStyle="1" w:styleId="BoxQuote">
    <w:name w:val="Box Quote"/>
    <w:basedOn w:val="BoxText"/>
    <w:next w:val="BoxText"/>
    <w:rsid w:val="00CE51EC"/>
    <w:pPr>
      <w:spacing w:line="240" w:lineRule="atLeast"/>
    </w:pPr>
    <w:rPr>
      <w:i/>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1">
    <w:name w:val="Char Char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3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6778C5"/>
    <w:pPr>
      <w:numPr>
        <w:numId w:val="10"/>
      </w:numPr>
      <w:ind w:left="851" w:hanging="284"/>
      <w:contextualSpacing/>
    </w:pPr>
  </w:style>
  <w:style w:type="paragraph" w:styleId="ListNumber3">
    <w:name w:val="List Number 3"/>
    <w:basedOn w:val="ListNumber2"/>
    <w:rsid w:val="006573B0"/>
    <w:pPr>
      <w:numPr>
        <w:numId w:val="11"/>
      </w:numPr>
      <w:ind w:left="851" w:hanging="284"/>
      <w:contextualSpacing/>
    </w:pPr>
  </w:style>
  <w:style w:type="character" w:styleId="CommentReference">
    <w:name w:val="annotation reference"/>
    <w:basedOn w:val="DefaultParagraphFont"/>
    <w:uiPriority w:val="99"/>
    <w:unhideWhenUsed/>
    <w:rsid w:val="00B770CD"/>
    <w:rPr>
      <w:sz w:val="16"/>
      <w:szCs w:val="16"/>
    </w:rPr>
  </w:style>
  <w:style w:type="table" w:customStyle="1" w:styleId="DFATBox">
    <w:name w:val="DFAT Box"/>
    <w:basedOn w:val="TableNormal"/>
    <w:uiPriority w:val="99"/>
    <w:rsid w:val="00F23D98"/>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RecommendationBox">
    <w:name w:val="Recommendation Box"/>
    <w:basedOn w:val="Heading3"/>
    <w:link w:val="RecommendationBoxChar"/>
    <w:qFormat/>
    <w:rsid w:val="00F268DC"/>
    <w:pPr>
      <w:shd w:val="clear" w:color="auto" w:fill="007FAD"/>
      <w:spacing w:before="240"/>
    </w:pPr>
    <w:rPr>
      <w:b/>
      <w:color w:val="FFFFFF" w:themeColor="background1"/>
    </w:rPr>
  </w:style>
  <w:style w:type="character" w:customStyle="1" w:styleId="Heading2Char">
    <w:name w:val="Heading 2 Char"/>
    <w:basedOn w:val="DefaultParagraphFont"/>
    <w:link w:val="Heading2"/>
    <w:rsid w:val="00D807C1"/>
    <w:rPr>
      <w:rFonts w:ascii="Helvetica" w:hAnsi="Helvetica" w:cs="Arial"/>
      <w:color w:val="124486"/>
      <w:kern w:val="28"/>
      <w:sz w:val="28"/>
      <w:szCs w:val="28"/>
    </w:rPr>
  </w:style>
  <w:style w:type="character" w:customStyle="1" w:styleId="RecommendationBoxChar">
    <w:name w:val="Recommendation Box Char"/>
    <w:basedOn w:val="Heading2Char"/>
    <w:link w:val="RecommendationBox"/>
    <w:rsid w:val="00F268DC"/>
    <w:rPr>
      <w:rFonts w:ascii="Helvetica" w:hAnsi="Helvetica" w:cs="Arial"/>
      <w:b/>
      <w:color w:val="FFFFFF" w:themeColor="background1"/>
      <w:spacing w:val="4"/>
      <w:kern w:val="28"/>
      <w:sz w:val="24"/>
      <w:szCs w:val="28"/>
      <w:shd w:val="clear" w:color="auto" w:fill="007FAD"/>
    </w:rPr>
  </w:style>
  <w:style w:type="paragraph" w:styleId="Quote">
    <w:name w:val="Quote"/>
    <w:basedOn w:val="Normal"/>
    <w:next w:val="Normal"/>
    <w:link w:val="QuoteChar"/>
    <w:uiPriority w:val="29"/>
    <w:qFormat/>
    <w:rsid w:val="00686925"/>
    <w:pPr>
      <w:spacing w:before="200" w:after="160"/>
      <w:ind w:left="862" w:right="862"/>
    </w:pPr>
    <w:rPr>
      <w:rFonts w:ascii="Franklin Gothic Book" w:hAnsi="Franklin Gothic Book"/>
      <w:i/>
      <w:iCs/>
      <w:color w:val="404040" w:themeColor="text1" w:themeTint="BF"/>
      <w:sz w:val="20"/>
    </w:rPr>
  </w:style>
  <w:style w:type="character" w:customStyle="1" w:styleId="QuoteChar">
    <w:name w:val="Quote Char"/>
    <w:basedOn w:val="DefaultParagraphFont"/>
    <w:link w:val="Quote"/>
    <w:uiPriority w:val="29"/>
    <w:rsid w:val="00686925"/>
    <w:rPr>
      <w:rFonts w:ascii="Franklin Gothic Book" w:hAnsi="Franklin Gothic Book"/>
      <w:i/>
      <w:iCs/>
      <w:color w:val="404040" w:themeColor="text1" w:themeTint="BF"/>
      <w:szCs w:val="24"/>
    </w:rPr>
  </w:style>
  <w:style w:type="paragraph" w:customStyle="1" w:styleId="StyleBoxHeading1NotBold">
    <w:name w:val="Style Box Heading 1 + Not Bold"/>
    <w:basedOn w:val="BoxHeading1"/>
    <w:rsid w:val="001F38CC"/>
    <w:rPr>
      <w:b w:val="0"/>
    </w:rPr>
  </w:style>
  <w:style w:type="paragraph" w:styleId="EndnoteText">
    <w:name w:val="endnote text"/>
    <w:basedOn w:val="Normal"/>
    <w:link w:val="EndnoteTextChar"/>
    <w:semiHidden/>
    <w:unhideWhenUsed/>
    <w:rsid w:val="00593BB5"/>
    <w:rPr>
      <w:sz w:val="20"/>
      <w:szCs w:val="20"/>
    </w:rPr>
  </w:style>
  <w:style w:type="character" w:customStyle="1" w:styleId="EndnoteTextChar">
    <w:name w:val="Endnote Text Char"/>
    <w:basedOn w:val="DefaultParagraphFont"/>
    <w:link w:val="EndnoteText"/>
    <w:semiHidden/>
    <w:rsid w:val="00593BB5"/>
  </w:style>
  <w:style w:type="character" w:styleId="EndnoteReference">
    <w:name w:val="endnote reference"/>
    <w:basedOn w:val="DefaultParagraphFont"/>
    <w:semiHidden/>
    <w:unhideWhenUsed/>
    <w:rsid w:val="00593BB5"/>
    <w:rPr>
      <w:vertAlign w:val="superscript"/>
    </w:rPr>
  </w:style>
  <w:style w:type="paragraph" w:customStyle="1" w:styleId="Pull-out">
    <w:name w:val="Pull-out"/>
    <w:basedOn w:val="Heading2"/>
    <w:qFormat/>
    <w:rsid w:val="00F268DC"/>
    <w:pPr>
      <w:pBdr>
        <w:top w:val="single" w:sz="12" w:space="4" w:color="FF8B00"/>
        <w:bottom w:val="single" w:sz="12" w:space="4" w:color="FF8B00"/>
      </w:pBdr>
      <w:spacing w:before="360" w:after="360"/>
    </w:pPr>
    <w:rPr>
      <w:color w:val="FF8B00"/>
    </w:rPr>
  </w:style>
  <w:style w:type="paragraph" w:customStyle="1" w:styleId="TableName">
    <w:name w:val="Table Name"/>
    <w:basedOn w:val="BodyText"/>
    <w:rsid w:val="00B770CD"/>
    <w:pPr>
      <w:spacing w:before="80" w:after="120" w:line="240" w:lineRule="exact"/>
    </w:pPr>
    <w:rPr>
      <w:b/>
      <w:color w:val="007FAD"/>
      <w:sz w:val="22"/>
    </w:rPr>
  </w:style>
  <w:style w:type="paragraph" w:customStyle="1" w:styleId="TableandFigureName">
    <w:name w:val="Table and Figure Name"/>
    <w:basedOn w:val="Heading4"/>
    <w:link w:val="TableandFigureNameChar"/>
    <w:qFormat/>
    <w:rsid w:val="004E0913"/>
    <w:pPr>
      <w:tabs>
        <w:tab w:val="left" w:pos="993"/>
      </w:tabs>
    </w:pPr>
    <w:rPr>
      <w:color w:val="auto"/>
      <w:sz w:val="20"/>
    </w:rPr>
  </w:style>
  <w:style w:type="paragraph" w:customStyle="1" w:styleId="TableandFigureCaption">
    <w:name w:val="Table and Figure Caption"/>
    <w:basedOn w:val="TableandFigureName"/>
    <w:link w:val="TableandFigureCaptionChar"/>
    <w:qFormat/>
    <w:rsid w:val="00E86256"/>
    <w:pPr>
      <w:spacing w:before="0"/>
    </w:pPr>
    <w:rPr>
      <w:b w:val="0"/>
      <w:color w:val="595959" w:themeColor="text1" w:themeTint="A6"/>
      <w:sz w:val="19"/>
    </w:rPr>
  </w:style>
  <w:style w:type="table" w:customStyle="1" w:styleId="DFATtable">
    <w:name w:val="DFAT table"/>
    <w:basedOn w:val="TableNormal"/>
    <w:uiPriority w:val="99"/>
    <w:rsid w:val="0027552C"/>
    <w:pPr>
      <w:keepNext/>
    </w:pPr>
    <w:tblPr>
      <w:tblInd w:w="0" w:type="dxa"/>
      <w:tblBorders>
        <w:bottom w:val="single" w:sz="4" w:space="0" w:color="808080"/>
      </w:tblBorders>
      <w:tblCellMar>
        <w:top w:w="85" w:type="dxa"/>
        <w:left w:w="85" w:type="dxa"/>
        <w:bottom w:w="0" w:type="dxa"/>
        <w:right w:w="85" w:type="dxa"/>
      </w:tblCellMar>
    </w:tblPr>
    <w:tblStylePr w:type="firstRow">
      <w:pPr>
        <w:jc w:val="left"/>
      </w:pPr>
      <w:tblPr/>
      <w:tcPr>
        <w:tcBorders>
          <w:bottom w:val="single" w:sz="4" w:space="0" w:color="808080"/>
          <w:insideH w:val="nil"/>
        </w:tcBorders>
      </w:tcPr>
    </w:tblStylePr>
  </w:style>
  <w:style w:type="paragraph" w:styleId="CommentText">
    <w:name w:val="annotation text"/>
    <w:basedOn w:val="Normal"/>
    <w:link w:val="CommentTextChar"/>
    <w:uiPriority w:val="99"/>
    <w:unhideWhenUsed/>
    <w:rsid w:val="00B770CD"/>
    <w:rPr>
      <w:sz w:val="20"/>
      <w:szCs w:val="20"/>
    </w:rPr>
  </w:style>
  <w:style w:type="character" w:customStyle="1" w:styleId="CommentTextChar">
    <w:name w:val="Comment Text Char"/>
    <w:basedOn w:val="DefaultParagraphFont"/>
    <w:link w:val="CommentText"/>
    <w:uiPriority w:val="99"/>
    <w:rsid w:val="00B770CD"/>
  </w:style>
  <w:style w:type="character" w:customStyle="1" w:styleId="Highlightorange">
    <w:name w:val="Highlight orange"/>
    <w:basedOn w:val="DefaultParagraphFont"/>
    <w:uiPriority w:val="1"/>
    <w:rsid w:val="00E86256"/>
    <w:rPr>
      <w:b/>
      <w:color w:val="E36C0A" w:themeColor="accent6" w:themeShade="BF"/>
    </w:rPr>
  </w:style>
  <w:style w:type="character" w:customStyle="1" w:styleId="QuoteSource">
    <w:name w:val="QuoteSource"/>
    <w:basedOn w:val="DefaultParagraphFont"/>
    <w:uiPriority w:val="1"/>
    <w:rsid w:val="00971391"/>
    <w:rPr>
      <w:i/>
    </w:rPr>
  </w:style>
  <w:style w:type="character" w:customStyle="1" w:styleId="Heading4Char">
    <w:name w:val="Heading 4 Char"/>
    <w:basedOn w:val="DefaultParagraphFont"/>
    <w:link w:val="Heading4"/>
    <w:rsid w:val="00EA5A39"/>
    <w:rPr>
      <w:rFonts w:ascii="Helvetica" w:hAnsi="Helvetica" w:cs="Arial"/>
      <w:b/>
      <w:color w:val="124486"/>
      <w:kern w:val="28"/>
      <w:sz w:val="21"/>
      <w:szCs w:val="22"/>
      <w:lang w:eastAsia="zh-CN"/>
    </w:rPr>
  </w:style>
  <w:style w:type="character" w:customStyle="1" w:styleId="TableandFigureNameChar">
    <w:name w:val="Table and Figure Name Char"/>
    <w:basedOn w:val="Heading4Char"/>
    <w:link w:val="TableandFigureName"/>
    <w:rsid w:val="004E0913"/>
    <w:rPr>
      <w:rFonts w:ascii="Helvetica" w:hAnsi="Helvetica" w:cs="Arial"/>
      <w:b/>
      <w:color w:val="124486"/>
      <w:kern w:val="28"/>
      <w:sz w:val="21"/>
      <w:szCs w:val="22"/>
      <w:lang w:eastAsia="zh-CN"/>
    </w:rPr>
  </w:style>
  <w:style w:type="character" w:customStyle="1" w:styleId="Highlightblue">
    <w:name w:val="Highlight blue"/>
    <w:basedOn w:val="DefaultParagraphFont"/>
    <w:uiPriority w:val="1"/>
    <w:rsid w:val="00E86256"/>
    <w:rPr>
      <w:b/>
      <w:color w:val="0070C0"/>
    </w:rPr>
  </w:style>
  <w:style w:type="character" w:customStyle="1" w:styleId="TableandFigureCaptionChar">
    <w:name w:val="Table and Figure Caption Char"/>
    <w:basedOn w:val="TableandFigureNameChar"/>
    <w:link w:val="TableandFigureCaption"/>
    <w:rsid w:val="00E86256"/>
    <w:rPr>
      <w:rFonts w:ascii="Helvetica" w:hAnsi="Helvetica" w:cs="Arial"/>
      <w:b w:val="0"/>
      <w:color w:val="595959" w:themeColor="text1" w:themeTint="A6"/>
      <w:kern w:val="28"/>
      <w:sz w:val="19"/>
      <w:szCs w:val="22"/>
      <w:lang w:eastAsia="zh-CN"/>
    </w:rPr>
  </w:style>
  <w:style w:type="paragraph" w:customStyle="1" w:styleId="RecommendationBoxBullet">
    <w:name w:val="Recommendation Box Bullet"/>
    <w:basedOn w:val="RecommendationBoxText"/>
    <w:rsid w:val="00F268DC"/>
    <w:pPr>
      <w:numPr>
        <w:numId w:val="16"/>
      </w:numPr>
      <w:ind w:left="284" w:hanging="284"/>
    </w:pPr>
  </w:style>
  <w:style w:type="character" w:styleId="Strong">
    <w:name w:val="Strong"/>
    <w:basedOn w:val="DefaultParagraphFont"/>
    <w:uiPriority w:val="22"/>
    <w:qFormat/>
    <w:rsid w:val="00E30B3C"/>
    <w:rPr>
      <w:b/>
      <w:bCs/>
    </w:rPr>
  </w:style>
  <w:style w:type="paragraph" w:customStyle="1" w:styleId="StyleImprintTextBoxSinglesolidlineAuto05ptLinewid">
    <w:name w:val="Style ImprintText + Box: (Single solid line Auto  0.5 pt Line wid..."/>
    <w:basedOn w:val="ImprintText"/>
    <w:rsid w:val="00FA7B11"/>
    <w:pPr>
      <w:pBdr>
        <w:top w:val="single" w:sz="4" w:space="1" w:color="auto"/>
      </w:pBdr>
    </w:pPr>
  </w:style>
  <w:style w:type="paragraph" w:customStyle="1" w:styleId="ImprintText-Copyright">
    <w:name w:val="ImprintText-Copyright"/>
    <w:basedOn w:val="ImprintText"/>
    <w:rsid w:val="00033C14"/>
    <w:pPr>
      <w:pBdr>
        <w:top w:val="single" w:sz="4" w:space="4" w:color="auto"/>
      </w:pBdr>
    </w:pPr>
  </w:style>
  <w:style w:type="paragraph" w:customStyle="1" w:styleId="ImprintText">
    <w:name w:val="ImprintText"/>
    <w:basedOn w:val="Normal"/>
    <w:rsid w:val="00033C14"/>
    <w:pPr>
      <w:spacing w:before="40" w:after="160"/>
    </w:pPr>
    <w:rPr>
      <w:rFonts w:ascii="Franklin Gothic Book" w:hAnsi="Franklin Gothic Book"/>
      <w:sz w:val="16"/>
      <w:szCs w:val="20"/>
    </w:rPr>
  </w:style>
  <w:style w:type="character" w:styleId="Emphasis">
    <w:name w:val="Emphasis"/>
    <w:basedOn w:val="DefaultParagraphFont"/>
    <w:uiPriority w:val="20"/>
    <w:qFormat/>
    <w:rsid w:val="00611F77"/>
    <w:rPr>
      <w:i/>
      <w:iCs/>
    </w:rPr>
  </w:style>
  <w:style w:type="paragraph" w:customStyle="1" w:styleId="Heading1b">
    <w:name w:val="Heading 1b"/>
    <w:basedOn w:val="Heading1"/>
    <w:rsid w:val="00891AEF"/>
    <w:pPr>
      <w:tabs>
        <w:tab w:val="left" w:pos="720"/>
      </w:tabs>
      <w:spacing w:after="1200"/>
    </w:pPr>
    <w:rPr>
      <w:color w:val="FFFFFF" w:themeColor="background1"/>
    </w:rPr>
  </w:style>
  <w:style w:type="paragraph" w:customStyle="1" w:styleId="Style1">
    <w:name w:val="Style1"/>
    <w:basedOn w:val="RecommendationBoxBullet"/>
    <w:rsid w:val="000035B1"/>
    <w:pPr>
      <w:numPr>
        <w:numId w:val="17"/>
      </w:numPr>
      <w:ind w:left="284" w:hanging="284"/>
      <w:outlineLvl w:val="0"/>
    </w:pPr>
  </w:style>
  <w:style w:type="character" w:customStyle="1" w:styleId="Heading1Char">
    <w:name w:val="Heading 1 Char"/>
    <w:basedOn w:val="DefaultParagraphFont"/>
    <w:link w:val="Heading1"/>
    <w:rsid w:val="00902382"/>
    <w:rPr>
      <w:rFonts w:ascii="Arial" w:hAnsi="Arial"/>
      <w:color w:val="134486"/>
      <w:spacing w:val="-10"/>
      <w:kern w:val="28"/>
      <w:sz w:val="50"/>
      <w:szCs w:val="5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4416C"/>
    <w:rPr>
      <w:rFonts w:ascii="Franklin Gothic Book" w:hAnsi="Franklin Gothic Book"/>
      <w:sz w:val="16"/>
      <w:szCs w:val="14"/>
    </w:rPr>
  </w:style>
  <w:style w:type="paragraph" w:customStyle="1" w:styleId="FigureName">
    <w:name w:val="FigureName"/>
    <w:basedOn w:val="Normal"/>
    <w:next w:val="Normal"/>
    <w:rsid w:val="00524D18"/>
    <w:pPr>
      <w:keepNext/>
      <w:keepLines/>
      <w:tabs>
        <w:tab w:val="left" w:pos="1080"/>
      </w:tabs>
      <w:spacing w:before="80" w:after="80" w:line="288" w:lineRule="auto"/>
      <w:ind w:left="1077" w:hanging="1077"/>
    </w:pPr>
    <w:rPr>
      <w:rFonts w:ascii="Franklin Gothic Book" w:hAnsi="Franklin Gothic Book"/>
      <w:b/>
      <w:bCs/>
      <w:sz w:val="22"/>
      <w:szCs w:val="20"/>
    </w:rPr>
  </w:style>
  <w:style w:type="paragraph" w:styleId="ListParagraph">
    <w:name w:val="List Paragraph"/>
    <w:basedOn w:val="Normal"/>
    <w:uiPriority w:val="34"/>
    <w:qFormat/>
    <w:rsid w:val="00524D18"/>
    <w:pPr>
      <w:spacing w:before="40" w:after="160" w:line="288" w:lineRule="auto"/>
      <w:ind w:left="720"/>
      <w:contextualSpacing/>
    </w:pPr>
    <w:rPr>
      <w:rFonts w:ascii="Franklin Gothic Book" w:hAnsi="Franklin Gothic Book"/>
      <w:sz w:val="21"/>
      <w:szCs w:val="20"/>
    </w:rPr>
  </w:style>
  <w:style w:type="paragraph" w:customStyle="1" w:styleId="TableName0">
    <w:name w:val="TableName"/>
    <w:basedOn w:val="Normal"/>
    <w:rsid w:val="0021205F"/>
    <w:pPr>
      <w:keepNext/>
      <w:tabs>
        <w:tab w:val="left" w:pos="1080"/>
      </w:tabs>
      <w:spacing w:before="80" w:after="120" w:line="200" w:lineRule="atLeast"/>
      <w:ind w:left="1077" w:hanging="1077"/>
    </w:pPr>
    <w:rPr>
      <w:rFonts w:ascii="Franklin Gothic Book" w:hAnsi="Franklin Gothic Book"/>
      <w:b/>
      <w:bCs/>
      <w:sz w:val="22"/>
      <w:szCs w:val="21"/>
    </w:rPr>
  </w:style>
  <w:style w:type="paragraph" w:customStyle="1" w:styleId="Bullet">
    <w:name w:val="Bullet"/>
    <w:basedOn w:val="Normal"/>
    <w:qFormat/>
    <w:rsid w:val="0021205F"/>
    <w:pPr>
      <w:spacing w:after="80" w:line="280" w:lineRule="exact"/>
      <w:ind w:left="360" w:hanging="360"/>
    </w:pPr>
    <w:rPr>
      <w:rFonts w:ascii="Franklin Gothic Book" w:hAnsi="Franklin Gothic Book"/>
      <w:sz w:val="21"/>
      <w:szCs w:val="20"/>
    </w:rPr>
  </w:style>
  <w:style w:type="paragraph" w:customStyle="1" w:styleId="BulletLast">
    <w:name w:val="BulletLast"/>
    <w:basedOn w:val="Bullet"/>
    <w:qFormat/>
    <w:rsid w:val="0021205F"/>
    <w:pPr>
      <w:spacing w:after="160"/>
    </w:pPr>
  </w:style>
  <w:style w:type="paragraph" w:customStyle="1" w:styleId="TableNumberedList">
    <w:name w:val="TableNumberedList"/>
    <w:basedOn w:val="Normal"/>
    <w:autoRedefine/>
    <w:qFormat/>
    <w:rsid w:val="0021205F"/>
    <w:pPr>
      <w:keepNext/>
      <w:spacing w:before="40" w:after="40" w:line="200" w:lineRule="atLeast"/>
    </w:pPr>
    <w:rPr>
      <w:rFonts w:ascii="Franklin Gothic Book" w:hAnsi="Franklin Gothic Book"/>
      <w:color w:val="000000" w:themeColor="text1"/>
      <w:sz w:val="17"/>
      <w:szCs w:val="21"/>
    </w:rPr>
  </w:style>
  <w:style w:type="paragraph" w:customStyle="1" w:styleId="TableTextEntries">
    <w:name w:val="Table Text Entries"/>
    <w:rsid w:val="0021205F"/>
    <w:pPr>
      <w:keepLines/>
      <w:spacing w:before="40" w:after="40" w:line="200" w:lineRule="atLeast"/>
    </w:pPr>
    <w:rPr>
      <w:rFonts w:ascii="Franklin Gothic Book" w:hAnsi="Franklin Gothic Book"/>
      <w:iCs/>
      <w:sz w:val="17"/>
      <w:szCs w:val="17"/>
      <w:lang w:eastAsia="en-US"/>
    </w:rPr>
  </w:style>
  <w:style w:type="paragraph" w:customStyle="1" w:styleId="BoxText0">
    <w:name w:val="BoxText"/>
    <w:basedOn w:val="Normal"/>
    <w:link w:val="BoxTextChar0"/>
    <w:qFormat/>
    <w:rsid w:val="005A5815"/>
    <w:pPr>
      <w:pBdr>
        <w:top w:val="single" w:sz="4" w:space="4" w:color="007FAD"/>
        <w:left w:val="single" w:sz="4" w:space="4" w:color="007FAD"/>
        <w:bottom w:val="single" w:sz="4" w:space="4" w:color="007FAD"/>
        <w:right w:val="single" w:sz="4" w:space="4" w:color="007FAD"/>
      </w:pBdr>
      <w:shd w:val="clear" w:color="auto" w:fill="ECF1F7"/>
      <w:spacing w:after="120"/>
    </w:pPr>
    <w:rPr>
      <w:rFonts w:ascii="Franklin Gothic Book" w:hAnsi="Franklin Gothic Book"/>
      <w:sz w:val="21"/>
      <w:szCs w:val="20"/>
    </w:rPr>
  </w:style>
  <w:style w:type="paragraph" w:customStyle="1" w:styleId="BoxName">
    <w:name w:val="BoxName"/>
    <w:basedOn w:val="BoxText0"/>
    <w:rsid w:val="005A5815"/>
    <w:pPr>
      <w:keepNext/>
      <w:shd w:val="clear" w:color="auto" w:fill="007FAD"/>
      <w:spacing w:before="180" w:after="240"/>
      <w:ind w:left="1077" w:hanging="1077"/>
    </w:pPr>
    <w:rPr>
      <w:rFonts w:ascii="Arial" w:hAnsi="Arial"/>
      <w:b/>
      <w:bCs/>
      <w:color w:val="FFFFFF" w:themeColor="background1"/>
      <w:sz w:val="24"/>
    </w:rPr>
  </w:style>
  <w:style w:type="paragraph" w:customStyle="1" w:styleId="BoxHeading20">
    <w:name w:val="BoxHeading2"/>
    <w:basedOn w:val="Normal"/>
    <w:link w:val="BoxHeading2Char"/>
    <w:qFormat/>
    <w:rsid w:val="005A5815"/>
    <w:pPr>
      <w:keepNext/>
      <w:pBdr>
        <w:top w:val="single" w:sz="4" w:space="4" w:color="007FAD"/>
        <w:left w:val="single" w:sz="4" w:space="4" w:color="007FAD"/>
        <w:bottom w:val="single" w:sz="4" w:space="4" w:color="007FAD"/>
        <w:right w:val="single" w:sz="4" w:space="4" w:color="007FAD"/>
      </w:pBdr>
      <w:shd w:val="clear" w:color="auto" w:fill="ECF1F7"/>
      <w:spacing w:before="240" w:after="60"/>
    </w:pPr>
    <w:rPr>
      <w:rFonts w:ascii="Franklin Gothic Book" w:hAnsi="Franklin Gothic Book"/>
      <w:b/>
      <w:bCs/>
      <w:i/>
      <w:sz w:val="21"/>
      <w:szCs w:val="20"/>
    </w:rPr>
  </w:style>
  <w:style w:type="character" w:customStyle="1" w:styleId="BoxTextChar0">
    <w:name w:val="BoxText Char"/>
    <w:basedOn w:val="DefaultParagraphFont"/>
    <w:link w:val="BoxText0"/>
    <w:rsid w:val="005A5815"/>
    <w:rPr>
      <w:rFonts w:ascii="Franklin Gothic Book" w:hAnsi="Franklin Gothic Book"/>
      <w:sz w:val="21"/>
      <w:shd w:val="clear" w:color="auto" w:fill="ECF1F7"/>
    </w:rPr>
  </w:style>
  <w:style w:type="character" w:customStyle="1" w:styleId="BoxHeading2Char">
    <w:name w:val="BoxHeading2 Char"/>
    <w:basedOn w:val="DefaultParagraphFont"/>
    <w:link w:val="BoxHeading20"/>
    <w:rsid w:val="005A5815"/>
    <w:rPr>
      <w:rFonts w:ascii="Franklin Gothic Book" w:hAnsi="Franklin Gothic Book"/>
      <w:b/>
      <w:bCs/>
      <w:i/>
      <w:sz w:val="21"/>
      <w:shd w:val="clear" w:color="auto" w:fill="ECF1F7"/>
    </w:rPr>
  </w:style>
  <w:style w:type="paragraph" w:customStyle="1" w:styleId="BoxQuote0">
    <w:name w:val="BoxQuote"/>
    <w:basedOn w:val="BoxText0"/>
    <w:next w:val="BoxQuoteSource"/>
    <w:link w:val="BoxQuoteChar"/>
    <w:qFormat/>
    <w:rsid w:val="005A5815"/>
    <w:pPr>
      <w:spacing w:after="0"/>
      <w:ind w:left="357" w:hanging="357"/>
    </w:pPr>
    <w:rPr>
      <w:i/>
    </w:rPr>
  </w:style>
  <w:style w:type="paragraph" w:customStyle="1" w:styleId="BoxQuoteSource">
    <w:name w:val="BoxQuoteSource"/>
    <w:basedOn w:val="BoxText0"/>
    <w:link w:val="BoxQuoteSourceChar"/>
    <w:qFormat/>
    <w:rsid w:val="005A5815"/>
    <w:pPr>
      <w:jc w:val="right"/>
    </w:pPr>
    <w:rPr>
      <w:noProof/>
    </w:rPr>
  </w:style>
  <w:style w:type="character" w:customStyle="1" w:styleId="BoxQuoteChar">
    <w:name w:val="BoxQuote Char"/>
    <w:basedOn w:val="BoxTextChar0"/>
    <w:link w:val="BoxQuote0"/>
    <w:rsid w:val="005A5815"/>
    <w:rPr>
      <w:rFonts w:ascii="Franklin Gothic Book" w:hAnsi="Franklin Gothic Book"/>
      <w:i/>
      <w:sz w:val="21"/>
      <w:shd w:val="clear" w:color="auto" w:fill="ECF1F7"/>
    </w:rPr>
  </w:style>
  <w:style w:type="character" w:customStyle="1" w:styleId="BoxQuoteSourceChar">
    <w:name w:val="BoxQuoteSource Char"/>
    <w:basedOn w:val="BoxTextChar0"/>
    <w:link w:val="BoxQuoteSource"/>
    <w:rsid w:val="005A5815"/>
    <w:rPr>
      <w:rFonts w:ascii="Franklin Gothic Book" w:hAnsi="Franklin Gothic Book"/>
      <w:noProof/>
      <w:sz w:val="21"/>
      <w:shd w:val="clear" w:color="auto" w:fill="ECF1F7"/>
    </w:rPr>
  </w:style>
  <w:style w:type="table" w:customStyle="1" w:styleId="DFATTable0">
    <w:name w:val="DFAT Table"/>
    <w:basedOn w:val="TableNormal"/>
    <w:uiPriority w:val="99"/>
    <w:rsid w:val="005A5815"/>
    <w:rPr>
      <w:rFonts w:ascii="Helvetica" w:eastAsia="Calibri" w:hAnsi="Helvetica"/>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styleId="Revision">
    <w:name w:val="Revision"/>
    <w:hidden/>
    <w:semiHidden/>
    <w:rsid w:val="00291B06"/>
    <w:rPr>
      <w:sz w:val="24"/>
      <w:szCs w:val="24"/>
    </w:rPr>
  </w:style>
  <w:style w:type="paragraph" w:customStyle="1" w:styleId="Heading3a">
    <w:name w:val="Heading 3a"/>
    <w:basedOn w:val="Heading3"/>
    <w:next w:val="Normal"/>
    <w:rsid w:val="005C72E2"/>
    <w:pPr>
      <w:suppressLineNumbers w:val="0"/>
      <w:suppressAutoHyphens w:val="0"/>
      <w:outlineLvl w:val="9"/>
    </w:pPr>
    <w:rPr>
      <w:rFonts w:ascii="Arial" w:hAnsi="Arial"/>
      <w:bCs/>
      <w:spacing w:val="0"/>
      <w:kern w:val="0"/>
      <w:szCs w:val="26"/>
    </w:rPr>
  </w:style>
  <w:style w:type="paragraph" w:customStyle="1" w:styleId="BoxBullet">
    <w:name w:val="BoxBullet"/>
    <w:basedOn w:val="BoxText0"/>
    <w:rsid w:val="005C72E2"/>
    <w:pPr>
      <w:numPr>
        <w:numId w:val="31"/>
      </w:numPr>
    </w:pPr>
  </w:style>
  <w:style w:type="paragraph" w:styleId="NormalWeb">
    <w:name w:val="Normal (Web)"/>
    <w:basedOn w:val="Normal"/>
    <w:uiPriority w:val="99"/>
    <w:unhideWhenUsed/>
    <w:rsid w:val="00287609"/>
    <w:pPr>
      <w:spacing w:before="100" w:beforeAutospacing="1" w:after="100" w:afterAutospacing="1"/>
    </w:pPr>
  </w:style>
  <w:style w:type="table" w:customStyle="1" w:styleId="TableGrid1">
    <w:name w:val="Table Grid1"/>
    <w:basedOn w:val="TableNormal"/>
    <w:next w:val="TableGrid"/>
    <w:uiPriority w:val="39"/>
    <w:rsid w:val="00721229"/>
    <w:tblPr>
      <w:tblInd w:w="0" w:type="dxa"/>
      <w:tblBorders>
        <w:top w:val="single" w:sz="4" w:space="0" w:color="007FAD"/>
        <w:bottom w:val="single" w:sz="4" w:space="0" w:color="007FAD"/>
        <w:insideH w:val="single" w:sz="4" w:space="0" w:color="007FAD"/>
      </w:tblBorders>
      <w:tblCellMar>
        <w:top w:w="85" w:type="dxa"/>
        <w:left w:w="108" w:type="dxa"/>
        <w:bottom w:w="85" w:type="dxa"/>
        <w:right w:w="108" w:type="dxa"/>
      </w:tblCellMar>
    </w:tblPr>
    <w:tcPr>
      <w:shd w:val="clear" w:color="auto" w:fill="FFFFFF"/>
    </w:tcPr>
    <w:tblStylePr w:type="firstRow">
      <w:tblPr/>
      <w:tcPr>
        <w:shd w:val="clear" w:color="auto" w:fill="007FAD"/>
      </w:tcPr>
    </w:tblStylePr>
  </w:style>
  <w:style w:type="table" w:customStyle="1" w:styleId="TableGrid2">
    <w:name w:val="Table Grid2"/>
    <w:basedOn w:val="TableNormal"/>
    <w:next w:val="TableGrid"/>
    <w:uiPriority w:val="39"/>
    <w:rsid w:val="000767B0"/>
    <w:tblPr>
      <w:tblInd w:w="0" w:type="dxa"/>
      <w:tblBorders>
        <w:top w:val="single" w:sz="4" w:space="0" w:color="007FAD"/>
        <w:bottom w:val="single" w:sz="4" w:space="0" w:color="007FAD"/>
        <w:insideH w:val="single" w:sz="4" w:space="0" w:color="007FAD"/>
      </w:tblBorders>
      <w:tblCellMar>
        <w:top w:w="85" w:type="dxa"/>
        <w:left w:w="108" w:type="dxa"/>
        <w:bottom w:w="85" w:type="dxa"/>
        <w:right w:w="108" w:type="dxa"/>
      </w:tblCellMar>
    </w:tblPr>
    <w:tcPr>
      <w:shd w:val="clear" w:color="auto" w:fill="FFFFFF"/>
    </w:tcPr>
    <w:tblStylePr w:type="firstRow">
      <w:tblPr/>
      <w:tcPr>
        <w:shd w:val="clear" w:color="auto" w:fill="007FAD"/>
      </w:tcPr>
    </w:tblStylePr>
  </w:style>
  <w:style w:type="paragraph" w:customStyle="1" w:styleId="04BODYTEXT">
    <w:name w:val="04. BODY TEXT"/>
    <w:basedOn w:val="Normal"/>
    <w:uiPriority w:val="99"/>
    <w:rsid w:val="00F8515C"/>
    <w:pPr>
      <w:widowControl w:val="0"/>
      <w:suppressAutoHyphens/>
      <w:autoSpaceDE w:val="0"/>
      <w:autoSpaceDN w:val="0"/>
      <w:adjustRightInd w:val="0"/>
      <w:spacing w:after="113" w:line="280" w:lineRule="atLeast"/>
      <w:textAlignment w:val="center"/>
    </w:pPr>
    <w:rPr>
      <w:rFonts w:ascii="HelveticaNeue-Roman" w:eastAsiaTheme="minorEastAsia" w:hAnsi="HelveticaNeue-Roman" w:cs="HelveticaNeue-Roman"/>
      <w:i/>
      <w:iCs/>
      <w:color w:val="000000"/>
      <w:sz w:val="19"/>
      <w:szCs w:val="19"/>
      <w:lang w:val="en-GB" w:eastAsia="ja-JP"/>
    </w:rPr>
  </w:style>
  <w:style w:type="paragraph" w:customStyle="1" w:styleId="BasicParagraph">
    <w:name w:val="[Basic Paragraph]"/>
    <w:basedOn w:val="Normal"/>
    <w:uiPriority w:val="99"/>
    <w:rsid w:val="00F8515C"/>
    <w:pPr>
      <w:widowControl w:val="0"/>
      <w:autoSpaceDE w:val="0"/>
      <w:autoSpaceDN w:val="0"/>
      <w:adjustRightInd w:val="0"/>
      <w:spacing w:line="288" w:lineRule="auto"/>
      <w:textAlignment w:val="center"/>
    </w:pPr>
    <w:rPr>
      <w:rFonts w:ascii="HelveticaNeue-MediumItalic" w:eastAsiaTheme="minorEastAsia" w:hAnsi="HelveticaNeue-MediumItalic" w:cs="HelveticaNeue-MediumItalic"/>
      <w:i/>
      <w:iCs/>
      <w:color w:val="00000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rsid w:val="00971391"/>
    <w:rPr>
      <w:sz w:val="24"/>
      <w:szCs w:val="24"/>
    </w:rPr>
  </w:style>
  <w:style w:type="paragraph" w:styleId="Heading1">
    <w:name w:val="heading 1"/>
    <w:basedOn w:val="Normal"/>
    <w:next w:val="BodyText"/>
    <w:link w:val="Heading1Char"/>
    <w:autoRedefine/>
    <w:qFormat/>
    <w:rsid w:val="00902382"/>
    <w:pPr>
      <w:keepNext/>
      <w:pageBreakBefore/>
      <w:suppressLineNumbers/>
      <w:suppressAutoHyphens/>
      <w:spacing w:before="480" w:after="480" w:line="540" w:lineRule="atLeast"/>
      <w:outlineLvl w:val="0"/>
    </w:pPr>
    <w:rPr>
      <w:rFonts w:ascii="Arial" w:hAnsi="Arial"/>
      <w:color w:val="134486"/>
      <w:spacing w:val="-10"/>
      <w:kern w:val="28"/>
      <w:sz w:val="50"/>
      <w:szCs w:val="50"/>
    </w:rPr>
  </w:style>
  <w:style w:type="paragraph" w:styleId="Heading2">
    <w:name w:val="heading 2"/>
    <w:basedOn w:val="Normal"/>
    <w:next w:val="BodyText"/>
    <w:link w:val="Heading2Char"/>
    <w:qFormat/>
    <w:rsid w:val="00D807C1"/>
    <w:pPr>
      <w:keepNext/>
      <w:suppressLineNumbers/>
      <w:suppressAutoHyphens/>
      <w:spacing w:before="480" w:after="120"/>
      <w:outlineLvl w:val="1"/>
    </w:pPr>
    <w:rPr>
      <w:rFonts w:ascii="Helvetica" w:hAnsi="Helvetica" w:cs="Arial"/>
      <w:color w:val="124486"/>
      <w:kern w:val="28"/>
      <w:sz w:val="28"/>
      <w:szCs w:val="28"/>
    </w:rPr>
  </w:style>
  <w:style w:type="paragraph" w:styleId="Heading3">
    <w:name w:val="heading 3"/>
    <w:basedOn w:val="Normal"/>
    <w:next w:val="BodyText"/>
    <w:qFormat/>
    <w:rsid w:val="00E3214A"/>
    <w:pPr>
      <w:keepNext/>
      <w:suppressLineNumbers/>
      <w:suppressAutoHyphens/>
      <w:spacing w:before="360" w:after="120"/>
      <w:outlineLvl w:val="2"/>
    </w:pPr>
    <w:rPr>
      <w:rFonts w:ascii="Helvetica" w:hAnsi="Helvetica" w:cs="Arial"/>
      <w:color w:val="007FAD"/>
      <w:spacing w:val="4"/>
      <w:kern w:val="28"/>
      <w:szCs w:val="28"/>
    </w:rPr>
  </w:style>
  <w:style w:type="paragraph" w:styleId="Heading4">
    <w:name w:val="heading 4"/>
    <w:basedOn w:val="Normal"/>
    <w:next w:val="BodyText"/>
    <w:link w:val="Heading4Char"/>
    <w:qFormat/>
    <w:rsid w:val="00EA5A39"/>
    <w:pPr>
      <w:keepNext/>
      <w:numPr>
        <w:ilvl w:val="2"/>
      </w:numPr>
      <w:suppressLineNumbers/>
      <w:suppressAutoHyphens/>
      <w:spacing w:before="240" w:after="120"/>
      <w:outlineLvl w:val="3"/>
    </w:pPr>
    <w:rPr>
      <w:rFonts w:ascii="Helvetica" w:hAnsi="Helvetica" w:cs="Arial"/>
      <w:b/>
      <w:color w:val="124486"/>
      <w:kern w:val="28"/>
      <w:sz w:val="21"/>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9"/>
      </w:numPr>
      <w:spacing w:after="120"/>
      <w:ind w:left="284" w:hanging="284"/>
    </w:pPr>
  </w:style>
  <w:style w:type="paragraph" w:styleId="ListBullet2">
    <w:name w:val="List Bullet 2"/>
    <w:basedOn w:val="ListBullet"/>
    <w:rsid w:val="00BB146D"/>
    <w:pPr>
      <w:numPr>
        <w:numId w:val="4"/>
      </w:numPr>
      <w:ind w:left="568" w:hanging="284"/>
    </w:pPr>
  </w:style>
  <w:style w:type="paragraph" w:styleId="ListNumber">
    <w:name w:val="List Number"/>
    <w:basedOn w:val="ListBullet"/>
    <w:rsid w:val="00B0252E"/>
    <w:pPr>
      <w:numPr>
        <w:numId w:val="8"/>
      </w:numPr>
      <w:ind w:left="284" w:hanging="284"/>
    </w:pPr>
  </w:style>
  <w:style w:type="paragraph" w:styleId="ListNumber2">
    <w:name w:val="List Number 2"/>
    <w:basedOn w:val="ListNumber"/>
    <w:rsid w:val="006573B0"/>
    <w:pPr>
      <w:numPr>
        <w:numId w:val="12"/>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rsid w:val="00FA7B11"/>
    <w:pPr>
      <w:pageBreakBefore/>
      <w:spacing w:before="9840" w:line="640" w:lineRule="atLeast"/>
      <w:ind w:left="709" w:right="-624"/>
    </w:pPr>
    <w:rPr>
      <w:rFonts w:ascii="Helvetica" w:hAnsi="Helvetica"/>
      <w:noProof/>
      <w:color w:val="FFFFFF"/>
      <w:kern w:val="28"/>
      <w:sz w:val="50"/>
      <w:szCs w:val="50"/>
      <w:lang w:val="en-US" w:eastAsia="en-US"/>
    </w:rPr>
  </w:style>
  <w:style w:type="paragraph" w:styleId="Subtitle">
    <w:name w:val="Subtitle"/>
    <w:basedOn w:val="Title"/>
    <w:next w:val="Date"/>
    <w:link w:val="SubtitleChar"/>
    <w:rsid w:val="00FA7B11"/>
    <w:pPr>
      <w:pageBreakBefore w:val="0"/>
      <w:spacing w:before="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FA7B11"/>
    <w:rPr>
      <w:rFonts w:ascii="Helvetica" w:hAnsi="Helvetica"/>
      <w:noProof/>
      <w:color w:val="FFFFFF"/>
      <w:kern w:val="28"/>
      <w:sz w:val="32"/>
      <w:szCs w:val="32"/>
      <w:lang w:val="en-US" w:eastAsia="en-US"/>
    </w:rPr>
  </w:style>
  <w:style w:type="character" w:customStyle="1" w:styleId="TitleChar">
    <w:name w:val="Title Char"/>
    <w:link w:val="Title"/>
    <w:rsid w:val="00FA7B1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qFormat/>
    <w:rsid w:val="00D91A64"/>
    <w:pPr>
      <w:numPr>
        <w:numId w:val="14"/>
      </w:numPr>
      <w:ind w:left="284" w:hanging="284"/>
    </w:pPr>
  </w:style>
  <w:style w:type="paragraph" w:customStyle="1" w:styleId="BoxText">
    <w:name w:val="Box Text"/>
    <w:link w:val="BoxTextChar"/>
    <w:qFormat/>
    <w:rsid w:val="00F268DC"/>
    <w:pPr>
      <w:shd w:val="clear" w:color="auto" w:fill="D0DAE7"/>
      <w:spacing w:after="120" w:line="280" w:lineRule="exact"/>
    </w:pPr>
    <w:rPr>
      <w:rFonts w:ascii="Franklin Gothic Book" w:eastAsia="Calibri" w:hAnsi="Franklin Gothic Book"/>
      <w:iCs/>
      <w:color w:val="1F497D" w:themeColor="text2"/>
      <w:szCs w:val="22"/>
    </w:rPr>
  </w:style>
  <w:style w:type="character" w:customStyle="1" w:styleId="BoxTextChar">
    <w:name w:val="Box Text Char"/>
    <w:link w:val="BoxText"/>
    <w:rsid w:val="00F268DC"/>
    <w:rPr>
      <w:rFonts w:ascii="Franklin Gothic Book" w:eastAsia="Calibri" w:hAnsi="Franklin Gothic Book"/>
      <w:iCs/>
      <w:color w:val="1F497D" w:themeColor="text2"/>
      <w:szCs w:val="22"/>
      <w:shd w:val="clear" w:color="auto" w:fill="D0DAE7"/>
    </w:rPr>
  </w:style>
  <w:style w:type="paragraph" w:customStyle="1" w:styleId="TableFigureNote">
    <w:name w:val="Table Figure Note"/>
    <w:basedOn w:val="TableText"/>
    <w:next w:val="BodyText"/>
    <w:link w:val="TableFigureNoteChar"/>
    <w:rsid w:val="009C4B84"/>
    <w:pPr>
      <w:spacing w:after="240" w:line="180" w:lineRule="atLeast"/>
    </w:pPr>
    <w:rPr>
      <w:sz w:val="14"/>
      <w:szCs w:val="14"/>
    </w:rPr>
  </w:style>
  <w:style w:type="paragraph" w:customStyle="1" w:styleId="TableText">
    <w:name w:val="Table Text"/>
    <w:basedOn w:val="Normal"/>
    <w:qFormat/>
    <w:rsid w:val="00247F1C"/>
    <w:pPr>
      <w:spacing w:after="120" w:line="200" w:lineRule="atLeast"/>
    </w:pPr>
    <w:rPr>
      <w:rFonts w:ascii="Franklin Gothic Book" w:eastAsia="Calibri" w:hAnsi="Franklin Gothic Book"/>
      <w:sz w:val="17"/>
      <w:szCs w:val="17"/>
      <w:lang w:eastAsia="en-US"/>
    </w:rPr>
  </w:style>
  <w:style w:type="paragraph" w:customStyle="1" w:styleId="Source">
    <w:name w:val="Source"/>
    <w:basedOn w:val="TableFigureNote"/>
    <w:next w:val="BodyText"/>
    <w:rsid w:val="00C36563"/>
  </w:style>
  <w:style w:type="character" w:customStyle="1" w:styleId="TableFigureNoteChar">
    <w:name w:val="Table Figure Note Char"/>
    <w:link w:val="TableFigureNote"/>
    <w:rsid w:val="009C4B84"/>
    <w:rPr>
      <w:rFonts w:ascii="Franklin Gothic Book" w:eastAsia="Calibri" w:hAnsi="Franklin Gothic Book"/>
      <w:sz w:val="14"/>
      <w:szCs w:val="14"/>
      <w:lang w:eastAsia="en-US"/>
    </w:rPr>
  </w:style>
  <w:style w:type="paragraph" w:customStyle="1" w:styleId="BoxHeading1">
    <w:name w:val="Box Heading 1"/>
    <w:basedOn w:val="Heading3"/>
    <w:next w:val="BoxText"/>
    <w:qFormat/>
    <w:rsid w:val="00F268DC"/>
    <w:pPr>
      <w:shd w:val="clear" w:color="auto" w:fill="D0DAE7"/>
      <w:spacing w:before="240"/>
    </w:pPr>
    <w:rPr>
      <w:b/>
      <w:iCs/>
      <w:color w:val="134486"/>
    </w:rPr>
  </w:style>
  <w:style w:type="paragraph" w:customStyle="1" w:styleId="BoxHeading2">
    <w:name w:val="Box Heading 2"/>
    <w:basedOn w:val="BoxText"/>
    <w:next w:val="BoxText"/>
    <w:rsid w:val="00F268DC"/>
    <w:pPr>
      <w:spacing w:before="120"/>
    </w:pPr>
    <w:rPr>
      <w:b/>
      <w:i/>
      <w:iCs w:val="0"/>
      <w:spacing w:val="4"/>
    </w:rPr>
  </w:style>
  <w:style w:type="paragraph" w:customStyle="1" w:styleId="TableListBullet">
    <w:name w:val="Table List Bullet"/>
    <w:basedOn w:val="TableText"/>
    <w:rsid w:val="009B23F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BoxText">
    <w:name w:val="Recommendation Box Text"/>
    <w:basedOn w:val="RecommendationBox"/>
    <w:next w:val="BodyText"/>
    <w:semiHidden/>
    <w:rsid w:val="00F268DC"/>
    <w:pPr>
      <w:spacing w:before="0"/>
    </w:pPr>
    <w:rPr>
      <w:rFonts w:ascii="Franklin Gothic Book" w:hAnsi="Franklin Gothic Book"/>
      <w:b w:val="0"/>
      <w:sz w:val="22"/>
      <w:szCs w:val="22"/>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nR-ANZDEC,ftref,(NECG) Footnote Reference,Fußnotenzeichen DISS,de nota al pie,Ref,fr,16 Point,Superscript 6 Point,Footnote Ref in FtNote,SUPERS,Footnote text,BVI fnr,Normal + Font:9 Point,Superscript 3 Point Times,footnote ref"/>
    <w:rsid w:val="003A1A9E"/>
    <w:rPr>
      <w:rFonts w:ascii="Franklin Gothic Book" w:hAnsi="Franklin Gothic Book"/>
      <w:w w:val="100"/>
      <w:position w:val="6"/>
      <w:sz w:val="16"/>
      <w:szCs w:val="12"/>
      <w:vertAlign w:val="baseline"/>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qFormat/>
    <w:rsid w:val="00081B01"/>
    <w:pPr>
      <w:tabs>
        <w:tab w:val="left" w:pos="357"/>
      </w:tabs>
      <w:spacing w:after="0" w:line="180" w:lineRule="atLeast"/>
      <w:ind w:left="113" w:hanging="113"/>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rsid w:val="000916E9"/>
    <w:pPr>
      <w:ind w:right="284"/>
      <w:jc w:val="right"/>
    </w:pPr>
    <w:rPr>
      <w:rFonts w:ascii="Helvetica" w:hAnsi="Helvetica"/>
    </w:rPr>
  </w:style>
  <w:style w:type="paragraph" w:customStyle="1" w:styleId="TableHeading1Centred">
    <w:name w:val="Table Heading 1 Centred"/>
    <w:basedOn w:val="TableHeading1"/>
    <w:rsid w:val="009C4B84"/>
    <w:pPr>
      <w:jc w:val="center"/>
    </w:pPr>
  </w:style>
  <w:style w:type="paragraph" w:customStyle="1" w:styleId="TableHeading1">
    <w:name w:val="Table Heading 1"/>
    <w:basedOn w:val="Normal"/>
    <w:next w:val="TableText"/>
    <w:qFormat/>
    <w:rsid w:val="00FC7E5E"/>
    <w:pPr>
      <w:spacing w:after="40" w:line="200" w:lineRule="atLeast"/>
    </w:pPr>
    <w:rPr>
      <w:rFonts w:ascii="Franklin Gothic Book" w:eastAsia="Calibri" w:hAnsi="Franklin Gothic Book"/>
      <w:b/>
      <w:sz w:val="18"/>
      <w:szCs w:val="17"/>
      <w:lang w:eastAsia="en-US"/>
    </w:rPr>
  </w:style>
  <w:style w:type="paragraph" w:customStyle="1" w:styleId="TableHeading2">
    <w:name w:val="Table Heading 2"/>
    <w:basedOn w:val="Normal"/>
    <w:next w:val="TableText"/>
    <w:rsid w:val="009C4B84"/>
    <w:pPr>
      <w:spacing w:after="40" w:line="200" w:lineRule="atLeast"/>
    </w:pPr>
    <w:rPr>
      <w:rFonts w:ascii="Franklin Gothic Book" w:eastAsia="Calibri" w:hAnsi="Franklin Gothic Book"/>
      <w:b/>
      <w:i/>
      <w:sz w:val="17"/>
      <w:szCs w:val="17"/>
      <w:lang w:eastAsia="en-US"/>
    </w:rPr>
  </w:style>
  <w:style w:type="paragraph" w:customStyle="1" w:styleId="TableListBullet2">
    <w:name w:val="Table List Bullet 2"/>
    <w:basedOn w:val="TableListBullet"/>
    <w:link w:val="TableListBullet2Char"/>
    <w:rsid w:val="009B23FF"/>
    <w:pPr>
      <w:numPr>
        <w:numId w:val="6"/>
      </w:numPr>
      <w:ind w:left="568" w:hanging="284"/>
    </w:pPr>
  </w:style>
  <w:style w:type="character" w:customStyle="1" w:styleId="TableListBullet2Char">
    <w:name w:val="Table List Bullet 2 Char"/>
    <w:link w:val="TableListBullet2"/>
    <w:rsid w:val="009B23FF"/>
    <w:rPr>
      <w:rFonts w:ascii="Franklin Gothic Book" w:eastAsia="Calibri" w:hAnsi="Franklin Gothic Book"/>
      <w:sz w:val="17"/>
      <w:szCs w:val="17"/>
      <w:lang w:eastAsia="en-US"/>
    </w:rPr>
  </w:style>
  <w:style w:type="paragraph" w:customStyle="1" w:styleId="TableListNumber">
    <w:name w:val="Table List Number"/>
    <w:basedOn w:val="TableText"/>
    <w:rsid w:val="00005A8F"/>
    <w:pPr>
      <w:numPr>
        <w:numId w:val="1"/>
      </w:numPr>
      <w:spacing w:line="240" w:lineRule="auto"/>
      <w:ind w:left="284" w:hanging="284"/>
    </w:pPr>
  </w:style>
  <w:style w:type="paragraph" w:customStyle="1" w:styleId="TableListNumber2">
    <w:name w:val="Table List Number 2"/>
    <w:basedOn w:val="TableListNumber"/>
    <w:rsid w:val="009B23FF"/>
    <w:pPr>
      <w:numPr>
        <w:numId w:val="3"/>
      </w:numPr>
      <w:ind w:left="568" w:hanging="284"/>
    </w:pPr>
  </w:style>
  <w:style w:type="paragraph" w:customStyle="1" w:styleId="TableUnit">
    <w:name w:val="Table Unit"/>
    <w:basedOn w:val="Normal"/>
    <w:next w:val="TableData"/>
    <w:rsid w:val="009B23FF"/>
    <w:pPr>
      <w:keepNext/>
      <w:spacing w:before="80" w:after="80" w:line="200" w:lineRule="atLeast"/>
      <w:jc w:val="right"/>
    </w:pPr>
    <w:rPr>
      <w:rFonts w:ascii="Franklin Gothic Book" w:eastAsia="Calibri" w:hAnsi="Franklin Gothic Book"/>
      <w:b/>
      <w:sz w:val="17"/>
      <w:szCs w:val="17"/>
      <w:lang w:eastAsia="en-US"/>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orNumber2">
    <w:name w:val="Box List Bullet or Number 2"/>
    <w:basedOn w:val="BoxText"/>
    <w:rsid w:val="00D80349"/>
    <w:pPr>
      <w:tabs>
        <w:tab w:val="left" w:pos="284"/>
      </w:tabs>
      <w:ind w:left="567" w:hanging="567"/>
      <w:contextualSpacing/>
    </w:pPr>
  </w:style>
  <w:style w:type="paragraph" w:customStyle="1" w:styleId="BoxListNumber">
    <w:name w:val="Box List Number"/>
    <w:basedOn w:val="Normal"/>
    <w:next w:val="BoxText"/>
    <w:rsid w:val="00F268DC"/>
    <w:pPr>
      <w:keepLines/>
      <w:numPr>
        <w:numId w:val="7"/>
      </w:numPr>
      <w:shd w:val="clear" w:color="auto" w:fill="D0DAE7"/>
      <w:spacing w:after="120"/>
    </w:pPr>
    <w:rPr>
      <w:rFonts w:ascii="Franklin Gothic Book" w:eastAsia="Calibri" w:hAnsi="Franklin Gothic Book"/>
      <w:iCs/>
      <w:color w:val="1F497D" w:themeColor="text2"/>
      <w:sz w:val="20"/>
      <w:szCs w:val="20"/>
    </w:rPr>
  </w:style>
  <w:style w:type="paragraph" w:customStyle="1" w:styleId="BoxNoteSource">
    <w:name w:val="Box Note/Source"/>
    <w:basedOn w:val="BoxText"/>
    <w:rsid w:val="00CE51EC"/>
    <w:pPr>
      <w:spacing w:before="100" w:after="100" w:line="180" w:lineRule="atLeast"/>
    </w:pPr>
    <w:rPr>
      <w:sz w:val="14"/>
      <w:szCs w:val="14"/>
    </w:rPr>
  </w:style>
  <w:style w:type="paragraph" w:customStyle="1" w:styleId="BoxQuote">
    <w:name w:val="Box Quote"/>
    <w:basedOn w:val="BoxText"/>
    <w:next w:val="BoxText"/>
    <w:rsid w:val="00CE51EC"/>
    <w:pPr>
      <w:spacing w:line="240" w:lineRule="atLeast"/>
    </w:pPr>
    <w:rPr>
      <w:i/>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1">
    <w:name w:val="Char Char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3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6778C5"/>
    <w:pPr>
      <w:numPr>
        <w:numId w:val="10"/>
      </w:numPr>
      <w:ind w:left="851" w:hanging="284"/>
      <w:contextualSpacing/>
    </w:pPr>
  </w:style>
  <w:style w:type="paragraph" w:styleId="ListNumber3">
    <w:name w:val="List Number 3"/>
    <w:basedOn w:val="ListNumber2"/>
    <w:rsid w:val="006573B0"/>
    <w:pPr>
      <w:numPr>
        <w:numId w:val="11"/>
      </w:numPr>
      <w:ind w:left="851" w:hanging="284"/>
      <w:contextualSpacing/>
    </w:pPr>
  </w:style>
  <w:style w:type="character" w:styleId="CommentReference">
    <w:name w:val="annotation reference"/>
    <w:basedOn w:val="DefaultParagraphFont"/>
    <w:uiPriority w:val="99"/>
    <w:unhideWhenUsed/>
    <w:rsid w:val="00B770CD"/>
    <w:rPr>
      <w:sz w:val="16"/>
      <w:szCs w:val="16"/>
    </w:rPr>
  </w:style>
  <w:style w:type="table" w:customStyle="1" w:styleId="DFATBox">
    <w:name w:val="DFAT Box"/>
    <w:basedOn w:val="TableNormal"/>
    <w:uiPriority w:val="99"/>
    <w:rsid w:val="00F23D98"/>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character" w:customStyle="1" w:styleId="FooterChar">
    <w:name w:val="Footer Char"/>
    <w:basedOn w:val="DefaultParagraphFont"/>
    <w:link w:val="Footer"/>
    <w:uiPriority w:val="99"/>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RecommendationBox">
    <w:name w:val="Recommendation Box"/>
    <w:basedOn w:val="Heading3"/>
    <w:link w:val="RecommendationBoxChar"/>
    <w:qFormat/>
    <w:rsid w:val="00F268DC"/>
    <w:pPr>
      <w:shd w:val="clear" w:color="auto" w:fill="007FAD"/>
      <w:spacing w:before="240"/>
    </w:pPr>
    <w:rPr>
      <w:b/>
      <w:color w:val="FFFFFF" w:themeColor="background1"/>
    </w:rPr>
  </w:style>
  <w:style w:type="character" w:customStyle="1" w:styleId="Heading2Char">
    <w:name w:val="Heading 2 Char"/>
    <w:basedOn w:val="DefaultParagraphFont"/>
    <w:link w:val="Heading2"/>
    <w:rsid w:val="00D807C1"/>
    <w:rPr>
      <w:rFonts w:ascii="Helvetica" w:hAnsi="Helvetica" w:cs="Arial"/>
      <w:color w:val="124486"/>
      <w:kern w:val="28"/>
      <w:sz w:val="28"/>
      <w:szCs w:val="28"/>
    </w:rPr>
  </w:style>
  <w:style w:type="character" w:customStyle="1" w:styleId="RecommendationBoxChar">
    <w:name w:val="Recommendation Box Char"/>
    <w:basedOn w:val="Heading2Char"/>
    <w:link w:val="RecommendationBox"/>
    <w:rsid w:val="00F268DC"/>
    <w:rPr>
      <w:rFonts w:ascii="Helvetica" w:hAnsi="Helvetica" w:cs="Arial"/>
      <w:b/>
      <w:color w:val="FFFFFF" w:themeColor="background1"/>
      <w:spacing w:val="4"/>
      <w:kern w:val="28"/>
      <w:sz w:val="24"/>
      <w:szCs w:val="28"/>
      <w:shd w:val="clear" w:color="auto" w:fill="007FAD"/>
    </w:rPr>
  </w:style>
  <w:style w:type="paragraph" w:styleId="Quote">
    <w:name w:val="Quote"/>
    <w:basedOn w:val="Normal"/>
    <w:next w:val="Normal"/>
    <w:link w:val="QuoteChar"/>
    <w:uiPriority w:val="29"/>
    <w:qFormat/>
    <w:rsid w:val="00686925"/>
    <w:pPr>
      <w:spacing w:before="200" w:after="160"/>
      <w:ind w:left="862" w:right="862"/>
    </w:pPr>
    <w:rPr>
      <w:rFonts w:ascii="Franklin Gothic Book" w:hAnsi="Franklin Gothic Book"/>
      <w:i/>
      <w:iCs/>
      <w:color w:val="404040" w:themeColor="text1" w:themeTint="BF"/>
      <w:sz w:val="20"/>
    </w:rPr>
  </w:style>
  <w:style w:type="character" w:customStyle="1" w:styleId="QuoteChar">
    <w:name w:val="Quote Char"/>
    <w:basedOn w:val="DefaultParagraphFont"/>
    <w:link w:val="Quote"/>
    <w:uiPriority w:val="29"/>
    <w:rsid w:val="00686925"/>
    <w:rPr>
      <w:rFonts w:ascii="Franklin Gothic Book" w:hAnsi="Franklin Gothic Book"/>
      <w:i/>
      <w:iCs/>
      <w:color w:val="404040" w:themeColor="text1" w:themeTint="BF"/>
      <w:szCs w:val="24"/>
    </w:rPr>
  </w:style>
  <w:style w:type="paragraph" w:customStyle="1" w:styleId="StyleBoxHeading1NotBold">
    <w:name w:val="Style Box Heading 1 + Not Bold"/>
    <w:basedOn w:val="BoxHeading1"/>
    <w:rsid w:val="001F38CC"/>
    <w:rPr>
      <w:b w:val="0"/>
    </w:rPr>
  </w:style>
  <w:style w:type="paragraph" w:styleId="EndnoteText">
    <w:name w:val="endnote text"/>
    <w:basedOn w:val="Normal"/>
    <w:link w:val="EndnoteTextChar"/>
    <w:semiHidden/>
    <w:unhideWhenUsed/>
    <w:rsid w:val="00593BB5"/>
    <w:rPr>
      <w:sz w:val="20"/>
      <w:szCs w:val="20"/>
    </w:rPr>
  </w:style>
  <w:style w:type="character" w:customStyle="1" w:styleId="EndnoteTextChar">
    <w:name w:val="Endnote Text Char"/>
    <w:basedOn w:val="DefaultParagraphFont"/>
    <w:link w:val="EndnoteText"/>
    <w:semiHidden/>
    <w:rsid w:val="00593BB5"/>
  </w:style>
  <w:style w:type="character" w:styleId="EndnoteReference">
    <w:name w:val="endnote reference"/>
    <w:basedOn w:val="DefaultParagraphFont"/>
    <w:semiHidden/>
    <w:unhideWhenUsed/>
    <w:rsid w:val="00593BB5"/>
    <w:rPr>
      <w:vertAlign w:val="superscript"/>
    </w:rPr>
  </w:style>
  <w:style w:type="paragraph" w:customStyle="1" w:styleId="Pull-out">
    <w:name w:val="Pull-out"/>
    <w:basedOn w:val="Heading2"/>
    <w:qFormat/>
    <w:rsid w:val="00F268DC"/>
    <w:pPr>
      <w:pBdr>
        <w:top w:val="single" w:sz="12" w:space="4" w:color="FF8B00"/>
        <w:bottom w:val="single" w:sz="12" w:space="4" w:color="FF8B00"/>
      </w:pBdr>
      <w:spacing w:before="360" w:after="360"/>
    </w:pPr>
    <w:rPr>
      <w:color w:val="FF8B00"/>
    </w:rPr>
  </w:style>
  <w:style w:type="paragraph" w:customStyle="1" w:styleId="TableName">
    <w:name w:val="Table Name"/>
    <w:basedOn w:val="BodyText"/>
    <w:rsid w:val="00B770CD"/>
    <w:pPr>
      <w:spacing w:before="80" w:after="120" w:line="240" w:lineRule="exact"/>
    </w:pPr>
    <w:rPr>
      <w:b/>
      <w:color w:val="007FAD"/>
      <w:sz w:val="22"/>
    </w:rPr>
  </w:style>
  <w:style w:type="paragraph" w:customStyle="1" w:styleId="TableandFigureName">
    <w:name w:val="Table and Figure Name"/>
    <w:basedOn w:val="Heading4"/>
    <w:link w:val="TableandFigureNameChar"/>
    <w:qFormat/>
    <w:rsid w:val="004E0913"/>
    <w:pPr>
      <w:tabs>
        <w:tab w:val="left" w:pos="993"/>
      </w:tabs>
    </w:pPr>
    <w:rPr>
      <w:color w:val="auto"/>
      <w:sz w:val="20"/>
    </w:rPr>
  </w:style>
  <w:style w:type="paragraph" w:customStyle="1" w:styleId="TableandFigureCaption">
    <w:name w:val="Table and Figure Caption"/>
    <w:basedOn w:val="TableandFigureName"/>
    <w:link w:val="TableandFigureCaptionChar"/>
    <w:qFormat/>
    <w:rsid w:val="00E86256"/>
    <w:pPr>
      <w:spacing w:before="0"/>
    </w:pPr>
    <w:rPr>
      <w:b w:val="0"/>
      <w:color w:val="595959" w:themeColor="text1" w:themeTint="A6"/>
      <w:sz w:val="19"/>
    </w:rPr>
  </w:style>
  <w:style w:type="table" w:customStyle="1" w:styleId="DFATtable">
    <w:name w:val="DFAT table"/>
    <w:basedOn w:val="TableNormal"/>
    <w:uiPriority w:val="99"/>
    <w:rsid w:val="0027552C"/>
    <w:pPr>
      <w:keepNext/>
    </w:pPr>
    <w:tblPr>
      <w:tblInd w:w="0" w:type="dxa"/>
      <w:tblBorders>
        <w:bottom w:val="single" w:sz="4" w:space="0" w:color="808080"/>
      </w:tblBorders>
      <w:tblCellMar>
        <w:top w:w="85" w:type="dxa"/>
        <w:left w:w="85" w:type="dxa"/>
        <w:bottom w:w="0" w:type="dxa"/>
        <w:right w:w="85" w:type="dxa"/>
      </w:tblCellMar>
    </w:tblPr>
    <w:tblStylePr w:type="firstRow">
      <w:pPr>
        <w:jc w:val="left"/>
      </w:pPr>
      <w:tblPr/>
      <w:tcPr>
        <w:tcBorders>
          <w:bottom w:val="single" w:sz="4" w:space="0" w:color="808080"/>
          <w:insideH w:val="nil"/>
        </w:tcBorders>
      </w:tcPr>
    </w:tblStylePr>
  </w:style>
  <w:style w:type="paragraph" w:styleId="CommentText">
    <w:name w:val="annotation text"/>
    <w:basedOn w:val="Normal"/>
    <w:link w:val="CommentTextChar"/>
    <w:uiPriority w:val="99"/>
    <w:unhideWhenUsed/>
    <w:rsid w:val="00B770CD"/>
    <w:rPr>
      <w:sz w:val="20"/>
      <w:szCs w:val="20"/>
    </w:rPr>
  </w:style>
  <w:style w:type="character" w:customStyle="1" w:styleId="CommentTextChar">
    <w:name w:val="Comment Text Char"/>
    <w:basedOn w:val="DefaultParagraphFont"/>
    <w:link w:val="CommentText"/>
    <w:uiPriority w:val="99"/>
    <w:rsid w:val="00B770CD"/>
  </w:style>
  <w:style w:type="character" w:customStyle="1" w:styleId="Highlightorange">
    <w:name w:val="Highlight orange"/>
    <w:basedOn w:val="DefaultParagraphFont"/>
    <w:uiPriority w:val="1"/>
    <w:rsid w:val="00E86256"/>
    <w:rPr>
      <w:b/>
      <w:color w:val="E36C0A" w:themeColor="accent6" w:themeShade="BF"/>
    </w:rPr>
  </w:style>
  <w:style w:type="character" w:customStyle="1" w:styleId="QuoteSource">
    <w:name w:val="QuoteSource"/>
    <w:basedOn w:val="DefaultParagraphFont"/>
    <w:uiPriority w:val="1"/>
    <w:rsid w:val="00971391"/>
    <w:rPr>
      <w:i/>
    </w:rPr>
  </w:style>
  <w:style w:type="character" w:customStyle="1" w:styleId="Heading4Char">
    <w:name w:val="Heading 4 Char"/>
    <w:basedOn w:val="DefaultParagraphFont"/>
    <w:link w:val="Heading4"/>
    <w:rsid w:val="00EA5A39"/>
    <w:rPr>
      <w:rFonts w:ascii="Helvetica" w:hAnsi="Helvetica" w:cs="Arial"/>
      <w:b/>
      <w:color w:val="124486"/>
      <w:kern w:val="28"/>
      <w:sz w:val="21"/>
      <w:szCs w:val="22"/>
      <w:lang w:eastAsia="zh-CN"/>
    </w:rPr>
  </w:style>
  <w:style w:type="character" w:customStyle="1" w:styleId="TableandFigureNameChar">
    <w:name w:val="Table and Figure Name Char"/>
    <w:basedOn w:val="Heading4Char"/>
    <w:link w:val="TableandFigureName"/>
    <w:rsid w:val="004E0913"/>
    <w:rPr>
      <w:rFonts w:ascii="Helvetica" w:hAnsi="Helvetica" w:cs="Arial"/>
      <w:b/>
      <w:color w:val="124486"/>
      <w:kern w:val="28"/>
      <w:sz w:val="21"/>
      <w:szCs w:val="22"/>
      <w:lang w:eastAsia="zh-CN"/>
    </w:rPr>
  </w:style>
  <w:style w:type="character" w:customStyle="1" w:styleId="Highlightblue">
    <w:name w:val="Highlight blue"/>
    <w:basedOn w:val="DefaultParagraphFont"/>
    <w:uiPriority w:val="1"/>
    <w:rsid w:val="00E86256"/>
    <w:rPr>
      <w:b/>
      <w:color w:val="0070C0"/>
    </w:rPr>
  </w:style>
  <w:style w:type="character" w:customStyle="1" w:styleId="TableandFigureCaptionChar">
    <w:name w:val="Table and Figure Caption Char"/>
    <w:basedOn w:val="TableandFigureNameChar"/>
    <w:link w:val="TableandFigureCaption"/>
    <w:rsid w:val="00E86256"/>
    <w:rPr>
      <w:rFonts w:ascii="Helvetica" w:hAnsi="Helvetica" w:cs="Arial"/>
      <w:b w:val="0"/>
      <w:color w:val="595959" w:themeColor="text1" w:themeTint="A6"/>
      <w:kern w:val="28"/>
      <w:sz w:val="19"/>
      <w:szCs w:val="22"/>
      <w:lang w:eastAsia="zh-CN"/>
    </w:rPr>
  </w:style>
  <w:style w:type="paragraph" w:customStyle="1" w:styleId="RecommendationBoxBullet">
    <w:name w:val="Recommendation Box Bullet"/>
    <w:basedOn w:val="RecommendationBoxText"/>
    <w:rsid w:val="00F268DC"/>
    <w:pPr>
      <w:numPr>
        <w:numId w:val="16"/>
      </w:numPr>
      <w:ind w:left="284" w:hanging="284"/>
    </w:pPr>
  </w:style>
  <w:style w:type="character" w:styleId="Strong">
    <w:name w:val="Strong"/>
    <w:basedOn w:val="DefaultParagraphFont"/>
    <w:uiPriority w:val="22"/>
    <w:qFormat/>
    <w:rsid w:val="00E30B3C"/>
    <w:rPr>
      <w:b/>
      <w:bCs/>
    </w:rPr>
  </w:style>
  <w:style w:type="paragraph" w:customStyle="1" w:styleId="StyleImprintTextBoxSinglesolidlineAuto05ptLinewid">
    <w:name w:val="Style ImprintText + Box: (Single solid line Auto  0.5 pt Line wid..."/>
    <w:basedOn w:val="ImprintText"/>
    <w:rsid w:val="00FA7B11"/>
    <w:pPr>
      <w:pBdr>
        <w:top w:val="single" w:sz="4" w:space="1" w:color="auto"/>
      </w:pBdr>
    </w:pPr>
  </w:style>
  <w:style w:type="paragraph" w:customStyle="1" w:styleId="ImprintText-Copyright">
    <w:name w:val="ImprintText-Copyright"/>
    <w:basedOn w:val="ImprintText"/>
    <w:rsid w:val="00033C14"/>
    <w:pPr>
      <w:pBdr>
        <w:top w:val="single" w:sz="4" w:space="4" w:color="auto"/>
      </w:pBdr>
    </w:pPr>
  </w:style>
  <w:style w:type="paragraph" w:customStyle="1" w:styleId="ImprintText">
    <w:name w:val="ImprintText"/>
    <w:basedOn w:val="Normal"/>
    <w:rsid w:val="00033C14"/>
    <w:pPr>
      <w:spacing w:before="40" w:after="160"/>
    </w:pPr>
    <w:rPr>
      <w:rFonts w:ascii="Franklin Gothic Book" w:hAnsi="Franklin Gothic Book"/>
      <w:sz w:val="16"/>
      <w:szCs w:val="20"/>
    </w:rPr>
  </w:style>
  <w:style w:type="character" w:styleId="Emphasis">
    <w:name w:val="Emphasis"/>
    <w:basedOn w:val="DefaultParagraphFont"/>
    <w:uiPriority w:val="20"/>
    <w:qFormat/>
    <w:rsid w:val="00611F77"/>
    <w:rPr>
      <w:i/>
      <w:iCs/>
    </w:rPr>
  </w:style>
  <w:style w:type="paragraph" w:customStyle="1" w:styleId="Heading1b">
    <w:name w:val="Heading 1b"/>
    <w:basedOn w:val="Heading1"/>
    <w:rsid w:val="00891AEF"/>
    <w:pPr>
      <w:tabs>
        <w:tab w:val="left" w:pos="720"/>
      </w:tabs>
      <w:spacing w:after="1200"/>
    </w:pPr>
    <w:rPr>
      <w:color w:val="FFFFFF" w:themeColor="background1"/>
    </w:rPr>
  </w:style>
  <w:style w:type="paragraph" w:customStyle="1" w:styleId="Style1">
    <w:name w:val="Style1"/>
    <w:basedOn w:val="RecommendationBoxBullet"/>
    <w:rsid w:val="000035B1"/>
    <w:pPr>
      <w:numPr>
        <w:numId w:val="17"/>
      </w:numPr>
      <w:ind w:left="284" w:hanging="284"/>
      <w:outlineLvl w:val="0"/>
    </w:pPr>
  </w:style>
  <w:style w:type="character" w:customStyle="1" w:styleId="Heading1Char">
    <w:name w:val="Heading 1 Char"/>
    <w:basedOn w:val="DefaultParagraphFont"/>
    <w:link w:val="Heading1"/>
    <w:rsid w:val="00902382"/>
    <w:rPr>
      <w:rFonts w:ascii="Arial" w:hAnsi="Arial"/>
      <w:color w:val="134486"/>
      <w:spacing w:val="-10"/>
      <w:kern w:val="28"/>
      <w:sz w:val="50"/>
      <w:szCs w:val="5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4416C"/>
    <w:rPr>
      <w:rFonts w:ascii="Franklin Gothic Book" w:hAnsi="Franklin Gothic Book"/>
      <w:sz w:val="16"/>
      <w:szCs w:val="14"/>
    </w:rPr>
  </w:style>
  <w:style w:type="paragraph" w:customStyle="1" w:styleId="FigureName">
    <w:name w:val="FigureName"/>
    <w:basedOn w:val="Normal"/>
    <w:next w:val="Normal"/>
    <w:rsid w:val="00524D18"/>
    <w:pPr>
      <w:keepNext/>
      <w:keepLines/>
      <w:tabs>
        <w:tab w:val="left" w:pos="1080"/>
      </w:tabs>
      <w:spacing w:before="80" w:after="80" w:line="288" w:lineRule="auto"/>
      <w:ind w:left="1077" w:hanging="1077"/>
    </w:pPr>
    <w:rPr>
      <w:rFonts w:ascii="Franklin Gothic Book" w:hAnsi="Franklin Gothic Book"/>
      <w:b/>
      <w:bCs/>
      <w:sz w:val="22"/>
      <w:szCs w:val="20"/>
    </w:rPr>
  </w:style>
  <w:style w:type="paragraph" w:styleId="ListParagraph">
    <w:name w:val="List Paragraph"/>
    <w:basedOn w:val="Normal"/>
    <w:uiPriority w:val="34"/>
    <w:qFormat/>
    <w:rsid w:val="00524D18"/>
    <w:pPr>
      <w:spacing w:before="40" w:after="160" w:line="288" w:lineRule="auto"/>
      <w:ind w:left="720"/>
      <w:contextualSpacing/>
    </w:pPr>
    <w:rPr>
      <w:rFonts w:ascii="Franklin Gothic Book" w:hAnsi="Franklin Gothic Book"/>
      <w:sz w:val="21"/>
      <w:szCs w:val="20"/>
    </w:rPr>
  </w:style>
  <w:style w:type="paragraph" w:customStyle="1" w:styleId="TableName0">
    <w:name w:val="TableName"/>
    <w:basedOn w:val="Normal"/>
    <w:rsid w:val="0021205F"/>
    <w:pPr>
      <w:keepNext/>
      <w:tabs>
        <w:tab w:val="left" w:pos="1080"/>
      </w:tabs>
      <w:spacing w:before="80" w:after="120" w:line="200" w:lineRule="atLeast"/>
      <w:ind w:left="1077" w:hanging="1077"/>
    </w:pPr>
    <w:rPr>
      <w:rFonts w:ascii="Franklin Gothic Book" w:hAnsi="Franklin Gothic Book"/>
      <w:b/>
      <w:bCs/>
      <w:sz w:val="22"/>
      <w:szCs w:val="21"/>
    </w:rPr>
  </w:style>
  <w:style w:type="paragraph" w:customStyle="1" w:styleId="Bullet">
    <w:name w:val="Bullet"/>
    <w:basedOn w:val="Normal"/>
    <w:qFormat/>
    <w:rsid w:val="0021205F"/>
    <w:pPr>
      <w:spacing w:after="80" w:line="280" w:lineRule="exact"/>
      <w:ind w:left="360" w:hanging="360"/>
    </w:pPr>
    <w:rPr>
      <w:rFonts w:ascii="Franklin Gothic Book" w:hAnsi="Franklin Gothic Book"/>
      <w:sz w:val="21"/>
      <w:szCs w:val="20"/>
    </w:rPr>
  </w:style>
  <w:style w:type="paragraph" w:customStyle="1" w:styleId="BulletLast">
    <w:name w:val="BulletLast"/>
    <w:basedOn w:val="Bullet"/>
    <w:qFormat/>
    <w:rsid w:val="0021205F"/>
    <w:pPr>
      <w:spacing w:after="160"/>
    </w:pPr>
  </w:style>
  <w:style w:type="paragraph" w:customStyle="1" w:styleId="TableNumberedList">
    <w:name w:val="TableNumberedList"/>
    <w:basedOn w:val="Normal"/>
    <w:autoRedefine/>
    <w:qFormat/>
    <w:rsid w:val="0021205F"/>
    <w:pPr>
      <w:keepNext/>
      <w:spacing w:before="40" w:after="40" w:line="200" w:lineRule="atLeast"/>
    </w:pPr>
    <w:rPr>
      <w:rFonts w:ascii="Franklin Gothic Book" w:hAnsi="Franklin Gothic Book"/>
      <w:color w:val="000000" w:themeColor="text1"/>
      <w:sz w:val="17"/>
      <w:szCs w:val="21"/>
    </w:rPr>
  </w:style>
  <w:style w:type="paragraph" w:customStyle="1" w:styleId="TableTextEntries">
    <w:name w:val="Table Text Entries"/>
    <w:rsid w:val="0021205F"/>
    <w:pPr>
      <w:keepLines/>
      <w:spacing w:before="40" w:after="40" w:line="200" w:lineRule="atLeast"/>
    </w:pPr>
    <w:rPr>
      <w:rFonts w:ascii="Franklin Gothic Book" w:hAnsi="Franklin Gothic Book"/>
      <w:iCs/>
      <w:sz w:val="17"/>
      <w:szCs w:val="17"/>
      <w:lang w:eastAsia="en-US"/>
    </w:rPr>
  </w:style>
  <w:style w:type="paragraph" w:customStyle="1" w:styleId="BoxText0">
    <w:name w:val="BoxText"/>
    <w:basedOn w:val="Normal"/>
    <w:link w:val="BoxTextChar0"/>
    <w:qFormat/>
    <w:rsid w:val="005A5815"/>
    <w:pPr>
      <w:pBdr>
        <w:top w:val="single" w:sz="4" w:space="4" w:color="007FAD"/>
        <w:left w:val="single" w:sz="4" w:space="4" w:color="007FAD"/>
        <w:bottom w:val="single" w:sz="4" w:space="4" w:color="007FAD"/>
        <w:right w:val="single" w:sz="4" w:space="4" w:color="007FAD"/>
      </w:pBdr>
      <w:shd w:val="clear" w:color="auto" w:fill="ECF1F7"/>
      <w:spacing w:after="120"/>
    </w:pPr>
    <w:rPr>
      <w:rFonts w:ascii="Franklin Gothic Book" w:hAnsi="Franklin Gothic Book"/>
      <w:sz w:val="21"/>
      <w:szCs w:val="20"/>
    </w:rPr>
  </w:style>
  <w:style w:type="paragraph" w:customStyle="1" w:styleId="BoxName">
    <w:name w:val="BoxName"/>
    <w:basedOn w:val="BoxText0"/>
    <w:rsid w:val="005A5815"/>
    <w:pPr>
      <w:keepNext/>
      <w:shd w:val="clear" w:color="auto" w:fill="007FAD"/>
      <w:spacing w:before="180" w:after="240"/>
      <w:ind w:left="1077" w:hanging="1077"/>
    </w:pPr>
    <w:rPr>
      <w:rFonts w:ascii="Arial" w:hAnsi="Arial"/>
      <w:b/>
      <w:bCs/>
      <w:color w:val="FFFFFF" w:themeColor="background1"/>
      <w:sz w:val="24"/>
    </w:rPr>
  </w:style>
  <w:style w:type="paragraph" w:customStyle="1" w:styleId="BoxHeading20">
    <w:name w:val="BoxHeading2"/>
    <w:basedOn w:val="Normal"/>
    <w:link w:val="BoxHeading2Char"/>
    <w:qFormat/>
    <w:rsid w:val="005A5815"/>
    <w:pPr>
      <w:keepNext/>
      <w:pBdr>
        <w:top w:val="single" w:sz="4" w:space="4" w:color="007FAD"/>
        <w:left w:val="single" w:sz="4" w:space="4" w:color="007FAD"/>
        <w:bottom w:val="single" w:sz="4" w:space="4" w:color="007FAD"/>
        <w:right w:val="single" w:sz="4" w:space="4" w:color="007FAD"/>
      </w:pBdr>
      <w:shd w:val="clear" w:color="auto" w:fill="ECF1F7"/>
      <w:spacing w:before="240" w:after="60"/>
    </w:pPr>
    <w:rPr>
      <w:rFonts w:ascii="Franklin Gothic Book" w:hAnsi="Franklin Gothic Book"/>
      <w:b/>
      <w:bCs/>
      <w:i/>
      <w:sz w:val="21"/>
      <w:szCs w:val="20"/>
    </w:rPr>
  </w:style>
  <w:style w:type="character" w:customStyle="1" w:styleId="BoxTextChar0">
    <w:name w:val="BoxText Char"/>
    <w:basedOn w:val="DefaultParagraphFont"/>
    <w:link w:val="BoxText0"/>
    <w:rsid w:val="005A5815"/>
    <w:rPr>
      <w:rFonts w:ascii="Franklin Gothic Book" w:hAnsi="Franklin Gothic Book"/>
      <w:sz w:val="21"/>
      <w:shd w:val="clear" w:color="auto" w:fill="ECF1F7"/>
    </w:rPr>
  </w:style>
  <w:style w:type="character" w:customStyle="1" w:styleId="BoxHeading2Char">
    <w:name w:val="BoxHeading2 Char"/>
    <w:basedOn w:val="DefaultParagraphFont"/>
    <w:link w:val="BoxHeading20"/>
    <w:rsid w:val="005A5815"/>
    <w:rPr>
      <w:rFonts w:ascii="Franklin Gothic Book" w:hAnsi="Franklin Gothic Book"/>
      <w:b/>
      <w:bCs/>
      <w:i/>
      <w:sz w:val="21"/>
      <w:shd w:val="clear" w:color="auto" w:fill="ECF1F7"/>
    </w:rPr>
  </w:style>
  <w:style w:type="paragraph" w:customStyle="1" w:styleId="BoxQuote0">
    <w:name w:val="BoxQuote"/>
    <w:basedOn w:val="BoxText0"/>
    <w:next w:val="BoxQuoteSource"/>
    <w:link w:val="BoxQuoteChar"/>
    <w:qFormat/>
    <w:rsid w:val="005A5815"/>
    <w:pPr>
      <w:spacing w:after="0"/>
      <w:ind w:left="357" w:hanging="357"/>
    </w:pPr>
    <w:rPr>
      <w:i/>
    </w:rPr>
  </w:style>
  <w:style w:type="paragraph" w:customStyle="1" w:styleId="BoxQuoteSource">
    <w:name w:val="BoxQuoteSource"/>
    <w:basedOn w:val="BoxText0"/>
    <w:link w:val="BoxQuoteSourceChar"/>
    <w:qFormat/>
    <w:rsid w:val="005A5815"/>
    <w:pPr>
      <w:jc w:val="right"/>
    </w:pPr>
    <w:rPr>
      <w:noProof/>
    </w:rPr>
  </w:style>
  <w:style w:type="character" w:customStyle="1" w:styleId="BoxQuoteChar">
    <w:name w:val="BoxQuote Char"/>
    <w:basedOn w:val="BoxTextChar0"/>
    <w:link w:val="BoxQuote0"/>
    <w:rsid w:val="005A5815"/>
    <w:rPr>
      <w:rFonts w:ascii="Franklin Gothic Book" w:hAnsi="Franklin Gothic Book"/>
      <w:i/>
      <w:sz w:val="21"/>
      <w:shd w:val="clear" w:color="auto" w:fill="ECF1F7"/>
    </w:rPr>
  </w:style>
  <w:style w:type="character" w:customStyle="1" w:styleId="BoxQuoteSourceChar">
    <w:name w:val="BoxQuoteSource Char"/>
    <w:basedOn w:val="BoxTextChar0"/>
    <w:link w:val="BoxQuoteSource"/>
    <w:rsid w:val="005A5815"/>
    <w:rPr>
      <w:rFonts w:ascii="Franklin Gothic Book" w:hAnsi="Franklin Gothic Book"/>
      <w:noProof/>
      <w:sz w:val="21"/>
      <w:shd w:val="clear" w:color="auto" w:fill="ECF1F7"/>
    </w:rPr>
  </w:style>
  <w:style w:type="table" w:customStyle="1" w:styleId="DFATTable0">
    <w:name w:val="DFAT Table"/>
    <w:basedOn w:val="TableNormal"/>
    <w:uiPriority w:val="99"/>
    <w:rsid w:val="005A5815"/>
    <w:rPr>
      <w:rFonts w:ascii="Helvetica" w:eastAsia="Calibri" w:hAnsi="Helvetica"/>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styleId="Revision">
    <w:name w:val="Revision"/>
    <w:hidden/>
    <w:semiHidden/>
    <w:rsid w:val="00291B06"/>
    <w:rPr>
      <w:sz w:val="24"/>
      <w:szCs w:val="24"/>
    </w:rPr>
  </w:style>
  <w:style w:type="paragraph" w:customStyle="1" w:styleId="Heading3a">
    <w:name w:val="Heading 3a"/>
    <w:basedOn w:val="Heading3"/>
    <w:next w:val="Normal"/>
    <w:rsid w:val="005C72E2"/>
    <w:pPr>
      <w:suppressLineNumbers w:val="0"/>
      <w:suppressAutoHyphens w:val="0"/>
      <w:outlineLvl w:val="9"/>
    </w:pPr>
    <w:rPr>
      <w:rFonts w:ascii="Arial" w:hAnsi="Arial"/>
      <w:bCs/>
      <w:spacing w:val="0"/>
      <w:kern w:val="0"/>
      <w:szCs w:val="26"/>
    </w:rPr>
  </w:style>
  <w:style w:type="paragraph" w:customStyle="1" w:styleId="BoxBullet">
    <w:name w:val="BoxBullet"/>
    <w:basedOn w:val="BoxText0"/>
    <w:rsid w:val="005C72E2"/>
    <w:pPr>
      <w:numPr>
        <w:numId w:val="31"/>
      </w:numPr>
    </w:pPr>
  </w:style>
  <w:style w:type="paragraph" w:styleId="NormalWeb">
    <w:name w:val="Normal (Web)"/>
    <w:basedOn w:val="Normal"/>
    <w:uiPriority w:val="99"/>
    <w:unhideWhenUsed/>
    <w:rsid w:val="00287609"/>
    <w:pPr>
      <w:spacing w:before="100" w:beforeAutospacing="1" w:after="100" w:afterAutospacing="1"/>
    </w:pPr>
  </w:style>
  <w:style w:type="table" w:customStyle="1" w:styleId="TableGrid1">
    <w:name w:val="Table Grid1"/>
    <w:basedOn w:val="TableNormal"/>
    <w:next w:val="TableGrid"/>
    <w:uiPriority w:val="39"/>
    <w:rsid w:val="00721229"/>
    <w:tblPr>
      <w:tblInd w:w="0" w:type="dxa"/>
      <w:tblBorders>
        <w:top w:val="single" w:sz="4" w:space="0" w:color="007FAD"/>
        <w:bottom w:val="single" w:sz="4" w:space="0" w:color="007FAD"/>
        <w:insideH w:val="single" w:sz="4" w:space="0" w:color="007FAD"/>
      </w:tblBorders>
      <w:tblCellMar>
        <w:top w:w="85" w:type="dxa"/>
        <w:left w:w="108" w:type="dxa"/>
        <w:bottom w:w="85" w:type="dxa"/>
        <w:right w:w="108" w:type="dxa"/>
      </w:tblCellMar>
    </w:tblPr>
    <w:tcPr>
      <w:shd w:val="clear" w:color="auto" w:fill="FFFFFF"/>
    </w:tcPr>
    <w:tblStylePr w:type="firstRow">
      <w:tblPr/>
      <w:tcPr>
        <w:shd w:val="clear" w:color="auto" w:fill="007FAD"/>
      </w:tcPr>
    </w:tblStylePr>
  </w:style>
  <w:style w:type="table" w:customStyle="1" w:styleId="TableGrid2">
    <w:name w:val="Table Grid2"/>
    <w:basedOn w:val="TableNormal"/>
    <w:next w:val="TableGrid"/>
    <w:uiPriority w:val="39"/>
    <w:rsid w:val="000767B0"/>
    <w:tblPr>
      <w:tblInd w:w="0" w:type="dxa"/>
      <w:tblBorders>
        <w:top w:val="single" w:sz="4" w:space="0" w:color="007FAD"/>
        <w:bottom w:val="single" w:sz="4" w:space="0" w:color="007FAD"/>
        <w:insideH w:val="single" w:sz="4" w:space="0" w:color="007FAD"/>
      </w:tblBorders>
      <w:tblCellMar>
        <w:top w:w="85" w:type="dxa"/>
        <w:left w:w="108" w:type="dxa"/>
        <w:bottom w:w="85" w:type="dxa"/>
        <w:right w:w="108" w:type="dxa"/>
      </w:tblCellMar>
    </w:tblPr>
    <w:tcPr>
      <w:shd w:val="clear" w:color="auto" w:fill="FFFFFF"/>
    </w:tcPr>
    <w:tblStylePr w:type="firstRow">
      <w:tblPr/>
      <w:tcPr>
        <w:shd w:val="clear" w:color="auto" w:fill="007FAD"/>
      </w:tcPr>
    </w:tblStylePr>
  </w:style>
  <w:style w:type="paragraph" w:customStyle="1" w:styleId="04BODYTEXT">
    <w:name w:val="04. BODY TEXT"/>
    <w:basedOn w:val="Normal"/>
    <w:uiPriority w:val="99"/>
    <w:rsid w:val="00F8515C"/>
    <w:pPr>
      <w:widowControl w:val="0"/>
      <w:suppressAutoHyphens/>
      <w:autoSpaceDE w:val="0"/>
      <w:autoSpaceDN w:val="0"/>
      <w:adjustRightInd w:val="0"/>
      <w:spacing w:after="113" w:line="280" w:lineRule="atLeast"/>
      <w:textAlignment w:val="center"/>
    </w:pPr>
    <w:rPr>
      <w:rFonts w:ascii="HelveticaNeue-Roman" w:eastAsiaTheme="minorEastAsia" w:hAnsi="HelveticaNeue-Roman" w:cs="HelveticaNeue-Roman"/>
      <w:i/>
      <w:iCs/>
      <w:color w:val="000000"/>
      <w:sz w:val="19"/>
      <w:szCs w:val="19"/>
      <w:lang w:val="en-GB" w:eastAsia="ja-JP"/>
    </w:rPr>
  </w:style>
  <w:style w:type="paragraph" w:customStyle="1" w:styleId="BasicParagraph">
    <w:name w:val="[Basic Paragraph]"/>
    <w:basedOn w:val="Normal"/>
    <w:uiPriority w:val="99"/>
    <w:rsid w:val="00F8515C"/>
    <w:pPr>
      <w:widowControl w:val="0"/>
      <w:autoSpaceDE w:val="0"/>
      <w:autoSpaceDN w:val="0"/>
      <w:adjustRightInd w:val="0"/>
      <w:spacing w:line="288" w:lineRule="auto"/>
      <w:textAlignment w:val="center"/>
    </w:pPr>
    <w:rPr>
      <w:rFonts w:ascii="HelveticaNeue-MediumItalic" w:eastAsiaTheme="minorEastAsia" w:hAnsi="HelveticaNeue-MediumItalic" w:cs="HelveticaNeue-MediumItalic"/>
      <w:i/>
      <w:iCs/>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3093">
      <w:bodyDiv w:val="1"/>
      <w:marLeft w:val="0"/>
      <w:marRight w:val="0"/>
      <w:marTop w:val="0"/>
      <w:marBottom w:val="0"/>
      <w:divBdr>
        <w:top w:val="none" w:sz="0" w:space="0" w:color="auto"/>
        <w:left w:val="none" w:sz="0" w:space="0" w:color="auto"/>
        <w:bottom w:val="none" w:sz="0" w:space="0" w:color="auto"/>
        <w:right w:val="none" w:sz="0" w:space="0" w:color="auto"/>
      </w:divBdr>
    </w:div>
    <w:div w:id="1039403240">
      <w:bodyDiv w:val="1"/>
      <w:marLeft w:val="0"/>
      <w:marRight w:val="0"/>
      <w:marTop w:val="0"/>
      <w:marBottom w:val="0"/>
      <w:divBdr>
        <w:top w:val="none" w:sz="0" w:space="0" w:color="auto"/>
        <w:left w:val="none" w:sz="0" w:space="0" w:color="auto"/>
        <w:bottom w:val="none" w:sz="0" w:space="0" w:color="auto"/>
        <w:right w:val="none" w:sz="0" w:space="0" w:color="auto"/>
      </w:divBdr>
    </w:div>
    <w:div w:id="1249075623">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54323247">
      <w:bodyDiv w:val="1"/>
      <w:marLeft w:val="0"/>
      <w:marRight w:val="0"/>
      <w:marTop w:val="0"/>
      <w:marBottom w:val="0"/>
      <w:divBdr>
        <w:top w:val="none" w:sz="0" w:space="0" w:color="auto"/>
        <w:left w:val="none" w:sz="0" w:space="0" w:color="auto"/>
        <w:bottom w:val="none" w:sz="0" w:space="0" w:color="auto"/>
        <w:right w:val="none" w:sz="0" w:space="0" w:color="auto"/>
      </w:divBdr>
    </w:div>
    <w:div w:id="1577321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ode.dfat.gov.au" TargetMode="External"/><Relationship Id="rId26" Type="http://schemas.openxmlformats.org/officeDocument/2006/relationships/chart" Target="charts/chart4.xml"/><Relationship Id="rId39"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creativecommons.org/licenses/by/3.0/au/legalcode" TargetMode="Externa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header" Target="header5.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yanne\Documents\1.%20The%20Happy%20Apostrophe\Clients\DFAT\Serin%20Werner%20March%202015\FINALS\Copy%20of%202014%20APPR%20quality%20review%20data%20and%20figures%20-%20SW%20comments%20on%20MM%20edited%20version%20of%2013%20April%2020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ryanne\Documents\1.%20The%20Happy%20Apostrophe\Clients\DFAT\Serin%20Werner%20March%202015\FINALS\Copy%20of%202014%20APPR%20quality%20review%20data%20and%20figures%20-%20SW%20comments%20on%20MM%20edited%20version%20of%2013%20April%202015%20v3.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ryanne\Documents\1.%20The%20Happy%20Apostrophe\Clients\DFAT\Serin%20Werner%20March%202015\FINALS\Copy%20of%202014%20APPR%20quality%20review%20data%20and%20figures%20-%20SW%20comments%20on%20MM%20edited%20version%20of%2013%20April%202015.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aryanne\Documents\1.%20The%20Happy%20Apostrophe\Clients\DFAT\Serin%20Werner%20March%202015\FINALS\Copy%20of%202014%20APPR%20quality%20review%20data%20and%20figures%20-%20SW%20comments%20on%20MM%20edited%20version%20of%2013%20April%202015%20v3.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aryanne\Documents\1.%20The%20Happy%20Apostrophe\Clients\DFAT\Serin%20Werner%20March%202015\FINALS\Copy%20of%202014%20APPR%20quality%20review%20data%20and%20figures%20-%20SW%20comments%20on%20MM%20edited%20version%20of%2013%20April%202015%20v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yanne\Documents\1.%20The%20Happy%20Apostrophe\Clients\DFAT\Serin%20Werner%20March%202015\2014%20APPR%20quality%20review%20data%20and%20figures%20-%20MM%20edited%2013%20April%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yanne\Documents\1.%20The%20Happy%20Apostrophe\Clients\DFAT\Serin%20Werner%20March%202015\FINALS\Copy%20of%202014%20APPR%20quality%20review%20data%20and%20figures%20-%20SW%20comments%20on%20MM%20edited%20version%20of%2013%20April%202015.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Maryanne\Documents\1.%20The%20Happy%20Apostrophe\Clients\DFAT\Serin%20Werner%20March%202015\2014%20APPR%20quality%20review%20data%20and%20figures%20FINAL%20MM%20edit3.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aryanne\Documents\1.%20The%20Happy%20Apostrophe\Clients\DFAT\Serin%20Werner%20March%202015\2014%20APPR%20quality%20review%20data%20and%20figures%20FINAL%20MM%20edit3.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ryanne\Documents\1.%20The%20Happy%20Apostrophe\Clients\DFAT\Serin%20Werner%20March%202015\2014%20APPR%20quality%20review%20data%20and%20figures%20FINAL%20MM%20edit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ryanne\Documents\1.%20The%20Happy%20Apostrophe\Clients\DFAT\Serin%20Werner%20March%202015\FINALS\Copy%20of%202014%20APPR%20quality%20review%20data%20and%20figures%20-%20SW%20comments%20on%20MM%20edited%20version%20of%2013%20April%20201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ryanne\Documents\1.%20The%20Happy%20Apostrophe\Clients\DFAT\Serin%20Werner%20March%202015\FINALS\Copy%20of%202014%20APPR%20quality%20review%20data%20and%20figures%20-%20SW%20comments%20on%20MM%20edited%20version%20of%2013%20April%20201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TITAN\CHCH\Clients\sewerner\Docs\Offline%20Records%20(CH)\2014%20APPR%20quality%20review%20data%20and%20figures.xls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512314317221596E-2"/>
          <c:y val="9.2621394081545669E-2"/>
          <c:w val="0.93249068517153644"/>
          <c:h val="0.64298820760784337"/>
        </c:manualLayout>
      </c:layout>
      <c:barChart>
        <c:barDir val="col"/>
        <c:grouping val="clustered"/>
        <c:varyColors val="0"/>
        <c:ser>
          <c:idx val="0"/>
          <c:order val="0"/>
          <c:tx>
            <c:strRef>
              <c:f>'Fig 1 (Fig 3 draws on this too '!$Y$3</c:f>
              <c:strCache>
                <c:ptCount val="1"/>
                <c:pt idx="0">
                  <c:v>2. Unsatisfactory (below expectation)</c:v>
                </c:pt>
              </c:strCache>
            </c:strRef>
          </c:tx>
          <c:spPr>
            <a:solidFill>
              <a:srgbClr val="ED7D31"/>
            </a:solidFill>
            <a:ln>
              <a:solidFill>
                <a:schemeClr val="accent2"/>
              </a:solid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2.3510968885176501E-3"/>
                  <c:y val="1.9327945848874154E-2"/>
                </c:manualLayout>
              </c:layout>
              <c:dLblPos val="outEnd"/>
              <c:showLegendKey val="0"/>
              <c:showVal val="1"/>
              <c:showCatName val="0"/>
              <c:showSerName val="0"/>
              <c:showPercent val="0"/>
              <c:showBubbleSize val="0"/>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x-axis labels'!$A$1:$A$4</c:f>
              <c:strCache>
                <c:ptCount val="4"/>
                <c:pt idx="0">
                  <c:v>CORNERSTONE
QUESTION 1:
Does the APPR provide a
clear, balanced description
of program relevance within
the country/regional
context and the new
aid policy framework?</c:v>
                </c:pt>
                <c:pt idx="1">
                  <c:v>CORNERSTONE
QUESTION 2:
Does the APPR narrative
explain and justify, in a
proportionate way, the
progress ratings against
each program objective?</c:v>
                </c:pt>
                <c:pt idx="2">
                  <c:v>CORNERSTONE
QUESTION 3:
Does the APPR provide a proportionate, balanced discussion of the
contribution of
partner governments
and delivery partners?</c:v>
                </c:pt>
                <c:pt idx="3">
                  <c:v>CORNERSTONE
QUESTION 4:
Are the management consequences
clearly linked to
the ratings narratives
and the identified risks
to future progress?</c:v>
                </c:pt>
              </c:strCache>
            </c:strRef>
          </c:cat>
          <c:val>
            <c:numRef>
              <c:f>('Fig 1 (Fig 3 draws on this too '!$Z$3,'Fig 1 (Fig 3 draws on this too '!$AE$3,'Fig 1 (Fig 3 draws on this too '!$AM$3,'Fig 1 (Fig 3 draws on this too '!$AR$3)</c:f>
              <c:numCache>
                <c:formatCode>General</c:formatCode>
                <c:ptCount val="4"/>
                <c:pt idx="0">
                  <c:v>0</c:v>
                </c:pt>
                <c:pt idx="1">
                  <c:v>0</c:v>
                </c:pt>
                <c:pt idx="2">
                  <c:v>2</c:v>
                </c:pt>
                <c:pt idx="3">
                  <c:v>0</c:v>
                </c:pt>
              </c:numCache>
            </c:numRef>
          </c:val>
          <c:extLst/>
        </c:ser>
        <c:ser>
          <c:idx val="1"/>
          <c:order val="1"/>
          <c:tx>
            <c:strRef>
              <c:f>'Fig 1 (Fig 3 draws on this too '!$Y$4</c:f>
              <c:strCache>
                <c:ptCount val="1"/>
                <c:pt idx="0">
                  <c:v>3. Adequate</c:v>
                </c:pt>
              </c:strCache>
            </c:strRef>
          </c:tx>
          <c:spPr>
            <a:solidFill>
              <a:srgbClr val="FFCC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x-axis labels'!$A$1:$A$4</c:f>
              <c:strCache>
                <c:ptCount val="4"/>
                <c:pt idx="0">
                  <c:v>CORNERSTONE
QUESTION 1:
Does the APPR provide a
clear, balanced description
of program relevance within
the country/regional
context and the new
aid policy framework?</c:v>
                </c:pt>
                <c:pt idx="1">
                  <c:v>CORNERSTONE
QUESTION 2:
Does the APPR narrative
explain and justify, in a
proportionate way, the
progress ratings against
each program objective?</c:v>
                </c:pt>
                <c:pt idx="2">
                  <c:v>CORNERSTONE
QUESTION 3:
Does the APPR provide a proportionate, balanced discussion of the
contribution of
partner governments
and delivery partners?</c:v>
                </c:pt>
                <c:pt idx="3">
                  <c:v>CORNERSTONE
QUESTION 4:
Are the management consequences
clearly linked to
the ratings narratives
and the identified risks
to future progress?</c:v>
                </c:pt>
              </c:strCache>
            </c:strRef>
          </c:cat>
          <c:val>
            <c:numRef>
              <c:f>('Fig 1 (Fig 3 draws on this too '!$Z$4,'Fig 1 (Fig 3 draws on this too '!$AE$4,'Fig 1 (Fig 3 draws on this too '!$AM$4,'Fig 1 (Fig 3 draws on this too '!$AR$4)</c:f>
              <c:numCache>
                <c:formatCode>General</c:formatCode>
                <c:ptCount val="4"/>
                <c:pt idx="0">
                  <c:v>11</c:v>
                </c:pt>
                <c:pt idx="1">
                  <c:v>12</c:v>
                </c:pt>
                <c:pt idx="2">
                  <c:v>11</c:v>
                </c:pt>
                <c:pt idx="3">
                  <c:v>11</c:v>
                </c:pt>
              </c:numCache>
            </c:numRef>
          </c:val>
          <c:extLst/>
        </c:ser>
        <c:ser>
          <c:idx val="2"/>
          <c:order val="2"/>
          <c:tx>
            <c:strRef>
              <c:f>'Fig 1 (Fig 3 draws on this too '!$Y$5</c:f>
              <c:strCache>
                <c:ptCount val="1"/>
                <c:pt idx="0">
                  <c:v>4. Good</c:v>
                </c:pt>
              </c:strCache>
            </c:strRef>
          </c:tx>
          <c:spPr>
            <a:solidFill>
              <a:srgbClr val="99CC00"/>
            </a:solidFill>
            <a:ln>
              <a:solidFill>
                <a:srgbClr val="92D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x-axis labels'!$A$1:$A$4</c:f>
              <c:strCache>
                <c:ptCount val="4"/>
                <c:pt idx="0">
                  <c:v>CORNERSTONE
QUESTION 1:
Does the APPR provide a
clear, balanced description
of program relevance within
the country/regional
context and the new
aid policy framework?</c:v>
                </c:pt>
                <c:pt idx="1">
                  <c:v>CORNERSTONE
QUESTION 2:
Does the APPR narrative
explain and justify, in a
proportionate way, the
progress ratings against
each program objective?</c:v>
                </c:pt>
                <c:pt idx="2">
                  <c:v>CORNERSTONE
QUESTION 3:
Does the APPR provide a proportionate, balanced discussion of the
contribution of
partner governments
and delivery partners?</c:v>
                </c:pt>
                <c:pt idx="3">
                  <c:v>CORNERSTONE
QUESTION 4:
Are the management consequences
clearly linked to
the ratings narratives
and the identified risks
to future progress?</c:v>
                </c:pt>
              </c:strCache>
            </c:strRef>
          </c:cat>
          <c:val>
            <c:numRef>
              <c:f>('Fig 1 (Fig 3 draws on this too '!$Z$5,'Fig 1 (Fig 3 draws on this too '!$AE$5,'Fig 1 (Fig 3 draws on this too '!$AM$5,'Fig 1 (Fig 3 draws on this too '!$AR$5)</c:f>
              <c:numCache>
                <c:formatCode>General</c:formatCode>
                <c:ptCount val="4"/>
                <c:pt idx="0">
                  <c:v>15</c:v>
                </c:pt>
                <c:pt idx="1">
                  <c:v>14</c:v>
                </c:pt>
                <c:pt idx="2">
                  <c:v>14</c:v>
                </c:pt>
                <c:pt idx="3">
                  <c:v>16</c:v>
                </c:pt>
              </c:numCache>
            </c:numRef>
          </c:val>
          <c:extLst/>
        </c:ser>
        <c:ser>
          <c:idx val="3"/>
          <c:order val="3"/>
          <c:tx>
            <c:strRef>
              <c:f>'Fig 1 (Fig 3 draws on this too '!$Y$6</c:f>
              <c:strCache>
                <c:ptCount val="1"/>
                <c:pt idx="0">
                  <c:v>5. Best practice</c:v>
                </c:pt>
              </c:strCache>
            </c:strRef>
          </c:tx>
          <c:spPr>
            <a:solidFill>
              <a:srgbClr val="008000"/>
            </a:solidFill>
            <a:ln>
              <a:solidFill>
                <a:srgbClr val="008000"/>
              </a:solidFill>
            </a:ln>
            <a:effectLst/>
          </c:spPr>
          <c:invertIfNegative val="0"/>
          <c:dLbls>
            <c:dLbl>
              <c:idx val="0"/>
              <c:layout>
                <c:manualLayout>
                  <c:x val="0"/>
                  <c:y val="1.9327945848874154E-2"/>
                </c:manualLayout>
              </c:layout>
              <c:dLblPos val="outEnd"/>
              <c:showLegendKey val="0"/>
              <c:showVal val="1"/>
              <c:showCatName val="0"/>
              <c:showSerName val="0"/>
              <c:showPercent val="0"/>
              <c:showBubbleSize val="0"/>
            </c:dLbl>
            <c:dLbl>
              <c:idx val="1"/>
              <c:layout>
                <c:manualLayout>
                  <c:x val="0"/>
                  <c:y val="1.9327945848874154E-2"/>
                </c:manualLayout>
              </c:layout>
              <c:dLblPos val="outEnd"/>
              <c:showLegendKey val="0"/>
              <c:showVal val="1"/>
              <c:showCatName val="0"/>
              <c:showSerName val="0"/>
              <c:showPercent val="0"/>
              <c:showBubbleSize val="0"/>
            </c:dLbl>
            <c:dLbl>
              <c:idx val="2"/>
              <c:layout>
                <c:manualLayout>
                  <c:x val="1.9032792452343835E-3"/>
                  <c:y val="1.4414166529649875E-2"/>
                </c:manualLayout>
              </c:layout>
              <c:dLblPos val="outEnd"/>
              <c:showLegendKey val="0"/>
              <c:showVal val="1"/>
              <c:showCatName val="0"/>
              <c:showSerName val="0"/>
              <c:showPercent val="0"/>
              <c:showBubbleSize val="0"/>
            </c:dLbl>
            <c:dLbl>
              <c:idx val="3"/>
              <c:layout>
                <c:manualLayout>
                  <c:x val="0"/>
                  <c:y val="1.4414166529649875E-2"/>
                </c:manualLayout>
              </c:layout>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x-axis labels'!$A$1:$A$4</c:f>
              <c:strCache>
                <c:ptCount val="4"/>
                <c:pt idx="0">
                  <c:v>CORNERSTONE
QUESTION 1:
Does the APPR provide a
clear, balanced description
of program relevance within
the country/regional
context and the new
aid policy framework?</c:v>
                </c:pt>
                <c:pt idx="1">
                  <c:v>CORNERSTONE
QUESTION 2:
Does the APPR narrative
explain and justify, in a
proportionate way, the
progress ratings against
each program objective?</c:v>
                </c:pt>
                <c:pt idx="2">
                  <c:v>CORNERSTONE
QUESTION 3:
Does the APPR provide a proportionate, balanced discussion of the
contribution of
partner governments
and delivery partners?</c:v>
                </c:pt>
                <c:pt idx="3">
                  <c:v>CORNERSTONE
QUESTION 4:
Are the management consequences
clearly linked to
the ratings narratives
and the identified risks
to future progress?</c:v>
                </c:pt>
              </c:strCache>
            </c:strRef>
          </c:cat>
          <c:val>
            <c:numRef>
              <c:f>('Fig 1 (Fig 3 draws on this too '!$Z$6,'Fig 1 (Fig 3 draws on this too '!$AE$6,'Fig 1 (Fig 3 draws on this too '!$AM$6,'Fig 1 (Fig 3 draws on this too '!$AR$6)</c:f>
              <c:numCache>
                <c:formatCode>General</c:formatCode>
                <c:ptCount val="4"/>
                <c:pt idx="0">
                  <c:v>2</c:v>
                </c:pt>
                <c:pt idx="1">
                  <c:v>2</c:v>
                </c:pt>
                <c:pt idx="2">
                  <c:v>1</c:v>
                </c:pt>
                <c:pt idx="3">
                  <c:v>1</c:v>
                </c:pt>
              </c:numCache>
            </c:numRef>
          </c:val>
          <c:extLst/>
        </c:ser>
        <c:dLbls>
          <c:dLblPos val="inBase"/>
          <c:showLegendKey val="0"/>
          <c:showVal val="1"/>
          <c:showCatName val="0"/>
          <c:showSerName val="0"/>
          <c:showPercent val="0"/>
          <c:showBubbleSize val="0"/>
        </c:dLbls>
        <c:gapWidth val="100"/>
        <c:axId val="37181696"/>
        <c:axId val="37208064"/>
      </c:barChart>
      <c:catAx>
        <c:axId val="37181696"/>
        <c:scaling>
          <c:orientation val="minMax"/>
        </c:scaling>
        <c:delete val="0"/>
        <c:axPos val="b"/>
        <c:majorGridlines>
          <c:spPr>
            <a:ln>
              <a:noFill/>
            </a:ln>
          </c:spPr>
        </c:majorGridlines>
        <c:minorGridlines>
          <c:spPr>
            <a:ln>
              <a:noFill/>
            </a:ln>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a:innerShdw blurRad="63500" dist="50800" dir="13500000">
              <a:prstClr val="black">
                <a:alpha val="50000"/>
              </a:prstClr>
            </a:innerShdw>
          </a:effectLst>
        </c:spPr>
        <c:txPr>
          <a:bodyPr rot="0" spcFirstLastPara="1" vertOverflow="ellipsis" vert="horz" wrap="square" anchor="t" anchorCtr="0"/>
          <a:lstStyle/>
          <a:p>
            <a:pPr>
              <a:defRPr sz="900" b="0" i="0" u="none" strike="noStrike" kern="1200" spc="0" baseline="0">
                <a:solidFill>
                  <a:srgbClr val="595959"/>
                </a:solidFill>
                <a:latin typeface="+mn-lt"/>
                <a:ea typeface="+mn-ea"/>
                <a:cs typeface="+mn-cs"/>
              </a:defRPr>
            </a:pPr>
            <a:endParaRPr lang="en-US"/>
          </a:p>
        </c:txPr>
        <c:crossAx val="37208064"/>
        <c:crosses val="autoZero"/>
        <c:auto val="1"/>
        <c:lblAlgn val="ctr"/>
        <c:lblOffset val="100"/>
        <c:tickLblSkip val="1"/>
        <c:tickMarkSkip val="1"/>
        <c:noMultiLvlLbl val="0"/>
      </c:catAx>
      <c:valAx>
        <c:axId val="3720806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rgbClr val="595959"/>
                    </a:solidFill>
                    <a:latin typeface="+mn-lt"/>
                    <a:ea typeface="+mn-ea"/>
                    <a:cs typeface="+mn-cs"/>
                  </a:defRPr>
                </a:pPr>
                <a:r>
                  <a:rPr lang="en-AU" sz="1200">
                    <a:solidFill>
                      <a:srgbClr val="595959"/>
                    </a:solidFill>
                  </a:rPr>
                  <a:t>Frequency</a:t>
                </a:r>
              </a:p>
            </c:rich>
          </c:tx>
          <c:layout>
            <c:manualLayout>
              <c:xMode val="edge"/>
              <c:yMode val="edge"/>
              <c:x val="1.2861355293551269E-3"/>
              <c:y val="0.2832499624182922"/>
            </c:manualLayout>
          </c:layout>
          <c:overlay val="0"/>
          <c:spPr>
            <a:noFill/>
            <a:ln>
              <a:noFill/>
            </a:ln>
            <a:effectLst/>
          </c:spPr>
        </c:title>
        <c:numFmt formatCode="General" sourceLinked="1"/>
        <c:majorTickMark val="none"/>
        <c:minorTickMark val="none"/>
        <c:tickLblPos val="nextTo"/>
        <c:crossAx val="371816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909164783524427E-2"/>
          <c:y val="0.10083005444569978"/>
          <c:w val="0.954936341689818"/>
          <c:h val="0.52852433483564576"/>
        </c:manualLayout>
      </c:layout>
      <c:barChart>
        <c:barDir val="col"/>
        <c:grouping val="clustered"/>
        <c:varyColors val="0"/>
        <c:ser>
          <c:idx val="4"/>
          <c:order val="0"/>
          <c:tx>
            <c:strRef>
              <c:f>'Figures 4 +  E1 '!$Y$3</c:f>
              <c:strCache>
                <c:ptCount val="1"/>
                <c:pt idx="0">
                  <c:v>2. Unsatisfactory (below expectation)</c:v>
                </c:pt>
              </c:strCache>
            </c:strRef>
          </c:tx>
          <c:spPr>
            <a:solidFill>
              <a:srgbClr val="ED7D31"/>
            </a:solidFill>
            <a:ln>
              <a:solidFill>
                <a:srgbClr val="FF6600"/>
              </a:solidFill>
            </a:ln>
            <a:effectLst/>
          </c:spPr>
          <c:invertIfNegative val="0"/>
          <c:dLbls>
            <c:dLbl>
              <c:idx val="0"/>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labels'!$A$13:$A$17</c:f>
              <c:strCache>
                <c:ptCount val="5"/>
                <c:pt idx="0">
                  <c:v>CORNERSTONE
QUESTION 1:
Does the APPR provide
a clear, balanced
description of program
relevance within the
country/regional
context and the new
aid policy framework?</c:v>
                </c:pt>
                <c:pt idx="1">
                  <c:v>Subquestion 1a.
Does the APPR
acknowledge,
respond to and
reflect the new
aid policy?</c:v>
                </c:pt>
                <c:pt idx="2">
                  <c:v>Subquestion 1b.
Does the analysis
explain the key
development
challenges/needs of
the country/region? 
Does it explain
the Australian
program objectives?</c:v>
                </c:pt>
                <c:pt idx="3">
                  <c:v>Subquestion 1c.
If there is a stated
strategy does this
explain how program
objectives will be
achieved? Otherwise, is
some other explanation
for achieving program
objectives provided?</c:v>
                </c:pt>
                <c:pt idx="4">
                  <c:v>Subquestion 1d.
Is the proportion
of Australia’s aid
in relation to
other donors and
national indicators,
and the program and
strategy implications
of that, clear?</c:v>
                </c:pt>
              </c:strCache>
            </c:strRef>
          </c:cat>
          <c:val>
            <c:numRef>
              <c:f>'Figures 4 +  E1 '!$Z$3:$AD$3</c:f>
              <c:numCache>
                <c:formatCode>General</c:formatCode>
                <c:ptCount val="5"/>
                <c:pt idx="0">
                  <c:v>0</c:v>
                </c:pt>
                <c:pt idx="1">
                  <c:v>5</c:v>
                </c:pt>
                <c:pt idx="2">
                  <c:v>0</c:v>
                </c:pt>
                <c:pt idx="3">
                  <c:v>4</c:v>
                </c:pt>
                <c:pt idx="4">
                  <c:v>2</c:v>
                </c:pt>
              </c:numCache>
            </c:numRef>
          </c:val>
        </c:ser>
        <c:ser>
          <c:idx val="5"/>
          <c:order val="1"/>
          <c:tx>
            <c:strRef>
              <c:f>'Figures 4 +  E1 '!$Y$4</c:f>
              <c:strCache>
                <c:ptCount val="1"/>
                <c:pt idx="0">
                  <c:v>3. Adequate</c:v>
                </c:pt>
              </c:strCache>
            </c:strRef>
          </c:tx>
          <c:spPr>
            <a:solidFill>
              <a:srgbClr val="FFCC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labels'!$A$13:$A$17</c:f>
              <c:strCache>
                <c:ptCount val="5"/>
                <c:pt idx="0">
                  <c:v>CORNERSTONE
QUESTION 1:
Does the APPR provide
a clear, balanced
description of program
relevance within the
country/regional
context and the new
aid policy framework?</c:v>
                </c:pt>
                <c:pt idx="1">
                  <c:v>Subquestion 1a.
Does the APPR
acknowledge,
respond to and
reflect the new
aid policy?</c:v>
                </c:pt>
                <c:pt idx="2">
                  <c:v>Subquestion 1b.
Does the analysis
explain the key
development
challenges/needs of
the country/region? 
Does it explain
the Australian
program objectives?</c:v>
                </c:pt>
                <c:pt idx="3">
                  <c:v>Subquestion 1c.
If there is a stated
strategy does this
explain how program
objectives will be
achieved? Otherwise, is
some other explanation
for achieving program
objectives provided?</c:v>
                </c:pt>
                <c:pt idx="4">
                  <c:v>Subquestion 1d.
Is the proportion
of Australia’s aid
in relation to
other donors and
national indicators,
and the program and
strategy implications
of that, clear?</c:v>
                </c:pt>
              </c:strCache>
            </c:strRef>
          </c:cat>
          <c:val>
            <c:numRef>
              <c:f>'Figures 4 +  E1 '!$Z$4:$AD$4</c:f>
              <c:numCache>
                <c:formatCode>General</c:formatCode>
                <c:ptCount val="5"/>
                <c:pt idx="0">
                  <c:v>11</c:v>
                </c:pt>
                <c:pt idx="1">
                  <c:v>11</c:v>
                </c:pt>
                <c:pt idx="2">
                  <c:v>8</c:v>
                </c:pt>
                <c:pt idx="3">
                  <c:v>10</c:v>
                </c:pt>
                <c:pt idx="4">
                  <c:v>16</c:v>
                </c:pt>
              </c:numCache>
            </c:numRef>
          </c:val>
        </c:ser>
        <c:ser>
          <c:idx val="6"/>
          <c:order val="2"/>
          <c:tx>
            <c:strRef>
              <c:f>'Figures 4 +  E1 '!$Y$5</c:f>
              <c:strCache>
                <c:ptCount val="1"/>
                <c:pt idx="0">
                  <c:v>4. Good</c:v>
                </c:pt>
              </c:strCache>
            </c:strRef>
          </c:tx>
          <c:spPr>
            <a:solidFill>
              <a:srgbClr val="99CC00"/>
            </a:solidFill>
            <a:ln>
              <a:solidFill>
                <a:srgbClr val="99CC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labels'!$A$13:$A$17</c:f>
              <c:strCache>
                <c:ptCount val="5"/>
                <c:pt idx="0">
                  <c:v>CORNERSTONE
QUESTION 1:
Does the APPR provide
a clear, balanced
description of program
relevance within the
country/regional
context and the new
aid policy framework?</c:v>
                </c:pt>
                <c:pt idx="1">
                  <c:v>Subquestion 1a.
Does the APPR
acknowledge,
respond to and
reflect the new
aid policy?</c:v>
                </c:pt>
                <c:pt idx="2">
                  <c:v>Subquestion 1b.
Does the analysis
explain the key
development
challenges/needs of
the country/region? 
Does it explain
the Australian
program objectives?</c:v>
                </c:pt>
                <c:pt idx="3">
                  <c:v>Subquestion 1c.
If there is a stated
strategy does this
explain how program
objectives will be
achieved? Otherwise, is
some other explanation
for achieving program
objectives provided?</c:v>
                </c:pt>
                <c:pt idx="4">
                  <c:v>Subquestion 1d.
Is the proportion
of Australia’s aid
in relation to
other donors and
national indicators,
and the program and
strategy implications
of that, clear?</c:v>
                </c:pt>
              </c:strCache>
            </c:strRef>
          </c:cat>
          <c:val>
            <c:numRef>
              <c:f>'Figures 4 +  E1 '!$Z$5:$AD$5</c:f>
              <c:numCache>
                <c:formatCode>General</c:formatCode>
                <c:ptCount val="5"/>
                <c:pt idx="0">
                  <c:v>15</c:v>
                </c:pt>
                <c:pt idx="1">
                  <c:v>9</c:v>
                </c:pt>
                <c:pt idx="2">
                  <c:v>18</c:v>
                </c:pt>
                <c:pt idx="3">
                  <c:v>12</c:v>
                </c:pt>
                <c:pt idx="4">
                  <c:v>8</c:v>
                </c:pt>
              </c:numCache>
            </c:numRef>
          </c:val>
        </c:ser>
        <c:ser>
          <c:idx val="7"/>
          <c:order val="3"/>
          <c:tx>
            <c:strRef>
              <c:f>'Figures 4 +  E1 '!$Y$6</c:f>
              <c:strCache>
                <c:ptCount val="1"/>
                <c:pt idx="0">
                  <c:v>5. Best practice</c:v>
                </c:pt>
              </c:strCache>
            </c:strRef>
          </c:tx>
          <c:spPr>
            <a:solidFill>
              <a:srgbClr val="008000"/>
            </a:solidFill>
            <a:ln>
              <a:solidFill>
                <a:srgbClr val="00B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labels'!$A$13:$A$17</c:f>
              <c:strCache>
                <c:ptCount val="5"/>
                <c:pt idx="0">
                  <c:v>CORNERSTONE
QUESTION 1:
Does the APPR provide
a clear, balanced
description of program
relevance within the
country/regional
context and the new
aid policy framework?</c:v>
                </c:pt>
                <c:pt idx="1">
                  <c:v>Subquestion 1a.
Does the APPR
acknowledge,
respond to and
reflect the new
aid policy?</c:v>
                </c:pt>
                <c:pt idx="2">
                  <c:v>Subquestion 1b.
Does the analysis
explain the key
development
challenges/needs of
the country/region? 
Does it explain
the Australian
program objectives?</c:v>
                </c:pt>
                <c:pt idx="3">
                  <c:v>Subquestion 1c.
If there is a stated
strategy does this
explain how program
objectives will be
achieved? Otherwise, is
some other explanation
for achieving program
objectives provided?</c:v>
                </c:pt>
                <c:pt idx="4">
                  <c:v>Subquestion 1d.
Is the proportion
of Australia’s aid
in relation to
other donors and
national indicators,
and the program and
strategy implications
of that, clear?</c:v>
                </c:pt>
              </c:strCache>
            </c:strRef>
          </c:cat>
          <c:val>
            <c:numRef>
              <c:f>'Figures 4 +  E1 '!$Z$6:$AD$6</c:f>
              <c:numCache>
                <c:formatCode>General</c:formatCode>
                <c:ptCount val="5"/>
                <c:pt idx="0">
                  <c:v>2</c:v>
                </c:pt>
                <c:pt idx="1">
                  <c:v>3</c:v>
                </c:pt>
                <c:pt idx="2">
                  <c:v>2</c:v>
                </c:pt>
                <c:pt idx="3">
                  <c:v>2</c:v>
                </c:pt>
                <c:pt idx="4">
                  <c:v>2</c:v>
                </c:pt>
              </c:numCache>
            </c:numRef>
          </c:val>
        </c:ser>
        <c:dLbls>
          <c:dLblPos val="inBase"/>
          <c:showLegendKey val="0"/>
          <c:showVal val="1"/>
          <c:showCatName val="0"/>
          <c:showSerName val="0"/>
          <c:showPercent val="0"/>
          <c:showBubbleSize val="0"/>
        </c:dLbls>
        <c:gapWidth val="100"/>
        <c:axId val="44725760"/>
        <c:axId val="44727296"/>
      </c:barChart>
      <c:catAx>
        <c:axId val="4472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n-US"/>
          </a:p>
        </c:txPr>
        <c:crossAx val="44727296"/>
        <c:crosses val="autoZero"/>
        <c:auto val="1"/>
        <c:lblAlgn val="ctr"/>
        <c:lblOffset val="100"/>
        <c:noMultiLvlLbl val="0"/>
      </c:catAx>
      <c:valAx>
        <c:axId val="4472729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vert="horz"/>
              <a:lstStyle/>
              <a:p>
                <a:pPr>
                  <a:defRPr sz="1200">
                    <a:solidFill>
                      <a:srgbClr val="767171"/>
                    </a:solidFill>
                  </a:defRPr>
                </a:pPr>
                <a:r>
                  <a:rPr lang="en-AU" sz="1200" b="0" i="0" u="none" strike="noStrike" baseline="0">
                    <a:solidFill>
                      <a:srgbClr val="767171"/>
                    </a:solidFill>
                    <a:effectLst/>
                  </a:rPr>
                  <a:t>Frequency</a:t>
                </a:r>
                <a:endParaRPr lang="en-AU" sz="1200" b="0">
                  <a:solidFill>
                    <a:srgbClr val="767171"/>
                  </a:solidFill>
                </a:endParaRPr>
              </a:p>
            </c:rich>
          </c:tx>
          <c:layout>
            <c:manualLayout>
              <c:xMode val="edge"/>
              <c:yMode val="edge"/>
              <c:x val="5.2326454421949692E-3"/>
              <c:y val="0.3579862542405976"/>
            </c:manualLayout>
          </c:layout>
          <c:overlay val="0"/>
        </c:title>
        <c:numFmt formatCode="General" sourceLinked="1"/>
        <c:majorTickMark val="none"/>
        <c:minorTickMark val="none"/>
        <c:tickLblPos val="nextTo"/>
        <c:crossAx val="44725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099245634001835E-2"/>
          <c:y val="0.15871632273208353"/>
          <c:w val="0.95047181766539091"/>
          <c:h val="0.41618282714779697"/>
        </c:manualLayout>
      </c:layout>
      <c:barChart>
        <c:barDir val="col"/>
        <c:grouping val="clustered"/>
        <c:varyColors val="0"/>
        <c:ser>
          <c:idx val="0"/>
          <c:order val="0"/>
          <c:tx>
            <c:strRef>
              <c:f>'Figures 5 + E2'!$Y$2</c:f>
              <c:strCache>
                <c:ptCount val="1"/>
                <c:pt idx="0">
                  <c:v>1. Unsatisfactory (weak)</c:v>
                </c:pt>
              </c:strCache>
            </c:strRef>
          </c:tx>
          <c:spPr>
            <a:solidFill>
              <a:srgbClr val="FF0000"/>
            </a:solidFill>
            <a:ln>
              <a:solidFill>
                <a:srgbClr val="FF0000"/>
              </a:solid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0"/>
                  <c:y val="1.3652050299932083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x-axis labels'!$A$20:$A$27</c:f>
              <c:strCache>
                <c:ptCount val="8"/>
                <c:pt idx="0">
                  <c:v>CORNERSTONE
QUESTION 2:
Does the APPR
narrative explain
and justify, in a
proportionate
way, the
progress ratings
against each
program objective?</c:v>
                </c:pt>
                <c:pt idx="1">
                  <c:v>Subquestion 2a.
Are objectives
sufficiently
framed at
the outset
as statements
that are
measurable?</c:v>
                </c:pt>
                <c:pt idx="2">
                  <c:v>Subquestion 2b.
Does the
narrative explain
and justify
progress ratings
against each
objective?</c:v>
                </c:pt>
                <c:pt idx="3">
                  <c:v>Subquestion 2c.
Where
appropriate,
is the
policy dialogue
engagement
with partners
clearly
explained?</c:v>
                </c:pt>
                <c:pt idx="4">
                  <c:v>Subquestion 2d.
Is there an
appropriately open,
balanced discussion
of the program’s
successes, failures
and challenges?</c:v>
                </c:pt>
                <c:pt idx="5">
                  <c:v>Subquestion 2e.
Has relevant
evidence been
drawn from
a range of
internal and
external sources
given the
program context?</c:v>
                </c:pt>
                <c:pt idx="6">
                  <c:v>Subquestion 2f.
Are the results
appropriately
contextualised
and the
contribution of
DFAT made
clear?</c:v>
                </c:pt>
                <c:pt idx="7">
                  <c:v>Subquestion 2g.
Are the
sources of
evidence
referenced
appropriately?</c:v>
                </c:pt>
              </c:strCache>
            </c:strRef>
          </c:cat>
          <c:val>
            <c:numRef>
              <c:f>'Figures 5 + E2'!$AE$2:$AL$2</c:f>
              <c:numCache>
                <c:formatCode>General</c:formatCode>
                <c:ptCount val="8"/>
                <c:pt idx="0">
                  <c:v>0</c:v>
                </c:pt>
                <c:pt idx="1">
                  <c:v>0</c:v>
                </c:pt>
                <c:pt idx="2">
                  <c:v>0</c:v>
                </c:pt>
                <c:pt idx="3">
                  <c:v>1</c:v>
                </c:pt>
                <c:pt idx="4">
                  <c:v>0</c:v>
                </c:pt>
                <c:pt idx="5">
                  <c:v>0</c:v>
                </c:pt>
                <c:pt idx="6">
                  <c:v>0</c:v>
                </c:pt>
                <c:pt idx="7">
                  <c:v>3</c:v>
                </c:pt>
              </c:numCache>
            </c:numRef>
          </c:val>
        </c:ser>
        <c:ser>
          <c:idx val="1"/>
          <c:order val="1"/>
          <c:tx>
            <c:strRef>
              <c:f>'Figures 5 + E2'!$Y$3</c:f>
              <c:strCache>
                <c:ptCount val="1"/>
                <c:pt idx="0">
                  <c:v>2. Unsatisfactory (below expectation)</c:v>
                </c:pt>
              </c:strCache>
            </c:strRef>
          </c:tx>
          <c:spPr>
            <a:solidFill>
              <a:srgbClr val="ED7D31"/>
            </a:solidFill>
            <a:ln>
              <a:solidFill>
                <a:srgbClr val="FF6600"/>
              </a:solidFill>
            </a:ln>
            <a:effectLst/>
          </c:spPr>
          <c:invertIfNegative val="0"/>
          <c:dLbls>
            <c:dLbl>
              <c:idx val="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x-axis labels'!$A$20:$A$27</c:f>
              <c:strCache>
                <c:ptCount val="8"/>
                <c:pt idx="0">
                  <c:v>CORNERSTONE
QUESTION 2:
Does the APPR
narrative explain
and justify, in a
proportionate
way, the
progress ratings
against each
program objective?</c:v>
                </c:pt>
                <c:pt idx="1">
                  <c:v>Subquestion 2a.
Are objectives
sufficiently
framed at
the outset
as statements
that are
measurable?</c:v>
                </c:pt>
                <c:pt idx="2">
                  <c:v>Subquestion 2b.
Does the
narrative explain
and justify
progress ratings
against each
objective?</c:v>
                </c:pt>
                <c:pt idx="3">
                  <c:v>Subquestion 2c.
Where
appropriate,
is the
policy dialogue
engagement
with partners
clearly
explained?</c:v>
                </c:pt>
                <c:pt idx="4">
                  <c:v>Subquestion 2d.
Is there an
appropriately open,
balanced discussion
of the program’s
successes, failures
and challenges?</c:v>
                </c:pt>
                <c:pt idx="5">
                  <c:v>Subquestion 2e.
Has relevant
evidence been
drawn from
a range of
internal and
external sources
given the
program context?</c:v>
                </c:pt>
                <c:pt idx="6">
                  <c:v>Subquestion 2f.
Are the results
appropriately
contextualised
and the
contribution of
DFAT made
clear?</c:v>
                </c:pt>
                <c:pt idx="7">
                  <c:v>Subquestion 2g.
Are the
sources of
evidence
referenced
appropriately?</c:v>
                </c:pt>
              </c:strCache>
            </c:strRef>
          </c:cat>
          <c:val>
            <c:numRef>
              <c:f>'Figures 5 + E2'!$AE$3:$AL$3</c:f>
              <c:numCache>
                <c:formatCode>General</c:formatCode>
                <c:ptCount val="8"/>
                <c:pt idx="0">
                  <c:v>0</c:v>
                </c:pt>
                <c:pt idx="1">
                  <c:v>8</c:v>
                </c:pt>
                <c:pt idx="2">
                  <c:v>2</c:v>
                </c:pt>
                <c:pt idx="3">
                  <c:v>5</c:v>
                </c:pt>
                <c:pt idx="4">
                  <c:v>2</c:v>
                </c:pt>
                <c:pt idx="5">
                  <c:v>3</c:v>
                </c:pt>
                <c:pt idx="6">
                  <c:v>3</c:v>
                </c:pt>
                <c:pt idx="7">
                  <c:v>3</c:v>
                </c:pt>
              </c:numCache>
            </c:numRef>
          </c:val>
        </c:ser>
        <c:ser>
          <c:idx val="2"/>
          <c:order val="2"/>
          <c:tx>
            <c:strRef>
              <c:f>'Figures 5 + E2'!$Y$4</c:f>
              <c:strCache>
                <c:ptCount val="1"/>
                <c:pt idx="0">
                  <c:v>3. Adequate</c:v>
                </c:pt>
              </c:strCache>
            </c:strRef>
          </c:tx>
          <c:spPr>
            <a:solidFill>
              <a:srgbClr val="FFCC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x-axis labels'!$A$20:$A$27</c:f>
              <c:strCache>
                <c:ptCount val="8"/>
                <c:pt idx="0">
                  <c:v>CORNERSTONE
QUESTION 2:
Does the APPR
narrative explain
and justify, in a
proportionate
way, the
progress ratings
against each
program objective?</c:v>
                </c:pt>
                <c:pt idx="1">
                  <c:v>Subquestion 2a.
Are objectives
sufficiently
framed at
the outset
as statements
that are
measurable?</c:v>
                </c:pt>
                <c:pt idx="2">
                  <c:v>Subquestion 2b.
Does the
narrative explain
and justify
progress ratings
against each
objective?</c:v>
                </c:pt>
                <c:pt idx="3">
                  <c:v>Subquestion 2c.
Where
appropriate,
is the
policy dialogue
engagement
with partners
clearly
explained?</c:v>
                </c:pt>
                <c:pt idx="4">
                  <c:v>Subquestion 2d.
Is there an
appropriately open,
balanced discussion
of the program’s
successes, failures
and challenges?</c:v>
                </c:pt>
                <c:pt idx="5">
                  <c:v>Subquestion 2e.
Has relevant
evidence been
drawn from
a range of
internal and
external sources
given the
program context?</c:v>
                </c:pt>
                <c:pt idx="6">
                  <c:v>Subquestion 2f.
Are the results
appropriately
contextualised
and the
contribution of
DFAT made
clear?</c:v>
                </c:pt>
                <c:pt idx="7">
                  <c:v>Subquestion 2g.
Are the
sources of
evidence
referenced
appropriately?</c:v>
                </c:pt>
              </c:strCache>
            </c:strRef>
          </c:cat>
          <c:val>
            <c:numRef>
              <c:f>'Figures 5 + E2'!$AE$4:$AL$4</c:f>
              <c:numCache>
                <c:formatCode>General</c:formatCode>
                <c:ptCount val="8"/>
                <c:pt idx="0">
                  <c:v>12</c:v>
                </c:pt>
                <c:pt idx="1">
                  <c:v>11</c:v>
                </c:pt>
                <c:pt idx="2">
                  <c:v>9</c:v>
                </c:pt>
                <c:pt idx="3">
                  <c:v>10</c:v>
                </c:pt>
                <c:pt idx="4">
                  <c:v>9</c:v>
                </c:pt>
                <c:pt idx="5">
                  <c:v>14</c:v>
                </c:pt>
                <c:pt idx="6">
                  <c:v>9</c:v>
                </c:pt>
                <c:pt idx="7">
                  <c:v>14</c:v>
                </c:pt>
              </c:numCache>
            </c:numRef>
          </c:val>
        </c:ser>
        <c:ser>
          <c:idx val="3"/>
          <c:order val="3"/>
          <c:tx>
            <c:strRef>
              <c:f>'Figures 5 + E2'!$Y$5</c:f>
              <c:strCache>
                <c:ptCount val="1"/>
                <c:pt idx="0">
                  <c:v>4. Good</c:v>
                </c:pt>
              </c:strCache>
            </c:strRef>
          </c:tx>
          <c:spPr>
            <a:solidFill>
              <a:srgbClr val="99CC00"/>
            </a:solidFill>
            <a:ln>
              <a:solidFill>
                <a:srgbClr val="99CC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x-axis labels'!$A$20:$A$27</c:f>
              <c:strCache>
                <c:ptCount val="8"/>
                <c:pt idx="0">
                  <c:v>CORNERSTONE
QUESTION 2:
Does the APPR
narrative explain
and justify, in a
proportionate
way, the
progress ratings
against each
program objective?</c:v>
                </c:pt>
                <c:pt idx="1">
                  <c:v>Subquestion 2a.
Are objectives
sufficiently
framed at
the outset
as statements
that are
measurable?</c:v>
                </c:pt>
                <c:pt idx="2">
                  <c:v>Subquestion 2b.
Does the
narrative explain
and justify
progress ratings
against each
objective?</c:v>
                </c:pt>
                <c:pt idx="3">
                  <c:v>Subquestion 2c.
Where
appropriate,
is the
policy dialogue
engagement
with partners
clearly
explained?</c:v>
                </c:pt>
                <c:pt idx="4">
                  <c:v>Subquestion 2d.
Is there an
appropriately open,
balanced discussion
of the program’s
successes, failures
and challenges?</c:v>
                </c:pt>
                <c:pt idx="5">
                  <c:v>Subquestion 2e.
Has relevant
evidence been
drawn from
a range of
internal and
external sources
given the
program context?</c:v>
                </c:pt>
                <c:pt idx="6">
                  <c:v>Subquestion 2f.
Are the results
appropriately
contextualised
and the
contribution of
DFAT made
clear?</c:v>
                </c:pt>
                <c:pt idx="7">
                  <c:v>Subquestion 2g.
Are the
sources of
evidence
referenced
appropriately?</c:v>
                </c:pt>
              </c:strCache>
            </c:strRef>
          </c:cat>
          <c:val>
            <c:numRef>
              <c:f>'Figures 5 + E2'!$AE$5:$AL$5</c:f>
              <c:numCache>
                <c:formatCode>General</c:formatCode>
                <c:ptCount val="8"/>
                <c:pt idx="0">
                  <c:v>14</c:v>
                </c:pt>
                <c:pt idx="1">
                  <c:v>5</c:v>
                </c:pt>
                <c:pt idx="2">
                  <c:v>15</c:v>
                </c:pt>
                <c:pt idx="3">
                  <c:v>9</c:v>
                </c:pt>
                <c:pt idx="4">
                  <c:v>11</c:v>
                </c:pt>
                <c:pt idx="5">
                  <c:v>8</c:v>
                </c:pt>
                <c:pt idx="6">
                  <c:v>13</c:v>
                </c:pt>
                <c:pt idx="7">
                  <c:v>6</c:v>
                </c:pt>
              </c:numCache>
            </c:numRef>
          </c:val>
        </c:ser>
        <c:ser>
          <c:idx val="4"/>
          <c:order val="4"/>
          <c:tx>
            <c:strRef>
              <c:f>'Figures 5 + E2'!$Y$6</c:f>
              <c:strCache>
                <c:ptCount val="1"/>
                <c:pt idx="0">
                  <c:v>5. Best practice</c:v>
                </c:pt>
              </c:strCache>
            </c:strRef>
          </c:tx>
          <c:spPr>
            <a:solidFill>
              <a:srgbClr val="008000"/>
            </a:solidFill>
            <a:ln>
              <a:solidFill>
                <a:srgbClr val="00B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x-axis labels'!$A$20:$A$27</c:f>
              <c:strCache>
                <c:ptCount val="8"/>
                <c:pt idx="0">
                  <c:v>CORNERSTONE
QUESTION 2:
Does the APPR
narrative explain
and justify, in a
proportionate
way, the
progress ratings
against each
program objective?</c:v>
                </c:pt>
                <c:pt idx="1">
                  <c:v>Subquestion 2a.
Are objectives
sufficiently
framed at
the outset
as statements
that are
measurable?</c:v>
                </c:pt>
                <c:pt idx="2">
                  <c:v>Subquestion 2b.
Does the
narrative explain
and justify
progress ratings
against each
objective?</c:v>
                </c:pt>
                <c:pt idx="3">
                  <c:v>Subquestion 2c.
Where
appropriate,
is the
policy dialogue
engagement
with partners
clearly
explained?</c:v>
                </c:pt>
                <c:pt idx="4">
                  <c:v>Subquestion 2d.
Is there an
appropriately open,
balanced discussion
of the program’s
successes, failures
and challenges?</c:v>
                </c:pt>
                <c:pt idx="5">
                  <c:v>Subquestion 2e.
Has relevant
evidence been
drawn from
a range of
internal and
external sources
given the
program context?</c:v>
                </c:pt>
                <c:pt idx="6">
                  <c:v>Subquestion 2f.
Are the results
appropriately
contextualised
and the
contribution of
DFAT made
clear?</c:v>
                </c:pt>
                <c:pt idx="7">
                  <c:v>Subquestion 2g.
Are the
sources of
evidence
referenced
appropriately?</c:v>
                </c:pt>
              </c:strCache>
            </c:strRef>
          </c:cat>
          <c:val>
            <c:numRef>
              <c:f>'Figures 5 + E2'!$AE$6:$AL$6</c:f>
              <c:numCache>
                <c:formatCode>General</c:formatCode>
                <c:ptCount val="8"/>
                <c:pt idx="0">
                  <c:v>2</c:v>
                </c:pt>
                <c:pt idx="1">
                  <c:v>4</c:v>
                </c:pt>
                <c:pt idx="2">
                  <c:v>2</c:v>
                </c:pt>
                <c:pt idx="3">
                  <c:v>3</c:v>
                </c:pt>
                <c:pt idx="4">
                  <c:v>6</c:v>
                </c:pt>
                <c:pt idx="5">
                  <c:v>3</c:v>
                </c:pt>
                <c:pt idx="6">
                  <c:v>3</c:v>
                </c:pt>
                <c:pt idx="7">
                  <c:v>2</c:v>
                </c:pt>
              </c:numCache>
            </c:numRef>
          </c:val>
        </c:ser>
        <c:dLbls>
          <c:dLblPos val="inBase"/>
          <c:showLegendKey val="0"/>
          <c:showVal val="1"/>
          <c:showCatName val="0"/>
          <c:showSerName val="0"/>
          <c:showPercent val="0"/>
          <c:showBubbleSize val="0"/>
        </c:dLbls>
        <c:gapWidth val="100"/>
        <c:axId val="45945600"/>
        <c:axId val="45947136"/>
      </c:barChart>
      <c:catAx>
        <c:axId val="4594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47136"/>
        <c:crosses val="autoZero"/>
        <c:auto val="1"/>
        <c:lblAlgn val="ctr"/>
        <c:lblOffset val="100"/>
        <c:noMultiLvlLbl val="0"/>
      </c:catAx>
      <c:valAx>
        <c:axId val="45947136"/>
        <c:scaling>
          <c:orientation val="minMax"/>
          <c:max val="16"/>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5945600"/>
        <c:crosses val="autoZero"/>
        <c:crossBetween val="between"/>
      </c:valAx>
      <c:spPr>
        <a:noFill/>
        <a:ln>
          <a:noFill/>
        </a:ln>
        <a:effectLst/>
      </c:spPr>
    </c:plotArea>
    <c:legend>
      <c:legendPos val="t"/>
      <c:layout>
        <c:manualLayout>
          <c:xMode val="edge"/>
          <c:yMode val="edge"/>
          <c:x val="9.6524870972672788E-2"/>
          <c:y val="7.1146233988012508E-2"/>
          <c:w val="0.80695012707241731"/>
          <c:h val="5.002504590192556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394710083808871E-2"/>
          <c:y val="0.21639347700147582"/>
          <c:w val="0.90863813418219885"/>
          <c:h val="0.56861405085451266"/>
        </c:manualLayout>
      </c:layout>
      <c:barChart>
        <c:barDir val="col"/>
        <c:grouping val="clustered"/>
        <c:varyColors val="0"/>
        <c:ser>
          <c:idx val="0"/>
          <c:order val="0"/>
          <c:tx>
            <c:strRef>
              <c:f>'Figure 6 + E3'!$Y$2</c:f>
              <c:strCache>
                <c:ptCount val="1"/>
                <c:pt idx="0">
                  <c:v>1. Unsatisfactory (weak)</c:v>
                </c:pt>
              </c:strCache>
            </c:strRef>
          </c:tx>
          <c:spPr>
            <a:solidFill>
              <a:srgbClr val="FF0000"/>
            </a:solidFill>
            <a:ln>
              <a:solidFill>
                <a:srgbClr val="FF0000"/>
              </a:solid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labels'!$A$30:$A$34</c:f>
              <c:strCache>
                <c:ptCount val="5"/>
                <c:pt idx="0">
                  <c:v>CORNERSTONE QUESTION 3:
Does the APPR provide a proportionate, balanced discussion of the contribution of partner governments and delivery partners?</c:v>
                </c:pt>
                <c:pt idx="1">
                  <c:v>Subquestion 3a.
For partner governments?</c:v>
                </c:pt>
                <c:pt idx="2">
                  <c:v>Subquestion 3b.
For whole-of-government partners?</c:v>
                </c:pt>
                <c:pt idx="3">
                  <c:v>Subquestion 3c.
For international partners?</c:v>
                </c:pt>
                <c:pt idx="4">
                  <c:v>Subquestion 3d.
For civil society and private sector organisations?</c:v>
                </c:pt>
              </c:strCache>
            </c:strRef>
          </c:cat>
          <c:val>
            <c:numRef>
              <c:f>('Figure 6 + E3'!$AM$2:$AN$2,'Figure 6 + E3'!$AO$2:$AQ$2)</c:f>
              <c:numCache>
                <c:formatCode>General</c:formatCode>
                <c:ptCount val="5"/>
                <c:pt idx="0">
                  <c:v>0</c:v>
                </c:pt>
                <c:pt idx="1">
                  <c:v>0</c:v>
                </c:pt>
                <c:pt idx="2">
                  <c:v>0</c:v>
                </c:pt>
                <c:pt idx="3">
                  <c:v>0</c:v>
                </c:pt>
                <c:pt idx="4">
                  <c:v>3</c:v>
                </c:pt>
              </c:numCache>
            </c:numRef>
          </c:val>
        </c:ser>
        <c:ser>
          <c:idx val="1"/>
          <c:order val="1"/>
          <c:tx>
            <c:strRef>
              <c:f>'Figure 6 + E3'!$Y$3</c:f>
              <c:strCache>
                <c:ptCount val="1"/>
                <c:pt idx="0">
                  <c:v>2. Unsatisfactory (below expectation)</c:v>
                </c:pt>
              </c:strCache>
            </c:strRef>
          </c:tx>
          <c:spPr>
            <a:solidFill>
              <a:srgbClr val="ED7D31"/>
            </a:solidFill>
            <a:ln>
              <a:noFill/>
            </a:ln>
            <a:effectLst/>
          </c:spPr>
          <c:invertIfNegative val="0"/>
          <c:dLbls>
            <c:dLbl>
              <c:idx val="1"/>
              <c:layout>
                <c:manualLayout>
                  <c:x val="-1.7031377295296279E-3"/>
                  <c:y val="1.3198681344043816E-2"/>
                </c:manualLayout>
              </c:layout>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labels'!$A$30:$A$34</c:f>
              <c:strCache>
                <c:ptCount val="5"/>
                <c:pt idx="0">
                  <c:v>CORNERSTONE QUESTION 3:
Does the APPR provide a proportionate, balanced discussion of the contribution of partner governments and delivery partners?</c:v>
                </c:pt>
                <c:pt idx="1">
                  <c:v>Subquestion 3a.
For partner governments?</c:v>
                </c:pt>
                <c:pt idx="2">
                  <c:v>Subquestion 3b.
For whole-of-government partners?</c:v>
                </c:pt>
                <c:pt idx="3">
                  <c:v>Subquestion 3c.
For international partners?</c:v>
                </c:pt>
                <c:pt idx="4">
                  <c:v>Subquestion 3d.
For civil society and private sector organisations?</c:v>
                </c:pt>
              </c:strCache>
            </c:strRef>
          </c:cat>
          <c:val>
            <c:numRef>
              <c:f>('Figure 6 + E3'!$AM$3:$AN$3,'Figure 6 + E3'!$AO$3:$AQ$3)</c:f>
              <c:numCache>
                <c:formatCode>General</c:formatCode>
                <c:ptCount val="5"/>
                <c:pt idx="0">
                  <c:v>2</c:v>
                </c:pt>
                <c:pt idx="1">
                  <c:v>1</c:v>
                </c:pt>
                <c:pt idx="2">
                  <c:v>5</c:v>
                </c:pt>
                <c:pt idx="3">
                  <c:v>3</c:v>
                </c:pt>
                <c:pt idx="4">
                  <c:v>3</c:v>
                </c:pt>
              </c:numCache>
            </c:numRef>
          </c:val>
        </c:ser>
        <c:ser>
          <c:idx val="2"/>
          <c:order val="2"/>
          <c:tx>
            <c:strRef>
              <c:f>'Figure 6 + E3'!$Y$4</c:f>
              <c:strCache>
                <c:ptCount val="1"/>
                <c:pt idx="0">
                  <c:v>3. Adequate</c:v>
                </c:pt>
              </c:strCache>
            </c:strRef>
          </c:tx>
          <c:spPr>
            <a:solidFill>
              <a:srgbClr val="FFCC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labels'!$A$30:$A$34</c:f>
              <c:strCache>
                <c:ptCount val="5"/>
                <c:pt idx="0">
                  <c:v>CORNERSTONE QUESTION 3:
Does the APPR provide a proportionate, balanced discussion of the contribution of partner governments and delivery partners?</c:v>
                </c:pt>
                <c:pt idx="1">
                  <c:v>Subquestion 3a.
For partner governments?</c:v>
                </c:pt>
                <c:pt idx="2">
                  <c:v>Subquestion 3b.
For whole-of-government partners?</c:v>
                </c:pt>
                <c:pt idx="3">
                  <c:v>Subquestion 3c.
For international partners?</c:v>
                </c:pt>
                <c:pt idx="4">
                  <c:v>Subquestion 3d.
For civil society and private sector organisations?</c:v>
                </c:pt>
              </c:strCache>
            </c:strRef>
          </c:cat>
          <c:val>
            <c:numRef>
              <c:f>('Figure 6 + E3'!$AM$4:$AN$4,'Figure 6 + E3'!$AO$4:$AQ$4)</c:f>
              <c:numCache>
                <c:formatCode>General</c:formatCode>
                <c:ptCount val="5"/>
                <c:pt idx="0">
                  <c:v>11</c:v>
                </c:pt>
                <c:pt idx="1">
                  <c:v>9</c:v>
                </c:pt>
                <c:pt idx="2">
                  <c:v>10</c:v>
                </c:pt>
                <c:pt idx="3">
                  <c:v>8</c:v>
                </c:pt>
                <c:pt idx="4">
                  <c:v>16</c:v>
                </c:pt>
              </c:numCache>
            </c:numRef>
          </c:val>
        </c:ser>
        <c:ser>
          <c:idx val="3"/>
          <c:order val="3"/>
          <c:tx>
            <c:strRef>
              <c:f>'Figure 6 + E3'!$Y$5</c:f>
              <c:strCache>
                <c:ptCount val="1"/>
                <c:pt idx="0">
                  <c:v>4. Good</c:v>
                </c:pt>
              </c:strCache>
            </c:strRef>
          </c:tx>
          <c:spPr>
            <a:solidFill>
              <a:srgbClr val="99CC00"/>
            </a:solidFill>
            <a:ln>
              <a:solidFill>
                <a:srgbClr val="99CC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labels'!$A$30:$A$34</c:f>
              <c:strCache>
                <c:ptCount val="5"/>
                <c:pt idx="0">
                  <c:v>CORNERSTONE QUESTION 3:
Does the APPR provide a proportionate, balanced discussion of the contribution of partner governments and delivery partners?</c:v>
                </c:pt>
                <c:pt idx="1">
                  <c:v>Subquestion 3a.
For partner governments?</c:v>
                </c:pt>
                <c:pt idx="2">
                  <c:v>Subquestion 3b.
For whole-of-government partners?</c:v>
                </c:pt>
                <c:pt idx="3">
                  <c:v>Subquestion 3c.
For international partners?</c:v>
                </c:pt>
                <c:pt idx="4">
                  <c:v>Subquestion 3d.
For civil society and private sector organisations?</c:v>
                </c:pt>
              </c:strCache>
            </c:strRef>
          </c:cat>
          <c:val>
            <c:numRef>
              <c:f>('Figure 6 + E3'!$AM$5:$AN$5,'Figure 6 + E3'!$AO$5:$AQ$5)</c:f>
              <c:numCache>
                <c:formatCode>General</c:formatCode>
                <c:ptCount val="5"/>
                <c:pt idx="0">
                  <c:v>14</c:v>
                </c:pt>
                <c:pt idx="1">
                  <c:v>11</c:v>
                </c:pt>
                <c:pt idx="2">
                  <c:v>4</c:v>
                </c:pt>
                <c:pt idx="3">
                  <c:v>12</c:v>
                </c:pt>
                <c:pt idx="4">
                  <c:v>3</c:v>
                </c:pt>
              </c:numCache>
            </c:numRef>
          </c:val>
        </c:ser>
        <c:ser>
          <c:idx val="4"/>
          <c:order val="4"/>
          <c:tx>
            <c:strRef>
              <c:f>'Figure 6 + E3'!$Y$6</c:f>
              <c:strCache>
                <c:ptCount val="1"/>
                <c:pt idx="0">
                  <c:v>5. Best practice</c:v>
                </c:pt>
              </c:strCache>
            </c:strRef>
          </c:tx>
          <c:spPr>
            <a:solidFill>
              <a:srgbClr val="008000"/>
            </a:solidFill>
            <a:ln>
              <a:solidFill>
                <a:srgbClr val="00B050"/>
              </a:solidFill>
            </a:ln>
            <a:effectLst/>
          </c:spPr>
          <c:invertIfNegative val="0"/>
          <c:dLbls>
            <c:dLbl>
              <c:idx val="0"/>
              <c:layout>
                <c:manualLayout>
                  <c:x val="0"/>
                  <c:y val="1.3198681344043816E-2"/>
                </c:manualLayout>
              </c:layout>
              <c:dLblPos val="outEnd"/>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dLbl>
            <c:dLbl>
              <c:idx val="2"/>
              <c:delete val="1"/>
              <c:extLst>
                <c:ext xmlns:c15="http://schemas.microsoft.com/office/drawing/2012/chart" uri="{CE6537A1-D6FC-4f65-9D91-7224C49458BB}"/>
              </c:extLst>
            </c:dLbl>
            <c:dLbl>
              <c:idx val="3"/>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dLbl>
            <c:dLbl>
              <c:idx val="4"/>
              <c:layout>
                <c:manualLayout>
                  <c:x val="-1.2489532403073407E-16"/>
                  <c:y val="1.6277614025968737E-2"/>
                </c:manualLayout>
              </c:layout>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labels'!$A$30:$A$34</c:f>
              <c:strCache>
                <c:ptCount val="5"/>
                <c:pt idx="0">
                  <c:v>CORNERSTONE QUESTION 3:
Does the APPR provide a proportionate, balanced discussion of the contribution of partner governments and delivery partners?</c:v>
                </c:pt>
                <c:pt idx="1">
                  <c:v>Subquestion 3a.
For partner governments?</c:v>
                </c:pt>
                <c:pt idx="2">
                  <c:v>Subquestion 3b.
For whole-of-government partners?</c:v>
                </c:pt>
                <c:pt idx="3">
                  <c:v>Subquestion 3c.
For international partners?</c:v>
                </c:pt>
                <c:pt idx="4">
                  <c:v>Subquestion 3d.
For civil society and private sector organisations?</c:v>
                </c:pt>
              </c:strCache>
            </c:strRef>
          </c:cat>
          <c:val>
            <c:numRef>
              <c:f>('Figure 6 + E3'!$AM$6:$AN$6,'Figure 6 + E3'!$AO$6:$AQ$6)</c:f>
              <c:numCache>
                <c:formatCode>General</c:formatCode>
                <c:ptCount val="5"/>
                <c:pt idx="0">
                  <c:v>1</c:v>
                </c:pt>
                <c:pt idx="1">
                  <c:v>6</c:v>
                </c:pt>
                <c:pt idx="2">
                  <c:v>0</c:v>
                </c:pt>
                <c:pt idx="3">
                  <c:v>3</c:v>
                </c:pt>
                <c:pt idx="4">
                  <c:v>1</c:v>
                </c:pt>
              </c:numCache>
            </c:numRef>
          </c:val>
        </c:ser>
        <c:dLbls>
          <c:dLblPos val="inBase"/>
          <c:showLegendKey val="0"/>
          <c:showVal val="1"/>
          <c:showCatName val="0"/>
          <c:showSerName val="0"/>
          <c:showPercent val="0"/>
          <c:showBubbleSize val="0"/>
        </c:dLbls>
        <c:gapWidth val="100"/>
        <c:axId val="46031616"/>
        <c:axId val="46033152"/>
      </c:barChart>
      <c:catAx>
        <c:axId val="4603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33152"/>
        <c:crosses val="autoZero"/>
        <c:auto val="1"/>
        <c:lblAlgn val="ctr"/>
        <c:lblOffset val="100"/>
        <c:noMultiLvlLbl val="0"/>
      </c:catAx>
      <c:valAx>
        <c:axId val="46033152"/>
        <c:scaling>
          <c:orientation val="minMax"/>
          <c:max val="16"/>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6031616"/>
        <c:crosses val="autoZero"/>
        <c:crossBetween val="between"/>
        <c:majorUnit val="2"/>
      </c:valAx>
      <c:spPr>
        <a:noFill/>
        <a:ln>
          <a:noFill/>
        </a:ln>
        <a:effectLst/>
      </c:spPr>
    </c:plotArea>
    <c:legend>
      <c:legendPos val="t"/>
      <c:layout>
        <c:manualLayout>
          <c:xMode val="edge"/>
          <c:yMode val="edge"/>
          <c:x val="7.4094319035472075E-2"/>
          <c:y val="0.11466504056683839"/>
          <c:w val="0.81165519554656518"/>
          <c:h val="4.961502827385706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8526140751953424E-2"/>
          <c:y val="0.14351039021744902"/>
          <c:w val="0.95626085770619851"/>
          <c:h val="0.50765032106570107"/>
        </c:manualLayout>
      </c:layout>
      <c:barChart>
        <c:barDir val="col"/>
        <c:grouping val="clustered"/>
        <c:varyColors val="0"/>
        <c:ser>
          <c:idx val="0"/>
          <c:order val="0"/>
          <c:tx>
            <c:strRef>
              <c:f>'Figure 7 + E4'!$Y$2</c:f>
              <c:strCache>
                <c:ptCount val="1"/>
                <c:pt idx="0">
                  <c:v>1. Unsatisfactory (weak)</c:v>
                </c:pt>
              </c:strCache>
            </c:strRef>
          </c:tx>
          <c:spPr>
            <a:solidFill>
              <a:srgbClr val="FF0000"/>
            </a:solidFill>
            <a:ln>
              <a:solidFill>
                <a:srgbClr val="FF0000"/>
              </a:solid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0"/>
                  <c:y val="1.658221776934788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labels'!$A$37:$A$40</c:f>
              <c:strCache>
                <c:ptCount val="4"/>
                <c:pt idx="0">
                  <c:v>CORNERSTONE QUESTION 4:
Are the management consequences
clearly linked to the ratings narratives
and the identified risks
to future progress?</c:v>
                </c:pt>
                <c:pt idx="1">
                  <c:v>Subquestion 4a.
Is there a logical connection
between management
consequences and
risks to future progress?</c:v>
                </c:pt>
                <c:pt idx="2">
                  <c:v>Subquestion 4b.
Are the specific
management consequences
relevant to program
strategy and
management, actionable
within the reporting period
and prioritised?</c:v>
                </c:pt>
                <c:pt idx="3">
                  <c:v>Subquestion 4c.
Are lessons from implementing
the previous year's
management consequences
noted and acted
upon this year?</c:v>
                </c:pt>
              </c:strCache>
            </c:strRef>
          </c:cat>
          <c:val>
            <c:numRef>
              <c:f>'Figure 7 + E4'!$AR$2:$AU$2</c:f>
              <c:numCache>
                <c:formatCode>General</c:formatCode>
                <c:ptCount val="4"/>
                <c:pt idx="0">
                  <c:v>0</c:v>
                </c:pt>
                <c:pt idx="1">
                  <c:v>0</c:v>
                </c:pt>
                <c:pt idx="2">
                  <c:v>0</c:v>
                </c:pt>
                <c:pt idx="3">
                  <c:v>1</c:v>
                </c:pt>
              </c:numCache>
            </c:numRef>
          </c:val>
        </c:ser>
        <c:ser>
          <c:idx val="1"/>
          <c:order val="1"/>
          <c:tx>
            <c:strRef>
              <c:f>'Figure 7 + E4'!$Y$3</c:f>
              <c:strCache>
                <c:ptCount val="1"/>
                <c:pt idx="0">
                  <c:v>2. Unsatisfactory (below expectation)</c:v>
                </c:pt>
              </c:strCache>
            </c:strRef>
          </c:tx>
          <c:spPr>
            <a:solidFill>
              <a:srgbClr val="ED7D31"/>
            </a:solidFill>
            <a:ln>
              <a:noFill/>
            </a:ln>
            <a:effectLst/>
          </c:spPr>
          <c:invertIfNegative val="0"/>
          <c:dLbls>
            <c:dLbl>
              <c:idx val="0"/>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labels'!$A$37:$A$40</c:f>
              <c:strCache>
                <c:ptCount val="4"/>
                <c:pt idx="0">
                  <c:v>CORNERSTONE QUESTION 4:
Are the management consequences
clearly linked to the ratings narratives
and the identified risks
to future progress?</c:v>
                </c:pt>
                <c:pt idx="1">
                  <c:v>Subquestion 4a.
Is there a logical connection
between management
consequences and
risks to future progress?</c:v>
                </c:pt>
                <c:pt idx="2">
                  <c:v>Subquestion 4b.
Are the specific
management consequences
relevant to program
strategy and
management, actionable
within the reporting period
and prioritised?</c:v>
                </c:pt>
                <c:pt idx="3">
                  <c:v>Subquestion 4c.
Are lessons from implementing
the previous year's
management consequences
noted and acted
upon this year?</c:v>
                </c:pt>
              </c:strCache>
            </c:strRef>
          </c:cat>
          <c:val>
            <c:numRef>
              <c:f>'Figure 7 + E4'!$AR$3:$AU$3</c:f>
              <c:numCache>
                <c:formatCode>General</c:formatCode>
                <c:ptCount val="4"/>
                <c:pt idx="0">
                  <c:v>0</c:v>
                </c:pt>
                <c:pt idx="1">
                  <c:v>3</c:v>
                </c:pt>
                <c:pt idx="2">
                  <c:v>0</c:v>
                </c:pt>
                <c:pt idx="3">
                  <c:v>3</c:v>
                </c:pt>
              </c:numCache>
            </c:numRef>
          </c:val>
        </c:ser>
        <c:ser>
          <c:idx val="2"/>
          <c:order val="2"/>
          <c:tx>
            <c:strRef>
              <c:f>'Figure 7 + E4'!$Y$4</c:f>
              <c:strCache>
                <c:ptCount val="1"/>
                <c:pt idx="0">
                  <c:v>3. Adequate</c:v>
                </c:pt>
              </c:strCache>
            </c:strRef>
          </c:tx>
          <c:spPr>
            <a:solidFill>
              <a:srgbClr val="FFCC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labels'!$A$37:$A$40</c:f>
              <c:strCache>
                <c:ptCount val="4"/>
                <c:pt idx="0">
                  <c:v>CORNERSTONE QUESTION 4:
Are the management consequences
clearly linked to the ratings narratives
and the identified risks
to future progress?</c:v>
                </c:pt>
                <c:pt idx="1">
                  <c:v>Subquestion 4a.
Is there a logical connection
between management
consequences and
risks to future progress?</c:v>
                </c:pt>
                <c:pt idx="2">
                  <c:v>Subquestion 4b.
Are the specific
management consequences
relevant to program
strategy and
management, actionable
within the reporting period
and prioritised?</c:v>
                </c:pt>
                <c:pt idx="3">
                  <c:v>Subquestion 4c.
Are lessons from implementing
the previous year's
management consequences
noted and acted
upon this year?</c:v>
                </c:pt>
              </c:strCache>
            </c:strRef>
          </c:cat>
          <c:val>
            <c:numRef>
              <c:f>'Figure 7 + E4'!$AR$4:$AU$4</c:f>
              <c:numCache>
                <c:formatCode>General</c:formatCode>
                <c:ptCount val="4"/>
                <c:pt idx="0">
                  <c:v>11</c:v>
                </c:pt>
                <c:pt idx="1">
                  <c:v>18</c:v>
                </c:pt>
                <c:pt idx="2">
                  <c:v>10</c:v>
                </c:pt>
                <c:pt idx="3">
                  <c:v>16</c:v>
                </c:pt>
              </c:numCache>
            </c:numRef>
          </c:val>
        </c:ser>
        <c:ser>
          <c:idx val="3"/>
          <c:order val="3"/>
          <c:tx>
            <c:strRef>
              <c:f>'Figure 7 + E4'!$Y$5</c:f>
              <c:strCache>
                <c:ptCount val="1"/>
                <c:pt idx="0">
                  <c:v>4. Good</c:v>
                </c:pt>
              </c:strCache>
            </c:strRef>
          </c:tx>
          <c:spPr>
            <a:solidFill>
              <a:srgbClr val="99CC00"/>
            </a:solidFill>
            <a:ln>
              <a:solidFill>
                <a:srgbClr val="99CC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labels'!$A$37:$A$40</c:f>
              <c:strCache>
                <c:ptCount val="4"/>
                <c:pt idx="0">
                  <c:v>CORNERSTONE QUESTION 4:
Are the management consequences
clearly linked to the ratings narratives
and the identified risks
to future progress?</c:v>
                </c:pt>
                <c:pt idx="1">
                  <c:v>Subquestion 4a.
Is there a logical connection
between management
consequences and
risks to future progress?</c:v>
                </c:pt>
                <c:pt idx="2">
                  <c:v>Subquestion 4b.
Are the specific
management consequences
relevant to program
strategy and
management, actionable
within the reporting period
and prioritised?</c:v>
                </c:pt>
                <c:pt idx="3">
                  <c:v>Subquestion 4c.
Are lessons from implementing
the previous year's
management consequences
noted and acted
upon this year?</c:v>
                </c:pt>
              </c:strCache>
            </c:strRef>
          </c:cat>
          <c:val>
            <c:numRef>
              <c:f>'Figure 7 + E4'!$AR$5:$AU$5</c:f>
              <c:numCache>
                <c:formatCode>General</c:formatCode>
                <c:ptCount val="4"/>
                <c:pt idx="0">
                  <c:v>16</c:v>
                </c:pt>
                <c:pt idx="1">
                  <c:v>7</c:v>
                </c:pt>
                <c:pt idx="2">
                  <c:v>17</c:v>
                </c:pt>
                <c:pt idx="3">
                  <c:v>8</c:v>
                </c:pt>
              </c:numCache>
            </c:numRef>
          </c:val>
        </c:ser>
        <c:ser>
          <c:idx val="4"/>
          <c:order val="4"/>
          <c:tx>
            <c:strRef>
              <c:f>'Figure 7 + E4'!$Y$6</c:f>
              <c:strCache>
                <c:ptCount val="1"/>
                <c:pt idx="0">
                  <c:v>5. Best practice</c:v>
                </c:pt>
              </c:strCache>
            </c:strRef>
          </c:tx>
          <c:spPr>
            <a:solidFill>
              <a:srgbClr val="008000"/>
            </a:solidFill>
            <a:ln>
              <a:solidFill>
                <a:srgbClr val="00B050"/>
              </a:solidFill>
            </a:ln>
            <a:effectLst/>
          </c:spPr>
          <c:invertIfNegative val="0"/>
          <c:dLbls>
            <c:dLbl>
              <c:idx val="0"/>
              <c:layout>
                <c:manualLayout>
                  <c:x val="0"/>
                  <c:y val="1.658221776934788E-2"/>
                </c:manualLayout>
              </c:layout>
              <c:showLegendKey val="0"/>
              <c:showVal val="1"/>
              <c:showCatName val="0"/>
              <c:showSerName val="0"/>
              <c:showPercent val="0"/>
              <c:showBubbleSize val="0"/>
            </c:dLbl>
            <c:dLbl>
              <c:idx val="1"/>
              <c:delete val="1"/>
              <c:extLst>
                <c:ext xmlns:c15="http://schemas.microsoft.com/office/drawing/2012/chart" uri="{CE6537A1-D6FC-4f65-9D91-7224C49458BB}"/>
              </c:extLst>
            </c:dLbl>
            <c:dLbl>
              <c:idx val="2"/>
              <c:layout>
                <c:manualLayout>
                  <c:x val="0"/>
                  <c:y val="1.658221776934788E-2"/>
                </c:manualLayout>
              </c:layout>
              <c:showLegendKey val="0"/>
              <c:showVal val="1"/>
              <c:showCatName val="0"/>
              <c:showSerName val="0"/>
              <c:showPercent val="0"/>
              <c:showBubbleSize val="0"/>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labels'!$A$37:$A$40</c:f>
              <c:strCache>
                <c:ptCount val="4"/>
                <c:pt idx="0">
                  <c:v>CORNERSTONE QUESTION 4:
Are the management consequences
clearly linked to the ratings narratives
and the identified risks
to future progress?</c:v>
                </c:pt>
                <c:pt idx="1">
                  <c:v>Subquestion 4a.
Is there a logical connection
between management
consequences and
risks to future progress?</c:v>
                </c:pt>
                <c:pt idx="2">
                  <c:v>Subquestion 4b.
Are the specific
management consequences
relevant to program
strategy and
management, actionable
within the reporting period
and prioritised?</c:v>
                </c:pt>
                <c:pt idx="3">
                  <c:v>Subquestion 4c.
Are lessons from implementing
the previous year's
management consequences
noted and acted
upon this year?</c:v>
                </c:pt>
              </c:strCache>
            </c:strRef>
          </c:cat>
          <c:val>
            <c:numRef>
              <c:f>'Figure 7 + E4'!$AR$6:$AU$6</c:f>
              <c:numCache>
                <c:formatCode>General</c:formatCode>
                <c:ptCount val="4"/>
                <c:pt idx="0">
                  <c:v>1</c:v>
                </c:pt>
                <c:pt idx="1">
                  <c:v>0</c:v>
                </c:pt>
                <c:pt idx="2">
                  <c:v>1</c:v>
                </c:pt>
                <c:pt idx="3">
                  <c:v>0</c:v>
                </c:pt>
              </c:numCache>
            </c:numRef>
          </c:val>
        </c:ser>
        <c:dLbls>
          <c:showLegendKey val="0"/>
          <c:showVal val="1"/>
          <c:showCatName val="0"/>
          <c:showSerName val="0"/>
          <c:showPercent val="0"/>
          <c:showBubbleSize val="0"/>
        </c:dLbls>
        <c:gapWidth val="100"/>
        <c:axId val="46148992"/>
        <c:axId val="46183552"/>
      </c:barChart>
      <c:catAx>
        <c:axId val="4614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n-US"/>
          </a:p>
        </c:txPr>
        <c:crossAx val="46183552"/>
        <c:crosses val="autoZero"/>
        <c:auto val="1"/>
        <c:lblAlgn val="ctr"/>
        <c:lblOffset val="100"/>
        <c:noMultiLvlLbl val="0"/>
      </c:catAx>
      <c:valAx>
        <c:axId val="46183552"/>
        <c:scaling>
          <c:orientation val="minMax"/>
          <c:max val="20"/>
        </c:scaling>
        <c:delete val="1"/>
        <c:axPos val="l"/>
        <c:majorGridlines>
          <c:spPr>
            <a:ln w="9525" cap="flat" cmpd="sng" algn="ctr">
              <a:solidFill>
                <a:schemeClr val="tx1">
                  <a:lumMod val="15000"/>
                  <a:lumOff val="85000"/>
                </a:schemeClr>
              </a:solidFill>
              <a:round/>
            </a:ln>
            <a:effectLst/>
          </c:spPr>
        </c:majorGridlines>
        <c:title>
          <c:tx>
            <c:rich>
              <a:bodyPr rot="-5400000" vert="horz"/>
              <a:lstStyle/>
              <a:p>
                <a:pPr>
                  <a:defRPr sz="1200" b="0">
                    <a:solidFill>
                      <a:srgbClr val="595959"/>
                    </a:solidFill>
                  </a:defRPr>
                </a:pPr>
                <a:r>
                  <a:rPr lang="en-US" sz="1200" b="0" i="0" baseline="0">
                    <a:solidFill>
                      <a:srgbClr val="595959"/>
                    </a:solidFill>
                    <a:effectLst/>
                    <a:latin typeface="+mn-lt"/>
                  </a:rPr>
                  <a:t>Frequency</a:t>
                </a:r>
                <a:endParaRPr lang="en-AU" sz="1200" b="0">
                  <a:solidFill>
                    <a:srgbClr val="595959"/>
                  </a:solidFill>
                  <a:effectLst/>
                  <a:latin typeface="+mn-lt"/>
                </a:endParaRPr>
              </a:p>
            </c:rich>
          </c:tx>
          <c:layout>
            <c:manualLayout>
              <c:xMode val="edge"/>
              <c:yMode val="edge"/>
              <c:x val="4.3656820088597966E-3"/>
              <c:y val="0.40664481489939774"/>
            </c:manualLayout>
          </c:layout>
          <c:overlay val="0"/>
        </c:title>
        <c:numFmt formatCode="General" sourceLinked="1"/>
        <c:majorTickMark val="none"/>
        <c:minorTickMark val="none"/>
        <c:tickLblPos val="nextTo"/>
        <c:crossAx val="46148992"/>
        <c:crosses val="autoZero"/>
        <c:crossBetween val="between"/>
        <c:majorUnit val="2"/>
      </c:valAx>
      <c:spPr>
        <a:noFill/>
        <a:ln w="25400">
          <a:noFill/>
        </a:ln>
        <a:effectLst/>
      </c:spPr>
    </c:plotArea>
    <c:legend>
      <c:legendPos val="t"/>
      <c:layout>
        <c:manualLayout>
          <c:xMode val="edge"/>
          <c:yMode val="edge"/>
          <c:x val="9.7105684126832986E-2"/>
          <c:y val="5.2447545227748305E-2"/>
          <c:w val="0.80247998248308516"/>
          <c:h val="4.4252926015510424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512314317221596E-2"/>
          <c:y val="9.2621394081545669E-2"/>
          <c:w val="0.93249068517153644"/>
          <c:h val="0.64298820760784337"/>
        </c:manualLayout>
      </c:layout>
      <c:barChart>
        <c:barDir val="col"/>
        <c:grouping val="clustered"/>
        <c:varyColors val="0"/>
        <c:ser>
          <c:idx val="0"/>
          <c:order val="0"/>
          <c:tx>
            <c:strRef>
              <c:f>'Fig 1 (Fig 3 draws on this too '!$Y$3</c:f>
              <c:strCache>
                <c:ptCount val="1"/>
                <c:pt idx="0">
                  <c:v>2. Unsatisfactory (below expectation)</c:v>
                </c:pt>
              </c:strCache>
            </c:strRef>
          </c:tx>
          <c:spPr>
            <a:solidFill>
              <a:srgbClr val="ED7D31"/>
            </a:solidFill>
            <a:ln>
              <a:solidFill>
                <a:schemeClr val="accent2"/>
              </a:solid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(Fig 3 draws on this too '!$AX$4:$AX$7</c:f>
              <c:strCache>
                <c:ptCount val="4"/>
                <c:pt idx="0">
                  <c:v>A) CONTEXT AND STRATEGIC ORIENTATION</c:v>
                </c:pt>
                <c:pt idx="1">
                  <c:v>B) ASSESSMENT OF PROGRESS TOWARDS OBJECTIVES</c:v>
                </c:pt>
                <c:pt idx="2">
                  <c:v>C) PARTNER CONTRIBUTION</c:v>
                </c:pt>
                <c:pt idx="3">
                  <c:v>D) MANAGEMENT CONSEQUENCES</c:v>
                </c:pt>
              </c:strCache>
            </c:strRef>
          </c:cat>
          <c:val>
            <c:numRef>
              <c:f>('Fig 1 (Fig 3 draws on this too '!$Z$3,'Fig 1 (Fig 3 draws on this too '!$AE$3,'Fig 1 (Fig 3 draws on this too '!$AM$3,'Fig 1 (Fig 3 draws on this too '!$AR$3)</c:f>
              <c:numCache>
                <c:formatCode>General</c:formatCode>
                <c:ptCount val="4"/>
                <c:pt idx="0">
                  <c:v>0</c:v>
                </c:pt>
                <c:pt idx="1">
                  <c:v>0</c:v>
                </c:pt>
                <c:pt idx="2">
                  <c:v>2</c:v>
                </c:pt>
                <c:pt idx="3">
                  <c:v>0</c:v>
                </c:pt>
              </c:numCache>
            </c:numRef>
          </c:val>
          <c:extLst/>
        </c:ser>
        <c:ser>
          <c:idx val="1"/>
          <c:order val="1"/>
          <c:tx>
            <c:strRef>
              <c:f>'Fig 1 (Fig 3 draws on this too '!$Y$4</c:f>
              <c:strCache>
                <c:ptCount val="1"/>
                <c:pt idx="0">
                  <c:v>3. Adequate</c:v>
                </c:pt>
              </c:strCache>
            </c:strRef>
          </c:tx>
          <c:spPr>
            <a:solidFill>
              <a:srgbClr val="FFCC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(Fig 3 draws on this too '!$AX$4:$AX$7</c:f>
              <c:strCache>
                <c:ptCount val="4"/>
                <c:pt idx="0">
                  <c:v>A) CONTEXT AND STRATEGIC ORIENTATION</c:v>
                </c:pt>
                <c:pt idx="1">
                  <c:v>B) ASSESSMENT OF PROGRESS TOWARDS OBJECTIVES</c:v>
                </c:pt>
                <c:pt idx="2">
                  <c:v>C) PARTNER CONTRIBUTION</c:v>
                </c:pt>
                <c:pt idx="3">
                  <c:v>D) MANAGEMENT CONSEQUENCES</c:v>
                </c:pt>
              </c:strCache>
            </c:strRef>
          </c:cat>
          <c:val>
            <c:numRef>
              <c:f>('Fig 1 (Fig 3 draws on this too '!$Z$4,'Fig 1 (Fig 3 draws on this too '!$AE$4,'Fig 1 (Fig 3 draws on this too '!$AM$4,'Fig 1 (Fig 3 draws on this too '!$AR$4)</c:f>
              <c:numCache>
                <c:formatCode>General</c:formatCode>
                <c:ptCount val="4"/>
                <c:pt idx="0">
                  <c:v>11</c:v>
                </c:pt>
                <c:pt idx="1">
                  <c:v>12</c:v>
                </c:pt>
                <c:pt idx="2">
                  <c:v>11</c:v>
                </c:pt>
                <c:pt idx="3">
                  <c:v>11</c:v>
                </c:pt>
              </c:numCache>
            </c:numRef>
          </c:val>
          <c:extLst/>
        </c:ser>
        <c:ser>
          <c:idx val="2"/>
          <c:order val="2"/>
          <c:tx>
            <c:strRef>
              <c:f>'Fig 1 (Fig 3 draws on this too '!$Y$5</c:f>
              <c:strCache>
                <c:ptCount val="1"/>
                <c:pt idx="0">
                  <c:v>4. Good</c:v>
                </c:pt>
              </c:strCache>
            </c:strRef>
          </c:tx>
          <c:spPr>
            <a:solidFill>
              <a:srgbClr val="99CC00"/>
            </a:solidFill>
            <a:ln>
              <a:solidFill>
                <a:srgbClr val="92D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(Fig 3 draws on this too '!$AX$4:$AX$7</c:f>
              <c:strCache>
                <c:ptCount val="4"/>
                <c:pt idx="0">
                  <c:v>A) CONTEXT AND STRATEGIC ORIENTATION</c:v>
                </c:pt>
                <c:pt idx="1">
                  <c:v>B) ASSESSMENT OF PROGRESS TOWARDS OBJECTIVES</c:v>
                </c:pt>
                <c:pt idx="2">
                  <c:v>C) PARTNER CONTRIBUTION</c:v>
                </c:pt>
                <c:pt idx="3">
                  <c:v>D) MANAGEMENT CONSEQUENCES</c:v>
                </c:pt>
              </c:strCache>
            </c:strRef>
          </c:cat>
          <c:val>
            <c:numRef>
              <c:f>('Fig 1 (Fig 3 draws on this too '!$Z$5,'Fig 1 (Fig 3 draws on this too '!$AE$5,'Fig 1 (Fig 3 draws on this too '!$AM$5,'Fig 1 (Fig 3 draws on this too '!$AR$5)</c:f>
              <c:numCache>
                <c:formatCode>General</c:formatCode>
                <c:ptCount val="4"/>
                <c:pt idx="0">
                  <c:v>15</c:v>
                </c:pt>
                <c:pt idx="1">
                  <c:v>14</c:v>
                </c:pt>
                <c:pt idx="2">
                  <c:v>14</c:v>
                </c:pt>
                <c:pt idx="3">
                  <c:v>16</c:v>
                </c:pt>
              </c:numCache>
            </c:numRef>
          </c:val>
          <c:extLst/>
        </c:ser>
        <c:ser>
          <c:idx val="3"/>
          <c:order val="3"/>
          <c:tx>
            <c:strRef>
              <c:f>'Fig 1 (Fig 3 draws on this too '!$Y$6</c:f>
              <c:strCache>
                <c:ptCount val="1"/>
                <c:pt idx="0">
                  <c:v>5. Best practice</c:v>
                </c:pt>
              </c:strCache>
            </c:strRef>
          </c:tx>
          <c:spPr>
            <a:solidFill>
              <a:srgbClr val="008000"/>
            </a:solidFill>
            <a:ln>
              <a:solidFill>
                <a:srgbClr val="008000"/>
              </a:solid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dLbl>
            <c:dLbl>
              <c:idx val="2"/>
              <c:layout>
                <c:manualLayout>
                  <c:x val="1.9032792452343835E-3"/>
                  <c:y val="1.4414166529649875E-2"/>
                </c:manualLayout>
              </c:layout>
              <c:dLblPos val="outEnd"/>
              <c:showLegendKey val="0"/>
              <c:showVal val="1"/>
              <c:showCatName val="0"/>
              <c:showSerName val="0"/>
              <c:showPercent val="0"/>
              <c:showBubbleSize val="0"/>
            </c:dLbl>
            <c:dLbl>
              <c:idx val="3"/>
              <c:layout>
                <c:manualLayout>
                  <c:x val="0"/>
                  <c:y val="1.4414166529649875E-2"/>
                </c:manualLayout>
              </c:layout>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1 (Fig 3 draws on this too '!$AX$4:$AX$7</c:f>
              <c:strCache>
                <c:ptCount val="4"/>
                <c:pt idx="0">
                  <c:v>A) CONTEXT AND STRATEGIC ORIENTATION</c:v>
                </c:pt>
                <c:pt idx="1">
                  <c:v>B) ASSESSMENT OF PROGRESS TOWARDS OBJECTIVES</c:v>
                </c:pt>
                <c:pt idx="2">
                  <c:v>C) PARTNER CONTRIBUTION</c:v>
                </c:pt>
                <c:pt idx="3">
                  <c:v>D) MANAGEMENT CONSEQUENCES</c:v>
                </c:pt>
              </c:strCache>
            </c:strRef>
          </c:cat>
          <c:val>
            <c:numRef>
              <c:f>('Fig 1 (Fig 3 draws on this too '!$Z$6,'Fig 1 (Fig 3 draws on this too '!$AE$6,'Fig 1 (Fig 3 draws on this too '!$AM$6,'Fig 1 (Fig 3 draws on this too '!$AR$6)</c:f>
              <c:numCache>
                <c:formatCode>General</c:formatCode>
                <c:ptCount val="4"/>
                <c:pt idx="0">
                  <c:v>2</c:v>
                </c:pt>
                <c:pt idx="1">
                  <c:v>2</c:v>
                </c:pt>
                <c:pt idx="2">
                  <c:v>1</c:v>
                </c:pt>
                <c:pt idx="3">
                  <c:v>1</c:v>
                </c:pt>
              </c:numCache>
            </c:numRef>
          </c:val>
          <c:extLst/>
        </c:ser>
        <c:dLbls>
          <c:dLblPos val="inBase"/>
          <c:showLegendKey val="0"/>
          <c:showVal val="1"/>
          <c:showCatName val="0"/>
          <c:showSerName val="0"/>
          <c:showPercent val="0"/>
          <c:showBubbleSize val="0"/>
        </c:dLbls>
        <c:gapWidth val="100"/>
        <c:axId val="37646720"/>
        <c:axId val="37648256"/>
      </c:barChart>
      <c:catAx>
        <c:axId val="37646720"/>
        <c:scaling>
          <c:orientation val="minMax"/>
        </c:scaling>
        <c:delete val="0"/>
        <c:axPos val="b"/>
        <c:majorGridlines>
          <c:spPr>
            <a:ln>
              <a:noFill/>
            </a:ln>
          </c:spPr>
        </c:majorGridlines>
        <c:minorGridlines>
          <c:spPr>
            <a:ln>
              <a:noFill/>
            </a:ln>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a:innerShdw blurRad="63500" dist="50800" dir="13500000">
              <a:prstClr val="black">
                <a:alpha val="50000"/>
              </a:prstClr>
            </a:innerShdw>
          </a:effectLst>
        </c:spPr>
        <c:txPr>
          <a:bodyPr rot="0" spcFirstLastPara="1" vertOverflow="ellipsis" vert="horz" wrap="square" anchor="t" anchorCtr="0"/>
          <a:lstStyle/>
          <a:p>
            <a:pPr>
              <a:defRPr sz="900" b="0" i="0" u="none" strike="noStrike" kern="1200" spc="0" baseline="0">
                <a:solidFill>
                  <a:srgbClr val="595959"/>
                </a:solidFill>
                <a:latin typeface="+mn-lt"/>
                <a:ea typeface="+mn-ea"/>
                <a:cs typeface="+mn-cs"/>
              </a:defRPr>
            </a:pPr>
            <a:endParaRPr lang="en-US"/>
          </a:p>
        </c:txPr>
        <c:crossAx val="37648256"/>
        <c:crosses val="autoZero"/>
        <c:auto val="1"/>
        <c:lblAlgn val="ctr"/>
        <c:lblOffset val="100"/>
        <c:tickLblSkip val="1"/>
        <c:tickMarkSkip val="1"/>
        <c:noMultiLvlLbl val="0"/>
      </c:catAx>
      <c:valAx>
        <c:axId val="3764825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rgbClr val="595959"/>
                    </a:solidFill>
                    <a:latin typeface="+mn-lt"/>
                    <a:ea typeface="+mn-ea"/>
                    <a:cs typeface="+mn-cs"/>
                  </a:defRPr>
                </a:pPr>
                <a:r>
                  <a:rPr lang="en-AU" sz="1200">
                    <a:solidFill>
                      <a:srgbClr val="595959"/>
                    </a:solidFill>
                  </a:rPr>
                  <a:t>Frequency</a:t>
                </a:r>
              </a:p>
            </c:rich>
          </c:tx>
          <c:layout>
            <c:manualLayout>
              <c:xMode val="edge"/>
              <c:yMode val="edge"/>
              <c:x val="1.2861372033544469E-3"/>
              <c:y val="0.37955496945923667"/>
            </c:manualLayout>
          </c:layout>
          <c:overlay val="0"/>
          <c:spPr>
            <a:noFill/>
            <a:ln>
              <a:noFill/>
            </a:ln>
            <a:effectLst/>
          </c:spPr>
        </c:title>
        <c:numFmt formatCode="General" sourceLinked="1"/>
        <c:majorTickMark val="none"/>
        <c:minorTickMark val="none"/>
        <c:tickLblPos val="nextTo"/>
        <c:crossAx val="37646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789460607672492E-2"/>
          <c:y val="0.12549880444368564"/>
          <c:w val="0.86111111111111116"/>
          <c:h val="0.689575678040245"/>
        </c:manualLayout>
      </c:layout>
      <c:barChart>
        <c:barDir val="col"/>
        <c:grouping val="clustered"/>
        <c:varyColors val="0"/>
        <c:ser>
          <c:idx val="1"/>
          <c:order val="0"/>
          <c:tx>
            <c:strRef>
              <c:f>'[Copy of 2014 APPR quality review data and figures - SW comments on MM edited version of 13 April 2015.xlsx]Figures 4 +  E1 '!$Y$42</c:f>
              <c:strCache>
                <c:ptCount val="1"/>
                <c:pt idx="0">
                  <c:v>Frequency</c:v>
                </c:pt>
              </c:strCache>
            </c:strRef>
          </c:tx>
          <c:invertIfNegative val="0"/>
          <c:dPt>
            <c:idx val="0"/>
            <c:invertIfNegative val="0"/>
            <c:bubble3D val="0"/>
            <c:spPr>
              <a:solidFill>
                <a:srgbClr val="FFCC00"/>
              </a:solidFill>
            </c:spPr>
          </c:dPt>
          <c:dPt>
            <c:idx val="1"/>
            <c:invertIfNegative val="0"/>
            <c:bubble3D val="0"/>
            <c:spPr>
              <a:solidFill>
                <a:srgbClr val="99CC00"/>
              </a:solidFill>
            </c:spPr>
          </c:dPt>
          <c:dPt>
            <c:idx val="2"/>
            <c:invertIfNegative val="0"/>
            <c:bubble3D val="0"/>
            <c:spPr>
              <a:solidFill>
                <a:srgbClr val="008000"/>
              </a:solidFill>
            </c:spPr>
          </c:dPt>
          <c:dLbls>
            <c:dLbl>
              <c:idx val="0"/>
              <c:layout>
                <c:manualLayout>
                  <c:x val="5.0526319139747641E-3"/>
                  <c:y val="0.46839070709779623"/>
                </c:manualLayout>
              </c:layout>
              <c:spPr>
                <a:solidFill>
                  <a:srgbClr val="FFCC00"/>
                </a:solidFill>
              </c:spPr>
              <c:txPr>
                <a:bodyPr/>
                <a:lstStyle/>
                <a:p>
                  <a:pPr>
                    <a:defRPr sz="1200" b="0"/>
                  </a:pPr>
                  <a:endParaRPr lang="en-US"/>
                </a:p>
              </c:txPr>
              <c:showLegendKey val="0"/>
              <c:showVal val="1"/>
              <c:showCatName val="0"/>
              <c:showSerName val="0"/>
              <c:showPercent val="0"/>
              <c:showBubbleSize val="0"/>
            </c:dLbl>
            <c:dLbl>
              <c:idx val="1"/>
              <c:layout>
                <c:manualLayout>
                  <c:x val="2.526315956987382E-3"/>
                  <c:y val="0.64524943818760772"/>
                </c:manualLayout>
              </c:layout>
              <c:showLegendKey val="0"/>
              <c:showVal val="1"/>
              <c:showCatName val="0"/>
              <c:showSerName val="0"/>
              <c:showPercent val="0"/>
              <c:showBubbleSize val="0"/>
            </c:dLbl>
            <c:dLbl>
              <c:idx val="2"/>
              <c:layout>
                <c:manualLayout>
                  <c:x val="0"/>
                  <c:y val="9.2592592592592587E-2"/>
                </c:manualLayout>
              </c:layout>
              <c:spPr/>
              <c:txPr>
                <a:bodyPr/>
                <a:lstStyle/>
                <a:p>
                  <a:pPr>
                    <a:defRPr sz="1200" b="0">
                      <a:solidFill>
                        <a:schemeClr val="bg1"/>
                      </a:solidFill>
                    </a:defRPr>
                  </a:pPr>
                  <a:endParaRPr lang="en-US"/>
                </a:p>
              </c:txPr>
              <c:showLegendKey val="0"/>
              <c:showVal val="1"/>
              <c:showCatName val="0"/>
              <c:showSerName val="0"/>
              <c:showPercent val="0"/>
              <c:showBubbleSize val="0"/>
            </c:dLbl>
            <c:txPr>
              <a:bodyPr/>
              <a:lstStyle/>
              <a:p>
                <a:pPr>
                  <a:defRPr sz="1200" b="0"/>
                </a:pPr>
                <a:endParaRPr lang="en-US"/>
              </a:p>
            </c:txPr>
            <c:showLegendKey val="0"/>
            <c:showVal val="1"/>
            <c:showCatName val="0"/>
            <c:showSerName val="0"/>
            <c:showPercent val="0"/>
            <c:showBubbleSize val="0"/>
            <c:showLeaderLines val="0"/>
          </c:dLbls>
          <c:cat>
            <c:strRef>
              <c:f>'[Copy of 2014 APPR quality review data and figures - SW comments on MM edited version of 13 April 2015.xlsx]Figures 4 +  E1 '!$X$43:$X$45</c:f>
              <c:strCache>
                <c:ptCount val="3"/>
                <c:pt idx="0">
                  <c:v>3. Adequate</c:v>
                </c:pt>
                <c:pt idx="1">
                  <c:v>4. Good</c:v>
                </c:pt>
                <c:pt idx="2">
                  <c:v>5. Best practice</c:v>
                </c:pt>
              </c:strCache>
            </c:strRef>
          </c:cat>
          <c:val>
            <c:numRef>
              <c:f>'[Copy of 2014 APPR quality review data and figures - SW comments on MM edited version of 13 April 2015.xlsx]Figures 4 +  E1 '!$Y$43:$Y$45</c:f>
              <c:numCache>
                <c:formatCode>General</c:formatCode>
                <c:ptCount val="3"/>
                <c:pt idx="0">
                  <c:v>11</c:v>
                </c:pt>
                <c:pt idx="1">
                  <c:v>15</c:v>
                </c:pt>
                <c:pt idx="2">
                  <c:v>2</c:v>
                </c:pt>
              </c:numCache>
            </c:numRef>
          </c:val>
        </c:ser>
        <c:dLbls>
          <c:showLegendKey val="0"/>
          <c:showVal val="0"/>
          <c:showCatName val="0"/>
          <c:showSerName val="0"/>
          <c:showPercent val="0"/>
          <c:showBubbleSize val="0"/>
        </c:dLbls>
        <c:gapWidth val="150"/>
        <c:axId val="39071104"/>
        <c:axId val="39077376"/>
      </c:barChart>
      <c:catAx>
        <c:axId val="39071104"/>
        <c:scaling>
          <c:orientation val="minMax"/>
        </c:scaling>
        <c:delete val="1"/>
        <c:axPos val="b"/>
        <c:title>
          <c:tx>
            <c:rich>
              <a:bodyPr/>
              <a:lstStyle/>
              <a:p>
                <a:pPr algn="ctr" rtl="0">
                  <a:defRPr lang="en-AU" sz="1200" b="0" i="0" u="none" strike="noStrike" kern="1200" baseline="0">
                    <a:solidFill>
                      <a:srgbClr val="595959"/>
                    </a:solidFill>
                    <a:latin typeface="+mn-lt"/>
                    <a:ea typeface="+mn-ea"/>
                    <a:cs typeface="+mn-cs"/>
                  </a:defRPr>
                </a:pPr>
                <a:r>
                  <a:rPr lang="en-AU" sz="1200" b="0" i="0" u="none" strike="noStrike" kern="1200" baseline="0">
                    <a:solidFill>
                      <a:srgbClr val="595959"/>
                    </a:solidFill>
                    <a:latin typeface="+mn-lt"/>
                    <a:ea typeface="+mn-ea"/>
                    <a:cs typeface="+mn-cs"/>
                  </a:rPr>
                  <a:t>Rating</a:t>
                </a:r>
              </a:p>
            </c:rich>
          </c:tx>
          <c:overlay val="0"/>
        </c:title>
        <c:numFmt formatCode="General" sourceLinked="1"/>
        <c:majorTickMark val="out"/>
        <c:minorTickMark val="none"/>
        <c:tickLblPos val="nextTo"/>
        <c:crossAx val="39077376"/>
        <c:crosses val="autoZero"/>
        <c:auto val="1"/>
        <c:lblAlgn val="ctr"/>
        <c:lblOffset val="100"/>
        <c:noMultiLvlLbl val="0"/>
      </c:catAx>
      <c:valAx>
        <c:axId val="39077376"/>
        <c:scaling>
          <c:orientation val="minMax"/>
        </c:scaling>
        <c:delete val="1"/>
        <c:axPos val="l"/>
        <c:majorGridlines>
          <c:spPr>
            <a:ln>
              <a:solidFill>
                <a:schemeClr val="bg1">
                  <a:lumMod val="65000"/>
                </a:schemeClr>
              </a:solidFill>
            </a:ln>
          </c:spPr>
        </c:majorGridlines>
        <c:title>
          <c:tx>
            <c:rich>
              <a:bodyPr rot="-5400000" vert="horz"/>
              <a:lstStyle/>
              <a:p>
                <a:pPr>
                  <a:defRPr sz="1200" b="0">
                    <a:solidFill>
                      <a:schemeClr val="bg2">
                        <a:lumMod val="50000"/>
                      </a:schemeClr>
                    </a:solidFill>
                  </a:defRPr>
                </a:pPr>
                <a:r>
                  <a:rPr lang="en-US" sz="1200" b="0">
                    <a:solidFill>
                      <a:srgbClr val="595959"/>
                    </a:solidFill>
                  </a:rPr>
                  <a:t>Frequency</a:t>
                </a:r>
              </a:p>
            </c:rich>
          </c:tx>
          <c:layout>
            <c:manualLayout>
              <c:xMode val="edge"/>
              <c:yMode val="edge"/>
              <c:x val="0"/>
              <c:y val="0.39453211207823879"/>
            </c:manualLayout>
          </c:layout>
          <c:overlay val="0"/>
          <c:spPr>
            <a:solidFill>
              <a:sysClr val="window" lastClr="FFFFFF"/>
            </a:solidFill>
          </c:spPr>
        </c:title>
        <c:numFmt formatCode="General" sourceLinked="1"/>
        <c:majorTickMark val="out"/>
        <c:minorTickMark val="none"/>
        <c:tickLblPos val="none"/>
        <c:crossAx val="39071104"/>
        <c:crosses val="autoZero"/>
        <c:crossBetween val="between"/>
      </c:valAx>
      <c:spPr>
        <a:noFill/>
        <a:ln>
          <a:noFill/>
        </a:ln>
      </c:spPr>
    </c:plotArea>
    <c:legend>
      <c:legendPos val="t"/>
      <c:overlay val="0"/>
      <c:txPr>
        <a:bodyPr/>
        <a:lstStyle/>
        <a:p>
          <a:pPr rtl="0">
            <a:defRPr>
              <a:solidFill>
                <a:srgbClr val="595959"/>
              </a:solidFill>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789460607672492E-2"/>
          <c:y val="0.12549880444368564"/>
          <c:w val="0.86111111111111116"/>
          <c:h val="0.689575678040245"/>
        </c:manualLayout>
      </c:layout>
      <c:barChart>
        <c:barDir val="col"/>
        <c:grouping val="clustered"/>
        <c:varyColors val="0"/>
        <c:ser>
          <c:idx val="0"/>
          <c:order val="0"/>
          <c:tx>
            <c:strRef>
              <c:f>'Figures 5 + E2'!$Y$41</c:f>
              <c:strCache>
                <c:ptCount val="1"/>
                <c:pt idx="0">
                  <c:v>Frequency</c:v>
                </c:pt>
              </c:strCache>
            </c:strRef>
          </c:tx>
          <c:spPr>
            <a:solidFill>
              <a:srgbClr val="FFCC00"/>
            </a:solidFill>
          </c:spPr>
          <c:invertIfNegative val="0"/>
          <c:dPt>
            <c:idx val="1"/>
            <c:invertIfNegative val="0"/>
            <c:bubble3D val="0"/>
            <c:spPr>
              <a:solidFill>
                <a:srgbClr val="99CC00"/>
              </a:solidFill>
            </c:spPr>
          </c:dPt>
          <c:dPt>
            <c:idx val="2"/>
            <c:invertIfNegative val="0"/>
            <c:bubble3D val="0"/>
            <c:spPr>
              <a:solidFill>
                <a:srgbClr val="008000"/>
              </a:solidFill>
            </c:spPr>
          </c:dPt>
          <c:dLbls>
            <c:dLbl>
              <c:idx val="0"/>
              <c:layout>
                <c:manualLayout>
                  <c:x val="0"/>
                  <c:y val="0.52053998049434058"/>
                </c:manualLayout>
              </c:layout>
              <c:spPr/>
              <c:txPr>
                <a:bodyPr/>
                <a:lstStyle/>
                <a:p>
                  <a:pPr>
                    <a:defRPr sz="1200" b="0">
                      <a:solidFill>
                        <a:sysClr val="windowText" lastClr="000000"/>
                      </a:solidFill>
                    </a:defRPr>
                  </a:pPr>
                  <a:endParaRPr lang="en-US"/>
                </a:p>
              </c:txPr>
              <c:showLegendKey val="0"/>
              <c:showVal val="1"/>
              <c:showCatName val="0"/>
              <c:showSerName val="0"/>
              <c:showPercent val="0"/>
              <c:showBubbleSize val="0"/>
            </c:dLbl>
            <c:dLbl>
              <c:idx val="1"/>
              <c:layout>
                <c:manualLayout>
                  <c:x val="-5.0526319139747641E-3"/>
                  <c:y val="0.59638024255311872"/>
                </c:manualLayout>
              </c:layout>
              <c:spPr/>
              <c:txPr>
                <a:bodyPr/>
                <a:lstStyle/>
                <a:p>
                  <a:pPr>
                    <a:defRPr sz="1200" b="0">
                      <a:solidFill>
                        <a:sysClr val="windowText" lastClr="000000"/>
                      </a:solidFill>
                    </a:defRPr>
                  </a:pPr>
                  <a:endParaRPr lang="en-US"/>
                </a:p>
              </c:txPr>
              <c:showLegendKey val="0"/>
              <c:showVal val="1"/>
              <c:showCatName val="0"/>
              <c:showSerName val="0"/>
              <c:showPercent val="0"/>
              <c:showBubbleSize val="0"/>
            </c:dLbl>
            <c:dLbl>
              <c:idx val="2"/>
              <c:layout>
                <c:manualLayout>
                  <c:x val="2.5263159569872897E-3"/>
                  <c:y val="9.3076685253954947E-2"/>
                </c:manualLayout>
              </c:layout>
              <c:tx>
                <c:rich>
                  <a:bodyPr/>
                  <a:lstStyle/>
                  <a:p>
                    <a:pPr>
                      <a:defRPr sz="1200" b="0">
                        <a:solidFill>
                          <a:sysClr val="windowText" lastClr="000000"/>
                        </a:solidFill>
                      </a:defRPr>
                    </a:pPr>
                    <a:r>
                      <a:rPr lang="en-US" sz="1200" b="0">
                        <a:solidFill>
                          <a:schemeClr val="bg1"/>
                        </a:solidFill>
                      </a:rPr>
                      <a:t>2</a:t>
                    </a:r>
                    <a:endParaRPr lang="en-US" sz="1200">
                      <a:solidFill>
                        <a:schemeClr val="bg1"/>
                      </a:solidFill>
                    </a:endParaRPr>
                  </a:p>
                </c:rich>
              </c:tx>
              <c:spPr/>
              <c:showLegendKey val="0"/>
              <c:showVal val="1"/>
              <c:showCatName val="0"/>
              <c:showSerName val="0"/>
              <c:showPercent val="0"/>
              <c:showBubbleSize val="0"/>
            </c:dLbl>
            <c:txPr>
              <a:bodyPr/>
              <a:lstStyle/>
              <a:p>
                <a:pPr>
                  <a:defRPr sz="1100" b="0">
                    <a:solidFill>
                      <a:sysClr val="windowText" lastClr="000000"/>
                    </a:solidFill>
                  </a:defRPr>
                </a:pPr>
                <a:endParaRPr lang="en-US"/>
              </a:p>
            </c:txPr>
            <c:showLegendKey val="0"/>
            <c:showVal val="1"/>
            <c:showCatName val="0"/>
            <c:showSerName val="0"/>
            <c:showPercent val="0"/>
            <c:showBubbleSize val="0"/>
            <c:showLeaderLines val="0"/>
          </c:dLbls>
          <c:cat>
            <c:strRef>
              <c:f>'Figures 5 + E2'!$X$42:$X$44</c:f>
              <c:strCache>
                <c:ptCount val="3"/>
                <c:pt idx="0">
                  <c:v>3. Adequate</c:v>
                </c:pt>
                <c:pt idx="1">
                  <c:v>4. Good</c:v>
                </c:pt>
                <c:pt idx="2">
                  <c:v>5. Best practice</c:v>
                </c:pt>
              </c:strCache>
            </c:strRef>
          </c:cat>
          <c:val>
            <c:numRef>
              <c:f>'Figures 5 + E2'!$Y$42:$Y$44</c:f>
              <c:numCache>
                <c:formatCode>General</c:formatCode>
                <c:ptCount val="3"/>
                <c:pt idx="0">
                  <c:v>12</c:v>
                </c:pt>
                <c:pt idx="1">
                  <c:v>14</c:v>
                </c:pt>
                <c:pt idx="2">
                  <c:v>2</c:v>
                </c:pt>
              </c:numCache>
            </c:numRef>
          </c:val>
        </c:ser>
        <c:dLbls>
          <c:showLegendKey val="0"/>
          <c:showVal val="0"/>
          <c:showCatName val="0"/>
          <c:showSerName val="0"/>
          <c:showPercent val="0"/>
          <c:showBubbleSize val="0"/>
        </c:dLbls>
        <c:gapWidth val="150"/>
        <c:axId val="39108992"/>
        <c:axId val="39110912"/>
      </c:barChart>
      <c:catAx>
        <c:axId val="39108992"/>
        <c:scaling>
          <c:orientation val="minMax"/>
        </c:scaling>
        <c:delete val="1"/>
        <c:axPos val="b"/>
        <c:title>
          <c:tx>
            <c:rich>
              <a:bodyPr/>
              <a:lstStyle/>
              <a:p>
                <a:pPr>
                  <a:defRPr sz="1200" b="0">
                    <a:solidFill>
                      <a:srgbClr val="595959"/>
                    </a:solidFill>
                  </a:defRPr>
                </a:pPr>
                <a:r>
                  <a:rPr lang="en-AU" sz="1200" b="0">
                    <a:solidFill>
                      <a:srgbClr val="595959"/>
                    </a:solidFill>
                  </a:rPr>
                  <a:t>Rating</a:t>
                </a:r>
              </a:p>
            </c:rich>
          </c:tx>
          <c:overlay val="0"/>
        </c:title>
        <c:numFmt formatCode="General" sourceLinked="1"/>
        <c:majorTickMark val="out"/>
        <c:minorTickMark val="none"/>
        <c:tickLblPos val="nextTo"/>
        <c:crossAx val="39110912"/>
        <c:crosses val="autoZero"/>
        <c:auto val="1"/>
        <c:lblAlgn val="ctr"/>
        <c:lblOffset val="100"/>
        <c:noMultiLvlLbl val="0"/>
      </c:catAx>
      <c:valAx>
        <c:axId val="39110912"/>
        <c:scaling>
          <c:orientation val="minMax"/>
        </c:scaling>
        <c:delete val="1"/>
        <c:axPos val="l"/>
        <c:majorGridlines>
          <c:spPr>
            <a:ln>
              <a:solidFill>
                <a:schemeClr val="bg1">
                  <a:lumMod val="65000"/>
                </a:schemeClr>
              </a:solidFill>
            </a:ln>
          </c:spPr>
        </c:majorGridlines>
        <c:title>
          <c:tx>
            <c:rich>
              <a:bodyPr rot="-5400000" vert="horz"/>
              <a:lstStyle/>
              <a:p>
                <a:pPr>
                  <a:defRPr sz="1200" b="0">
                    <a:solidFill>
                      <a:srgbClr val="595959"/>
                    </a:solidFill>
                  </a:defRPr>
                </a:pPr>
                <a:r>
                  <a:rPr lang="en-US" sz="1200" b="0">
                    <a:solidFill>
                      <a:srgbClr val="595959"/>
                    </a:solidFill>
                  </a:rPr>
                  <a:t>Frequency</a:t>
                </a:r>
              </a:p>
            </c:rich>
          </c:tx>
          <c:layout>
            <c:manualLayout>
              <c:xMode val="edge"/>
              <c:yMode val="edge"/>
              <c:x val="1.8856875441942854E-3"/>
              <c:y val="0.42070146389192037"/>
            </c:manualLayout>
          </c:layout>
          <c:overlay val="0"/>
        </c:title>
        <c:numFmt formatCode="General" sourceLinked="1"/>
        <c:majorTickMark val="out"/>
        <c:minorTickMark val="none"/>
        <c:tickLblPos val="none"/>
        <c:crossAx val="39108992"/>
        <c:crosses val="autoZero"/>
        <c:crossBetween val="between"/>
      </c:valAx>
      <c:spPr>
        <a:noFill/>
        <a:ln>
          <a:noFill/>
        </a:ln>
      </c:spPr>
    </c:plotArea>
    <c:legend>
      <c:legendPos val="t"/>
      <c:overlay val="0"/>
      <c:txPr>
        <a:bodyPr/>
        <a:lstStyle/>
        <a:p>
          <a:pPr>
            <a:defRPr>
              <a:solidFill>
                <a:srgbClr val="595959"/>
              </a:solidFill>
            </a:defRPr>
          </a:pPr>
          <a:endParaRPr lang="en-US"/>
        </a:p>
      </c:txPr>
    </c:legend>
    <c:plotVisOnly val="1"/>
    <c:dispBlanksAs val="gap"/>
    <c:showDLblsOverMax val="0"/>
  </c:chart>
  <c:spPr>
    <a:solidFill>
      <a:sysClr val="window" lastClr="FFFFFF"/>
    </a:solid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789409871746344E-2"/>
          <c:y val="0.13349626061732478"/>
          <c:w val="0.86111111111111116"/>
          <c:h val="0.689575678040245"/>
        </c:manualLayout>
      </c:layout>
      <c:barChart>
        <c:barDir val="col"/>
        <c:grouping val="clustered"/>
        <c:varyColors val="0"/>
        <c:ser>
          <c:idx val="1"/>
          <c:order val="0"/>
          <c:spPr>
            <a:solidFill>
              <a:srgbClr val="FF0000"/>
            </a:solidFill>
          </c:spPr>
          <c:invertIfNegative val="0"/>
          <c:dPt>
            <c:idx val="0"/>
            <c:invertIfNegative val="0"/>
            <c:bubble3D val="0"/>
            <c:spPr>
              <a:solidFill>
                <a:srgbClr val="ED7D31"/>
              </a:solidFill>
            </c:spPr>
          </c:dPt>
          <c:dPt>
            <c:idx val="1"/>
            <c:invertIfNegative val="0"/>
            <c:bubble3D val="0"/>
            <c:spPr>
              <a:solidFill>
                <a:srgbClr val="FFCC00"/>
              </a:solidFill>
            </c:spPr>
          </c:dPt>
          <c:dPt>
            <c:idx val="2"/>
            <c:invertIfNegative val="0"/>
            <c:bubble3D val="0"/>
            <c:spPr>
              <a:solidFill>
                <a:srgbClr val="99CC00"/>
              </a:solidFill>
            </c:spPr>
          </c:dPt>
          <c:dPt>
            <c:idx val="3"/>
            <c:invertIfNegative val="0"/>
            <c:bubble3D val="0"/>
            <c:spPr>
              <a:solidFill>
                <a:srgbClr val="008000"/>
              </a:solidFill>
            </c:spPr>
          </c:dPt>
          <c:dLbls>
            <c:dLbl>
              <c:idx val="0"/>
              <c:layout>
                <c:manualLayout>
                  <c:x val="0"/>
                  <c:y val="8.618211597588421E-2"/>
                </c:manualLayout>
              </c:layout>
              <c:showLegendKey val="0"/>
              <c:showVal val="1"/>
              <c:showCatName val="0"/>
              <c:showSerName val="0"/>
              <c:showPercent val="0"/>
              <c:showBubbleSize val="0"/>
            </c:dLbl>
            <c:dLbl>
              <c:idx val="1"/>
              <c:layout>
                <c:manualLayout>
                  <c:x val="0"/>
                  <c:y val="0.47917256482591619"/>
                </c:manualLayout>
              </c:layout>
              <c:showLegendKey val="0"/>
              <c:showVal val="1"/>
              <c:showCatName val="0"/>
              <c:showSerName val="0"/>
              <c:showPercent val="0"/>
              <c:showBubbleSize val="0"/>
            </c:dLbl>
            <c:dLbl>
              <c:idx val="2"/>
              <c:layout>
                <c:manualLayout>
                  <c:x val="-2.526315956987382E-3"/>
                  <c:y val="0.59638024255311872"/>
                </c:manualLayout>
              </c:layout>
              <c:showLegendKey val="0"/>
              <c:showVal val="1"/>
              <c:showCatName val="0"/>
              <c:showSerName val="0"/>
              <c:showPercent val="0"/>
              <c:showBubbleSize val="0"/>
            </c:dLbl>
            <c:dLbl>
              <c:idx val="3"/>
              <c:layout>
                <c:manualLayout>
                  <c:x val="-5.8208460008543814E-7"/>
                  <c:y val="2.2060137592977067E-2"/>
                </c:manualLayout>
              </c:layout>
              <c:showLegendKey val="0"/>
              <c:showVal val="1"/>
              <c:showCatName val="0"/>
              <c:showSerName val="0"/>
              <c:showPercent val="0"/>
              <c:showBubbleSize val="0"/>
            </c:dLbl>
            <c:txPr>
              <a:bodyPr/>
              <a:lstStyle/>
              <a:p>
                <a:pPr>
                  <a:defRPr sz="1200" b="0">
                    <a:solidFill>
                      <a:sysClr val="windowText" lastClr="000000"/>
                    </a:solidFill>
                  </a:defRPr>
                </a:pPr>
                <a:endParaRPr lang="en-US"/>
              </a:p>
            </c:txPr>
            <c:showLegendKey val="0"/>
            <c:showVal val="1"/>
            <c:showCatName val="0"/>
            <c:showSerName val="0"/>
            <c:showPercent val="0"/>
            <c:showBubbleSize val="0"/>
            <c:showLeaderLines val="0"/>
          </c:dLbls>
          <c:cat>
            <c:strRef>
              <c:f>'Figure 6 + E3'!$X$43:$X$46</c:f>
              <c:strCache>
                <c:ptCount val="4"/>
                <c:pt idx="0">
                  <c:v>2. Unsatisfactory (below expectation)</c:v>
                </c:pt>
                <c:pt idx="1">
                  <c:v>3. Adequate</c:v>
                </c:pt>
                <c:pt idx="2">
                  <c:v>4. Good</c:v>
                </c:pt>
                <c:pt idx="3">
                  <c:v>5. Best practice</c:v>
                </c:pt>
              </c:strCache>
            </c:strRef>
          </c:cat>
          <c:val>
            <c:numRef>
              <c:f>'Figure 6 + E3'!$Y$43:$Y$46</c:f>
              <c:numCache>
                <c:formatCode>General</c:formatCode>
                <c:ptCount val="4"/>
                <c:pt idx="0">
                  <c:v>2</c:v>
                </c:pt>
                <c:pt idx="1">
                  <c:v>11</c:v>
                </c:pt>
                <c:pt idx="2">
                  <c:v>14</c:v>
                </c:pt>
                <c:pt idx="3">
                  <c:v>1</c:v>
                </c:pt>
              </c:numCache>
            </c:numRef>
          </c:val>
        </c:ser>
        <c:dLbls>
          <c:showLegendKey val="0"/>
          <c:showVal val="0"/>
          <c:showCatName val="0"/>
          <c:showSerName val="0"/>
          <c:showPercent val="0"/>
          <c:showBubbleSize val="0"/>
        </c:dLbls>
        <c:gapWidth val="150"/>
        <c:axId val="39154432"/>
        <c:axId val="39156352"/>
      </c:barChart>
      <c:catAx>
        <c:axId val="39154432"/>
        <c:scaling>
          <c:orientation val="minMax"/>
        </c:scaling>
        <c:delete val="1"/>
        <c:axPos val="b"/>
        <c:title>
          <c:tx>
            <c:rich>
              <a:bodyPr/>
              <a:lstStyle/>
              <a:p>
                <a:pPr>
                  <a:defRPr sz="1200" b="0" i="0">
                    <a:solidFill>
                      <a:srgbClr val="595959"/>
                    </a:solidFill>
                  </a:defRPr>
                </a:pPr>
                <a:r>
                  <a:rPr lang="en-AU" sz="1200" b="0" i="0">
                    <a:solidFill>
                      <a:srgbClr val="595959"/>
                    </a:solidFill>
                  </a:rPr>
                  <a:t>Rating</a:t>
                </a:r>
              </a:p>
            </c:rich>
          </c:tx>
          <c:overlay val="0"/>
        </c:title>
        <c:numFmt formatCode="General" sourceLinked="1"/>
        <c:majorTickMark val="out"/>
        <c:minorTickMark val="none"/>
        <c:tickLblPos val="nextTo"/>
        <c:crossAx val="39156352"/>
        <c:crosses val="autoZero"/>
        <c:auto val="1"/>
        <c:lblAlgn val="ctr"/>
        <c:lblOffset val="100"/>
        <c:noMultiLvlLbl val="0"/>
      </c:catAx>
      <c:valAx>
        <c:axId val="39156352"/>
        <c:scaling>
          <c:orientation val="minMax"/>
        </c:scaling>
        <c:delete val="1"/>
        <c:axPos val="l"/>
        <c:majorGridlines>
          <c:spPr>
            <a:ln>
              <a:solidFill>
                <a:schemeClr val="bg1">
                  <a:lumMod val="65000"/>
                </a:schemeClr>
              </a:solidFill>
            </a:ln>
          </c:spPr>
        </c:majorGridlines>
        <c:title>
          <c:tx>
            <c:rich>
              <a:bodyPr rot="-5400000" vert="horz"/>
              <a:lstStyle/>
              <a:p>
                <a:pPr>
                  <a:defRPr sz="1200" b="0">
                    <a:solidFill>
                      <a:srgbClr val="595959"/>
                    </a:solidFill>
                  </a:defRPr>
                </a:pPr>
                <a:r>
                  <a:rPr lang="en-US" sz="1200" b="0">
                    <a:solidFill>
                      <a:srgbClr val="595959"/>
                    </a:solidFill>
                  </a:rPr>
                  <a:t>Frequency</a:t>
                </a:r>
              </a:p>
            </c:rich>
          </c:tx>
          <c:layout>
            <c:manualLayout>
              <c:xMode val="edge"/>
              <c:yMode val="edge"/>
              <c:x val="1.9064497021099587E-3"/>
              <c:y val="0.42450187480774132"/>
            </c:manualLayout>
          </c:layout>
          <c:overlay val="0"/>
        </c:title>
        <c:numFmt formatCode="General" sourceLinked="1"/>
        <c:majorTickMark val="out"/>
        <c:minorTickMark val="none"/>
        <c:tickLblPos val="none"/>
        <c:crossAx val="39154432"/>
        <c:crosses val="autoZero"/>
        <c:crossBetween val="between"/>
      </c:valAx>
      <c:spPr>
        <a:noFill/>
        <a:ln>
          <a:noFill/>
        </a:ln>
      </c:spPr>
    </c:plotArea>
    <c:legend>
      <c:legendPos val="t"/>
      <c:overlay val="0"/>
      <c:txPr>
        <a:bodyPr/>
        <a:lstStyle/>
        <a:p>
          <a:pPr>
            <a:defRPr>
              <a:solidFill>
                <a:srgbClr val="595959"/>
              </a:solidFill>
            </a:defRPr>
          </a:pPr>
          <a:endParaRPr lang="en-US"/>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789460607672492E-2"/>
          <c:y val="0.12549880444368564"/>
          <c:w val="0.86603719793646483"/>
          <c:h val="0.70741568255532561"/>
        </c:manualLayout>
      </c:layout>
      <c:barChart>
        <c:barDir val="col"/>
        <c:grouping val="clustered"/>
        <c:varyColors val="0"/>
        <c:ser>
          <c:idx val="0"/>
          <c:order val="0"/>
          <c:invertIfNegative val="0"/>
          <c:dPt>
            <c:idx val="0"/>
            <c:invertIfNegative val="0"/>
            <c:bubble3D val="0"/>
            <c:spPr>
              <a:solidFill>
                <a:srgbClr val="FFCC00"/>
              </a:solidFill>
            </c:spPr>
          </c:dPt>
          <c:dPt>
            <c:idx val="1"/>
            <c:invertIfNegative val="0"/>
            <c:bubble3D val="0"/>
            <c:spPr>
              <a:solidFill>
                <a:srgbClr val="99CC00"/>
              </a:solidFill>
            </c:spPr>
          </c:dPt>
          <c:dPt>
            <c:idx val="2"/>
            <c:invertIfNegative val="0"/>
            <c:bubble3D val="0"/>
            <c:spPr>
              <a:solidFill>
                <a:srgbClr val="008000"/>
              </a:solidFill>
            </c:spPr>
          </c:dPt>
          <c:dLbls>
            <c:dLbl>
              <c:idx val="0"/>
              <c:layout>
                <c:manualLayout>
                  <c:x val="-2.526315956987382E-3"/>
                  <c:y val="0.41367415668424418"/>
                </c:manualLayout>
              </c:layout>
              <c:spPr/>
              <c:txPr>
                <a:bodyPr/>
                <a:lstStyle/>
                <a:p>
                  <a:pPr>
                    <a:defRPr sz="1200" b="0">
                      <a:solidFill>
                        <a:sysClr val="windowText" lastClr="000000"/>
                      </a:solidFill>
                    </a:defRPr>
                  </a:pPr>
                  <a:endParaRPr lang="en-US"/>
                </a:p>
              </c:txPr>
              <c:showLegendKey val="0"/>
              <c:showVal val="1"/>
              <c:showCatName val="0"/>
              <c:showSerName val="0"/>
              <c:showPercent val="0"/>
              <c:showBubbleSize val="0"/>
            </c:dLbl>
            <c:dLbl>
              <c:idx val="1"/>
              <c:layout>
                <c:manualLayout>
                  <c:x val="5.0526319139747641E-3"/>
                  <c:y val="0.61361666574829554"/>
                </c:manualLayout>
              </c:layout>
              <c:spPr/>
              <c:txPr>
                <a:bodyPr/>
                <a:lstStyle/>
                <a:p>
                  <a:pPr>
                    <a:defRPr sz="1200" b="0">
                      <a:solidFill>
                        <a:sysClr val="windowText" lastClr="000000"/>
                      </a:solidFill>
                    </a:defRPr>
                  </a:pPr>
                  <a:endParaRPr lang="en-US"/>
                </a:p>
              </c:txPr>
              <c:showLegendKey val="0"/>
              <c:showVal val="1"/>
              <c:showCatName val="0"/>
              <c:showSerName val="0"/>
              <c:showPercent val="0"/>
              <c:showBubbleSize val="0"/>
            </c:dLbl>
            <c:dLbl>
              <c:idx val="2"/>
              <c:layout>
                <c:manualLayout>
                  <c:x val="0"/>
                  <c:y val="3.2291331318035701E-2"/>
                </c:manualLayout>
              </c:layout>
              <c:spPr/>
              <c:txPr>
                <a:bodyPr/>
                <a:lstStyle/>
                <a:p>
                  <a:pPr>
                    <a:defRPr sz="1200" b="0">
                      <a:solidFill>
                        <a:sysClr val="windowText" lastClr="000000"/>
                      </a:solidFill>
                    </a:defRPr>
                  </a:pPr>
                  <a:endParaRPr lang="en-US"/>
                </a:p>
              </c:txPr>
              <c:showLegendKey val="0"/>
              <c:showVal val="1"/>
              <c:showCatName val="0"/>
              <c:showSerName val="0"/>
              <c:showPercent val="0"/>
              <c:showBubbleSize val="0"/>
            </c:dLbl>
            <c:txPr>
              <a:bodyPr/>
              <a:lstStyle/>
              <a:p>
                <a:pPr>
                  <a:defRPr sz="1200" b="0">
                    <a:solidFill>
                      <a:schemeClr val="bg2">
                        <a:lumMod val="50000"/>
                      </a:schemeClr>
                    </a:solidFill>
                  </a:defRPr>
                </a:pPr>
                <a:endParaRPr lang="en-US"/>
              </a:p>
            </c:txPr>
            <c:showLegendKey val="0"/>
            <c:showVal val="1"/>
            <c:showCatName val="0"/>
            <c:showSerName val="0"/>
            <c:showPercent val="0"/>
            <c:showBubbleSize val="0"/>
            <c:showLeaderLines val="0"/>
          </c:dLbls>
          <c:cat>
            <c:strRef>
              <c:f>'Figure 7 + E4'!$X$43:$X$45</c:f>
              <c:strCache>
                <c:ptCount val="3"/>
                <c:pt idx="0">
                  <c:v>3. Adequate</c:v>
                </c:pt>
                <c:pt idx="1">
                  <c:v>4. Good</c:v>
                </c:pt>
                <c:pt idx="2">
                  <c:v>5. Best practice</c:v>
                </c:pt>
              </c:strCache>
            </c:strRef>
          </c:cat>
          <c:val>
            <c:numRef>
              <c:f>'Figure 7 + E4'!$Y$43:$Y$45</c:f>
              <c:numCache>
                <c:formatCode>General</c:formatCode>
                <c:ptCount val="3"/>
                <c:pt idx="0">
                  <c:v>11</c:v>
                </c:pt>
                <c:pt idx="1">
                  <c:v>16</c:v>
                </c:pt>
                <c:pt idx="2">
                  <c:v>1</c:v>
                </c:pt>
              </c:numCache>
            </c:numRef>
          </c:val>
        </c:ser>
        <c:dLbls>
          <c:showLegendKey val="0"/>
          <c:showVal val="0"/>
          <c:showCatName val="0"/>
          <c:showSerName val="0"/>
          <c:showPercent val="0"/>
          <c:showBubbleSize val="0"/>
        </c:dLbls>
        <c:gapWidth val="150"/>
        <c:axId val="44582016"/>
        <c:axId val="44583936"/>
      </c:barChart>
      <c:catAx>
        <c:axId val="44582016"/>
        <c:scaling>
          <c:orientation val="minMax"/>
        </c:scaling>
        <c:delete val="1"/>
        <c:axPos val="b"/>
        <c:title>
          <c:tx>
            <c:rich>
              <a:bodyPr/>
              <a:lstStyle/>
              <a:p>
                <a:pPr>
                  <a:defRPr sz="1200" b="0">
                    <a:solidFill>
                      <a:srgbClr val="595959"/>
                    </a:solidFill>
                  </a:defRPr>
                </a:pPr>
                <a:r>
                  <a:rPr lang="en-AU" sz="1200" b="0">
                    <a:solidFill>
                      <a:srgbClr val="595959"/>
                    </a:solidFill>
                  </a:rPr>
                  <a:t>Rating</a:t>
                </a:r>
              </a:p>
            </c:rich>
          </c:tx>
          <c:overlay val="0"/>
        </c:title>
        <c:numFmt formatCode="General" sourceLinked="1"/>
        <c:majorTickMark val="out"/>
        <c:minorTickMark val="none"/>
        <c:tickLblPos val="nextTo"/>
        <c:crossAx val="44583936"/>
        <c:crosses val="autoZero"/>
        <c:auto val="1"/>
        <c:lblAlgn val="ctr"/>
        <c:lblOffset val="100"/>
        <c:noMultiLvlLbl val="0"/>
      </c:catAx>
      <c:valAx>
        <c:axId val="44583936"/>
        <c:scaling>
          <c:orientation val="minMax"/>
        </c:scaling>
        <c:delete val="1"/>
        <c:axPos val="l"/>
        <c:majorGridlines>
          <c:spPr>
            <a:ln>
              <a:solidFill>
                <a:schemeClr val="bg1">
                  <a:lumMod val="65000"/>
                </a:schemeClr>
              </a:solidFill>
            </a:ln>
          </c:spPr>
        </c:majorGridlines>
        <c:title>
          <c:tx>
            <c:rich>
              <a:bodyPr rot="-5400000" vert="horz"/>
              <a:lstStyle/>
              <a:p>
                <a:pPr>
                  <a:defRPr sz="1200" b="0">
                    <a:solidFill>
                      <a:srgbClr val="595959"/>
                    </a:solidFill>
                  </a:defRPr>
                </a:pPr>
                <a:r>
                  <a:rPr lang="en-US" sz="1200" b="0">
                    <a:solidFill>
                      <a:srgbClr val="595959"/>
                    </a:solidFill>
                  </a:rPr>
                  <a:t>Frequency</a:t>
                </a:r>
              </a:p>
            </c:rich>
          </c:tx>
          <c:layout>
            <c:manualLayout>
              <c:xMode val="edge"/>
              <c:yMode val="edge"/>
              <c:x val="4.37051556988896E-3"/>
              <c:y val="0.42850054107936913"/>
            </c:manualLayout>
          </c:layout>
          <c:overlay val="0"/>
        </c:title>
        <c:numFmt formatCode="General" sourceLinked="1"/>
        <c:majorTickMark val="out"/>
        <c:minorTickMark val="none"/>
        <c:tickLblPos val="none"/>
        <c:crossAx val="44582016"/>
        <c:crosses val="autoZero"/>
        <c:crossBetween val="between"/>
      </c:valAx>
      <c:spPr>
        <a:noFill/>
        <a:ln w="25400">
          <a:noFill/>
        </a:ln>
      </c:spPr>
    </c:plotArea>
    <c:legend>
      <c:legendPos val="t"/>
      <c:overlay val="0"/>
      <c:txPr>
        <a:bodyPr/>
        <a:lstStyle/>
        <a:p>
          <a:pPr>
            <a:defRPr>
              <a:solidFill>
                <a:srgbClr val="595959"/>
              </a:solidFill>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7751424919372084E-2"/>
          <c:y val="3.2995769991018671E-2"/>
          <c:w val="0.93855612643014219"/>
          <c:h val="0.81837499279887937"/>
        </c:manualLayout>
      </c:layout>
      <c:barChart>
        <c:barDir val="col"/>
        <c:grouping val="clustered"/>
        <c:varyColors val="0"/>
        <c:ser>
          <c:idx val="0"/>
          <c:order val="0"/>
          <c:spPr>
            <a:solidFill>
              <a:srgbClr val="002060"/>
            </a:solidFill>
          </c:spPr>
          <c:invertIfNegative val="0"/>
          <c:dLbls>
            <c:spPr>
              <a:noFill/>
              <a:ln>
                <a:noFill/>
              </a:ln>
              <a:effectLst/>
            </c:spPr>
            <c:txPr>
              <a:bodyPr/>
              <a:lstStyle/>
              <a:p>
                <a:pPr>
                  <a:defRPr b="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'[Copy of 2014 APPR quality review data and figures - SW comments on MM edited version of 13 April 2015.xlsx]Figure 8'!$A$32:$A$38</c:f>
              <c:strCache>
                <c:ptCount val="7"/>
                <c:pt idx="0">
                  <c:v>Milestone</c:v>
                </c:pt>
                <c:pt idx="1">
                  <c:v>Output</c:v>
                </c:pt>
                <c:pt idx="2">
                  <c:v>Aggregate result</c:v>
                </c:pt>
                <c:pt idx="3">
                  <c:v>Outcome</c:v>
                </c:pt>
                <c:pt idx="4">
                  <c:v>Program management</c:v>
                </c:pt>
                <c:pt idx="5">
                  <c:v>Strengthen partnerships</c:v>
                </c:pt>
                <c:pt idx="6">
                  <c:v>Policy dialogue</c:v>
                </c:pt>
              </c:strCache>
            </c:strRef>
          </c:cat>
          <c:val>
            <c:numRef>
              <c:f>'\\Chch\chch\Share Folders\Public\2. Consulting\Projects\DFAT (AusAID)\2014 APPR Review\Working Paper 1 Benchmarking\Submitted Working Paper 1\[Performance Benchmarks_Analysis 141106 final.xlsm]Indicator Types'!$B$32:$B$38</c:f>
              <c:numCache>
                <c:formatCode>General</c:formatCode>
                <c:ptCount val="7"/>
                <c:pt idx="0">
                  <c:v>28</c:v>
                </c:pt>
                <c:pt idx="1">
                  <c:v>59</c:v>
                </c:pt>
                <c:pt idx="2">
                  <c:v>48</c:v>
                </c:pt>
                <c:pt idx="3">
                  <c:v>52</c:v>
                </c:pt>
                <c:pt idx="4">
                  <c:v>27</c:v>
                </c:pt>
                <c:pt idx="5">
                  <c:v>13</c:v>
                </c:pt>
                <c:pt idx="6">
                  <c:v>12</c:v>
                </c:pt>
              </c:numCache>
            </c:numRef>
          </c:val>
        </c:ser>
        <c:dLbls>
          <c:dLblPos val="inBase"/>
          <c:showLegendKey val="0"/>
          <c:showVal val="1"/>
          <c:showCatName val="0"/>
          <c:showSerName val="0"/>
          <c:showPercent val="0"/>
          <c:showBubbleSize val="0"/>
        </c:dLbls>
        <c:gapWidth val="50"/>
        <c:axId val="44629376"/>
        <c:axId val="44627840"/>
      </c:barChart>
      <c:catAx>
        <c:axId val="44629376"/>
        <c:scaling>
          <c:orientation val="minMax"/>
        </c:scaling>
        <c:delete val="0"/>
        <c:axPos val="b"/>
        <c:numFmt formatCode="General" sourceLinked="0"/>
        <c:majorTickMark val="none"/>
        <c:minorTickMark val="none"/>
        <c:tickLblPos val="nextTo"/>
        <c:txPr>
          <a:bodyPr rot="0" vert="horz"/>
          <a:lstStyle/>
          <a:p>
            <a:pPr>
              <a:defRPr sz="900">
                <a:solidFill>
                  <a:srgbClr val="595959"/>
                </a:solidFill>
              </a:defRPr>
            </a:pPr>
            <a:endParaRPr lang="en-US"/>
          </a:p>
        </c:txPr>
        <c:crossAx val="44627840"/>
        <c:crosses val="autoZero"/>
        <c:auto val="1"/>
        <c:lblAlgn val="ctr"/>
        <c:lblOffset val="100"/>
        <c:noMultiLvlLbl val="0"/>
      </c:catAx>
      <c:valAx>
        <c:axId val="44627840"/>
        <c:scaling>
          <c:orientation val="minMax"/>
          <c:max val="60"/>
        </c:scaling>
        <c:delete val="1"/>
        <c:axPos val="l"/>
        <c:majorGridlines>
          <c:spPr>
            <a:ln>
              <a:noFill/>
            </a:ln>
          </c:spPr>
        </c:majorGridlines>
        <c:numFmt formatCode="General" sourceLinked="1"/>
        <c:majorTickMark val="out"/>
        <c:minorTickMark val="none"/>
        <c:tickLblPos val="nextTo"/>
        <c:crossAx val="44629376"/>
        <c:crosses val="autoZero"/>
        <c:crossBetween val="between"/>
      </c:valAx>
      <c:spPr>
        <a:noFill/>
      </c:spPr>
    </c:plotArea>
    <c:plotVisOnly val="1"/>
    <c:dispBlanksAs val="gap"/>
    <c:showDLblsOverMax val="0"/>
  </c:chart>
  <c:spPr>
    <a:solidFill>
      <a:srgbClr val="FFFFFF"/>
    </a:solidFill>
    <a:ln>
      <a:noFill/>
    </a:ln>
  </c:spPr>
  <c:txPr>
    <a:bodyPr/>
    <a:lstStyle/>
    <a:p>
      <a:pPr>
        <a:defRPr sz="1200">
          <a:solidFill>
            <a:schemeClr val="bg2"/>
          </a:solidFil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715711605433"/>
          <c:y val="3.7834024755980709E-2"/>
          <c:w val="0.83997683965330772"/>
          <c:h val="0.73679939960132623"/>
        </c:manualLayout>
      </c:layout>
      <c:barChart>
        <c:barDir val="col"/>
        <c:grouping val="stacked"/>
        <c:varyColors val="0"/>
        <c:ser>
          <c:idx val="0"/>
          <c:order val="0"/>
          <c:tx>
            <c:strRef>
              <c:f>'Figures 9 &amp; 10'!$F$18</c:f>
              <c:strCache>
                <c:ptCount val="1"/>
                <c:pt idx="0">
                  <c:v>Not rated</c:v>
                </c:pt>
              </c:strCache>
            </c:strRef>
          </c:tx>
          <c:invertIfNegative val="0"/>
          <c:cat>
            <c:strRef>
              <c:f>'Figures 9 &amp; 10'!$G$17:$I$17</c:f>
              <c:strCache>
                <c:ptCount val="3"/>
                <c:pt idx="0">
                  <c:v>2011–12</c:v>
                </c:pt>
                <c:pt idx="1">
                  <c:v>2012–13</c:v>
                </c:pt>
                <c:pt idx="2">
                  <c:v>2013–14</c:v>
                </c:pt>
              </c:strCache>
            </c:strRef>
          </c:cat>
          <c:val>
            <c:numRef>
              <c:f>'Figures 9 &amp; 10'!$G$18:$I$18</c:f>
              <c:numCache>
                <c:formatCode>General</c:formatCode>
                <c:ptCount val="3"/>
                <c:pt idx="0">
                  <c:v>5</c:v>
                </c:pt>
                <c:pt idx="2">
                  <c:v>1</c:v>
                </c:pt>
              </c:numCache>
            </c:numRef>
          </c:val>
        </c:ser>
        <c:ser>
          <c:idx val="1"/>
          <c:order val="1"/>
          <c:tx>
            <c:strRef>
              <c:f>'Figures 9 &amp; 10'!$F$19</c:f>
              <c:strCache>
                <c:ptCount val="1"/>
                <c:pt idx="0">
                  <c:v>Red</c:v>
                </c:pt>
              </c:strCache>
            </c:strRef>
          </c:tx>
          <c:spPr>
            <a:solidFill>
              <a:srgbClr val="FF0000"/>
            </a:solidFill>
          </c:spPr>
          <c:invertIfNegative val="0"/>
          <c:cat>
            <c:strRef>
              <c:f>'Figures 9 &amp; 10'!$G$17:$I$17</c:f>
              <c:strCache>
                <c:ptCount val="3"/>
                <c:pt idx="0">
                  <c:v>2011–12</c:v>
                </c:pt>
                <c:pt idx="1">
                  <c:v>2012–13</c:v>
                </c:pt>
                <c:pt idx="2">
                  <c:v>2013–14</c:v>
                </c:pt>
              </c:strCache>
            </c:strRef>
          </c:cat>
          <c:val>
            <c:numRef>
              <c:f>'Figures 9 &amp; 10'!$G$19:$I$19</c:f>
              <c:numCache>
                <c:formatCode>General</c:formatCode>
                <c:ptCount val="3"/>
                <c:pt idx="0">
                  <c:v>10</c:v>
                </c:pt>
                <c:pt idx="1">
                  <c:v>6</c:v>
                </c:pt>
                <c:pt idx="2">
                  <c:v>2</c:v>
                </c:pt>
              </c:numCache>
            </c:numRef>
          </c:val>
        </c:ser>
        <c:ser>
          <c:idx val="2"/>
          <c:order val="2"/>
          <c:tx>
            <c:strRef>
              <c:f>'Figures 9 &amp; 10'!$F$20</c:f>
              <c:strCache>
                <c:ptCount val="1"/>
                <c:pt idx="0">
                  <c:v>Amber</c:v>
                </c:pt>
              </c:strCache>
            </c:strRef>
          </c:tx>
          <c:spPr>
            <a:solidFill>
              <a:srgbClr val="FFCC00"/>
            </a:solidFill>
          </c:spPr>
          <c:invertIfNegative val="0"/>
          <c:cat>
            <c:strRef>
              <c:f>'Figures 9 &amp; 10'!$G$17:$I$17</c:f>
              <c:strCache>
                <c:ptCount val="3"/>
                <c:pt idx="0">
                  <c:v>2011–12</c:v>
                </c:pt>
                <c:pt idx="1">
                  <c:v>2012–13</c:v>
                </c:pt>
                <c:pt idx="2">
                  <c:v>2013–14</c:v>
                </c:pt>
              </c:strCache>
            </c:strRef>
          </c:cat>
          <c:val>
            <c:numRef>
              <c:f>'Figures 9 &amp; 10'!$G$20:$I$20</c:f>
              <c:numCache>
                <c:formatCode>General</c:formatCode>
                <c:ptCount val="3"/>
                <c:pt idx="0">
                  <c:v>109.5</c:v>
                </c:pt>
                <c:pt idx="1">
                  <c:v>81</c:v>
                </c:pt>
                <c:pt idx="2">
                  <c:v>46</c:v>
                </c:pt>
              </c:numCache>
            </c:numRef>
          </c:val>
        </c:ser>
        <c:ser>
          <c:idx val="3"/>
          <c:order val="3"/>
          <c:tx>
            <c:strRef>
              <c:f>'Figures 9 &amp; 10'!$F$21</c:f>
              <c:strCache>
                <c:ptCount val="1"/>
                <c:pt idx="0">
                  <c:v>Green</c:v>
                </c:pt>
              </c:strCache>
            </c:strRef>
          </c:tx>
          <c:spPr>
            <a:solidFill>
              <a:srgbClr val="00B050"/>
            </a:solidFill>
          </c:spPr>
          <c:invertIfNegative val="0"/>
          <c:cat>
            <c:strRef>
              <c:f>'Figures 9 &amp; 10'!$G$17:$I$17</c:f>
              <c:strCache>
                <c:ptCount val="3"/>
                <c:pt idx="0">
                  <c:v>2011–12</c:v>
                </c:pt>
                <c:pt idx="1">
                  <c:v>2012–13</c:v>
                </c:pt>
                <c:pt idx="2">
                  <c:v>2013–14</c:v>
                </c:pt>
              </c:strCache>
            </c:strRef>
          </c:cat>
          <c:val>
            <c:numRef>
              <c:f>'Figures 9 &amp; 10'!$G$21:$I$21</c:f>
              <c:numCache>
                <c:formatCode>General</c:formatCode>
                <c:ptCount val="3"/>
                <c:pt idx="0">
                  <c:v>102.5</c:v>
                </c:pt>
                <c:pt idx="1">
                  <c:v>94</c:v>
                </c:pt>
                <c:pt idx="2">
                  <c:v>97</c:v>
                </c:pt>
              </c:numCache>
            </c:numRef>
          </c:val>
        </c:ser>
        <c:dLbls>
          <c:showLegendKey val="0"/>
          <c:showVal val="0"/>
          <c:showCatName val="0"/>
          <c:showSerName val="0"/>
          <c:showPercent val="0"/>
          <c:showBubbleSize val="0"/>
        </c:dLbls>
        <c:gapWidth val="75"/>
        <c:overlap val="100"/>
        <c:axId val="39292288"/>
        <c:axId val="39298176"/>
      </c:barChart>
      <c:catAx>
        <c:axId val="39292288"/>
        <c:scaling>
          <c:orientation val="minMax"/>
        </c:scaling>
        <c:delete val="0"/>
        <c:axPos val="b"/>
        <c:majorTickMark val="none"/>
        <c:minorTickMark val="none"/>
        <c:tickLblPos val="nextTo"/>
        <c:spPr>
          <a:ln>
            <a:noFill/>
          </a:ln>
        </c:spPr>
        <c:txPr>
          <a:bodyPr/>
          <a:lstStyle/>
          <a:p>
            <a:pPr>
              <a:defRPr>
                <a:solidFill>
                  <a:srgbClr val="595959"/>
                </a:solidFill>
              </a:defRPr>
            </a:pPr>
            <a:endParaRPr lang="en-US"/>
          </a:p>
        </c:txPr>
        <c:crossAx val="39298176"/>
        <c:crosses val="autoZero"/>
        <c:auto val="1"/>
        <c:lblAlgn val="ctr"/>
        <c:lblOffset val="100"/>
        <c:noMultiLvlLbl val="0"/>
      </c:catAx>
      <c:valAx>
        <c:axId val="39298176"/>
        <c:scaling>
          <c:orientation val="minMax"/>
        </c:scaling>
        <c:delete val="0"/>
        <c:axPos val="l"/>
        <c:majorGridlines>
          <c:spPr>
            <a:ln>
              <a:solidFill>
                <a:schemeClr val="tx1">
                  <a:lumMod val="15000"/>
                  <a:lumOff val="85000"/>
                </a:schemeClr>
              </a:solidFill>
            </a:ln>
          </c:spPr>
        </c:majorGridlines>
        <c:title>
          <c:tx>
            <c:rich>
              <a:bodyPr rot="-5400000" vert="horz"/>
              <a:lstStyle/>
              <a:p>
                <a:pPr>
                  <a:defRPr sz="1200" b="0"/>
                </a:pPr>
                <a:r>
                  <a:rPr lang="en-AU" sz="1200" b="0">
                    <a:solidFill>
                      <a:srgbClr val="767171"/>
                    </a:solidFill>
                  </a:rPr>
                  <a:t>Number of objectives</a:t>
                </a:r>
              </a:p>
            </c:rich>
          </c:tx>
          <c:layout>
            <c:manualLayout>
              <c:xMode val="edge"/>
              <c:yMode val="edge"/>
              <c:x val="1.0963716357048863E-2"/>
              <c:y val="0.25336443013509774"/>
            </c:manualLayout>
          </c:layout>
          <c:overlay val="0"/>
        </c:title>
        <c:numFmt formatCode="General" sourceLinked="0"/>
        <c:majorTickMark val="none"/>
        <c:minorTickMark val="none"/>
        <c:tickLblPos val="nextTo"/>
        <c:spPr>
          <a:ln>
            <a:noFill/>
          </a:ln>
        </c:spPr>
        <c:txPr>
          <a:bodyPr/>
          <a:lstStyle/>
          <a:p>
            <a:pPr>
              <a:defRPr>
                <a:solidFill>
                  <a:srgbClr val="595959"/>
                </a:solidFill>
              </a:defRPr>
            </a:pPr>
            <a:endParaRPr lang="en-US"/>
          </a:p>
        </c:txPr>
        <c:crossAx val="39292288"/>
        <c:crosses val="autoZero"/>
        <c:crossBetween val="between"/>
      </c:valAx>
      <c:spPr>
        <a:noFill/>
        <a:ln>
          <a:noFill/>
        </a:ln>
      </c:spPr>
    </c:plotArea>
    <c:legend>
      <c:legendPos val="b"/>
      <c:layout>
        <c:manualLayout>
          <c:xMode val="edge"/>
          <c:yMode val="edge"/>
          <c:x val="0.30159942142342872"/>
          <c:y val="0.86681726720397378"/>
          <c:w val="0.41509322201579635"/>
          <c:h val="6.162109251844114E-2"/>
        </c:manualLayout>
      </c:layout>
      <c:overlay val="0"/>
      <c:txPr>
        <a:bodyPr/>
        <a:lstStyle/>
        <a:p>
          <a:pPr>
            <a:defRPr>
              <a:solidFill>
                <a:srgbClr val="595959"/>
              </a:solidFill>
            </a:defRPr>
          </a:pPr>
          <a:endParaRPr lang="en-US"/>
        </a:p>
      </c:txPr>
    </c:legend>
    <c:plotVisOnly val="1"/>
    <c:dispBlanksAs val="gap"/>
    <c:showDLblsOverMax val="0"/>
  </c:chart>
  <c:spPr>
    <a:solidFill>
      <a:srgbClr val="FFFFFF"/>
    </a:solid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33972647578066E-2"/>
          <c:y val="6.0941137104585041E-2"/>
          <c:w val="0.95786282537760348"/>
          <c:h val="0.73944816815253467"/>
        </c:manualLayout>
      </c:layout>
      <c:barChart>
        <c:barDir val="col"/>
        <c:grouping val="clustered"/>
        <c:varyColors val="0"/>
        <c:ser>
          <c:idx val="1"/>
          <c:order val="0"/>
          <c:tx>
            <c:strRef>
              <c:f>'Figure D1'!$B$93</c:f>
              <c:strCache>
                <c:ptCount val="1"/>
                <c:pt idx="0">
                  <c:v>Average value 2013</c:v>
                </c:pt>
              </c:strCache>
            </c:strRef>
          </c:tx>
          <c:spPr>
            <a:solidFill>
              <a:schemeClr val="tx2">
                <a:lumMod val="20000"/>
                <a:lumOff val="80000"/>
              </a:schemeClr>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labels'!$A$7:$A$10</c:f>
              <c:strCache>
                <c:ptCount val="4"/>
                <c:pt idx="0">
                  <c:v>CORNERSTONE QUESTION 1:
Does the APPR provide a
clear, balanced description
of program relevance within
the country/regional
context and the new
aid policy framework?</c:v>
                </c:pt>
                <c:pt idx="1">
                  <c:v>CORNERSTONE QUESTION 2:
Does the APPR narrative
explain and justify, in a
proportionate way, the
progress ratings against
each program objective?</c:v>
                </c:pt>
                <c:pt idx="2">
                  <c:v>CORNERSTONE QUESTION 3:
Does the APPR provide a
proportionate, balanced
discussion of the
contribution of
partner governments
and delivery partners?</c:v>
                </c:pt>
                <c:pt idx="3">
                  <c:v>CORNERSTONE QUESTION 4:
Are the management
consequences clearly linked
to the ratings narratives
and the identified risks
to future progress?</c:v>
                </c:pt>
              </c:strCache>
            </c:strRef>
          </c:cat>
          <c:val>
            <c:numRef>
              <c:f>('Figure D1'!$C$93,'Figure D1'!$G$93,'Figure D1'!$O$93,'Figure D1'!$T$93)</c:f>
              <c:numCache>
                <c:formatCode>General</c:formatCode>
                <c:ptCount val="4"/>
                <c:pt idx="0">
                  <c:v>3.925925925925926</c:v>
                </c:pt>
                <c:pt idx="1">
                  <c:v>3.7777777777777777</c:v>
                </c:pt>
                <c:pt idx="2">
                  <c:v>4.1481481481481479</c:v>
                </c:pt>
                <c:pt idx="3">
                  <c:v>4.1481481481481479</c:v>
                </c:pt>
              </c:numCache>
            </c:numRef>
          </c:val>
        </c:ser>
        <c:ser>
          <c:idx val="2"/>
          <c:order val="1"/>
          <c:tx>
            <c:strRef>
              <c:f>'Figure D1'!$B$94</c:f>
              <c:strCache>
                <c:ptCount val="1"/>
                <c:pt idx="0">
                  <c:v>Average value 2014</c:v>
                </c:pt>
              </c:strCache>
            </c:strRef>
          </c:tx>
          <c:spPr>
            <a:solidFill>
              <a:schemeClr val="accent5">
                <a:lumMod val="50000"/>
              </a:schemeClr>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bg2"/>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'Text for x-axis labels'!$A$7:$A$10</c:f>
              <c:strCache>
                <c:ptCount val="4"/>
                <c:pt idx="0">
                  <c:v>CORNERSTONE QUESTION 1:
Does the APPR provide a
clear, balanced description
of program relevance within
the country/regional
context and the new
aid policy framework?</c:v>
                </c:pt>
                <c:pt idx="1">
                  <c:v>CORNERSTONE QUESTION 2:
Does the APPR narrative
explain and justify, in a
proportionate way, the
progress ratings against
each program objective?</c:v>
                </c:pt>
                <c:pt idx="2">
                  <c:v>CORNERSTONE QUESTION 3:
Does the APPR provide a
proportionate, balanced
discussion of the
contribution of
partner governments
and delivery partners?</c:v>
                </c:pt>
                <c:pt idx="3">
                  <c:v>CORNERSTONE QUESTION 4:
Are the management
consequences clearly linked
to the ratings narratives
and the identified risks
to future progress?</c:v>
                </c:pt>
              </c:strCache>
            </c:strRef>
          </c:cat>
          <c:val>
            <c:numRef>
              <c:f>('Figure D1'!$C$94,'Figure D1'!$G$94,'Figure D1'!$O$94,'Figure D1'!$T$94)</c:f>
              <c:numCache>
                <c:formatCode>General</c:formatCode>
                <c:ptCount val="4"/>
                <c:pt idx="0">
                  <c:v>3.6666666666666665</c:v>
                </c:pt>
                <c:pt idx="1">
                  <c:v>3.6666666666666665</c:v>
                </c:pt>
                <c:pt idx="2">
                  <c:v>3.5555555555555554</c:v>
                </c:pt>
                <c:pt idx="3">
                  <c:v>3.6666666666666665</c:v>
                </c:pt>
              </c:numCache>
            </c:numRef>
          </c:val>
        </c:ser>
        <c:dLbls>
          <c:dLblPos val="inBase"/>
          <c:showLegendKey val="0"/>
          <c:showVal val="1"/>
          <c:showCatName val="0"/>
          <c:showSerName val="0"/>
          <c:showPercent val="0"/>
          <c:showBubbleSize val="0"/>
        </c:dLbls>
        <c:gapWidth val="50"/>
        <c:axId val="44523520"/>
        <c:axId val="44525056"/>
      </c:barChart>
      <c:catAx>
        <c:axId val="4452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525056"/>
        <c:crosses val="autoZero"/>
        <c:auto val="1"/>
        <c:lblAlgn val="ctr"/>
        <c:lblOffset val="100"/>
        <c:noMultiLvlLbl val="0"/>
      </c:catAx>
      <c:valAx>
        <c:axId val="44525056"/>
        <c:scaling>
          <c:orientation val="minMax"/>
          <c:max val="5.4"/>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4523520"/>
        <c:crosses val="autoZero"/>
        <c:crossBetween val="between"/>
      </c:valAx>
      <c:spPr>
        <a:noFill/>
        <a:ln>
          <a:noFill/>
        </a:ln>
        <a:effectLst/>
      </c:spPr>
    </c:plotArea>
    <c:legend>
      <c:legendPos val="r"/>
      <c:layout>
        <c:manualLayout>
          <c:xMode val="edge"/>
          <c:yMode val="edge"/>
          <c:x val="0.86901237865839898"/>
          <c:y val="3.7602915338062079E-2"/>
          <c:w val="0.13098762134160105"/>
          <c:h val="0.16776937593544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0.2417</cdr:y>
    </cdr:from>
    <cdr:to>
      <cdr:x>0.03622</cdr:x>
      <cdr:y>0.50294</cdr:y>
    </cdr:to>
    <cdr:sp macro="" textlink="">
      <cdr:nvSpPr>
        <cdr:cNvPr id="2" name="TextBox 1"/>
        <cdr:cNvSpPr txBox="1"/>
      </cdr:nvSpPr>
      <cdr:spPr>
        <a:xfrm xmlns:a="http://schemas.openxmlformats.org/drawingml/2006/main">
          <a:off x="0" y="1106439"/>
          <a:ext cx="264583" cy="1195917"/>
        </a:xfrm>
        <a:prstGeom xmlns:a="http://schemas.openxmlformats.org/drawingml/2006/main" prst="rect">
          <a:avLst/>
        </a:prstGeom>
      </cdr:spPr>
      <cdr:txBody>
        <a:bodyPr xmlns:a="http://schemas.openxmlformats.org/drawingml/2006/main" vertOverflow="clip" vert="vert270" wrap="square" rtlCol="0" anchor="ctr" anchorCtr="1"/>
        <a:lstStyle xmlns:a="http://schemas.openxmlformats.org/drawingml/2006/main"/>
        <a:p xmlns:a="http://schemas.openxmlformats.org/drawingml/2006/main">
          <a:r>
            <a:rPr lang="en-AU" sz="1200" b="0">
              <a:solidFill>
                <a:srgbClr val="595959"/>
              </a:solidFill>
            </a:rPr>
            <a:t>Frequency</a:t>
          </a:r>
        </a:p>
      </cdr:txBody>
    </cdr:sp>
  </cdr:relSizeAnchor>
  <cdr:relSizeAnchor xmlns:cdr="http://schemas.openxmlformats.org/drawingml/2006/chartDrawing">
    <cdr:from>
      <cdr:x>0</cdr:x>
      <cdr:y>0.2417</cdr:y>
    </cdr:from>
    <cdr:to>
      <cdr:x>0.03622</cdr:x>
      <cdr:y>0.50294</cdr:y>
    </cdr:to>
    <cdr:sp macro="" textlink="">
      <cdr:nvSpPr>
        <cdr:cNvPr id="3" name="TextBox 1"/>
        <cdr:cNvSpPr txBox="1"/>
      </cdr:nvSpPr>
      <cdr:spPr>
        <a:xfrm xmlns:a="http://schemas.openxmlformats.org/drawingml/2006/main">
          <a:off x="0" y="1106439"/>
          <a:ext cx="264583" cy="1195917"/>
        </a:xfrm>
        <a:prstGeom xmlns:a="http://schemas.openxmlformats.org/drawingml/2006/main" prst="rect">
          <a:avLst/>
        </a:prstGeom>
      </cdr:spPr>
      <cdr:txBody>
        <a:bodyPr xmlns:a="http://schemas.openxmlformats.org/drawingml/2006/main" vertOverflow="clip" vert="vert270" wrap="square" rtlCol="0" anchor="ctr" anchorCtr="1"/>
        <a:lstStyle xmlns:a="http://schemas.openxmlformats.org/drawingml/2006/main"/>
        <a:p xmlns:a="http://schemas.openxmlformats.org/drawingml/2006/main">
          <a:r>
            <a:rPr lang="en-AU" sz="1200" b="0">
              <a:solidFill>
                <a:srgbClr val="595959"/>
              </a:solidFill>
            </a:rPr>
            <a:t>Frequency</a:t>
          </a:r>
        </a:p>
      </cdr:txBody>
    </cdr:sp>
  </cdr:relSizeAnchor>
</c:userShapes>
</file>

<file path=word/drawings/drawing2.xml><?xml version="1.0" encoding="utf-8"?>
<c:userShapes xmlns:c="http://schemas.openxmlformats.org/drawingml/2006/chart">
  <cdr:relSizeAnchor xmlns:cdr="http://schemas.openxmlformats.org/drawingml/2006/chartDrawing">
    <cdr:from>
      <cdr:x>0.00451</cdr:x>
      <cdr:y>0.38296</cdr:y>
    </cdr:from>
    <cdr:to>
      <cdr:x>0.04073</cdr:x>
      <cdr:y>0.6442</cdr:y>
    </cdr:to>
    <cdr:sp macro="" textlink="">
      <cdr:nvSpPr>
        <cdr:cNvPr id="2" name="TextBox 1"/>
        <cdr:cNvSpPr txBox="1"/>
      </cdr:nvSpPr>
      <cdr:spPr>
        <a:xfrm xmlns:a="http://schemas.openxmlformats.org/drawingml/2006/main">
          <a:off x="34205" y="1654228"/>
          <a:ext cx="274923" cy="1128437"/>
        </a:xfrm>
        <a:prstGeom xmlns:a="http://schemas.openxmlformats.org/drawingml/2006/main" prst="rect">
          <a:avLst/>
        </a:prstGeom>
      </cdr:spPr>
      <cdr:txBody>
        <a:bodyPr xmlns:a="http://schemas.openxmlformats.org/drawingml/2006/main" vert="vert270" wrap="square" rtlCol="0" anchor="ctr" anchorCtr="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200" b="0">
              <a:solidFill>
                <a:srgbClr val="595959"/>
              </a:solidFill>
            </a:rPr>
            <a:t>Frequency</a:t>
          </a:r>
        </a:p>
      </cdr:txBody>
    </cdr:sp>
  </cdr:relSizeAnchor>
</c:userShapes>
</file>

<file path=word/drawings/drawing3.xml><?xml version="1.0" encoding="utf-8"?>
<c:userShapes xmlns:c="http://schemas.openxmlformats.org/drawingml/2006/chart">
  <cdr:relSizeAnchor xmlns:cdr="http://schemas.openxmlformats.org/drawingml/2006/chartDrawing">
    <cdr:from>
      <cdr:x>0.00406</cdr:x>
      <cdr:y>0.27234</cdr:y>
    </cdr:from>
    <cdr:to>
      <cdr:x>0.04028</cdr:x>
      <cdr:y>0.53359</cdr:y>
    </cdr:to>
    <cdr:sp macro="" textlink="">
      <cdr:nvSpPr>
        <cdr:cNvPr id="2" name="TextBox 1"/>
        <cdr:cNvSpPr txBox="1"/>
      </cdr:nvSpPr>
      <cdr:spPr>
        <a:xfrm xmlns:a="http://schemas.openxmlformats.org/drawingml/2006/main">
          <a:off x="29633" y="1246716"/>
          <a:ext cx="264583" cy="1195917"/>
        </a:xfrm>
        <a:prstGeom xmlns:a="http://schemas.openxmlformats.org/drawingml/2006/main" prst="rect">
          <a:avLst/>
        </a:prstGeom>
      </cdr:spPr>
      <cdr:txBody>
        <a:bodyPr xmlns:a="http://schemas.openxmlformats.org/drawingml/2006/main" vert="vert270" wrap="square" rtlCol="0" anchor="ctr" anchorCtr="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AU" sz="1400">
            <a:solidFill>
              <a:schemeClr val="bg1">
                <a:lumMod val="50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DAE696-16F5-49F8-AA61-7381E758645D}"/>
</file>

<file path=customXml/itemProps2.xml><?xml version="1.0" encoding="utf-8"?>
<ds:datastoreItem xmlns:ds="http://schemas.openxmlformats.org/officeDocument/2006/customXml" ds:itemID="{A8F5086E-51BA-4B7E-A759-AEF590C00001}"/>
</file>

<file path=customXml/itemProps3.xml><?xml version="1.0" encoding="utf-8"?>
<ds:datastoreItem xmlns:ds="http://schemas.openxmlformats.org/officeDocument/2006/customXml" ds:itemID="{AE7EB0ED-DEC7-4EBA-BFF5-9C3B65B467A5}"/>
</file>

<file path=customXml/itemProps4.xml><?xml version="1.0" encoding="utf-8"?>
<ds:datastoreItem xmlns:ds="http://schemas.openxmlformats.org/officeDocument/2006/customXml" ds:itemID="{39AB6561-B51A-420D-9864-C26648B6FE52}"/>
</file>

<file path=docProps/app.xml><?xml version="1.0" encoding="utf-8"?>
<Properties xmlns="http://schemas.openxmlformats.org/officeDocument/2006/extended-properties" xmlns:vt="http://schemas.openxmlformats.org/officeDocument/2006/docPropsVTypes">
  <Template>5626C696</Template>
  <TotalTime>0</TotalTime>
  <Pages>42</Pages>
  <Words>10381</Words>
  <Characters>59174</Characters>
  <Application>Microsoft Office Word</Application>
  <DocSecurity>0</DocSecurity>
  <Lines>493</Lines>
  <Paragraphs>138</Paragraphs>
  <ScaleCrop>false</ScaleCrop>
  <Company/>
  <LinksUpToDate>false</LinksUpToDate>
  <CharactersWithSpaces>69417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2015-06-29T03:36:00Z</dcterms:created>
  <dcterms:modified xsi:type="dcterms:W3CDTF">2015-06-29T03:36:00Z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Order">
    <vt:r8>66800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