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6.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13.xml" ContentType="application/vnd.openxmlformats-officedocument.wordprocessingml.header+xml"/>
  <Override PartName="/word/header7.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CC8" w:rsidRPr="00CB10AD" w:rsidRDefault="00645CC8" w:rsidP="00854A82">
      <w:pPr>
        <w:rPr>
          <w:lang w:val="en-AU"/>
        </w:rPr>
      </w:pPr>
      <w:bookmarkStart w:id="0" w:name="_GoBack"/>
      <w:bookmarkEnd w:id="0"/>
      <w:r w:rsidRPr="00CB10AD">
        <w:rPr>
          <w:noProof/>
          <w:lang w:val="en-AU" w:eastAsia="en-AU"/>
        </w:rPr>
        <w:drawing>
          <wp:anchor distT="0" distB="0" distL="114300" distR="114300" simplePos="0" relativeHeight="251664384" behindDoc="0" locked="0" layoutInCell="1" allowOverlap="1" wp14:anchorId="36D5D1F5" wp14:editId="43E47B38">
            <wp:simplePos x="0" y="0"/>
            <wp:positionH relativeFrom="column">
              <wp:posOffset>-940435</wp:posOffset>
            </wp:positionH>
            <wp:positionV relativeFrom="paragraph">
              <wp:posOffset>-912165</wp:posOffset>
            </wp:positionV>
            <wp:extent cx="7754587" cy="2529444"/>
            <wp:effectExtent l="0" t="0" r="0" b="0"/>
            <wp:wrapNone/>
            <wp:docPr id="2618" name="Picture 9"/>
            <wp:cNvGraphicFramePr/>
            <a:graphic xmlns:a="http://schemas.openxmlformats.org/drawingml/2006/main">
              <a:graphicData uri="http://schemas.openxmlformats.org/drawingml/2006/picture">
                <pic:pic xmlns:pic="http://schemas.openxmlformats.org/drawingml/2006/picture">
                  <pic:nvPicPr>
                    <pic:cNvPr id="2618" name="Picture 9"/>
                    <pic:cNvPicPr/>
                  </pic:nvPicPr>
                  <pic:blipFill>
                    <a:blip r:embed="rId9">
                      <a:extLst>
                        <a:ext uri="{28A0092B-C50C-407E-A947-70E740481C1C}">
                          <a14:useLocalDpi xmlns:a14="http://schemas.microsoft.com/office/drawing/2010/main" val="0"/>
                        </a:ext>
                      </a:extLst>
                    </a:blip>
                    <a:srcRect r="3587"/>
                    <a:stretch>
                      <a:fillRect/>
                    </a:stretch>
                  </pic:blipFill>
                  <pic:spPr bwMode="auto">
                    <a:xfrm>
                      <a:off x="0" y="0"/>
                      <a:ext cx="7754587" cy="2529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noProof/>
          <w:lang w:val="en-AU" w:eastAsia="en-AU"/>
        </w:rPr>
        <w:drawing>
          <wp:anchor distT="0" distB="0" distL="114300" distR="114300" simplePos="0" relativeHeight="251665408" behindDoc="0" locked="1" layoutInCell="0" allowOverlap="1" wp14:anchorId="2F57FDAB" wp14:editId="5DAB594B">
            <wp:simplePos x="0" y="0"/>
            <wp:positionH relativeFrom="column">
              <wp:posOffset>816610</wp:posOffset>
            </wp:positionH>
            <wp:positionV relativeFrom="page">
              <wp:posOffset>471805</wp:posOffset>
            </wp:positionV>
            <wp:extent cx="2790825" cy="619125"/>
            <wp:effectExtent l="0" t="0" r="9525" b="9525"/>
            <wp:wrapNone/>
            <wp:docPr id="2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Logo EP - EN white.emf"/>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87"/>
                    <a:stretch/>
                  </pic:blipFill>
                  <pic:spPr bwMode="auto">
                    <a:xfrm>
                      <a:off x="0" y="0"/>
                      <a:ext cx="2790825"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10AD">
        <w:rPr>
          <w:noProof/>
          <w:lang w:val="en-AU" w:eastAsia="en-AU"/>
        </w:rPr>
        <w:drawing>
          <wp:anchor distT="0" distB="0" distL="114300" distR="114300" simplePos="0" relativeHeight="251666432" behindDoc="0" locked="0" layoutInCell="1" allowOverlap="1" wp14:anchorId="118D79BA" wp14:editId="7B838220">
            <wp:simplePos x="0" y="0"/>
            <wp:positionH relativeFrom="column">
              <wp:posOffset>-402590</wp:posOffset>
            </wp:positionH>
            <wp:positionV relativeFrom="paragraph">
              <wp:posOffset>-365125</wp:posOffset>
            </wp:positionV>
            <wp:extent cx="1146175" cy="514350"/>
            <wp:effectExtent l="0" t="0" r="0" b="0"/>
            <wp:wrapNone/>
            <wp:docPr id="50" name="Picture 50" descr="C:\Users\IDVIS_~1\AppData\Local\Temp\Rar$DRa0.381\Australian Aid Identifier whit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VIS_~1\AppData\Local\Temp\Rar$DRa0.381\Australian Aid Identifier white r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C8" w:rsidRPr="00CB10AD" w:rsidRDefault="00645CC8" w:rsidP="00854A82">
      <w:pPr>
        <w:rPr>
          <w:lang w:val="en-AU"/>
        </w:rPr>
      </w:pPr>
      <w:r w:rsidRPr="00CB10AD">
        <w:rPr>
          <w:noProof/>
          <w:lang w:val="en-AU" w:eastAsia="en-AU"/>
        </w:rPr>
        <w:drawing>
          <wp:anchor distT="0" distB="0" distL="114300" distR="114300" simplePos="0" relativeHeight="251667456" behindDoc="1" locked="0" layoutInCell="1" allowOverlap="1" wp14:anchorId="7F23F03F" wp14:editId="20C48D03">
            <wp:simplePos x="0" y="0"/>
            <wp:positionH relativeFrom="column">
              <wp:posOffset>-131674</wp:posOffset>
            </wp:positionH>
            <wp:positionV relativeFrom="paragraph">
              <wp:posOffset>85218</wp:posOffset>
            </wp:positionV>
            <wp:extent cx="5727802" cy="2611526"/>
            <wp:effectExtent l="57150" t="57150" r="120650" b="113030"/>
            <wp:wrapNone/>
            <wp:docPr id="5" name="Picture 5" descr="C:\Users\idvis_000\AppData\Local\Microsoft\Windows\INetCache\Content.Word\A classroom at a newly constructed school in Sangi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vis_000\AppData\Local\Microsoft\Windows\INetCache\Content.Word\A classroom at a newly constructed school in Sangihe.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pic:blipFill>
                  <pic:spPr bwMode="auto">
                    <a:xfrm>
                      <a:off x="0" y="0"/>
                      <a:ext cx="5734685" cy="2614664"/>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r w:rsidRPr="00CB10AD">
        <w:rPr>
          <w:noProof/>
          <w:lang w:val="en-AU" w:eastAsia="en-AU"/>
        </w:rPr>
        <w:drawing>
          <wp:anchor distT="0" distB="0" distL="114300" distR="114300" simplePos="0" relativeHeight="251668480" behindDoc="1" locked="0" layoutInCell="1" allowOverlap="1" wp14:anchorId="2F6263C3" wp14:editId="6C9A081A">
            <wp:simplePos x="0" y="0"/>
            <wp:positionH relativeFrom="column">
              <wp:posOffset>-131445</wp:posOffset>
            </wp:positionH>
            <wp:positionV relativeFrom="paragraph">
              <wp:posOffset>19050</wp:posOffset>
            </wp:positionV>
            <wp:extent cx="5720080" cy="2238375"/>
            <wp:effectExtent l="57150" t="57150" r="109220" b="123825"/>
            <wp:wrapNone/>
            <wp:docPr id="8" name="Picture 8" descr="C:\Users\idvis_000\AppData\Local\Microsoft\Windows\INetCache\Content.Word\2013-07-23 08.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vis_000\AppData\Local\Microsoft\Windows\INetCache\Content.Word\2013-07-23 08.06.1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720080" cy="22383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tbl>
      <w:tblPr>
        <w:tblpPr w:leftFromText="187" w:rightFromText="187" w:vertAnchor="text" w:horzAnchor="margin" w:tblpY="1"/>
        <w:tblOverlap w:val="never"/>
        <w:tblW w:w="5000" w:type="pct"/>
        <w:tblLook w:val="04A0" w:firstRow="1" w:lastRow="0" w:firstColumn="1" w:lastColumn="0" w:noHBand="0" w:noVBand="1"/>
      </w:tblPr>
      <w:tblGrid>
        <w:gridCol w:w="9245"/>
      </w:tblGrid>
      <w:tr w:rsidR="00645CC8" w:rsidRPr="00CB10AD" w:rsidTr="00645CC8">
        <w:trPr>
          <w:trHeight w:val="360"/>
        </w:trPr>
        <w:tc>
          <w:tcPr>
            <w:tcW w:w="5000" w:type="pct"/>
          </w:tcPr>
          <w:p w:rsidR="00645CC8" w:rsidRPr="00CB10AD" w:rsidRDefault="00940C3D" w:rsidP="00940C3D">
            <w:pPr>
              <w:pStyle w:val="NoSpacing"/>
              <w:rPr>
                <w:rFonts w:asciiTheme="minorHAnsi" w:eastAsiaTheme="majorEastAsia" w:hAnsiTheme="minorHAnsi" w:cstheme="minorHAnsi"/>
                <w:caps/>
                <w:color w:val="68BAD6"/>
                <w:lang w:val="en-AU"/>
              </w:rPr>
            </w:pPr>
            <w:r>
              <w:rPr>
                <w:rFonts w:asciiTheme="minorHAnsi" w:eastAsiaTheme="majorEastAsia" w:hAnsiTheme="minorHAnsi" w:cstheme="minorHAnsi"/>
                <w:caps/>
                <w:color w:val="68BAD6"/>
                <w:sz w:val="32"/>
                <w:lang w:val="en-AU"/>
              </w:rPr>
              <w:t>Final</w:t>
            </w:r>
            <w:r w:rsidR="001409A2" w:rsidRPr="00CB10AD">
              <w:rPr>
                <w:rFonts w:asciiTheme="minorHAnsi" w:eastAsiaTheme="majorEastAsia" w:hAnsiTheme="minorHAnsi" w:cstheme="minorHAnsi"/>
                <w:caps/>
                <w:color w:val="68BAD6"/>
                <w:sz w:val="32"/>
                <w:lang w:val="en-AU"/>
              </w:rPr>
              <w:t xml:space="preserve"> </w:t>
            </w:r>
            <w:r w:rsidR="00645CC8" w:rsidRPr="00CB10AD">
              <w:rPr>
                <w:rFonts w:asciiTheme="minorHAnsi" w:eastAsiaTheme="majorEastAsia" w:hAnsiTheme="minorHAnsi" w:cstheme="minorHAnsi"/>
                <w:caps/>
                <w:color w:val="68BAD6"/>
                <w:sz w:val="32"/>
                <w:lang w:val="en-AU"/>
              </w:rPr>
              <w:t>REPORT</w:t>
            </w:r>
          </w:p>
        </w:tc>
      </w:tr>
      <w:tr w:rsidR="00645CC8" w:rsidRPr="00CB10AD" w:rsidTr="00645CC8">
        <w:trPr>
          <w:trHeight w:val="777"/>
        </w:trPr>
        <w:tc>
          <w:tcPr>
            <w:tcW w:w="5000" w:type="pct"/>
            <w:vAlign w:val="center"/>
          </w:tcPr>
          <w:p w:rsidR="00645CC8" w:rsidRPr="00CB10AD" w:rsidRDefault="00045CAA" w:rsidP="00045CAA">
            <w:pPr>
              <w:pStyle w:val="NoSpacing"/>
              <w:rPr>
                <w:rFonts w:asciiTheme="minorHAnsi" w:eastAsiaTheme="majorEastAsia" w:hAnsiTheme="minorHAnsi" w:cstheme="minorHAnsi"/>
                <w:color w:val="595959" w:themeColor="text1" w:themeTint="A6"/>
                <w:sz w:val="56"/>
                <w:szCs w:val="60"/>
                <w:lang w:val="en-AU"/>
              </w:rPr>
            </w:pPr>
            <w:r w:rsidRPr="00CB10AD">
              <w:rPr>
                <w:rFonts w:asciiTheme="minorHAnsi" w:eastAsiaTheme="majorEastAsia" w:hAnsiTheme="minorHAnsi" w:cstheme="minorHAnsi"/>
                <w:color w:val="595959" w:themeColor="text1" w:themeTint="A6"/>
                <w:sz w:val="56"/>
                <w:szCs w:val="60"/>
                <w:lang w:val="en-AU"/>
              </w:rPr>
              <w:t xml:space="preserve">Annual </w:t>
            </w:r>
            <w:r w:rsidR="0017073C" w:rsidRPr="00CB10AD">
              <w:rPr>
                <w:rFonts w:asciiTheme="minorHAnsi" w:eastAsiaTheme="majorEastAsia" w:hAnsiTheme="minorHAnsi" w:cstheme="minorHAnsi"/>
                <w:color w:val="595959" w:themeColor="text1" w:themeTint="A6"/>
                <w:sz w:val="56"/>
                <w:szCs w:val="60"/>
                <w:lang w:val="en-AU"/>
              </w:rPr>
              <w:t>Partnership Performance</w:t>
            </w:r>
            <w:r w:rsidRPr="00CB10AD">
              <w:rPr>
                <w:rFonts w:asciiTheme="minorHAnsi" w:eastAsiaTheme="majorEastAsia" w:hAnsiTheme="minorHAnsi" w:cstheme="minorHAnsi"/>
                <w:color w:val="595959" w:themeColor="text1" w:themeTint="A6"/>
                <w:sz w:val="56"/>
                <w:szCs w:val="60"/>
                <w:lang w:val="en-AU"/>
              </w:rPr>
              <w:t xml:space="preserve"> Report 201</w:t>
            </w:r>
            <w:r w:rsidR="003159D2">
              <w:rPr>
                <w:rFonts w:asciiTheme="minorHAnsi" w:eastAsiaTheme="majorEastAsia" w:hAnsiTheme="minorHAnsi" w:cstheme="minorHAnsi"/>
                <w:color w:val="595959" w:themeColor="text1" w:themeTint="A6"/>
                <w:sz w:val="56"/>
                <w:szCs w:val="60"/>
                <w:lang w:val="en-AU"/>
              </w:rPr>
              <w:t>4</w:t>
            </w:r>
          </w:p>
          <w:p w:rsidR="001409A2" w:rsidRPr="00CB10AD" w:rsidRDefault="001409A2" w:rsidP="00045CAA">
            <w:pPr>
              <w:pStyle w:val="NoSpacing"/>
              <w:rPr>
                <w:rFonts w:asciiTheme="minorHAnsi" w:eastAsiaTheme="majorEastAsia" w:hAnsiTheme="minorHAnsi" w:cstheme="minorHAnsi"/>
                <w:color w:val="595959" w:themeColor="text1" w:themeTint="A6"/>
                <w:sz w:val="32"/>
                <w:szCs w:val="32"/>
                <w:lang w:val="en-AU"/>
              </w:rPr>
            </w:pPr>
          </w:p>
        </w:tc>
      </w:tr>
      <w:tr w:rsidR="00645CC8" w:rsidRPr="00CB10AD" w:rsidTr="00645CC8">
        <w:trPr>
          <w:trHeight w:val="525"/>
          <w:hidden/>
        </w:trPr>
        <w:tc>
          <w:tcPr>
            <w:tcW w:w="5000" w:type="pct"/>
            <w:vAlign w:val="center"/>
          </w:tcPr>
          <w:p w:rsidR="00045CAA" w:rsidRPr="00CB10AD" w:rsidRDefault="00045CAA" w:rsidP="00045CAA">
            <w:pPr>
              <w:pStyle w:val="NoSpacing"/>
              <w:rPr>
                <w:rFonts w:asciiTheme="minorHAnsi" w:eastAsiaTheme="majorEastAsia" w:hAnsiTheme="minorHAnsi" w:cstheme="minorHAnsi"/>
                <w:vanish/>
                <w:color w:val="595959" w:themeColor="text1" w:themeTint="A6"/>
                <w:sz w:val="40"/>
                <w:szCs w:val="44"/>
                <w:lang w:val="en-AU"/>
              </w:rPr>
            </w:pPr>
            <w:r w:rsidRPr="00CB10AD">
              <w:rPr>
                <w:rFonts w:asciiTheme="minorHAnsi" w:eastAsiaTheme="majorEastAsia" w:hAnsiTheme="minorHAnsi" w:cstheme="minorHAnsi"/>
                <w:vanish/>
                <w:color w:val="595959" w:themeColor="text1" w:themeTint="A6"/>
                <w:sz w:val="40"/>
                <w:szCs w:val="44"/>
                <w:lang w:val="en-AU"/>
              </w:rPr>
              <w:t>Draft Report</w:t>
            </w:r>
          </w:p>
          <w:p w:rsidR="00645CC8" w:rsidRPr="00CB10AD" w:rsidRDefault="00045CAA" w:rsidP="00045CAA">
            <w:pPr>
              <w:pStyle w:val="NoSpacing"/>
              <w:rPr>
                <w:rFonts w:asciiTheme="minorHAnsi" w:eastAsiaTheme="majorEastAsia" w:hAnsiTheme="minorHAnsi" w:cstheme="minorHAnsi"/>
                <w:color w:val="595959" w:themeColor="text1" w:themeTint="A6"/>
                <w:sz w:val="40"/>
                <w:szCs w:val="44"/>
                <w:lang w:val="en-AU"/>
              </w:rPr>
            </w:pPr>
            <w:r w:rsidRPr="00CB10AD">
              <w:rPr>
                <w:rFonts w:asciiTheme="minorHAnsi" w:eastAsiaTheme="majorEastAsia" w:hAnsiTheme="minorHAnsi" w:cstheme="minorHAnsi"/>
                <w:vanish/>
                <w:color w:val="FF0000"/>
                <w:sz w:val="32"/>
                <w:szCs w:val="44"/>
                <w:lang w:val="en-AU"/>
              </w:rPr>
              <w:t>For DFAT – Australian Aid only</w:t>
            </w:r>
          </w:p>
        </w:tc>
      </w:tr>
      <w:tr w:rsidR="00645CC8" w:rsidRPr="00CB10AD" w:rsidTr="00645CC8">
        <w:trPr>
          <w:trHeight w:val="525"/>
          <w:hidden/>
        </w:trPr>
        <w:tc>
          <w:tcPr>
            <w:tcW w:w="5000" w:type="pct"/>
            <w:vAlign w:val="center"/>
          </w:tcPr>
          <w:p w:rsidR="00645CC8" w:rsidRPr="00CB10AD" w:rsidRDefault="00645CC8" w:rsidP="00645CC8">
            <w:pPr>
              <w:pStyle w:val="NoSpacing"/>
              <w:rPr>
                <w:rFonts w:asciiTheme="minorHAnsi" w:eastAsiaTheme="majorEastAsia" w:hAnsiTheme="minorHAnsi" w:cstheme="minorHAnsi"/>
                <w:b/>
                <w:vanish/>
                <w:color w:val="595959" w:themeColor="text1" w:themeTint="A6"/>
                <w:sz w:val="40"/>
                <w:szCs w:val="44"/>
                <w:lang w:val="en-AU"/>
              </w:rPr>
            </w:pPr>
          </w:p>
        </w:tc>
      </w:tr>
    </w:tbl>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645CC8">
      <w:pPr>
        <w:jc w:val="right"/>
        <w:rPr>
          <w:color w:val="68BAD6"/>
          <w:sz w:val="24"/>
          <w:lang w:val="en-AU"/>
        </w:rPr>
      </w:pPr>
      <w:r w:rsidRPr="00CB10AD">
        <w:rPr>
          <w:rFonts w:asciiTheme="minorHAnsi" w:hAnsiTheme="minorHAnsi" w:cstheme="minorHAnsi"/>
          <w:b/>
          <w:noProof/>
          <w:color w:val="595959" w:themeColor="text1" w:themeTint="A6"/>
          <w:sz w:val="24"/>
          <w:lang w:val="en-AU" w:eastAsia="en-AU"/>
        </w:rPr>
        <w:drawing>
          <wp:anchor distT="0" distB="0" distL="114300" distR="114300" simplePos="0" relativeHeight="251670528" behindDoc="0" locked="1" layoutInCell="0" allowOverlap="1" wp14:anchorId="6C35CC99" wp14:editId="66F6ECDC">
            <wp:simplePos x="0" y="0"/>
            <wp:positionH relativeFrom="column">
              <wp:posOffset>-592455</wp:posOffset>
            </wp:positionH>
            <wp:positionV relativeFrom="page">
              <wp:posOffset>10134600</wp:posOffset>
            </wp:positionV>
            <wp:extent cx="7086600" cy="4019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color w:val="68BAD6"/>
          <w:sz w:val="24"/>
          <w:szCs w:val="24"/>
          <w:lang w:val="en-AU"/>
        </w:rPr>
        <w:t xml:space="preserve">Australian Aid—managed by GRM International on behalf of </w:t>
      </w:r>
      <w:r w:rsidR="00A74031">
        <w:rPr>
          <w:color w:val="68BAD6"/>
          <w:sz w:val="24"/>
          <w:szCs w:val="24"/>
          <w:lang w:val="en-AU"/>
        </w:rPr>
        <w:t xml:space="preserve">the </w:t>
      </w:r>
      <w:r w:rsidRPr="00CB10AD">
        <w:rPr>
          <w:color w:val="68BAD6"/>
          <w:sz w:val="24"/>
          <w:szCs w:val="24"/>
          <w:lang w:val="en-AU"/>
        </w:rPr>
        <w:t>Australian Government</w:t>
      </w: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sectPr w:rsidR="00645CC8" w:rsidRPr="00CB10AD" w:rsidSect="00457B56">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Restart w:val="eachSect"/>
          </w:endnotePr>
          <w:type w:val="oddPage"/>
          <w:pgSz w:w="11909" w:h="16834" w:code="9"/>
          <w:pgMar w:top="1440" w:right="1440" w:bottom="1440" w:left="1440" w:header="432" w:footer="720" w:gutter="0"/>
          <w:cols w:space="720"/>
          <w:docGrid w:linePitch="360"/>
        </w:sectPr>
      </w:pPr>
    </w:p>
    <w:p w:rsidR="00645CC8" w:rsidRPr="00851EC7" w:rsidRDefault="00645CC8" w:rsidP="00B33BC8">
      <w:pPr>
        <w:pStyle w:val="Heading1"/>
        <w:numPr>
          <w:ilvl w:val="0"/>
          <w:numId w:val="0"/>
        </w:numPr>
      </w:pPr>
      <w:bookmarkStart w:id="1" w:name="_Toc407779874"/>
      <w:r w:rsidRPr="00851EC7">
        <w:lastRenderedPageBreak/>
        <w:t>TABLE OF CONTENTS</w:t>
      </w:r>
      <w:bookmarkEnd w:id="1"/>
      <w:r w:rsidRPr="00851EC7">
        <w:tab/>
      </w:r>
    </w:p>
    <w:p w:rsidR="00645CC8" w:rsidRPr="00851EC7" w:rsidRDefault="00645CC8" w:rsidP="0024509E">
      <w:pPr>
        <w:spacing w:line="276" w:lineRule="auto"/>
        <w:rPr>
          <w:b/>
          <w:lang w:val="en-AU"/>
        </w:rPr>
      </w:pPr>
    </w:p>
    <w:p w:rsidR="00F4282E" w:rsidRPr="00AF6BE4" w:rsidRDefault="00645CC8" w:rsidP="00AF6BE4">
      <w:pPr>
        <w:pStyle w:val="TOC1"/>
        <w:rPr>
          <w:rFonts w:eastAsiaTheme="minorEastAsia" w:cstheme="minorBidi"/>
          <w:noProof/>
          <w:color w:val="auto"/>
          <w:kern w:val="0"/>
          <w:lang w:eastAsia="en-GB"/>
        </w:rPr>
      </w:pPr>
      <w:r w:rsidRPr="00AF6BE4">
        <w:rPr>
          <w:rFonts w:eastAsiaTheme="majorEastAsia" w:cs="Arial"/>
          <w:color w:val="auto"/>
        </w:rPr>
        <w:fldChar w:fldCharType="begin"/>
      </w:r>
      <w:r w:rsidRPr="00AF6BE4">
        <w:rPr>
          <w:rFonts w:eastAsiaTheme="majorEastAsia" w:cs="Arial"/>
          <w:color w:val="auto"/>
        </w:rPr>
        <w:instrText xml:space="preserve"> TOC \o "1-1" \h \z \u </w:instrText>
      </w:r>
      <w:r w:rsidRPr="00AF6BE4">
        <w:rPr>
          <w:rFonts w:eastAsiaTheme="majorEastAsia" w:cs="Arial"/>
          <w:color w:val="auto"/>
        </w:rPr>
        <w:fldChar w:fldCharType="separate"/>
      </w:r>
      <w:hyperlink w:anchor="_Toc407779874" w:history="1">
        <w:r w:rsidR="00F4282E" w:rsidRPr="00AF6BE4">
          <w:rPr>
            <w:rStyle w:val="Hyperlink"/>
            <w:rFonts w:asciiTheme="minorHAnsi" w:hAnsiTheme="minorHAnsi"/>
            <w:noProof/>
            <w:sz w:val="24"/>
          </w:rPr>
          <w:t>TABLE OF CONTENTS</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_Toc407779874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iii</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75" w:history="1">
        <w:r w:rsidR="00F4282E" w:rsidRPr="00AF6BE4">
          <w:rPr>
            <w:rStyle w:val="Hyperlink"/>
            <w:rFonts w:asciiTheme="minorHAnsi" w:hAnsiTheme="minorHAnsi"/>
            <w:noProof/>
            <w:sz w:val="24"/>
          </w:rPr>
          <w:t>LIST OF TABLES</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_Toc407779875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iv</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76" w:history="1">
        <w:r w:rsidR="00F4282E" w:rsidRPr="00AF6BE4">
          <w:rPr>
            <w:rStyle w:val="Hyperlink"/>
            <w:rFonts w:asciiTheme="minorHAnsi" w:hAnsiTheme="minorHAnsi"/>
            <w:noProof/>
            <w:sz w:val="24"/>
          </w:rPr>
          <w:t>LIST OF FIGURES</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_Toc407779876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iv</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77" w:history="1">
        <w:r w:rsidR="00F4282E" w:rsidRPr="00AF6BE4">
          <w:rPr>
            <w:rStyle w:val="Hyperlink"/>
            <w:rFonts w:asciiTheme="minorHAnsi" w:hAnsiTheme="minorHAnsi"/>
            <w:noProof/>
            <w:sz w:val="24"/>
          </w:rPr>
          <w:t>ABBREVIATIONS AND ACRONYMS</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_Toc407779877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v</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78" w:history="1">
        <w:r w:rsidR="00F4282E" w:rsidRPr="00AF6BE4">
          <w:rPr>
            <w:rStyle w:val="Hyperlink"/>
            <w:rFonts w:asciiTheme="minorHAnsi" w:hAnsiTheme="minorHAnsi"/>
            <w:noProof/>
            <w:sz w:val="24"/>
          </w:rPr>
          <w:t>ACKNOWLEDGEMENTS</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_Toc407779878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x</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79" w:history="1">
        <w:r w:rsidR="00F4282E" w:rsidRPr="00AF6BE4">
          <w:rPr>
            <w:rStyle w:val="Hyperlink"/>
            <w:rFonts w:asciiTheme="minorHAnsi" w:hAnsiTheme="minorHAnsi"/>
            <w:noProof/>
            <w:sz w:val="24"/>
          </w:rPr>
          <w:t>EXECUTIVE SUMMARY</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_Toc407779879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xi</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0" w:history="1">
        <w:r w:rsidR="00F4282E" w:rsidRPr="00AF6BE4">
          <w:rPr>
            <w:rStyle w:val="Hyperlink"/>
            <w:rFonts w:asciiTheme="minorHAnsi" w:hAnsiTheme="minorHAnsi"/>
            <w:noProof/>
            <w:sz w:val="24"/>
          </w:rPr>
          <w:t>1</w:t>
        </w:r>
        <w:r w:rsidR="00F4282E" w:rsidRPr="00AF6BE4">
          <w:rPr>
            <w:rFonts w:eastAsiaTheme="minorEastAsia" w:cstheme="minorBidi"/>
            <w:noProof/>
            <w:color w:val="auto"/>
            <w:kern w:val="0"/>
            <w:lang w:eastAsia="en-GB"/>
          </w:rPr>
          <w:tab/>
        </w:r>
        <w:r w:rsidR="00F4282E" w:rsidRPr="00AF6BE4">
          <w:rPr>
            <w:rStyle w:val="Hyperlink"/>
            <w:rFonts w:asciiTheme="minorHAnsi" w:hAnsiTheme="minorHAnsi"/>
            <w:noProof/>
            <w:sz w:val="24"/>
          </w:rPr>
          <w:t>Introduction</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_Toc407779880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1</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1" w:history="1">
        <w:r w:rsidR="00F4282E" w:rsidRPr="00AF6BE4">
          <w:rPr>
            <w:rStyle w:val="Hyperlink"/>
            <w:rFonts w:asciiTheme="minorHAnsi" w:hAnsiTheme="minorHAnsi"/>
            <w:noProof/>
            <w:sz w:val="24"/>
          </w:rPr>
          <w:t>2</w:t>
        </w:r>
        <w:r w:rsidR="00F4282E" w:rsidRPr="00AF6BE4">
          <w:rPr>
            <w:rFonts w:eastAsiaTheme="minorEastAsia" w:cstheme="minorBidi"/>
            <w:noProof/>
            <w:color w:val="auto"/>
            <w:kern w:val="0"/>
            <w:lang w:eastAsia="en-GB"/>
          </w:rPr>
          <w:tab/>
        </w:r>
        <w:r w:rsidR="00F4282E" w:rsidRPr="00AF6BE4">
          <w:rPr>
            <w:rStyle w:val="Hyperlink"/>
            <w:rFonts w:asciiTheme="minorHAnsi" w:hAnsiTheme="minorHAnsi"/>
            <w:noProof/>
            <w:sz w:val="24"/>
          </w:rPr>
          <w:t>Component 1: School Construction</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_Toc407779881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7</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2" w:history="1">
        <w:r w:rsidR="00F4282E" w:rsidRPr="00AF6BE4">
          <w:rPr>
            <w:rStyle w:val="Hyperlink"/>
            <w:rFonts w:asciiTheme="minorHAnsi" w:hAnsiTheme="minorHAnsi"/>
            <w:noProof/>
            <w:sz w:val="24"/>
          </w:rPr>
          <w:t>3</w:t>
        </w:r>
        <w:r w:rsidR="00F4282E" w:rsidRPr="00AF6BE4">
          <w:rPr>
            <w:rFonts w:eastAsiaTheme="minorEastAsia" w:cstheme="minorBidi"/>
            <w:noProof/>
            <w:color w:val="auto"/>
            <w:kern w:val="0"/>
            <w:lang w:eastAsia="en-GB"/>
          </w:rPr>
          <w:tab/>
        </w:r>
        <w:r w:rsidR="00F4282E" w:rsidRPr="00AF6BE4">
          <w:rPr>
            <w:rStyle w:val="Hyperlink"/>
            <w:rFonts w:asciiTheme="minorHAnsi" w:hAnsiTheme="minorHAnsi"/>
            <w:noProof/>
            <w:sz w:val="24"/>
          </w:rPr>
          <w:t>Component 2: School and District Management</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_Toc407779882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19</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3" w:history="1">
        <w:r w:rsidR="00F4282E" w:rsidRPr="00AF6BE4">
          <w:rPr>
            <w:rStyle w:val="Hyperlink"/>
            <w:rFonts w:asciiTheme="minorHAnsi" w:hAnsiTheme="minorHAnsi"/>
            <w:noProof/>
            <w:sz w:val="24"/>
          </w:rPr>
          <w:t>4</w:t>
        </w:r>
        <w:r w:rsidR="00F4282E" w:rsidRPr="00AF6BE4">
          <w:rPr>
            <w:rFonts w:eastAsiaTheme="minorEastAsia" w:cstheme="minorBidi"/>
            <w:noProof/>
            <w:color w:val="auto"/>
            <w:kern w:val="0"/>
            <w:lang w:eastAsia="en-GB"/>
          </w:rPr>
          <w:tab/>
        </w:r>
        <w:r w:rsidR="00F4282E" w:rsidRPr="00AF6BE4">
          <w:rPr>
            <w:rStyle w:val="Hyperlink"/>
            <w:rFonts w:asciiTheme="minorHAnsi" w:hAnsiTheme="minorHAnsi"/>
            <w:noProof/>
            <w:sz w:val="24"/>
          </w:rPr>
          <w:t>Component 3: Islamic School Accreditation</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_Toc407779883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32</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4" w:history="1">
        <w:r w:rsidR="00F4282E" w:rsidRPr="00AF6BE4">
          <w:rPr>
            <w:rStyle w:val="Hyperlink"/>
            <w:rFonts w:asciiTheme="minorHAnsi" w:hAnsiTheme="minorHAnsi"/>
            <w:noProof/>
            <w:sz w:val="24"/>
          </w:rPr>
          <w:t>5</w:t>
        </w:r>
        <w:r w:rsidR="00F4282E" w:rsidRPr="00AF6BE4">
          <w:rPr>
            <w:rFonts w:eastAsiaTheme="minorEastAsia" w:cstheme="minorBidi"/>
            <w:noProof/>
            <w:color w:val="auto"/>
            <w:kern w:val="0"/>
            <w:lang w:eastAsia="en-GB"/>
          </w:rPr>
          <w:tab/>
        </w:r>
        <w:r w:rsidR="00F4282E" w:rsidRPr="00AF6BE4">
          <w:rPr>
            <w:rStyle w:val="Hyperlink"/>
            <w:rFonts w:asciiTheme="minorHAnsi" w:hAnsiTheme="minorHAnsi"/>
            <w:noProof/>
            <w:sz w:val="24"/>
          </w:rPr>
          <w:t>Component 4: Analytical and Capacity Development Partnership</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_Toc407779884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46</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5" w:history="1">
        <w:r w:rsidR="00F4282E" w:rsidRPr="00AF6BE4">
          <w:rPr>
            <w:rStyle w:val="Hyperlink"/>
            <w:rFonts w:asciiTheme="minorHAnsi" w:hAnsiTheme="minorHAnsi"/>
            <w:noProof/>
            <w:sz w:val="24"/>
          </w:rPr>
          <w:t>6</w:t>
        </w:r>
        <w:r w:rsidR="00F4282E" w:rsidRPr="00AF6BE4">
          <w:rPr>
            <w:rFonts w:eastAsiaTheme="minorEastAsia" w:cstheme="minorBidi"/>
            <w:noProof/>
            <w:color w:val="auto"/>
            <w:kern w:val="0"/>
            <w:lang w:eastAsia="en-GB"/>
          </w:rPr>
          <w:tab/>
        </w:r>
        <w:r w:rsidR="00F4282E" w:rsidRPr="00AF6BE4">
          <w:rPr>
            <w:rStyle w:val="Hyperlink"/>
            <w:rFonts w:asciiTheme="minorHAnsi" w:hAnsiTheme="minorHAnsi"/>
            <w:noProof/>
            <w:sz w:val="24"/>
          </w:rPr>
          <w:t>Program Oversight</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_Toc407779885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62</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6" w:history="1">
        <w:r w:rsidR="00F4282E" w:rsidRPr="00AF6BE4">
          <w:rPr>
            <w:rStyle w:val="Hyperlink"/>
            <w:rFonts w:asciiTheme="minorHAnsi" w:hAnsiTheme="minorHAnsi"/>
            <w:noProof/>
            <w:sz w:val="24"/>
          </w:rPr>
          <w:t>7</w:t>
        </w:r>
        <w:r w:rsidR="00F4282E" w:rsidRPr="00AF6BE4">
          <w:rPr>
            <w:rFonts w:eastAsiaTheme="minorEastAsia" w:cstheme="minorBidi"/>
            <w:noProof/>
            <w:color w:val="auto"/>
            <w:kern w:val="0"/>
            <w:lang w:eastAsia="en-GB"/>
          </w:rPr>
          <w:tab/>
        </w:r>
        <w:r w:rsidR="00F4282E" w:rsidRPr="00AF6BE4">
          <w:rPr>
            <w:rStyle w:val="Hyperlink"/>
            <w:rFonts w:asciiTheme="minorHAnsi" w:hAnsiTheme="minorHAnsi"/>
            <w:noProof/>
            <w:sz w:val="24"/>
          </w:rPr>
          <w:t>Conclusions</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_Toc407779886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73</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7" w:history="1">
        <w:r w:rsidR="00F4282E" w:rsidRPr="00AF6BE4">
          <w:rPr>
            <w:rStyle w:val="Hyperlink"/>
            <w:rFonts w:asciiTheme="minorHAnsi" w:hAnsiTheme="minorHAnsi"/>
            <w:noProof/>
            <w:sz w:val="24"/>
          </w:rPr>
          <w:t>Annex I: EP Logic Architecture</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_Toc407779887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79</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8" w:history="1">
        <w:r w:rsidR="00F4282E" w:rsidRPr="00AF6BE4">
          <w:rPr>
            <w:rStyle w:val="Hyperlink"/>
            <w:rFonts w:asciiTheme="minorHAnsi" w:hAnsiTheme="minorHAnsi"/>
            <w:noProof/>
            <w:sz w:val="24"/>
          </w:rPr>
          <w:t>Annex II: Interpretation of DAC Criteria</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_Toc407779888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80</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89" w:history="1">
        <w:r w:rsidR="00F4282E" w:rsidRPr="00AF6BE4">
          <w:rPr>
            <w:rStyle w:val="Hyperlink"/>
            <w:rFonts w:asciiTheme="minorHAnsi" w:hAnsiTheme="minorHAnsi"/>
            <w:noProof/>
            <w:sz w:val="24"/>
          </w:rPr>
          <w:t>Annex III: APPR Rating Scale (based on DFAT QRS and AQC)</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_Toc407779889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82</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90" w:history="1">
        <w:r w:rsidR="00F4282E" w:rsidRPr="00AF6BE4">
          <w:rPr>
            <w:rStyle w:val="Hyperlink"/>
            <w:rFonts w:asciiTheme="minorHAnsi" w:hAnsiTheme="minorHAnsi"/>
            <w:noProof/>
            <w:sz w:val="24"/>
          </w:rPr>
          <w:t>Annex IV: List of Documents Reviewed</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_Toc407779890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83</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91" w:history="1">
        <w:r w:rsidR="00F4282E" w:rsidRPr="00AF6BE4">
          <w:rPr>
            <w:rStyle w:val="Hyperlink"/>
            <w:rFonts w:asciiTheme="minorHAnsi" w:hAnsiTheme="minorHAnsi"/>
            <w:noProof/>
            <w:sz w:val="24"/>
          </w:rPr>
          <w:t>Annex V: EP Analytical Framework 2014</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_Toc407779891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85</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92" w:history="1">
        <w:r w:rsidR="00F4282E" w:rsidRPr="00AF6BE4">
          <w:rPr>
            <w:rStyle w:val="Hyperlink"/>
            <w:rFonts w:asciiTheme="minorHAnsi" w:hAnsiTheme="minorHAnsi"/>
            <w:noProof/>
            <w:sz w:val="24"/>
          </w:rPr>
          <w:t>Annex VI: List of Persons Consulted</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_Toc407779892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100</w:t>
        </w:r>
        <w:r w:rsidR="00F4282E" w:rsidRPr="00AF6BE4">
          <w:rPr>
            <w:noProof/>
            <w:webHidden/>
            <w:color w:val="auto"/>
          </w:rPr>
          <w:fldChar w:fldCharType="end"/>
        </w:r>
      </w:hyperlink>
    </w:p>
    <w:p w:rsidR="00F4282E" w:rsidRPr="00AF6BE4" w:rsidRDefault="00E80CFD" w:rsidP="00AF6BE4">
      <w:pPr>
        <w:pStyle w:val="TOC1"/>
        <w:rPr>
          <w:rFonts w:eastAsiaTheme="minorEastAsia" w:cstheme="minorBidi"/>
          <w:noProof/>
          <w:color w:val="auto"/>
          <w:kern w:val="0"/>
          <w:lang w:eastAsia="en-GB"/>
        </w:rPr>
      </w:pPr>
      <w:hyperlink w:anchor="_Toc407779893" w:history="1">
        <w:r w:rsidR="00F4282E" w:rsidRPr="00AF6BE4">
          <w:rPr>
            <w:rStyle w:val="Hyperlink"/>
            <w:rFonts w:asciiTheme="minorHAnsi" w:hAnsiTheme="minorHAnsi"/>
            <w:noProof/>
            <w:sz w:val="24"/>
          </w:rPr>
          <w:t>Annex VII: ECBP M&amp;E Standards: Standard 3: Initiative Progress Reporting</w:t>
        </w:r>
        <w:r w:rsidR="00F4282E" w:rsidRPr="00AF6BE4">
          <w:rPr>
            <w:noProof/>
            <w:webHidden/>
            <w:color w:val="auto"/>
          </w:rPr>
          <w:tab/>
        </w:r>
        <w:r w:rsidR="00F4282E" w:rsidRPr="00AF6BE4">
          <w:rPr>
            <w:noProof/>
            <w:webHidden/>
            <w:color w:val="auto"/>
          </w:rPr>
          <w:fldChar w:fldCharType="begin"/>
        </w:r>
        <w:r w:rsidR="00F4282E" w:rsidRPr="00AF6BE4">
          <w:rPr>
            <w:noProof/>
            <w:webHidden/>
            <w:color w:val="auto"/>
          </w:rPr>
          <w:instrText xml:space="preserve"> PAGEREF _Toc407779893 \h </w:instrText>
        </w:r>
        <w:r w:rsidR="00F4282E" w:rsidRPr="00AF6BE4">
          <w:rPr>
            <w:noProof/>
            <w:webHidden/>
            <w:color w:val="auto"/>
          </w:rPr>
        </w:r>
        <w:r w:rsidR="00F4282E" w:rsidRPr="00AF6BE4">
          <w:rPr>
            <w:noProof/>
            <w:webHidden/>
            <w:color w:val="auto"/>
          </w:rPr>
          <w:fldChar w:fldCharType="separate"/>
        </w:r>
        <w:r w:rsidR="004A0A8F">
          <w:rPr>
            <w:noProof/>
            <w:webHidden/>
            <w:color w:val="auto"/>
          </w:rPr>
          <w:t>104</w:t>
        </w:r>
        <w:r w:rsidR="00F4282E" w:rsidRPr="00AF6BE4">
          <w:rPr>
            <w:noProof/>
            <w:webHidden/>
            <w:color w:val="auto"/>
          </w:rPr>
          <w:fldChar w:fldCharType="end"/>
        </w:r>
      </w:hyperlink>
    </w:p>
    <w:p w:rsidR="0022598A" w:rsidRPr="00AF6BE4" w:rsidRDefault="00645CC8" w:rsidP="007269E9">
      <w:pPr>
        <w:spacing w:beforeLines="60" w:before="144" w:afterLines="60" w:after="144" w:line="480" w:lineRule="auto"/>
        <w:rPr>
          <w:lang w:val="en-AU"/>
        </w:rPr>
      </w:pPr>
      <w:r w:rsidRPr="00AF6BE4">
        <w:rPr>
          <w:rFonts w:asciiTheme="minorHAnsi" w:eastAsiaTheme="majorEastAsia" w:hAnsiTheme="minorHAnsi" w:cs="Arial"/>
          <w:bCs/>
          <w:sz w:val="24"/>
          <w:szCs w:val="24"/>
          <w:lang w:val="en-AU"/>
        </w:rPr>
        <w:fldChar w:fldCharType="end"/>
      </w:r>
    </w:p>
    <w:p w:rsidR="0022598A" w:rsidRPr="00851EC7" w:rsidRDefault="0022598A" w:rsidP="00B33BC8">
      <w:pPr>
        <w:pStyle w:val="Heading1"/>
        <w:numPr>
          <w:ilvl w:val="0"/>
          <w:numId w:val="0"/>
        </w:numPr>
      </w:pPr>
      <w:r w:rsidRPr="00851EC7">
        <w:br w:type="page"/>
      </w:r>
      <w:bookmarkStart w:id="2" w:name="_Toc407779875"/>
      <w:r w:rsidRPr="00851EC7">
        <w:lastRenderedPageBreak/>
        <w:t>L</w:t>
      </w:r>
      <w:r w:rsidR="0043619B" w:rsidRPr="00851EC7">
        <w:t>IST OF TABLES</w:t>
      </w:r>
      <w:bookmarkEnd w:id="2"/>
    </w:p>
    <w:p w:rsidR="00650F75" w:rsidRPr="00650F75" w:rsidRDefault="0022598A"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r w:rsidRPr="00650F75">
        <w:rPr>
          <w:rStyle w:val="Hyperlink"/>
          <w:rFonts w:asciiTheme="minorHAnsi" w:hAnsiTheme="minorHAnsi"/>
          <w:noProof/>
          <w:color w:val="244061" w:themeColor="accent1" w:themeShade="80"/>
        </w:rPr>
        <w:fldChar w:fldCharType="begin"/>
      </w:r>
      <w:r w:rsidRPr="00650F75">
        <w:rPr>
          <w:rStyle w:val="Hyperlink"/>
          <w:rFonts w:asciiTheme="minorHAnsi" w:hAnsiTheme="minorHAnsi"/>
          <w:noProof/>
          <w:color w:val="244061" w:themeColor="accent1" w:themeShade="80"/>
        </w:rPr>
        <w:instrText xml:space="preserve"> TOC \h \z \c "Table" </w:instrText>
      </w:r>
      <w:r w:rsidRPr="00650F75">
        <w:rPr>
          <w:rStyle w:val="Hyperlink"/>
          <w:rFonts w:asciiTheme="minorHAnsi" w:hAnsiTheme="minorHAnsi"/>
          <w:noProof/>
          <w:color w:val="244061" w:themeColor="accent1" w:themeShade="80"/>
        </w:rPr>
        <w:fldChar w:fldCharType="separate"/>
      </w:r>
      <w:hyperlink w:anchor="_Toc412534573" w:history="1">
        <w:r w:rsidR="00650F75" w:rsidRPr="00650F75">
          <w:rPr>
            <w:rStyle w:val="Hyperlink"/>
            <w:rFonts w:asciiTheme="minorHAnsi" w:hAnsiTheme="minorHAnsi"/>
            <w:noProof/>
            <w:color w:val="244061" w:themeColor="accent1" w:themeShade="80"/>
          </w:rPr>
          <w:t>Table 1: JSE enrolment 2011/12 to 2013/14</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_Toc412534573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8</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74" w:history="1">
        <w:r w:rsidR="00650F75" w:rsidRPr="00650F75">
          <w:rPr>
            <w:rStyle w:val="Hyperlink"/>
            <w:rFonts w:asciiTheme="minorHAnsi" w:hAnsiTheme="minorHAnsi"/>
            <w:noProof/>
            <w:color w:val="244061" w:themeColor="accent1" w:themeShade="80"/>
          </w:rPr>
          <w:t>Table 2: School construction per cycle (as of December 2014)</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_Toc412534574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10</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75" w:history="1">
        <w:r w:rsidR="00650F75" w:rsidRPr="00650F75">
          <w:rPr>
            <w:rStyle w:val="Hyperlink"/>
            <w:rFonts w:asciiTheme="minorHAnsi" w:hAnsiTheme="minorHAnsi"/>
            <w:noProof/>
            <w:color w:val="244061" w:themeColor="accent1" w:themeShade="80"/>
          </w:rPr>
          <w:t>Table 3: Incidence of Suspected Fraud and Non-Compliance</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_Toc412534575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11</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76" w:history="1">
        <w:r w:rsidR="00650F75" w:rsidRPr="00650F75">
          <w:rPr>
            <w:rStyle w:val="Hyperlink"/>
            <w:rFonts w:asciiTheme="minorHAnsi" w:hAnsiTheme="minorHAnsi"/>
            <w:noProof/>
            <w:color w:val="244061" w:themeColor="accent1" w:themeShade="80"/>
          </w:rPr>
          <w:t>Table 4: Enrolment and Resourcing in Cycle 1 Schools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_Toc412534576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13</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77" w:history="1">
        <w:r w:rsidR="00650F75" w:rsidRPr="00650F75">
          <w:rPr>
            <w:rStyle w:val="Hyperlink"/>
            <w:rFonts w:asciiTheme="minorHAnsi" w:hAnsiTheme="minorHAnsi"/>
            <w:noProof/>
            <w:color w:val="244061" w:themeColor="accent1" w:themeShade="80"/>
          </w:rPr>
          <w:t>Table 5: Component 1 scorecard</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_Toc412534577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16</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78" w:history="1">
        <w:r w:rsidR="00650F75" w:rsidRPr="00650F75">
          <w:rPr>
            <w:rStyle w:val="Hyperlink"/>
            <w:rFonts w:asciiTheme="minorHAnsi" w:hAnsiTheme="minorHAnsi"/>
            <w:noProof/>
            <w:color w:val="244061" w:themeColor="accent1" w:themeShade="80"/>
          </w:rPr>
          <w:t>Table 6: Component 1 key findings and recommendations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_Toc412534578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18</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79" w:history="1">
        <w:r w:rsidR="00650F75" w:rsidRPr="00650F75">
          <w:rPr>
            <w:rStyle w:val="Hyperlink"/>
            <w:rFonts w:asciiTheme="minorHAnsi" w:hAnsiTheme="minorHAnsi"/>
            <w:noProof/>
            <w:color w:val="244061" w:themeColor="accent1" w:themeShade="80"/>
          </w:rPr>
          <w:t>Table 7: Roles and responsibilities of Eligible Entities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_Toc412534579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20</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0" w:history="1">
        <w:r w:rsidR="00650F75" w:rsidRPr="00650F75">
          <w:rPr>
            <w:rStyle w:val="Hyperlink"/>
            <w:rFonts w:asciiTheme="minorHAnsi" w:hAnsiTheme="minorHAnsi"/>
            <w:noProof/>
            <w:color w:val="244061" w:themeColor="accent1" w:themeShade="80"/>
          </w:rPr>
          <w:t>Table 8: Persons trained by ProDEP</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_Toc412534580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22</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1" w:history="1">
        <w:r w:rsidR="00650F75" w:rsidRPr="00650F75">
          <w:rPr>
            <w:rStyle w:val="Hyperlink"/>
            <w:rFonts w:asciiTheme="minorHAnsi" w:hAnsiTheme="minorHAnsi"/>
            <w:noProof/>
            <w:color w:val="244061" w:themeColor="accent1" w:themeShade="80"/>
          </w:rPr>
          <w:t>Table 9: NSIP training results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_Toc412534581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24</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2" w:history="1">
        <w:r w:rsidR="00650F75" w:rsidRPr="00650F75">
          <w:rPr>
            <w:rStyle w:val="Hyperlink"/>
            <w:rFonts w:asciiTheme="minorHAnsi" w:hAnsiTheme="minorHAnsi"/>
            <w:noProof/>
            <w:color w:val="244061" w:themeColor="accent1" w:themeShade="80"/>
          </w:rPr>
          <w:t>Table 10: Component 2 scorecard</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_Toc412534582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29</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3" w:history="1">
        <w:r w:rsidR="00650F75" w:rsidRPr="00650F75">
          <w:rPr>
            <w:rStyle w:val="Hyperlink"/>
            <w:rFonts w:asciiTheme="minorHAnsi" w:hAnsiTheme="minorHAnsi"/>
            <w:noProof/>
            <w:color w:val="244061" w:themeColor="accent1" w:themeShade="80"/>
          </w:rPr>
          <w:t>Table 11: Component 2 key findings and recommendations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_Toc412534583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31</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4" w:history="1">
        <w:r w:rsidR="00650F75" w:rsidRPr="00650F75">
          <w:rPr>
            <w:rStyle w:val="Hyperlink"/>
            <w:rFonts w:asciiTheme="minorHAnsi" w:hAnsiTheme="minorHAnsi"/>
            <w:noProof/>
            <w:color w:val="244061" w:themeColor="accent1" w:themeShade="80"/>
          </w:rPr>
          <w:t>Table 12: C3 Phases of Support to Madrasah</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_Toc412534584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35</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5" w:history="1">
        <w:r w:rsidR="00650F75" w:rsidRPr="00650F75">
          <w:rPr>
            <w:rStyle w:val="Hyperlink"/>
            <w:rFonts w:asciiTheme="minorHAnsi" w:hAnsiTheme="minorHAnsi"/>
            <w:noProof/>
            <w:color w:val="244061" w:themeColor="accent1" w:themeShade="80"/>
          </w:rPr>
          <w:t>Table 13: C3 Achievements against Output Targets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_Toc412534585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37</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6" w:history="1">
        <w:r w:rsidR="00650F75" w:rsidRPr="00650F75">
          <w:rPr>
            <w:rStyle w:val="Hyperlink"/>
            <w:rFonts w:asciiTheme="minorHAnsi" w:hAnsiTheme="minorHAnsi"/>
            <w:noProof/>
            <w:color w:val="244061" w:themeColor="accent1" w:themeShade="80"/>
          </w:rPr>
          <w:t>Table 14: Number of non-compliant findings (2014 POM audits)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_Toc412534586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38</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7" w:history="1">
        <w:r w:rsidR="00650F75" w:rsidRPr="00650F75">
          <w:rPr>
            <w:rStyle w:val="Hyperlink"/>
            <w:rFonts w:asciiTheme="minorHAnsi" w:hAnsiTheme="minorHAnsi"/>
            <w:noProof/>
            <w:color w:val="244061" w:themeColor="accent1" w:themeShade="80"/>
          </w:rPr>
          <w:t>Table 15: Component 3 scorecard</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_Toc412534587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43</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8" w:history="1">
        <w:r w:rsidR="00650F75" w:rsidRPr="00650F75">
          <w:rPr>
            <w:rStyle w:val="Hyperlink"/>
            <w:rFonts w:asciiTheme="minorHAnsi" w:hAnsiTheme="minorHAnsi"/>
            <w:noProof/>
            <w:color w:val="244061" w:themeColor="accent1" w:themeShade="80"/>
          </w:rPr>
          <w:t>Table 16: Component 3 key findings and recommendations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_Toc412534588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45</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89" w:history="1">
        <w:r w:rsidR="00650F75" w:rsidRPr="00650F75">
          <w:rPr>
            <w:rStyle w:val="Hyperlink"/>
            <w:rFonts w:asciiTheme="minorHAnsi" w:hAnsiTheme="minorHAnsi"/>
            <w:noProof/>
            <w:color w:val="244061" w:themeColor="accent1" w:themeShade="80"/>
          </w:rPr>
          <w:t>Table 17: Status in November 2014 compared to November 2013</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_Toc412534589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48</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0" w:history="1">
        <w:r w:rsidR="00650F75" w:rsidRPr="00650F75">
          <w:rPr>
            <w:rStyle w:val="Hyperlink"/>
            <w:rFonts w:asciiTheme="minorHAnsi" w:hAnsiTheme="minorHAnsi"/>
            <w:noProof/>
            <w:color w:val="244061" w:themeColor="accent1" w:themeShade="80"/>
          </w:rPr>
          <w:t>Table 18: Spread of beneficiary “lead agencies” across the focal ministries and provincial governments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_Toc412534590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48</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1" w:history="1">
        <w:r w:rsidR="00650F75" w:rsidRPr="00650F75">
          <w:rPr>
            <w:rStyle w:val="Hyperlink"/>
            <w:rFonts w:asciiTheme="minorHAnsi" w:hAnsiTheme="minorHAnsi"/>
            <w:noProof/>
            <w:color w:val="244061" w:themeColor="accent1" w:themeShade="80"/>
          </w:rPr>
          <w:t>Table 19: Levels of participation in ACDP activities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_Toc412534591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49</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2" w:history="1">
        <w:r w:rsidR="00650F75" w:rsidRPr="00650F75">
          <w:rPr>
            <w:rStyle w:val="Hyperlink"/>
            <w:rFonts w:asciiTheme="minorHAnsi" w:hAnsiTheme="minorHAnsi"/>
            <w:noProof/>
            <w:color w:val="244061" w:themeColor="accent1" w:themeShade="80"/>
          </w:rPr>
          <w:t>Table 20: ACDP activities/year</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_Toc412534592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50</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3" w:history="1">
        <w:r w:rsidR="00650F75" w:rsidRPr="00650F75">
          <w:rPr>
            <w:rStyle w:val="Hyperlink"/>
            <w:rFonts w:asciiTheme="minorHAnsi" w:hAnsiTheme="minorHAnsi"/>
            <w:noProof/>
            <w:color w:val="244061" w:themeColor="accent1" w:themeShade="80"/>
          </w:rPr>
          <w:t>Table 21: Number of lead agencies/year</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_Toc412534593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50</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4" w:history="1">
        <w:r w:rsidR="00650F75" w:rsidRPr="00650F75">
          <w:rPr>
            <w:rStyle w:val="Hyperlink"/>
            <w:rFonts w:asciiTheme="minorHAnsi" w:hAnsiTheme="minorHAnsi"/>
            <w:noProof/>
            <w:color w:val="244061" w:themeColor="accent1" w:themeShade="80"/>
          </w:rPr>
          <w:t>Table 22: Rapid responses within ACDP’s portfolio of completing and ongoing research activities (by start year)</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_Toc412534594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52</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5" w:history="1">
        <w:r w:rsidR="00650F75" w:rsidRPr="00650F75">
          <w:rPr>
            <w:rStyle w:val="Hyperlink"/>
            <w:rFonts w:asciiTheme="minorHAnsi" w:hAnsiTheme="minorHAnsi"/>
            <w:noProof/>
            <w:color w:val="244061" w:themeColor="accent1" w:themeShade="80"/>
          </w:rPr>
          <w:t>Table 23: Component 4 scorecard</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_Toc412534595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57</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6" w:history="1">
        <w:r w:rsidR="00650F75" w:rsidRPr="00650F75">
          <w:rPr>
            <w:rStyle w:val="Hyperlink"/>
            <w:rFonts w:asciiTheme="minorHAnsi" w:hAnsiTheme="minorHAnsi"/>
            <w:noProof/>
            <w:color w:val="244061" w:themeColor="accent1" w:themeShade="80"/>
          </w:rPr>
          <w:t>Table 24: Component 4 key findings and recommendations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_Toc412534596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59</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7" w:history="1">
        <w:r w:rsidR="00650F75" w:rsidRPr="00650F75">
          <w:rPr>
            <w:rStyle w:val="Hyperlink"/>
            <w:rFonts w:asciiTheme="minorHAnsi" w:hAnsiTheme="minorHAnsi"/>
            <w:noProof/>
            <w:color w:val="244061" w:themeColor="accent1" w:themeShade="80"/>
          </w:rPr>
          <w:t>Table 25: Education Partnership Expenditure (as at 10 November 2014)</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_Toc412534597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63</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8" w:history="1">
        <w:r w:rsidR="00650F75" w:rsidRPr="00650F75">
          <w:rPr>
            <w:rStyle w:val="Hyperlink"/>
            <w:rFonts w:asciiTheme="minorHAnsi" w:hAnsiTheme="minorHAnsi"/>
            <w:noProof/>
            <w:color w:val="244061" w:themeColor="accent1" w:themeShade="80"/>
          </w:rPr>
          <w:t>Table 26: Program Oversight key findings and recommendations</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_Toc412534598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69</w:t>
        </w:r>
        <w:r w:rsidR="00650F75" w:rsidRPr="00650F75">
          <w:rPr>
            <w:rStyle w:val="Hyperlink"/>
            <w:rFonts w:asciiTheme="minorHAnsi" w:hAnsiTheme="minorHAnsi"/>
            <w:noProof/>
            <w:webHidden/>
            <w:color w:val="244061" w:themeColor="accent1" w:themeShade="80"/>
          </w:rPr>
          <w:fldChar w:fldCharType="end"/>
        </w:r>
      </w:hyperlink>
    </w:p>
    <w:p w:rsidR="00650F75" w:rsidRPr="00650F75" w:rsidRDefault="00E80CFD" w:rsidP="00650F75">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599" w:history="1">
        <w:r w:rsidR="00650F75" w:rsidRPr="00650F75">
          <w:rPr>
            <w:rStyle w:val="Hyperlink"/>
            <w:rFonts w:asciiTheme="minorHAnsi" w:hAnsiTheme="minorHAnsi"/>
            <w:noProof/>
            <w:color w:val="244061" w:themeColor="accent1" w:themeShade="80"/>
          </w:rPr>
          <w:t>Table 27: Combined scorecard</w:t>
        </w:r>
        <w:r w:rsidR="00650F75" w:rsidRPr="00650F75">
          <w:rPr>
            <w:rStyle w:val="Hyperlink"/>
            <w:rFonts w:asciiTheme="minorHAnsi" w:hAnsiTheme="minorHAnsi"/>
            <w:noProof/>
            <w:webHidden/>
            <w:color w:val="244061" w:themeColor="accent1" w:themeShade="80"/>
          </w:rPr>
          <w:tab/>
        </w:r>
        <w:r w:rsidR="00650F75" w:rsidRPr="00650F75">
          <w:rPr>
            <w:rStyle w:val="Hyperlink"/>
            <w:rFonts w:asciiTheme="minorHAnsi" w:hAnsiTheme="minorHAnsi"/>
            <w:noProof/>
            <w:webHidden/>
            <w:color w:val="244061" w:themeColor="accent1" w:themeShade="80"/>
          </w:rPr>
          <w:fldChar w:fldCharType="begin"/>
        </w:r>
        <w:r w:rsidR="00650F75" w:rsidRPr="00650F75">
          <w:rPr>
            <w:rStyle w:val="Hyperlink"/>
            <w:rFonts w:asciiTheme="minorHAnsi" w:hAnsiTheme="minorHAnsi"/>
            <w:noProof/>
            <w:webHidden/>
            <w:color w:val="244061" w:themeColor="accent1" w:themeShade="80"/>
          </w:rPr>
          <w:instrText xml:space="preserve"> PAGEREF _Toc412534599 \h </w:instrText>
        </w:r>
        <w:r w:rsidR="00650F75" w:rsidRPr="00650F75">
          <w:rPr>
            <w:rStyle w:val="Hyperlink"/>
            <w:rFonts w:asciiTheme="minorHAnsi" w:hAnsiTheme="minorHAnsi"/>
            <w:noProof/>
            <w:webHidden/>
            <w:color w:val="244061" w:themeColor="accent1" w:themeShade="80"/>
          </w:rPr>
        </w:r>
        <w:r w:rsidR="00650F75" w:rsidRPr="00650F75">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73</w:t>
        </w:r>
        <w:r w:rsidR="00650F75" w:rsidRPr="00650F75">
          <w:rPr>
            <w:rStyle w:val="Hyperlink"/>
            <w:rFonts w:asciiTheme="minorHAnsi" w:hAnsiTheme="minorHAnsi"/>
            <w:noProof/>
            <w:webHidden/>
            <w:color w:val="244061" w:themeColor="accent1" w:themeShade="80"/>
          </w:rPr>
          <w:fldChar w:fldCharType="end"/>
        </w:r>
      </w:hyperlink>
    </w:p>
    <w:p w:rsidR="0022598A" w:rsidRPr="00851EC7" w:rsidRDefault="0022598A" w:rsidP="00650F75">
      <w:pPr>
        <w:pStyle w:val="TableofFigures"/>
        <w:tabs>
          <w:tab w:val="right" w:leader="dot" w:pos="9019"/>
        </w:tabs>
        <w:spacing w:before="60" w:after="60" w:line="276" w:lineRule="auto"/>
        <w:rPr>
          <w:color w:val="1F497D" w:themeColor="text2"/>
          <w:lang w:val="en-AU"/>
        </w:rPr>
      </w:pPr>
      <w:r w:rsidRPr="00650F75">
        <w:rPr>
          <w:rStyle w:val="Hyperlink"/>
          <w:rFonts w:asciiTheme="minorHAnsi" w:hAnsiTheme="minorHAnsi"/>
          <w:noProof/>
          <w:color w:val="244061" w:themeColor="accent1" w:themeShade="80"/>
        </w:rPr>
        <w:fldChar w:fldCharType="end"/>
      </w:r>
    </w:p>
    <w:p w:rsidR="0022598A" w:rsidRPr="00851EC7" w:rsidRDefault="0022598A" w:rsidP="00B33BC8">
      <w:pPr>
        <w:pStyle w:val="Heading1"/>
        <w:numPr>
          <w:ilvl w:val="0"/>
          <w:numId w:val="0"/>
        </w:numPr>
      </w:pPr>
      <w:bookmarkStart w:id="3" w:name="_Toc407779876"/>
      <w:r w:rsidRPr="00851EC7">
        <w:t>L</w:t>
      </w:r>
      <w:r w:rsidR="0043619B" w:rsidRPr="00851EC7">
        <w:t>IST OF FIGURES</w:t>
      </w:r>
      <w:bookmarkEnd w:id="3"/>
    </w:p>
    <w:p w:rsidR="00AD5229" w:rsidRPr="00AD5229" w:rsidRDefault="0022598A" w:rsidP="00AD5229">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r w:rsidRPr="00AF6BE4">
        <w:rPr>
          <w:rStyle w:val="Hyperlink"/>
          <w:rFonts w:asciiTheme="minorHAnsi" w:hAnsiTheme="minorHAnsi"/>
          <w:noProof/>
          <w:color w:val="244061" w:themeColor="accent1" w:themeShade="80"/>
        </w:rPr>
        <w:fldChar w:fldCharType="begin"/>
      </w:r>
      <w:r w:rsidRPr="00AF6BE4">
        <w:rPr>
          <w:rStyle w:val="Hyperlink"/>
          <w:rFonts w:asciiTheme="minorHAnsi" w:hAnsiTheme="minorHAnsi"/>
          <w:noProof/>
          <w:color w:val="244061" w:themeColor="accent1" w:themeShade="80"/>
        </w:rPr>
        <w:instrText xml:space="preserve"> TOC \h \z \c "Figure" </w:instrText>
      </w:r>
      <w:r w:rsidRPr="00AF6BE4">
        <w:rPr>
          <w:rStyle w:val="Hyperlink"/>
          <w:rFonts w:asciiTheme="minorHAnsi" w:hAnsiTheme="minorHAnsi"/>
          <w:noProof/>
          <w:color w:val="244061" w:themeColor="accent1" w:themeShade="80"/>
        </w:rPr>
        <w:fldChar w:fldCharType="separate"/>
      </w:r>
      <w:hyperlink w:anchor="_Toc412534761" w:history="1">
        <w:r w:rsidR="00AD5229" w:rsidRPr="00AD5229">
          <w:rPr>
            <w:rStyle w:val="Hyperlink"/>
            <w:rFonts w:asciiTheme="minorHAnsi" w:hAnsiTheme="minorHAnsi"/>
            <w:noProof/>
            <w:color w:val="244061" w:themeColor="accent1" w:themeShade="80"/>
          </w:rPr>
          <w:t>Figure 1: Distribution of Component 1 schools across provinces</w:t>
        </w:r>
        <w:r w:rsidR="00AD5229" w:rsidRPr="00AD5229">
          <w:rPr>
            <w:rStyle w:val="Hyperlink"/>
            <w:rFonts w:asciiTheme="minorHAnsi" w:hAnsiTheme="minorHAnsi"/>
            <w:noProof/>
            <w:webHidden/>
            <w:color w:val="244061" w:themeColor="accent1" w:themeShade="80"/>
          </w:rPr>
          <w:tab/>
        </w:r>
        <w:r w:rsidR="00AD5229" w:rsidRPr="00AD5229">
          <w:rPr>
            <w:rStyle w:val="Hyperlink"/>
            <w:rFonts w:asciiTheme="minorHAnsi" w:hAnsiTheme="minorHAnsi"/>
            <w:noProof/>
            <w:webHidden/>
            <w:color w:val="244061" w:themeColor="accent1" w:themeShade="80"/>
          </w:rPr>
          <w:fldChar w:fldCharType="begin"/>
        </w:r>
        <w:r w:rsidR="00AD5229" w:rsidRPr="00AD5229">
          <w:rPr>
            <w:rStyle w:val="Hyperlink"/>
            <w:rFonts w:asciiTheme="minorHAnsi" w:hAnsiTheme="minorHAnsi"/>
            <w:noProof/>
            <w:webHidden/>
            <w:color w:val="244061" w:themeColor="accent1" w:themeShade="80"/>
          </w:rPr>
          <w:instrText xml:space="preserve"> PAGEREF _Toc412534761 \h </w:instrText>
        </w:r>
        <w:r w:rsidR="00AD5229" w:rsidRPr="00AD5229">
          <w:rPr>
            <w:rStyle w:val="Hyperlink"/>
            <w:rFonts w:asciiTheme="minorHAnsi" w:hAnsiTheme="minorHAnsi"/>
            <w:noProof/>
            <w:webHidden/>
            <w:color w:val="244061" w:themeColor="accent1" w:themeShade="80"/>
          </w:rPr>
        </w:r>
        <w:r w:rsidR="00AD5229" w:rsidRPr="00AD5229">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9</w:t>
        </w:r>
        <w:r w:rsidR="00AD5229" w:rsidRPr="00AD5229">
          <w:rPr>
            <w:rStyle w:val="Hyperlink"/>
            <w:rFonts w:asciiTheme="minorHAnsi" w:hAnsiTheme="minorHAnsi"/>
            <w:noProof/>
            <w:webHidden/>
            <w:color w:val="244061" w:themeColor="accent1" w:themeShade="80"/>
          </w:rPr>
          <w:fldChar w:fldCharType="end"/>
        </w:r>
      </w:hyperlink>
    </w:p>
    <w:p w:rsidR="00AD5229" w:rsidRPr="00AD5229" w:rsidRDefault="00E80CFD" w:rsidP="00AD5229">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762" w:history="1">
        <w:r w:rsidR="00AD5229" w:rsidRPr="00AD5229">
          <w:rPr>
            <w:rStyle w:val="Hyperlink"/>
            <w:rFonts w:asciiTheme="minorHAnsi" w:hAnsiTheme="minorHAnsi"/>
            <w:noProof/>
            <w:color w:val="244061" w:themeColor="accent1" w:themeShade="80"/>
          </w:rPr>
          <w:t>Figure 2: Student Teacher Ratio at a Sample of Cycle 1 and Cycle 2 Schools</w:t>
        </w:r>
        <w:r w:rsidR="00AD5229" w:rsidRPr="00AD5229">
          <w:rPr>
            <w:rStyle w:val="Hyperlink"/>
            <w:rFonts w:asciiTheme="minorHAnsi" w:hAnsiTheme="minorHAnsi"/>
            <w:noProof/>
            <w:webHidden/>
            <w:color w:val="244061" w:themeColor="accent1" w:themeShade="80"/>
          </w:rPr>
          <w:tab/>
        </w:r>
        <w:r w:rsidR="00AD5229" w:rsidRPr="00AD5229">
          <w:rPr>
            <w:rStyle w:val="Hyperlink"/>
            <w:rFonts w:asciiTheme="minorHAnsi" w:hAnsiTheme="minorHAnsi"/>
            <w:noProof/>
            <w:webHidden/>
            <w:color w:val="244061" w:themeColor="accent1" w:themeShade="80"/>
          </w:rPr>
          <w:fldChar w:fldCharType="begin"/>
        </w:r>
        <w:r w:rsidR="00AD5229" w:rsidRPr="00AD5229">
          <w:rPr>
            <w:rStyle w:val="Hyperlink"/>
            <w:rFonts w:asciiTheme="minorHAnsi" w:hAnsiTheme="minorHAnsi"/>
            <w:noProof/>
            <w:webHidden/>
            <w:color w:val="244061" w:themeColor="accent1" w:themeShade="80"/>
          </w:rPr>
          <w:instrText xml:space="preserve"> PAGEREF _Toc412534762 \h </w:instrText>
        </w:r>
        <w:r w:rsidR="00AD5229" w:rsidRPr="00AD5229">
          <w:rPr>
            <w:rStyle w:val="Hyperlink"/>
            <w:rFonts w:asciiTheme="minorHAnsi" w:hAnsiTheme="minorHAnsi"/>
            <w:noProof/>
            <w:webHidden/>
            <w:color w:val="244061" w:themeColor="accent1" w:themeShade="80"/>
          </w:rPr>
        </w:r>
        <w:r w:rsidR="00AD5229" w:rsidRPr="00AD5229">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14</w:t>
        </w:r>
        <w:r w:rsidR="00AD5229" w:rsidRPr="00AD5229">
          <w:rPr>
            <w:rStyle w:val="Hyperlink"/>
            <w:rFonts w:asciiTheme="minorHAnsi" w:hAnsiTheme="minorHAnsi"/>
            <w:noProof/>
            <w:webHidden/>
            <w:color w:val="244061" w:themeColor="accent1" w:themeShade="80"/>
          </w:rPr>
          <w:fldChar w:fldCharType="end"/>
        </w:r>
      </w:hyperlink>
    </w:p>
    <w:p w:rsidR="00AD5229" w:rsidRPr="00AD5229" w:rsidRDefault="00E80CFD" w:rsidP="00AD5229">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763" w:history="1">
        <w:r w:rsidR="00AD5229" w:rsidRPr="00AD5229">
          <w:rPr>
            <w:rStyle w:val="Hyperlink"/>
            <w:rFonts w:asciiTheme="minorHAnsi" w:hAnsiTheme="minorHAnsi"/>
            <w:noProof/>
            <w:color w:val="244061" w:themeColor="accent1" w:themeShade="80"/>
          </w:rPr>
          <w:t>Figure 3: C3 logic architecture</w:t>
        </w:r>
        <w:r w:rsidR="00AD5229" w:rsidRPr="00AD5229">
          <w:rPr>
            <w:rStyle w:val="Hyperlink"/>
            <w:rFonts w:asciiTheme="minorHAnsi" w:hAnsiTheme="minorHAnsi"/>
            <w:noProof/>
            <w:webHidden/>
            <w:color w:val="244061" w:themeColor="accent1" w:themeShade="80"/>
          </w:rPr>
          <w:tab/>
        </w:r>
        <w:r w:rsidR="00AD5229" w:rsidRPr="00AD5229">
          <w:rPr>
            <w:rStyle w:val="Hyperlink"/>
            <w:rFonts w:asciiTheme="minorHAnsi" w:hAnsiTheme="minorHAnsi"/>
            <w:noProof/>
            <w:webHidden/>
            <w:color w:val="244061" w:themeColor="accent1" w:themeShade="80"/>
          </w:rPr>
          <w:fldChar w:fldCharType="begin"/>
        </w:r>
        <w:r w:rsidR="00AD5229" w:rsidRPr="00AD5229">
          <w:rPr>
            <w:rStyle w:val="Hyperlink"/>
            <w:rFonts w:asciiTheme="minorHAnsi" w:hAnsiTheme="minorHAnsi"/>
            <w:noProof/>
            <w:webHidden/>
            <w:color w:val="244061" w:themeColor="accent1" w:themeShade="80"/>
          </w:rPr>
          <w:instrText xml:space="preserve"> PAGEREF _Toc412534763 \h </w:instrText>
        </w:r>
        <w:r w:rsidR="00AD5229" w:rsidRPr="00AD5229">
          <w:rPr>
            <w:rStyle w:val="Hyperlink"/>
            <w:rFonts w:asciiTheme="minorHAnsi" w:hAnsiTheme="minorHAnsi"/>
            <w:noProof/>
            <w:webHidden/>
            <w:color w:val="244061" w:themeColor="accent1" w:themeShade="80"/>
          </w:rPr>
        </w:r>
        <w:r w:rsidR="00AD5229" w:rsidRPr="00AD5229">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32</w:t>
        </w:r>
        <w:r w:rsidR="00AD5229" w:rsidRPr="00AD5229">
          <w:rPr>
            <w:rStyle w:val="Hyperlink"/>
            <w:rFonts w:asciiTheme="minorHAnsi" w:hAnsiTheme="minorHAnsi"/>
            <w:noProof/>
            <w:webHidden/>
            <w:color w:val="244061" w:themeColor="accent1" w:themeShade="80"/>
          </w:rPr>
          <w:fldChar w:fldCharType="end"/>
        </w:r>
      </w:hyperlink>
    </w:p>
    <w:p w:rsidR="00AD5229" w:rsidRPr="00AD5229" w:rsidRDefault="00E80CFD" w:rsidP="00AD5229">
      <w:pPr>
        <w:pStyle w:val="TableofFigures"/>
        <w:tabs>
          <w:tab w:val="right" w:leader="dot" w:pos="9019"/>
        </w:tabs>
        <w:spacing w:before="60" w:after="60" w:line="276" w:lineRule="auto"/>
        <w:rPr>
          <w:rStyle w:val="Hyperlink"/>
          <w:rFonts w:asciiTheme="minorHAnsi" w:hAnsiTheme="minorHAnsi"/>
          <w:noProof/>
          <w:color w:val="244061" w:themeColor="accent1" w:themeShade="80"/>
        </w:rPr>
      </w:pPr>
      <w:hyperlink w:anchor="_Toc412534764" w:history="1">
        <w:r w:rsidR="00AD5229" w:rsidRPr="00AD5229">
          <w:rPr>
            <w:rStyle w:val="Hyperlink"/>
            <w:rFonts w:asciiTheme="minorHAnsi" w:hAnsiTheme="minorHAnsi"/>
            <w:noProof/>
            <w:color w:val="244061" w:themeColor="accent1" w:themeShade="80"/>
          </w:rPr>
          <w:t>Figure 4: ACDP’s objectives and associated functions</w:t>
        </w:r>
        <w:r w:rsidR="00AD5229" w:rsidRPr="00AD5229">
          <w:rPr>
            <w:rStyle w:val="Hyperlink"/>
            <w:rFonts w:asciiTheme="minorHAnsi" w:hAnsiTheme="minorHAnsi"/>
            <w:noProof/>
            <w:webHidden/>
            <w:color w:val="244061" w:themeColor="accent1" w:themeShade="80"/>
          </w:rPr>
          <w:tab/>
        </w:r>
        <w:r w:rsidR="00AD5229" w:rsidRPr="00AD5229">
          <w:rPr>
            <w:rStyle w:val="Hyperlink"/>
            <w:rFonts w:asciiTheme="minorHAnsi" w:hAnsiTheme="minorHAnsi"/>
            <w:noProof/>
            <w:webHidden/>
            <w:color w:val="244061" w:themeColor="accent1" w:themeShade="80"/>
          </w:rPr>
          <w:fldChar w:fldCharType="begin"/>
        </w:r>
        <w:r w:rsidR="00AD5229" w:rsidRPr="00AD5229">
          <w:rPr>
            <w:rStyle w:val="Hyperlink"/>
            <w:rFonts w:asciiTheme="minorHAnsi" w:hAnsiTheme="minorHAnsi"/>
            <w:noProof/>
            <w:webHidden/>
            <w:color w:val="244061" w:themeColor="accent1" w:themeShade="80"/>
          </w:rPr>
          <w:instrText xml:space="preserve"> PAGEREF _Toc412534764 \h </w:instrText>
        </w:r>
        <w:r w:rsidR="00AD5229" w:rsidRPr="00AD5229">
          <w:rPr>
            <w:rStyle w:val="Hyperlink"/>
            <w:rFonts w:asciiTheme="minorHAnsi" w:hAnsiTheme="minorHAnsi"/>
            <w:noProof/>
            <w:webHidden/>
            <w:color w:val="244061" w:themeColor="accent1" w:themeShade="80"/>
          </w:rPr>
        </w:r>
        <w:r w:rsidR="00AD5229" w:rsidRPr="00AD5229">
          <w:rPr>
            <w:rStyle w:val="Hyperlink"/>
            <w:rFonts w:asciiTheme="minorHAnsi" w:hAnsiTheme="minorHAnsi"/>
            <w:noProof/>
            <w:webHidden/>
            <w:color w:val="244061" w:themeColor="accent1" w:themeShade="80"/>
          </w:rPr>
          <w:fldChar w:fldCharType="separate"/>
        </w:r>
        <w:r w:rsidR="004A0A8F">
          <w:rPr>
            <w:rStyle w:val="Hyperlink"/>
            <w:rFonts w:asciiTheme="minorHAnsi" w:hAnsiTheme="minorHAnsi"/>
            <w:noProof/>
            <w:webHidden/>
            <w:color w:val="244061" w:themeColor="accent1" w:themeShade="80"/>
          </w:rPr>
          <w:t>55</w:t>
        </w:r>
        <w:r w:rsidR="00AD5229" w:rsidRPr="00AD5229">
          <w:rPr>
            <w:rStyle w:val="Hyperlink"/>
            <w:rFonts w:asciiTheme="minorHAnsi" w:hAnsiTheme="minorHAnsi"/>
            <w:noProof/>
            <w:webHidden/>
            <w:color w:val="244061" w:themeColor="accent1" w:themeShade="80"/>
          </w:rPr>
          <w:fldChar w:fldCharType="end"/>
        </w:r>
      </w:hyperlink>
    </w:p>
    <w:p w:rsidR="0022598A" w:rsidRPr="00851EC7" w:rsidRDefault="0022598A" w:rsidP="00AF6BE4">
      <w:pPr>
        <w:pStyle w:val="TableofFigures"/>
        <w:tabs>
          <w:tab w:val="right" w:leader="dot" w:pos="9019"/>
        </w:tabs>
        <w:spacing w:before="60" w:after="60" w:line="276" w:lineRule="auto"/>
        <w:rPr>
          <w:lang w:val="en-AU"/>
        </w:rPr>
      </w:pPr>
      <w:r w:rsidRPr="00AF6BE4">
        <w:rPr>
          <w:rStyle w:val="Hyperlink"/>
          <w:rFonts w:asciiTheme="minorHAnsi" w:hAnsiTheme="minorHAnsi"/>
          <w:noProof/>
          <w:color w:val="244061" w:themeColor="accent1" w:themeShade="80"/>
        </w:rPr>
        <w:fldChar w:fldCharType="end"/>
      </w:r>
    </w:p>
    <w:p w:rsidR="0022598A" w:rsidRPr="00851EC7" w:rsidRDefault="0022598A" w:rsidP="00645CC8">
      <w:pPr>
        <w:rPr>
          <w:lang w:val="en-AU"/>
        </w:rPr>
        <w:sectPr w:rsidR="0022598A" w:rsidRPr="00851EC7" w:rsidSect="00045CAA">
          <w:headerReference w:type="default" r:id="rId22"/>
          <w:footerReference w:type="default" r:id="rId23"/>
          <w:footnotePr>
            <w:numRestart w:val="eachSect"/>
          </w:footnotePr>
          <w:endnotePr>
            <w:numRestart w:val="eachSect"/>
          </w:endnotePr>
          <w:type w:val="oddPage"/>
          <w:pgSz w:w="11909" w:h="16834" w:code="9"/>
          <w:pgMar w:top="1440" w:right="1440" w:bottom="1440" w:left="1440" w:header="432" w:footer="720" w:gutter="0"/>
          <w:pgNumType w:fmt="lowerRoman"/>
          <w:cols w:space="720"/>
          <w:docGrid w:linePitch="360"/>
        </w:sectPr>
      </w:pPr>
    </w:p>
    <w:p w:rsidR="00645CC8" w:rsidRPr="00851EC7" w:rsidRDefault="00045CAA" w:rsidP="00B33BC8">
      <w:pPr>
        <w:pStyle w:val="Heading1"/>
        <w:numPr>
          <w:ilvl w:val="0"/>
          <w:numId w:val="0"/>
        </w:numPr>
      </w:pPr>
      <w:bookmarkStart w:id="4" w:name="_Toc407779877"/>
      <w:r w:rsidRPr="00851EC7">
        <w:lastRenderedPageBreak/>
        <w:t>ABBREVIATIONS AND ACRONYMS</w:t>
      </w:r>
      <w:bookmarkEnd w:id="4"/>
    </w:p>
    <w:p w:rsidR="004D3EF0" w:rsidRDefault="004D3EF0" w:rsidP="004D3E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685"/>
        <w:gridCol w:w="4223"/>
      </w:tblGrid>
      <w:tr w:rsidR="004D3EF0" w:rsidRPr="00040659" w:rsidTr="00D52465">
        <w:trPr>
          <w:trHeight w:val="468"/>
          <w:tblHeader/>
        </w:trPr>
        <w:tc>
          <w:tcPr>
            <w:tcW w:w="1101" w:type="dxa"/>
            <w:shd w:val="clear" w:color="auto" w:fill="365F91" w:themeFill="accent1" w:themeFillShade="BF"/>
            <w:vAlign w:val="center"/>
          </w:tcPr>
          <w:p w:rsidR="004D3EF0" w:rsidRPr="00040659" w:rsidRDefault="004D3EF0" w:rsidP="004D3EF0">
            <w:pPr>
              <w:spacing w:before="40" w:after="40"/>
              <w:jc w:val="center"/>
              <w:rPr>
                <w:rFonts w:asciiTheme="minorHAnsi" w:eastAsiaTheme="minorHAnsi" w:hAnsiTheme="minorHAnsi" w:cstheme="minorHAnsi"/>
                <w:color w:val="FFFFFF" w:themeColor="background1"/>
                <w:lang w:val="en-AU"/>
              </w:rPr>
            </w:pPr>
          </w:p>
        </w:tc>
        <w:tc>
          <w:tcPr>
            <w:tcW w:w="3685" w:type="dxa"/>
            <w:shd w:val="clear" w:color="auto" w:fill="365F91" w:themeFill="accent1" w:themeFillShade="BF"/>
            <w:vAlign w:val="center"/>
          </w:tcPr>
          <w:p w:rsidR="004D3EF0" w:rsidRPr="00040659" w:rsidRDefault="004D3EF0" w:rsidP="004D3EF0">
            <w:pPr>
              <w:spacing w:before="40" w:after="40"/>
              <w:jc w:val="center"/>
              <w:rPr>
                <w:rFonts w:asciiTheme="minorHAnsi" w:eastAsiaTheme="minorHAnsi" w:hAnsiTheme="minorHAnsi" w:cstheme="minorHAnsi"/>
                <w:b/>
                <w:color w:val="FFFFFF" w:themeColor="background1"/>
                <w:lang w:val="en-AU"/>
              </w:rPr>
            </w:pPr>
            <w:r w:rsidRPr="00040659">
              <w:rPr>
                <w:rFonts w:asciiTheme="minorHAnsi" w:eastAsiaTheme="minorHAnsi" w:hAnsiTheme="minorHAnsi" w:cstheme="minorHAnsi"/>
                <w:b/>
                <w:color w:val="FFFFFF" w:themeColor="background1"/>
                <w:lang w:val="en-AU"/>
              </w:rPr>
              <w:t>English</w:t>
            </w:r>
          </w:p>
        </w:tc>
        <w:tc>
          <w:tcPr>
            <w:tcW w:w="4223" w:type="dxa"/>
            <w:shd w:val="clear" w:color="auto" w:fill="365F91" w:themeFill="accent1" w:themeFillShade="BF"/>
            <w:vAlign w:val="center"/>
          </w:tcPr>
          <w:p w:rsidR="004D3EF0" w:rsidRPr="00040659" w:rsidRDefault="004D3EF0" w:rsidP="004D3EF0">
            <w:pPr>
              <w:spacing w:before="40" w:after="40"/>
              <w:jc w:val="center"/>
              <w:rPr>
                <w:rFonts w:asciiTheme="minorHAnsi" w:eastAsiaTheme="minorHAnsi" w:hAnsiTheme="minorHAnsi" w:cstheme="minorHAnsi"/>
                <w:b/>
                <w:color w:val="FFFFFF" w:themeColor="background1"/>
                <w:lang w:val="en-AU"/>
              </w:rPr>
            </w:pPr>
            <w:r w:rsidRPr="00040659">
              <w:rPr>
                <w:rFonts w:asciiTheme="minorHAnsi" w:eastAsiaTheme="minorHAnsi" w:hAnsiTheme="minorHAnsi" w:cstheme="minorHAnsi"/>
                <w:b/>
                <w:color w:val="FFFFFF" w:themeColor="background1"/>
                <w:lang w:val="en-AU"/>
              </w:rPr>
              <w:t>Indonesian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ACDP</w:t>
            </w:r>
          </w:p>
        </w:tc>
        <w:tc>
          <w:tcPr>
            <w:tcW w:w="3685" w:type="dxa"/>
            <w:vAlign w:val="center"/>
          </w:tcPr>
          <w:p w:rsidR="004D3EF0" w:rsidRPr="007E56E2" w:rsidRDefault="004D3EF0" w:rsidP="004D3EF0">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Analytical and Capacity Development Partnership</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lang w:val="en-AU"/>
              </w:rPr>
              <w:t xml:space="preserve">Kemitraan </w:t>
            </w:r>
            <w:r>
              <w:rPr>
                <w:rFonts w:asciiTheme="minorHAnsi" w:eastAsiaTheme="majorEastAsia" w:hAnsiTheme="minorHAnsi" w:cstheme="majorBidi"/>
                <w:sz w:val="20"/>
                <w:lang w:val="en-AU"/>
              </w:rPr>
              <w:t xml:space="preserve">untuk </w:t>
            </w:r>
            <w:r w:rsidRPr="007E56E2">
              <w:rPr>
                <w:rFonts w:asciiTheme="minorHAnsi" w:eastAsiaTheme="majorEastAsia" w:hAnsiTheme="minorHAnsi" w:cstheme="majorBidi"/>
                <w:sz w:val="20"/>
                <w:lang w:val="en-AU"/>
              </w:rPr>
              <w:t xml:space="preserve">Pengembangan </w:t>
            </w:r>
            <w:r>
              <w:rPr>
                <w:rFonts w:asciiTheme="minorHAnsi" w:eastAsiaTheme="majorEastAsia" w:hAnsiTheme="minorHAnsi" w:cstheme="majorBidi"/>
                <w:sz w:val="20"/>
                <w:lang w:val="en-AU"/>
              </w:rPr>
              <w:t>Kapasitas dan Analisis</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ADB</w:t>
            </w:r>
          </w:p>
        </w:tc>
        <w:tc>
          <w:tcPr>
            <w:tcW w:w="3685" w:type="dxa"/>
            <w:vAlign w:val="center"/>
          </w:tcPr>
          <w:p w:rsidR="004D3EF0" w:rsidRPr="007E56E2" w:rsidRDefault="004D3EF0" w:rsidP="004D3EF0">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Asian Development Bank</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Bank P</w:t>
            </w:r>
            <w:r>
              <w:rPr>
                <w:rFonts w:asciiTheme="minorHAnsi" w:eastAsiaTheme="majorEastAsia" w:hAnsiTheme="minorHAnsi" w:cstheme="majorBidi"/>
                <w:sz w:val="20"/>
                <w:lang w:val="en-AU"/>
              </w:rPr>
              <w:t>embangunan</w:t>
            </w:r>
            <w:r w:rsidRPr="007E56E2">
              <w:rPr>
                <w:rFonts w:asciiTheme="minorHAnsi" w:eastAsiaTheme="majorEastAsia" w:hAnsiTheme="minorHAnsi" w:cstheme="majorBidi"/>
                <w:sz w:val="20"/>
                <w:lang w:val="en-AU"/>
              </w:rPr>
              <w:t xml:space="preserve"> Asia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AIBEP</w:t>
            </w:r>
          </w:p>
        </w:tc>
        <w:tc>
          <w:tcPr>
            <w:tcW w:w="3685" w:type="dxa"/>
            <w:vAlign w:val="center"/>
          </w:tcPr>
          <w:p w:rsidR="004D3EF0" w:rsidRPr="007E56E2" w:rsidRDefault="004D3EF0" w:rsidP="004D3EF0">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Australia Indonesia Basic Education Program</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Program Pendidikan Dasar Australia - Indonesia</w:t>
            </w:r>
          </w:p>
        </w:tc>
      </w:tr>
      <w:tr w:rsidR="004D3EF0" w:rsidRPr="00C0236E"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APBN</w:t>
            </w:r>
          </w:p>
        </w:tc>
        <w:tc>
          <w:tcPr>
            <w:tcW w:w="3685" w:type="dxa"/>
            <w:vAlign w:val="center"/>
          </w:tcPr>
          <w:p w:rsidR="004D3EF0" w:rsidRPr="00FA235F" w:rsidRDefault="004D3EF0" w:rsidP="004D3EF0">
            <w:pPr>
              <w:spacing w:line="276" w:lineRule="auto"/>
              <w:rPr>
                <w:rFonts w:asciiTheme="minorHAnsi" w:hAnsiTheme="minorHAnsi"/>
                <w:sz w:val="20"/>
              </w:rPr>
            </w:pPr>
            <w:r w:rsidRPr="00FA235F">
              <w:rPr>
                <w:rFonts w:asciiTheme="minorHAnsi" w:hAnsiTheme="minorHAnsi"/>
                <w:sz w:val="20"/>
              </w:rPr>
              <w:t>National Budget</w:t>
            </w:r>
          </w:p>
        </w:tc>
        <w:tc>
          <w:tcPr>
            <w:tcW w:w="4223" w:type="dxa"/>
            <w:vAlign w:val="center"/>
          </w:tcPr>
          <w:p w:rsidR="004D3EF0" w:rsidRPr="00196F93" w:rsidRDefault="004D3EF0" w:rsidP="004D3EF0">
            <w:pPr>
              <w:spacing w:line="276" w:lineRule="auto"/>
              <w:rPr>
                <w:rFonts w:asciiTheme="minorHAnsi" w:hAnsiTheme="minorHAnsi" w:cstheme="majorBidi"/>
                <w:sz w:val="20"/>
                <w:lang w:val="fr-BE"/>
              </w:rPr>
            </w:pPr>
            <w:r w:rsidRPr="00196F93">
              <w:rPr>
                <w:rFonts w:asciiTheme="minorHAnsi" w:hAnsiTheme="minorHAnsi" w:cstheme="majorBidi"/>
                <w:sz w:val="20"/>
                <w:lang w:val="fr-BE"/>
              </w:rPr>
              <w:t>Anggaran Pendapatan dan Belanja Negara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APPR</w:t>
            </w:r>
          </w:p>
        </w:tc>
        <w:tc>
          <w:tcPr>
            <w:tcW w:w="3685" w:type="dxa"/>
            <w:vAlign w:val="center"/>
          </w:tcPr>
          <w:p w:rsidR="004D3EF0" w:rsidRPr="00FA235F" w:rsidRDefault="004D3EF0" w:rsidP="004D3EF0">
            <w:pPr>
              <w:spacing w:line="276" w:lineRule="auto"/>
              <w:rPr>
                <w:rFonts w:asciiTheme="minorHAnsi" w:hAnsiTheme="minorHAnsi"/>
                <w:sz w:val="20"/>
              </w:rPr>
            </w:pPr>
            <w:r>
              <w:rPr>
                <w:rFonts w:asciiTheme="minorHAnsi" w:hAnsiTheme="minorHAnsi"/>
                <w:sz w:val="20"/>
              </w:rPr>
              <w:t>Annual Partnership Performance Report</w:t>
            </w:r>
          </w:p>
        </w:tc>
        <w:tc>
          <w:tcPr>
            <w:tcW w:w="4223" w:type="dxa"/>
            <w:vAlign w:val="center"/>
          </w:tcPr>
          <w:p w:rsidR="004D3EF0" w:rsidRPr="00FA235F" w:rsidRDefault="004D3EF0" w:rsidP="004D3EF0">
            <w:pPr>
              <w:spacing w:line="276" w:lineRule="auto"/>
              <w:rPr>
                <w:rFonts w:asciiTheme="minorHAnsi" w:hAnsiTheme="minorHAnsi" w:cstheme="majorBidi"/>
                <w:sz w:val="20"/>
              </w:rPr>
            </w:pPr>
            <w:r>
              <w:rPr>
                <w:rFonts w:asciiTheme="minorHAnsi" w:hAnsiTheme="minorHAnsi" w:cstheme="majorBidi"/>
                <w:sz w:val="20"/>
              </w:rPr>
              <w:t xml:space="preserve">Laporan Tahunan Kinerja Kemitraan </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AQC</w:t>
            </w:r>
          </w:p>
        </w:tc>
        <w:tc>
          <w:tcPr>
            <w:tcW w:w="3685" w:type="dxa"/>
            <w:vAlign w:val="center"/>
          </w:tcPr>
          <w:p w:rsidR="004D3EF0" w:rsidRPr="00FA235F" w:rsidRDefault="004D3EF0" w:rsidP="004D3EF0">
            <w:pPr>
              <w:spacing w:line="276" w:lineRule="auto"/>
              <w:rPr>
                <w:rFonts w:asciiTheme="minorHAnsi" w:hAnsiTheme="minorHAnsi"/>
                <w:sz w:val="20"/>
              </w:rPr>
            </w:pPr>
            <w:r>
              <w:rPr>
                <w:rFonts w:asciiTheme="minorHAnsi" w:hAnsiTheme="minorHAnsi"/>
                <w:sz w:val="20"/>
              </w:rPr>
              <w:t>Aid Quality Checks</w:t>
            </w:r>
          </w:p>
        </w:tc>
        <w:tc>
          <w:tcPr>
            <w:tcW w:w="4223" w:type="dxa"/>
            <w:vAlign w:val="center"/>
          </w:tcPr>
          <w:p w:rsidR="004D3EF0" w:rsidRPr="0080471F" w:rsidRDefault="004D3EF0" w:rsidP="004D3EF0">
            <w:pPr>
              <w:spacing w:line="276" w:lineRule="auto"/>
              <w:rPr>
                <w:sz w:val="20"/>
              </w:rPr>
            </w:pPr>
            <w:r>
              <w:rPr>
                <w:sz w:val="20"/>
              </w:rPr>
              <w:t xml:space="preserve">Evaluasi Kualitas Bantuan </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ATOG</w:t>
            </w:r>
          </w:p>
        </w:tc>
        <w:tc>
          <w:tcPr>
            <w:tcW w:w="3685" w:type="dxa"/>
            <w:vAlign w:val="center"/>
          </w:tcPr>
          <w:p w:rsidR="004D3EF0" w:rsidRPr="00FA235F" w:rsidRDefault="004D3EF0" w:rsidP="004D3EF0">
            <w:pPr>
              <w:spacing w:line="276" w:lineRule="auto"/>
              <w:rPr>
                <w:rFonts w:asciiTheme="minorHAnsi" w:hAnsiTheme="minorHAnsi"/>
                <w:sz w:val="20"/>
              </w:rPr>
            </w:pPr>
            <w:r>
              <w:rPr>
                <w:rFonts w:asciiTheme="minorHAnsi" w:hAnsiTheme="minorHAnsi"/>
                <w:sz w:val="20"/>
              </w:rPr>
              <w:t>ACDP Technical Oversight Group</w:t>
            </w:r>
          </w:p>
        </w:tc>
        <w:tc>
          <w:tcPr>
            <w:tcW w:w="4223" w:type="dxa"/>
            <w:vAlign w:val="center"/>
          </w:tcPr>
          <w:p w:rsidR="004D3EF0" w:rsidRPr="0080471F" w:rsidRDefault="004D3EF0" w:rsidP="004D3EF0">
            <w:pPr>
              <w:spacing w:line="276" w:lineRule="auto"/>
              <w:rPr>
                <w:sz w:val="20"/>
              </w:rPr>
            </w:pPr>
            <w:r>
              <w:rPr>
                <w:rFonts w:asciiTheme="minorHAnsi" w:eastAsiaTheme="majorEastAsia" w:hAnsiTheme="minorHAnsi" w:cstheme="majorBidi"/>
                <w:sz w:val="20"/>
              </w:rPr>
              <w:t>Kelompok Pengawasan Teknis ACDP</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AUD</w:t>
            </w:r>
          </w:p>
        </w:tc>
        <w:tc>
          <w:tcPr>
            <w:tcW w:w="3685" w:type="dxa"/>
            <w:vAlign w:val="center"/>
          </w:tcPr>
          <w:p w:rsidR="004D3EF0" w:rsidRPr="00FA235F" w:rsidRDefault="004D3EF0" w:rsidP="004D3EF0">
            <w:pPr>
              <w:spacing w:line="276" w:lineRule="auto"/>
              <w:rPr>
                <w:rFonts w:asciiTheme="minorHAnsi" w:hAnsiTheme="minorHAnsi"/>
                <w:sz w:val="20"/>
              </w:rPr>
            </w:pPr>
            <w:r w:rsidRPr="00FA235F">
              <w:rPr>
                <w:rFonts w:asciiTheme="minorHAnsi" w:hAnsiTheme="minorHAnsi"/>
                <w:sz w:val="20"/>
              </w:rPr>
              <w:t>Australian Dollar</w:t>
            </w:r>
          </w:p>
        </w:tc>
        <w:tc>
          <w:tcPr>
            <w:tcW w:w="4223" w:type="dxa"/>
            <w:vAlign w:val="center"/>
          </w:tcPr>
          <w:p w:rsidR="004D3EF0" w:rsidRPr="000D18B6" w:rsidRDefault="004D3EF0" w:rsidP="004D3EF0">
            <w:pPr>
              <w:spacing w:line="276" w:lineRule="auto"/>
              <w:rPr>
                <w:rFonts w:asciiTheme="minorHAnsi" w:eastAsiaTheme="majorEastAsia" w:hAnsiTheme="minorHAnsi" w:cstheme="majorBidi"/>
                <w:sz w:val="20"/>
              </w:rPr>
            </w:pPr>
            <w:r w:rsidRPr="0080471F">
              <w:rPr>
                <w:sz w:val="20"/>
              </w:rPr>
              <w:t>Dolar Australia</w:t>
            </w:r>
          </w:p>
        </w:tc>
      </w:tr>
      <w:tr w:rsidR="004D3EF0" w:rsidRPr="007E56E2" w:rsidTr="00D52465">
        <w:trPr>
          <w:trHeight w:val="312"/>
        </w:trPr>
        <w:tc>
          <w:tcPr>
            <w:tcW w:w="1101" w:type="dxa"/>
            <w:vAlign w:val="center"/>
          </w:tcPr>
          <w:p w:rsidR="004D3EF0" w:rsidRPr="009D7001" w:rsidRDefault="004D3EF0" w:rsidP="004D3EF0">
            <w:pPr>
              <w:spacing w:line="276" w:lineRule="auto"/>
              <w:rPr>
                <w:rFonts w:asciiTheme="minorHAnsi" w:hAnsiTheme="minorHAnsi"/>
                <w:i/>
                <w:sz w:val="20"/>
                <w:lang w:val="en-AU"/>
              </w:rPr>
            </w:pPr>
            <w:r>
              <w:rPr>
                <w:rFonts w:asciiTheme="minorHAnsi" w:hAnsiTheme="minorHAnsi"/>
                <w:i/>
                <w:sz w:val="20"/>
                <w:lang w:val="en-AU"/>
              </w:rPr>
              <w:t>Balitbang</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National Office for Research and Development</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Badan Penelitian dan Pengembangan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BAN-S/</w:t>
            </w:r>
            <w:r w:rsidRPr="007E56E2">
              <w:rPr>
                <w:rFonts w:asciiTheme="minorHAnsi" w:hAnsiTheme="minorHAnsi"/>
                <w:sz w:val="20"/>
                <w:lang w:val="en-AU"/>
              </w:rPr>
              <w:t>M</w:t>
            </w:r>
          </w:p>
          <w:p w:rsidR="004D3EF0" w:rsidRPr="007E56E2" w:rsidRDefault="004D3EF0" w:rsidP="004D3EF0">
            <w:pPr>
              <w:spacing w:line="276" w:lineRule="auto"/>
              <w:rPr>
                <w:rFonts w:asciiTheme="minorHAnsi" w:hAnsiTheme="minorHAnsi"/>
                <w:sz w:val="20"/>
              </w:rPr>
            </w:pP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Board of National Accreditation – School/Madrasah</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Badan Akreditasi Nasional-Sekolah/Madrasah</w:t>
            </w:r>
          </w:p>
        </w:tc>
      </w:tr>
      <w:tr w:rsidR="004D3EF0" w:rsidRPr="008F110D" w:rsidTr="00D52465">
        <w:trPr>
          <w:trHeight w:val="312"/>
        </w:trPr>
        <w:tc>
          <w:tcPr>
            <w:tcW w:w="1101" w:type="dxa"/>
            <w:vAlign w:val="center"/>
          </w:tcPr>
          <w:p w:rsidR="004D3EF0" w:rsidRPr="00725FE5" w:rsidRDefault="004D3EF0" w:rsidP="004D3EF0">
            <w:pPr>
              <w:spacing w:line="276" w:lineRule="auto"/>
              <w:rPr>
                <w:rFonts w:asciiTheme="minorHAnsi" w:hAnsiTheme="minorHAnsi"/>
                <w:i/>
                <w:sz w:val="20"/>
                <w:lang w:val="en-AU"/>
              </w:rPr>
            </w:pPr>
            <w:r w:rsidRPr="00725FE5">
              <w:rPr>
                <w:rFonts w:asciiTheme="minorHAnsi" w:hAnsiTheme="minorHAnsi"/>
                <w:i/>
                <w:sz w:val="20"/>
                <w:lang w:val="en-AU"/>
              </w:rPr>
              <w:t>Bappenas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Ministry of National Development Planning</w:t>
            </w:r>
          </w:p>
        </w:tc>
        <w:tc>
          <w:tcPr>
            <w:tcW w:w="4223" w:type="dxa"/>
            <w:vAlign w:val="center"/>
          </w:tcPr>
          <w:p w:rsidR="004D3EF0" w:rsidRPr="009D68C0"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Badan</w:t>
            </w:r>
            <w:r w:rsidRPr="009D68C0">
              <w:rPr>
                <w:rFonts w:asciiTheme="minorHAnsi" w:eastAsiaTheme="majorEastAsia" w:hAnsiTheme="minorHAnsi" w:cstheme="majorBidi"/>
                <w:sz w:val="20"/>
                <w:lang w:val="en-AU"/>
              </w:rPr>
              <w:t xml:space="preserve"> Perencanaan Pembangunan Nasional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BEAP</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Basic Education Access Planning</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Perencanaan Akses Layanan Pendidikan Dasar (Paldikdas)</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BOS</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 xml:space="preserve">School Operational </w:t>
            </w:r>
            <w:r>
              <w:rPr>
                <w:rFonts w:asciiTheme="minorHAnsi" w:hAnsiTheme="minorHAnsi"/>
                <w:sz w:val="20"/>
                <w:lang w:val="en-AU"/>
              </w:rPr>
              <w:t>Grants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Bantuan Operasional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BOS SM</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Operational Grants for Secondary School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Bantuan Operasional Sekolah – Sekolah Menengah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BPSDMPK &amp; PMP</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Education and Culture Human Resources Development and Education Quality Assurance Office</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Badan Pengembangan Sumber Daya Manusia Pendidikan dan Kebudayaan dan Penjaminan Mutu Pendidikan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BPU</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Unit of Learning (see UoL)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Bahan Pembelajaran Umum</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BSM</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 xml:space="preserve">Cash Transfer for Poor Students </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Bantuan Siswa Miskin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C1</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Component 1 of the Education Partnership: School Construction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Komponen 1 Kemitraan Pendidikan: Pembangunan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C2</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Component 2 of the Education Partnership: Capacity Building</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Komponen 2 Kemitraan Pendidikan:Pembangunan Kapasitas</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lang w:val="en-AU"/>
              </w:rPr>
              <w:t>C3</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Component 3 of the Education Partnership: Madrasah Accreditation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Komponen 3 Kemitraan Pendidikan: Akreditasi Madrasah</w:t>
            </w:r>
          </w:p>
        </w:tc>
      </w:tr>
      <w:tr w:rsidR="004D3EF0" w:rsidRPr="007E56E2" w:rsidTr="00D52465">
        <w:trPr>
          <w:trHeight w:val="312"/>
        </w:trPr>
        <w:tc>
          <w:tcPr>
            <w:tcW w:w="1101" w:type="dxa"/>
            <w:shd w:val="clear" w:color="auto" w:fill="FFFFFF" w:themeFill="background1"/>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C4</w:t>
            </w:r>
          </w:p>
        </w:tc>
        <w:tc>
          <w:tcPr>
            <w:tcW w:w="3685" w:type="dxa"/>
            <w:shd w:val="clear" w:color="auto" w:fill="FFFFFF" w:themeFill="background1"/>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Component 4 of the Education Partnership: ACDP</w:t>
            </w:r>
          </w:p>
        </w:tc>
        <w:tc>
          <w:tcPr>
            <w:tcW w:w="4223" w:type="dxa"/>
            <w:shd w:val="clear" w:color="auto" w:fill="FFFFFF" w:themeFill="background1"/>
            <w:vAlign w:val="center"/>
          </w:tcPr>
          <w:p w:rsidR="004D3EF0"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Komponen 4 Kemitraan Pendidikan: ACDP</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CAT</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Core Advisory Team</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Tim Penasehat Inti</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CHS</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Complaints Handling System</w:t>
            </w:r>
          </w:p>
        </w:tc>
        <w:tc>
          <w:tcPr>
            <w:tcW w:w="4223" w:type="dxa"/>
            <w:vAlign w:val="center"/>
          </w:tcPr>
          <w:p w:rsidR="004D3EF0" w:rsidRPr="00B2014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Sistem penanganan aduan</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CMC</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Construction Management Consultant</w:t>
            </w:r>
          </w:p>
        </w:tc>
        <w:tc>
          <w:tcPr>
            <w:tcW w:w="4223" w:type="dxa"/>
            <w:vAlign w:val="center"/>
          </w:tcPr>
          <w:p w:rsidR="004D3EF0" w:rsidRPr="000B0BF7" w:rsidRDefault="004D3EF0" w:rsidP="004D3EF0">
            <w:pPr>
              <w:spacing w:line="276" w:lineRule="auto"/>
              <w:rPr>
                <w:rFonts w:asciiTheme="minorHAnsi" w:eastAsiaTheme="majorEastAsia" w:hAnsiTheme="minorHAnsi" w:cstheme="majorBidi"/>
                <w:sz w:val="20"/>
                <w:highlight w:val="yellow"/>
                <w:lang w:val="en-AU"/>
              </w:rPr>
            </w:pPr>
            <w:r w:rsidRPr="00B20142">
              <w:rPr>
                <w:rFonts w:asciiTheme="minorHAnsi" w:eastAsiaTheme="majorEastAsia" w:hAnsiTheme="minorHAnsi" w:cstheme="majorBidi"/>
                <w:sz w:val="20"/>
                <w:lang w:val="en-AU"/>
              </w:rPr>
              <w:t>Konsultan Manajemen Pembangunan</w:t>
            </w:r>
            <w:r>
              <w:rPr>
                <w:rFonts w:asciiTheme="minorHAnsi" w:eastAsiaTheme="majorEastAsia" w:hAnsiTheme="minorHAnsi" w:cstheme="majorBidi"/>
                <w:sz w:val="20"/>
                <w:lang w:val="en-AU"/>
              </w:rPr>
              <w:t xml:space="preserve">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CPD</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Continuous</w:t>
            </w:r>
            <w:r w:rsidRPr="007E56E2">
              <w:rPr>
                <w:rFonts w:asciiTheme="minorHAnsi" w:hAnsiTheme="minorHAnsi"/>
                <w:sz w:val="20"/>
                <w:lang w:val="en-AU"/>
              </w:rPr>
              <w:t xml:space="preserve"> Professional Development</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Pengembangan Kep</w:t>
            </w:r>
            <w:r w:rsidRPr="007E56E2">
              <w:rPr>
                <w:rFonts w:asciiTheme="minorHAnsi" w:eastAsiaTheme="majorEastAsia" w:hAnsiTheme="minorHAnsi" w:cstheme="majorBidi"/>
                <w:sz w:val="20"/>
                <w:lang w:val="en-AU"/>
              </w:rPr>
              <w:t>rofesi</w:t>
            </w:r>
            <w:r>
              <w:rPr>
                <w:rFonts w:asciiTheme="minorHAnsi" w:eastAsiaTheme="majorEastAsia" w:hAnsiTheme="minorHAnsi" w:cstheme="majorBidi"/>
                <w:sz w:val="20"/>
                <w:lang w:val="en-AU"/>
              </w:rPr>
              <w:t>an</w:t>
            </w:r>
            <w:r w:rsidRPr="007E56E2">
              <w:rPr>
                <w:rFonts w:asciiTheme="minorHAnsi" w:eastAsiaTheme="majorEastAsia" w:hAnsiTheme="minorHAnsi" w:cstheme="majorBidi"/>
                <w:sz w:val="20"/>
                <w:lang w:val="en-AU"/>
              </w:rPr>
              <w:t xml:space="preserve"> Berkelanjutan</w:t>
            </w:r>
            <w:r>
              <w:rPr>
                <w:rFonts w:asciiTheme="minorHAnsi" w:eastAsiaTheme="majorEastAsia" w:hAnsiTheme="minorHAnsi" w:cstheme="majorBidi"/>
                <w:sz w:val="20"/>
                <w:lang w:val="en-AU"/>
              </w:rPr>
              <w:t xml:space="preserve"> Kepala Sekolah / Madrasah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CRS</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 xml:space="preserve">Construction Reporting System </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Sistem Pelaporan Pembangunan Sekolah</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 xml:space="preserve">DAC </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Development Assistance Committee</w:t>
            </w:r>
          </w:p>
        </w:tc>
        <w:tc>
          <w:tcPr>
            <w:tcW w:w="4223" w:type="dxa"/>
            <w:vAlign w:val="center"/>
          </w:tcPr>
          <w:p w:rsidR="004D3EF0" w:rsidRPr="000B0BF7" w:rsidRDefault="004D3EF0" w:rsidP="004D3EF0">
            <w:pPr>
              <w:spacing w:line="276" w:lineRule="auto"/>
              <w:rPr>
                <w:rFonts w:asciiTheme="minorHAnsi" w:eastAsiaTheme="majorEastAsia" w:hAnsiTheme="minorHAnsi" w:cstheme="majorBidi"/>
                <w:sz w:val="20"/>
                <w:highlight w:val="yellow"/>
                <w:lang w:val="en-AU"/>
              </w:rPr>
            </w:pPr>
            <w:r w:rsidRPr="00B20142">
              <w:rPr>
                <w:rFonts w:asciiTheme="minorHAnsi" w:eastAsiaTheme="majorEastAsia" w:hAnsiTheme="minorHAnsi" w:cstheme="majorBidi"/>
                <w:sz w:val="20"/>
                <w:lang w:val="en-AU"/>
              </w:rPr>
              <w:t xml:space="preserve">Komite </w:t>
            </w:r>
            <w:r>
              <w:rPr>
                <w:rFonts w:asciiTheme="minorHAnsi" w:eastAsiaTheme="majorEastAsia" w:hAnsiTheme="minorHAnsi" w:cstheme="majorBidi"/>
                <w:sz w:val="20"/>
                <w:lang w:val="en-AU"/>
              </w:rPr>
              <w:t>Bantuan Pembangunan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DAK</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Specific-Purpose Grant</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Dana Alokasi Khusus</w:t>
            </w:r>
          </w:p>
        </w:tc>
      </w:tr>
      <w:tr w:rsidR="004D3EF0" w:rsidRPr="007E56E2" w:rsidTr="002D3865">
        <w:trPr>
          <w:cantSplit/>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lastRenderedPageBreak/>
              <w:t>DAPODIK</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Education Management Information System (MoEC)</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Data Pokok Pendidikan (Sistem Informasi Manjemen Pendidikan dikembangkan Kemdikbud)</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DEO</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District Education Official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 xml:space="preserve">Pejabat </w:t>
            </w:r>
            <w:r>
              <w:rPr>
                <w:rFonts w:asciiTheme="minorHAnsi" w:eastAsiaTheme="majorEastAsia" w:hAnsiTheme="minorHAnsi" w:cstheme="majorBidi"/>
                <w:sz w:val="20"/>
              </w:rPr>
              <w:t xml:space="preserve">Dinas </w:t>
            </w:r>
            <w:r w:rsidRPr="007E56E2">
              <w:rPr>
                <w:rFonts w:asciiTheme="minorHAnsi" w:eastAsiaTheme="majorEastAsia" w:hAnsiTheme="minorHAnsi" w:cstheme="majorBidi"/>
                <w:sz w:val="20"/>
              </w:rPr>
              <w:t>Pendidikan Tingkat Kabupaten</w:t>
            </w:r>
          </w:p>
        </w:tc>
      </w:tr>
      <w:tr w:rsidR="004D3EF0" w:rsidRPr="008F110D"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DFAT</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Department of Foreign Affairs and Trade</w:t>
            </w:r>
          </w:p>
        </w:tc>
        <w:tc>
          <w:tcPr>
            <w:tcW w:w="4223" w:type="dxa"/>
            <w:vAlign w:val="center"/>
          </w:tcPr>
          <w:p w:rsidR="004D3EF0" w:rsidRPr="009D68C0" w:rsidRDefault="004D3EF0" w:rsidP="004D3EF0">
            <w:pPr>
              <w:spacing w:line="276" w:lineRule="auto"/>
              <w:rPr>
                <w:rFonts w:asciiTheme="minorHAnsi" w:eastAsiaTheme="majorEastAsia" w:hAnsiTheme="minorHAnsi" w:cstheme="majorBidi"/>
                <w:sz w:val="20"/>
              </w:rPr>
            </w:pPr>
            <w:r w:rsidRPr="009D68C0">
              <w:rPr>
                <w:rFonts w:asciiTheme="minorHAnsi" w:eastAsiaTheme="majorEastAsia" w:hAnsiTheme="minorHAnsi" w:cstheme="majorBidi"/>
                <w:sz w:val="20"/>
              </w:rPr>
              <w:t>Departemen Luar Negeri dan Perdagangan</w:t>
            </w:r>
            <w:r>
              <w:rPr>
                <w:rFonts w:asciiTheme="minorHAnsi" w:eastAsiaTheme="majorEastAsia" w:hAnsiTheme="minorHAnsi" w:cstheme="majorBidi"/>
                <w:sz w:val="20"/>
              </w:rPr>
              <w:t xml:space="preserve"> Australia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DFAT AIP</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DFAT Aid Investment Plan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Rencana Investasi Dana Bantuan DFAT</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DG</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Directorate General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Direktorat Jendral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Dikdas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Basic Education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Pendidikan Dasar (jenjang SD/SMP)</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Dikmen</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Secondary Education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Pendidikan Menengah (jenjang SMA/SMK)</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DIPA</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 xml:space="preserve">Budget Implementation </w:t>
            </w:r>
            <w:r>
              <w:rPr>
                <w:rFonts w:asciiTheme="minorHAnsi" w:hAnsiTheme="minorHAnsi"/>
                <w:sz w:val="20"/>
                <w:lang w:val="en-AU"/>
              </w:rPr>
              <w:t>Line Items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Daftar Isian Pelaksanaan Anggaran</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EBR</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Evaluation Baseline Report</w:t>
            </w:r>
          </w:p>
        </w:tc>
        <w:tc>
          <w:tcPr>
            <w:tcW w:w="4223" w:type="dxa"/>
            <w:vAlign w:val="center"/>
          </w:tcPr>
          <w:p w:rsidR="004D3EF0" w:rsidRPr="000B0BF7" w:rsidRDefault="004D3EF0" w:rsidP="004D3EF0">
            <w:pPr>
              <w:spacing w:line="276" w:lineRule="auto"/>
              <w:rPr>
                <w:rFonts w:asciiTheme="minorHAnsi" w:eastAsiaTheme="majorEastAsia" w:hAnsiTheme="minorHAnsi" w:cstheme="majorBidi"/>
                <w:sz w:val="20"/>
                <w:highlight w:val="yellow"/>
                <w:lang w:val="en-AU"/>
              </w:rPr>
            </w:pPr>
            <w:r>
              <w:rPr>
                <w:rFonts w:asciiTheme="minorHAnsi" w:eastAsiaTheme="majorEastAsia" w:hAnsiTheme="minorHAnsi" w:cstheme="majorBidi"/>
                <w:sz w:val="20"/>
                <w:lang w:val="en-AU"/>
              </w:rPr>
              <w:t xml:space="preserve">Laporan Baseline Evaluasi </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ECBP</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Evaluation Capacity Building Program</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Peningkatan Kapasitas Evaluasi</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EMIS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Education Management Information System (MoRA)</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 xml:space="preserve">Sistem Informasi Manajemen Pendidikan </w:t>
            </w:r>
            <w:r>
              <w:rPr>
                <w:rFonts w:asciiTheme="minorHAnsi" w:eastAsiaTheme="majorEastAsia" w:hAnsiTheme="minorHAnsi" w:cstheme="majorBidi"/>
                <w:sz w:val="20"/>
                <w:lang w:val="en-AU"/>
              </w:rPr>
              <w:br/>
              <w:t>(dikembangkan Kemenag)</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EOCO</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 xml:space="preserve">End </w:t>
            </w:r>
            <w:r>
              <w:rPr>
                <w:rFonts w:asciiTheme="minorHAnsi" w:hAnsiTheme="minorHAnsi"/>
                <w:sz w:val="20"/>
                <w:lang w:val="en-AU"/>
              </w:rPr>
              <w:t>o</w:t>
            </w:r>
            <w:r w:rsidRPr="007E56E2">
              <w:rPr>
                <w:rFonts w:asciiTheme="minorHAnsi" w:hAnsiTheme="minorHAnsi"/>
                <w:sz w:val="20"/>
                <w:lang w:val="en-AU"/>
              </w:rPr>
              <w:t>f Component Outcome</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Tujuan Akhir Komponen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EOPO</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 xml:space="preserve">End of </w:t>
            </w:r>
            <w:r>
              <w:rPr>
                <w:rFonts w:asciiTheme="minorHAnsi" w:hAnsiTheme="minorHAnsi"/>
                <w:sz w:val="20"/>
                <w:lang w:val="en-AU"/>
              </w:rPr>
              <w:t>Partnership</w:t>
            </w:r>
            <w:r w:rsidRPr="007E56E2">
              <w:rPr>
                <w:rFonts w:asciiTheme="minorHAnsi" w:hAnsiTheme="minorHAnsi"/>
                <w:sz w:val="20"/>
                <w:lang w:val="en-AU"/>
              </w:rPr>
              <w:t xml:space="preserve"> Outcome</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Tujuan Akhir </w:t>
            </w:r>
            <w:r>
              <w:rPr>
                <w:rFonts w:asciiTheme="minorHAnsi" w:eastAsiaTheme="majorEastAsia" w:hAnsiTheme="minorHAnsi" w:cstheme="majorBidi"/>
                <w:sz w:val="20"/>
                <w:lang w:val="en-AU"/>
              </w:rPr>
              <w:t>Kemitraan/</w:t>
            </w:r>
            <w:r w:rsidRPr="007E56E2">
              <w:rPr>
                <w:rFonts w:asciiTheme="minorHAnsi" w:eastAsiaTheme="majorEastAsia" w:hAnsiTheme="minorHAnsi" w:cstheme="majorBidi"/>
                <w:sz w:val="20"/>
                <w:lang w:val="en-AU"/>
              </w:rPr>
              <w:t>Program</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EP</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Australia’s Education Partnership with Indonesia</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Ke</w:t>
            </w:r>
            <w:r>
              <w:rPr>
                <w:rFonts w:asciiTheme="minorHAnsi" w:eastAsiaTheme="majorEastAsia" w:hAnsiTheme="minorHAnsi" w:cstheme="majorBidi"/>
                <w:sz w:val="20"/>
                <w:lang w:val="en-AU"/>
              </w:rPr>
              <w:t>mitraan Pendidikan Australia-</w:t>
            </w:r>
            <w:r w:rsidRPr="007E56E2">
              <w:rPr>
                <w:rFonts w:asciiTheme="minorHAnsi" w:eastAsiaTheme="majorEastAsia" w:hAnsiTheme="minorHAnsi" w:cstheme="majorBidi"/>
                <w:sz w:val="20"/>
                <w:lang w:val="en-AU"/>
              </w:rPr>
              <w:t>Indonesia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EP-PMS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Education Partnership – Performance Management System</w:t>
            </w:r>
          </w:p>
        </w:tc>
        <w:tc>
          <w:tcPr>
            <w:tcW w:w="4223" w:type="dxa"/>
            <w:vAlign w:val="center"/>
          </w:tcPr>
          <w:p w:rsidR="004D3EF0" w:rsidRPr="00B2014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Sistem Manajemen Kinerja Kemitraan Pendidikan Australia-Indonesia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EPOS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Education Partnership Outreach Services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BD0145">
              <w:rPr>
                <w:rFonts w:asciiTheme="minorHAnsi" w:eastAsiaTheme="majorEastAsia" w:hAnsiTheme="minorHAnsi" w:cstheme="majorBidi"/>
                <w:sz w:val="20"/>
                <w:lang w:val="en-AU"/>
              </w:rPr>
              <w:t>Pelayanan Jangkauan Kemitraan Pendidikan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ESSP</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Education Sector Support Program</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Program Dukungan </w:t>
            </w:r>
            <w:r>
              <w:rPr>
                <w:rFonts w:asciiTheme="minorHAnsi" w:eastAsiaTheme="majorEastAsia" w:hAnsiTheme="minorHAnsi" w:cstheme="majorBidi"/>
                <w:sz w:val="20"/>
                <w:lang w:val="en-AU"/>
              </w:rPr>
              <w:t xml:space="preserve">untuk </w:t>
            </w:r>
            <w:r w:rsidRPr="007E56E2">
              <w:rPr>
                <w:rFonts w:asciiTheme="minorHAnsi" w:eastAsiaTheme="majorEastAsia" w:hAnsiTheme="minorHAnsi" w:cstheme="majorBidi"/>
                <w:sz w:val="20"/>
                <w:lang w:val="en-AU"/>
              </w:rPr>
              <w:t>Sektor Pendidikan</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FKIP</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Faculty of Teaching and Pedagogy</w:t>
            </w:r>
          </w:p>
        </w:tc>
        <w:tc>
          <w:tcPr>
            <w:tcW w:w="4223" w:type="dxa"/>
            <w:vAlign w:val="center"/>
          </w:tcPr>
          <w:p w:rsidR="004D3EF0" w:rsidRPr="00A97126"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Fakultas Keguruan dan Ilmu Pendidikan</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FM</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Field Monitor</w:t>
            </w:r>
          </w:p>
        </w:tc>
        <w:tc>
          <w:tcPr>
            <w:tcW w:w="4223" w:type="dxa"/>
            <w:vAlign w:val="center"/>
          </w:tcPr>
          <w:p w:rsidR="004D3EF0" w:rsidRPr="000B0BF7" w:rsidRDefault="004D3EF0" w:rsidP="004D3EF0">
            <w:pPr>
              <w:spacing w:line="276" w:lineRule="auto"/>
              <w:rPr>
                <w:rFonts w:asciiTheme="minorHAnsi" w:eastAsiaTheme="majorEastAsia" w:hAnsiTheme="minorHAnsi" w:cstheme="majorBidi"/>
                <w:sz w:val="20"/>
                <w:highlight w:val="yellow"/>
                <w:lang w:val="en-AU"/>
              </w:rPr>
            </w:pPr>
            <w:r w:rsidRPr="00A97126">
              <w:rPr>
                <w:rFonts w:asciiTheme="minorHAnsi" w:eastAsiaTheme="majorEastAsia" w:hAnsiTheme="minorHAnsi" w:cstheme="majorBidi"/>
                <w:sz w:val="20"/>
                <w:lang w:val="en-AU"/>
              </w:rPr>
              <w:t>Petugas Pemantau Lapangan</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GA</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Grant Agreement</w:t>
            </w:r>
          </w:p>
        </w:tc>
        <w:tc>
          <w:tcPr>
            <w:tcW w:w="4223" w:type="dxa"/>
            <w:vAlign w:val="center"/>
          </w:tcPr>
          <w:p w:rsidR="004D3EF0" w:rsidRPr="00467E0C" w:rsidRDefault="004D3EF0" w:rsidP="004D3EF0">
            <w:pPr>
              <w:spacing w:line="276" w:lineRule="auto"/>
              <w:rPr>
                <w:rFonts w:asciiTheme="minorHAnsi" w:eastAsiaTheme="majorEastAsia" w:hAnsiTheme="minorHAnsi" w:cstheme="majorBidi"/>
                <w:b/>
                <w:sz w:val="20"/>
                <w:highlight w:val="yellow"/>
                <w:lang w:val="en-AU"/>
              </w:rPr>
            </w:pPr>
            <w:r>
              <w:rPr>
                <w:rFonts w:asciiTheme="minorHAnsi" w:eastAsiaTheme="majorEastAsia" w:hAnsiTheme="minorHAnsi" w:cstheme="majorBidi"/>
                <w:sz w:val="20"/>
                <w:lang w:val="en-AU"/>
              </w:rPr>
              <w:t>Kesepakatan Hibah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GER</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Gross Enrolment Rate</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Angka Partisipasi Kasar (APK)</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GoA</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Government of Australia</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Pemerintah Australia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G</w:t>
            </w:r>
            <w:r>
              <w:rPr>
                <w:rFonts w:asciiTheme="minorHAnsi" w:hAnsiTheme="minorHAnsi"/>
                <w:sz w:val="20"/>
                <w:lang w:val="en-AU"/>
              </w:rPr>
              <w:t>O</w:t>
            </w:r>
            <w:r w:rsidRPr="007E56E2">
              <w:rPr>
                <w:rFonts w:asciiTheme="minorHAnsi" w:hAnsiTheme="minorHAnsi"/>
                <w:sz w:val="20"/>
                <w:lang w:val="en-AU"/>
              </w:rPr>
              <w:t>G</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Governance Oversight Group</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Kelompok Pengawasan </w:t>
            </w:r>
            <w:r>
              <w:rPr>
                <w:rFonts w:asciiTheme="minorHAnsi" w:eastAsiaTheme="majorEastAsia" w:hAnsiTheme="minorHAnsi" w:cstheme="majorBidi"/>
                <w:sz w:val="20"/>
                <w:lang w:val="en-AU"/>
              </w:rPr>
              <w:t>Tata Kelola Pemerintahan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GoI</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Government of Indonesia</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Pemerintah </w:t>
            </w:r>
            <w:r>
              <w:rPr>
                <w:rFonts w:asciiTheme="minorHAnsi" w:eastAsiaTheme="majorEastAsia" w:hAnsiTheme="minorHAnsi" w:cstheme="majorBidi"/>
                <w:sz w:val="20"/>
                <w:lang w:val="en-AU"/>
              </w:rPr>
              <w:t>RI</w:t>
            </w:r>
          </w:p>
        </w:tc>
      </w:tr>
      <w:tr w:rsidR="00D52465" w:rsidRPr="007E56E2" w:rsidTr="00D52465">
        <w:trPr>
          <w:trHeight w:val="312"/>
        </w:trPr>
        <w:tc>
          <w:tcPr>
            <w:tcW w:w="1101" w:type="dxa"/>
            <w:vAlign w:val="center"/>
          </w:tcPr>
          <w:p w:rsidR="00D52465" w:rsidRPr="007E56E2" w:rsidRDefault="00D52465" w:rsidP="00D52465">
            <w:pPr>
              <w:spacing w:line="276" w:lineRule="auto"/>
              <w:rPr>
                <w:rFonts w:asciiTheme="minorHAnsi" w:hAnsiTheme="minorHAnsi"/>
                <w:sz w:val="20"/>
                <w:lang w:val="en-AU"/>
              </w:rPr>
            </w:pPr>
            <w:r>
              <w:rPr>
                <w:rFonts w:asciiTheme="minorHAnsi" w:hAnsiTheme="minorHAnsi"/>
                <w:sz w:val="20"/>
                <w:lang w:val="en-AU"/>
              </w:rPr>
              <w:t>HI-ECD</w:t>
            </w:r>
          </w:p>
        </w:tc>
        <w:tc>
          <w:tcPr>
            <w:tcW w:w="3685" w:type="dxa"/>
            <w:vAlign w:val="center"/>
          </w:tcPr>
          <w:p w:rsidR="00D52465" w:rsidRPr="007E56E2" w:rsidRDefault="00D52465" w:rsidP="00D52465">
            <w:pPr>
              <w:spacing w:line="276" w:lineRule="auto"/>
              <w:rPr>
                <w:rFonts w:asciiTheme="minorHAnsi" w:hAnsiTheme="minorHAnsi"/>
                <w:sz w:val="20"/>
                <w:lang w:val="en-AU"/>
              </w:rPr>
            </w:pPr>
            <w:r>
              <w:rPr>
                <w:rFonts w:asciiTheme="minorHAnsi" w:hAnsiTheme="minorHAnsi"/>
                <w:sz w:val="20"/>
                <w:lang w:val="en-AU"/>
              </w:rPr>
              <w:t>Holistic Integrated – Early Childhood Development</w:t>
            </w:r>
          </w:p>
        </w:tc>
        <w:tc>
          <w:tcPr>
            <w:tcW w:w="4223" w:type="dxa"/>
            <w:vAlign w:val="center"/>
          </w:tcPr>
          <w:p w:rsidR="00D52465" w:rsidRPr="007E56E2" w:rsidRDefault="00D52465" w:rsidP="00D52465">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Pendekatan Menyeluruh dan Terpadu untuk Perkembangan Anak Usia Dini</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HRMD</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Human Resources Management and Development (ProDEP Component)</w:t>
            </w:r>
          </w:p>
        </w:tc>
        <w:tc>
          <w:tcPr>
            <w:tcW w:w="4223" w:type="dxa"/>
            <w:vAlign w:val="center"/>
          </w:tcPr>
          <w:p w:rsidR="004D3EF0"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Manajemen dan Pengembangan Sumber Daya Manusia (Komponen ProDEP)</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ICR</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Independent Completion Reporting</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 xml:space="preserve">Laporan Independen Penyelesaian Program/ Kegiatan </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IDC</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Indefinite Delivery Contracts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Kontrak Pelaksanaan Tidak Tentu</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IDR</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Indonesian Rupiah</w:t>
            </w:r>
          </w:p>
        </w:tc>
        <w:tc>
          <w:tcPr>
            <w:tcW w:w="4223" w:type="dxa"/>
            <w:vAlign w:val="center"/>
          </w:tcPr>
          <w:p w:rsidR="004D3EF0"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Rupiah Indonesia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ITOG</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Infrastructure Technical Oversight Group</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Kelompok Pengawasan Teknis Infrastruktur</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JSE</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Junior Secondary Education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Pendidikan Sekolah Menengah Pertama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JTU</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Joint Technical Unit</w:t>
            </w:r>
          </w:p>
        </w:tc>
        <w:tc>
          <w:tcPr>
            <w:tcW w:w="4223" w:type="dxa"/>
            <w:vAlign w:val="center"/>
          </w:tcPr>
          <w:p w:rsidR="004D3EF0" w:rsidRPr="000E2C38"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Unit Teknis Gabungan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K2P</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Knowledge to Policy</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Dasar Pengetahuan untuk Kebijakan</w:t>
            </w:r>
          </w:p>
        </w:tc>
      </w:tr>
      <w:tr w:rsidR="004D3EF0" w:rsidRPr="007E56E2" w:rsidTr="00D52465">
        <w:trPr>
          <w:trHeight w:val="312"/>
        </w:trPr>
        <w:tc>
          <w:tcPr>
            <w:tcW w:w="1101" w:type="dxa"/>
            <w:vAlign w:val="center"/>
          </w:tcPr>
          <w:p w:rsidR="004D3EF0" w:rsidRPr="00725FE5" w:rsidRDefault="004D3EF0" w:rsidP="004D3EF0">
            <w:pPr>
              <w:spacing w:line="276" w:lineRule="auto"/>
              <w:rPr>
                <w:rFonts w:asciiTheme="minorHAnsi" w:hAnsiTheme="minorHAnsi"/>
                <w:i/>
                <w:sz w:val="20"/>
                <w:lang w:val="en-AU"/>
              </w:rPr>
            </w:pPr>
            <w:r w:rsidRPr="00725FE5">
              <w:rPr>
                <w:rFonts w:asciiTheme="minorHAnsi" w:hAnsiTheme="minorHAnsi"/>
                <w:i/>
                <w:sz w:val="20"/>
                <w:lang w:val="en-AU"/>
              </w:rPr>
              <w:t>Kandep</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District Office of MoRA</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Kantor Departmen Agama</w:t>
            </w:r>
          </w:p>
        </w:tc>
      </w:tr>
      <w:tr w:rsidR="004D3EF0" w:rsidRPr="007E56E2" w:rsidTr="00D52465">
        <w:trPr>
          <w:trHeight w:val="312"/>
        </w:trPr>
        <w:tc>
          <w:tcPr>
            <w:tcW w:w="1101" w:type="dxa"/>
            <w:vAlign w:val="center"/>
          </w:tcPr>
          <w:p w:rsidR="004D3EF0" w:rsidRPr="00725FE5" w:rsidRDefault="004D3EF0" w:rsidP="004D3EF0">
            <w:pPr>
              <w:spacing w:line="276" w:lineRule="auto"/>
              <w:rPr>
                <w:rFonts w:asciiTheme="minorHAnsi" w:hAnsiTheme="minorHAnsi"/>
                <w:i/>
                <w:sz w:val="20"/>
                <w:lang w:val="en-AU"/>
              </w:rPr>
            </w:pPr>
            <w:r w:rsidRPr="00725FE5">
              <w:rPr>
                <w:rFonts w:asciiTheme="minorHAnsi" w:hAnsiTheme="minorHAnsi"/>
                <w:i/>
                <w:sz w:val="20"/>
                <w:lang w:val="en-AU"/>
              </w:rPr>
              <w:t>Kanwil</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Provincial Office of MoRA</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Kantor Wilayah Departmen Agama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lastRenderedPageBreak/>
              <w:t>KKG</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Teacher Working Group</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Kelompok Kerja Guru</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KKKS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Principal Working Group</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Kelompok Kerja Kepala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KKM</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Madrasah Principal Working Group</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Kelompok Kerja Kepala Madrasah</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KPI</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Key Performance Indicator</w:t>
            </w:r>
          </w:p>
        </w:tc>
        <w:tc>
          <w:tcPr>
            <w:tcW w:w="4223" w:type="dxa"/>
            <w:vAlign w:val="center"/>
          </w:tcPr>
          <w:p w:rsidR="004D3EF0"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 xml:space="preserve">Indikator Kinerja Utama </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KSI</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Knowledge Sector Initiative (DFAT Program)</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Inisiatif Pengetahuan Sektor (Program DFAT)</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LPMP</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Education Quality Assurance Agency</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Lembaga Penjaminan Mutu Pendidikan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LPPKS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Principal Development and Empowerment Agency</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Lembaga Pengembangan dan Pemberdayaan Kepala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M&amp;E</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Monitoring and Evaluation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Monitoring dan Evaluasi</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MDC</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Madrasah Development Center</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Pusat Pengembangan Madrasah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MI</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Islamic Elementary School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Madrasah Ibtidaiyah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MoEC</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 xml:space="preserve">Ministry of Education </w:t>
            </w:r>
            <w:r>
              <w:rPr>
                <w:rFonts w:asciiTheme="minorHAnsi" w:hAnsiTheme="minorHAnsi"/>
                <w:sz w:val="20"/>
                <w:lang w:val="en-AU"/>
              </w:rPr>
              <w:t>a</w:t>
            </w:r>
            <w:r w:rsidRPr="007E56E2">
              <w:rPr>
                <w:rFonts w:asciiTheme="minorHAnsi" w:hAnsiTheme="minorHAnsi"/>
                <w:sz w:val="20"/>
                <w:lang w:val="en-AU"/>
              </w:rPr>
              <w:t>nd Culture</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Kementerian Pendidikan dan Kebudayaan</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MoF</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Ministry of Finance</w:t>
            </w:r>
          </w:p>
        </w:tc>
        <w:tc>
          <w:tcPr>
            <w:tcW w:w="4223" w:type="dxa"/>
            <w:vAlign w:val="center"/>
          </w:tcPr>
          <w:p w:rsidR="004D3EF0" w:rsidRDefault="004D3EF0" w:rsidP="004D3EF0">
            <w:pPr>
              <w:spacing w:line="276" w:lineRule="auto"/>
              <w:rPr>
                <w:rFonts w:asciiTheme="minorHAnsi" w:hAnsiTheme="minorHAnsi" w:cstheme="majorBidi"/>
                <w:sz w:val="20"/>
              </w:rPr>
            </w:pPr>
            <w:r>
              <w:rPr>
                <w:rFonts w:asciiTheme="minorHAnsi" w:hAnsiTheme="minorHAnsi" w:cstheme="majorBidi"/>
                <w:sz w:val="20"/>
              </w:rPr>
              <w:t>Kementerian Keuangan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MoHA</w:t>
            </w:r>
          </w:p>
        </w:tc>
        <w:tc>
          <w:tcPr>
            <w:tcW w:w="3685" w:type="dxa"/>
            <w:vAlign w:val="center"/>
          </w:tcPr>
          <w:p w:rsidR="004D3EF0" w:rsidRPr="00FA235F" w:rsidRDefault="004D3EF0" w:rsidP="004D3EF0">
            <w:pPr>
              <w:spacing w:line="276" w:lineRule="auto"/>
              <w:rPr>
                <w:rFonts w:asciiTheme="minorHAnsi" w:hAnsiTheme="minorHAnsi"/>
                <w:sz w:val="20"/>
              </w:rPr>
            </w:pPr>
            <w:r>
              <w:rPr>
                <w:rFonts w:asciiTheme="minorHAnsi" w:hAnsiTheme="minorHAnsi"/>
                <w:sz w:val="20"/>
              </w:rPr>
              <w:t>Ministry of Home Affairs</w:t>
            </w:r>
          </w:p>
        </w:tc>
        <w:tc>
          <w:tcPr>
            <w:tcW w:w="4223" w:type="dxa"/>
            <w:vAlign w:val="center"/>
          </w:tcPr>
          <w:p w:rsidR="004D3EF0" w:rsidRPr="000D18B6" w:rsidRDefault="004D3EF0" w:rsidP="004D3EF0">
            <w:pPr>
              <w:spacing w:line="276" w:lineRule="auto"/>
              <w:rPr>
                <w:rFonts w:asciiTheme="minorHAnsi" w:hAnsiTheme="minorHAnsi" w:cstheme="majorBidi"/>
                <w:sz w:val="20"/>
              </w:rPr>
            </w:pPr>
            <w:r>
              <w:rPr>
                <w:rFonts w:asciiTheme="minorHAnsi" w:hAnsiTheme="minorHAnsi" w:cstheme="majorBidi"/>
                <w:sz w:val="20"/>
              </w:rPr>
              <w:t>Kementerian Dalam Negeri</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MoRA</w:t>
            </w:r>
          </w:p>
        </w:tc>
        <w:tc>
          <w:tcPr>
            <w:tcW w:w="3685" w:type="dxa"/>
            <w:vAlign w:val="center"/>
          </w:tcPr>
          <w:p w:rsidR="004D3EF0" w:rsidRPr="00FA235F" w:rsidRDefault="004D3EF0" w:rsidP="004D3EF0">
            <w:pPr>
              <w:spacing w:line="276" w:lineRule="auto"/>
              <w:rPr>
                <w:rFonts w:asciiTheme="minorHAnsi" w:hAnsiTheme="minorHAnsi"/>
                <w:sz w:val="20"/>
              </w:rPr>
            </w:pPr>
            <w:r w:rsidRPr="00FA235F">
              <w:rPr>
                <w:rFonts w:asciiTheme="minorHAnsi" w:hAnsiTheme="minorHAnsi"/>
                <w:sz w:val="20"/>
              </w:rPr>
              <w:t>Ministry of Religious Affairs</w:t>
            </w:r>
          </w:p>
        </w:tc>
        <w:tc>
          <w:tcPr>
            <w:tcW w:w="4223" w:type="dxa"/>
            <w:vAlign w:val="center"/>
          </w:tcPr>
          <w:p w:rsidR="004D3EF0" w:rsidRPr="00701F57" w:rsidRDefault="004D3EF0" w:rsidP="004D3EF0">
            <w:pPr>
              <w:spacing w:line="276" w:lineRule="auto"/>
              <w:rPr>
                <w:rFonts w:asciiTheme="minorHAnsi" w:hAnsiTheme="minorHAnsi" w:cstheme="majorBidi"/>
                <w:sz w:val="20"/>
              </w:rPr>
            </w:pPr>
            <w:r w:rsidRPr="000D18B6">
              <w:rPr>
                <w:rFonts w:asciiTheme="minorHAnsi" w:hAnsiTheme="minorHAnsi" w:cstheme="majorBidi"/>
                <w:sz w:val="20"/>
              </w:rPr>
              <w:t>Kementerian</w:t>
            </w:r>
            <w:r w:rsidRPr="00701F57">
              <w:rPr>
                <w:rFonts w:asciiTheme="minorHAnsi" w:hAnsiTheme="minorHAnsi" w:cstheme="majorBidi"/>
                <w:sz w:val="20"/>
              </w:rPr>
              <w:t xml:space="preserve"> Agama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MT</w:t>
            </w:r>
            <w:r>
              <w:rPr>
                <w:rFonts w:asciiTheme="minorHAnsi" w:hAnsiTheme="minorHAnsi"/>
                <w:sz w:val="20"/>
                <w:lang w:val="en-AU"/>
              </w:rPr>
              <w:t>O</w:t>
            </w:r>
            <w:r w:rsidRPr="007E56E2">
              <w:rPr>
                <w:rFonts w:asciiTheme="minorHAnsi" w:hAnsiTheme="minorHAnsi"/>
                <w:sz w:val="20"/>
                <w:lang w:val="en-AU"/>
              </w:rPr>
              <w:t>G</w:t>
            </w:r>
          </w:p>
        </w:tc>
        <w:tc>
          <w:tcPr>
            <w:tcW w:w="3685" w:type="dxa"/>
            <w:vAlign w:val="center"/>
          </w:tcPr>
          <w:p w:rsidR="004D3EF0" w:rsidRPr="00FA235F" w:rsidRDefault="004D3EF0" w:rsidP="004D3EF0">
            <w:pPr>
              <w:spacing w:line="276" w:lineRule="auto"/>
              <w:rPr>
                <w:rFonts w:asciiTheme="minorHAnsi" w:hAnsiTheme="minorHAnsi"/>
                <w:sz w:val="20"/>
                <w:lang w:val="en-AU"/>
              </w:rPr>
            </w:pPr>
            <w:r w:rsidRPr="00FA235F">
              <w:rPr>
                <w:rFonts w:asciiTheme="minorHAnsi" w:hAnsiTheme="minorHAnsi"/>
                <w:sz w:val="20"/>
                <w:lang w:val="en-AU"/>
              </w:rPr>
              <w:t>Madrasah Technical Oversight Group</w:t>
            </w:r>
          </w:p>
        </w:tc>
        <w:tc>
          <w:tcPr>
            <w:tcW w:w="4223" w:type="dxa"/>
            <w:vAlign w:val="center"/>
          </w:tcPr>
          <w:p w:rsidR="004D3EF0" w:rsidRPr="00701F57" w:rsidRDefault="004D3EF0" w:rsidP="004D3EF0">
            <w:pPr>
              <w:spacing w:line="276" w:lineRule="auto"/>
              <w:rPr>
                <w:rFonts w:asciiTheme="minorHAnsi" w:eastAsiaTheme="majorEastAsia" w:hAnsiTheme="minorHAnsi" w:cstheme="majorBidi"/>
                <w:sz w:val="20"/>
                <w:lang w:val="en-AU"/>
              </w:rPr>
            </w:pPr>
            <w:r w:rsidRPr="000D18B6">
              <w:rPr>
                <w:rFonts w:asciiTheme="minorHAnsi" w:eastAsiaTheme="majorEastAsia" w:hAnsiTheme="minorHAnsi" w:cstheme="majorBidi"/>
                <w:sz w:val="20"/>
                <w:lang w:val="en-AU"/>
              </w:rPr>
              <w:t>Kelompok Pengawasan Teknis Madrasah</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MTR</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Mid-term Review</w:t>
            </w:r>
          </w:p>
        </w:tc>
        <w:tc>
          <w:tcPr>
            <w:tcW w:w="4223" w:type="dxa"/>
            <w:vAlign w:val="center"/>
          </w:tcPr>
          <w:p w:rsidR="004D3EF0"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Riviu pada Pertengahan Program</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MTs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Islamic Junior Secondary School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Madrasah Tsanawiyah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NES</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National Education Standard</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Standar Nasional Pendidikan</w:t>
            </w:r>
          </w:p>
        </w:tc>
      </w:tr>
      <w:tr w:rsidR="004D3EF0" w:rsidRPr="00C0236E"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NSIP</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New School Induction Program</w:t>
            </w:r>
          </w:p>
        </w:tc>
        <w:tc>
          <w:tcPr>
            <w:tcW w:w="4223" w:type="dxa"/>
            <w:vAlign w:val="center"/>
          </w:tcPr>
          <w:p w:rsidR="004D3EF0" w:rsidRPr="00196F93" w:rsidRDefault="004D3EF0" w:rsidP="004D3EF0">
            <w:pPr>
              <w:spacing w:line="276" w:lineRule="auto"/>
              <w:rPr>
                <w:rFonts w:asciiTheme="minorHAnsi" w:eastAsiaTheme="majorEastAsia" w:hAnsiTheme="minorHAnsi" w:cstheme="majorBidi"/>
                <w:sz w:val="20"/>
                <w:lang w:val="fr-BE"/>
              </w:rPr>
            </w:pPr>
            <w:r>
              <w:rPr>
                <w:rFonts w:asciiTheme="minorHAnsi" w:eastAsiaTheme="majorEastAsia" w:hAnsiTheme="minorHAnsi" w:cstheme="majorBidi"/>
                <w:sz w:val="20"/>
                <w:lang w:val="fr-BE"/>
              </w:rPr>
              <w:t>Program Induksi untuk Sekolah Baru</w:t>
            </w:r>
          </w:p>
        </w:tc>
      </w:tr>
      <w:tr w:rsidR="004D3EF0" w:rsidRPr="00C0236E"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OECD</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Organization for Economic Co-operation and Development</w:t>
            </w:r>
          </w:p>
        </w:tc>
        <w:tc>
          <w:tcPr>
            <w:tcW w:w="4223" w:type="dxa"/>
            <w:vAlign w:val="center"/>
          </w:tcPr>
          <w:p w:rsidR="004D3EF0" w:rsidRPr="00196F93" w:rsidRDefault="004D3EF0" w:rsidP="004D3EF0">
            <w:pPr>
              <w:spacing w:line="276" w:lineRule="auto"/>
              <w:rPr>
                <w:rFonts w:asciiTheme="minorHAnsi" w:eastAsiaTheme="majorEastAsia" w:hAnsiTheme="minorHAnsi" w:cstheme="majorBidi"/>
                <w:sz w:val="20"/>
                <w:lang w:val="fr-BE"/>
              </w:rPr>
            </w:pPr>
            <w:r w:rsidRPr="00196F93">
              <w:rPr>
                <w:rFonts w:asciiTheme="minorHAnsi" w:eastAsiaTheme="majorEastAsia" w:hAnsiTheme="minorHAnsi" w:cstheme="majorBidi"/>
                <w:sz w:val="20"/>
                <w:lang w:val="fr-BE"/>
              </w:rPr>
              <w:t>Organisasi untuk Kerja Sama Ekonomi dan Pembangunan</w:t>
            </w:r>
          </w:p>
        </w:tc>
      </w:tr>
      <w:tr w:rsidR="004D3EF0" w:rsidRPr="008F110D"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OJL</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On-the-Job-Learning</w:t>
            </w:r>
          </w:p>
        </w:tc>
        <w:tc>
          <w:tcPr>
            <w:tcW w:w="4223" w:type="dxa"/>
            <w:vAlign w:val="center"/>
          </w:tcPr>
          <w:p w:rsidR="004D3EF0"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Pembelajaran dalam Tugas</w:t>
            </w:r>
          </w:p>
        </w:tc>
      </w:tr>
      <w:tr w:rsidR="004D3EF0" w:rsidRPr="008F110D"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OMT</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Operational Management Team</w:t>
            </w:r>
          </w:p>
        </w:tc>
        <w:tc>
          <w:tcPr>
            <w:tcW w:w="4223" w:type="dxa"/>
            <w:vAlign w:val="center"/>
          </w:tcPr>
          <w:p w:rsidR="004D3EF0" w:rsidRPr="00AC0047"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Tim Manajemen Operasional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PAF</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Performance Assurance Framework</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Kerangka Penjaminan Kinerja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PD</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Professional Development</w:t>
            </w:r>
          </w:p>
        </w:tc>
        <w:tc>
          <w:tcPr>
            <w:tcW w:w="4223" w:type="dxa"/>
            <w:vAlign w:val="center"/>
          </w:tcPr>
          <w:p w:rsidR="004D3EF0" w:rsidRPr="007E56E2" w:rsidRDefault="004D3EF0" w:rsidP="004D3EF0">
            <w:pPr>
              <w:spacing w:line="276" w:lineRule="auto"/>
              <w:rPr>
                <w:rFonts w:asciiTheme="minorHAnsi" w:hAnsiTheme="minorHAnsi" w:cstheme="majorBidi"/>
                <w:sz w:val="20"/>
              </w:rPr>
            </w:pPr>
            <w:r w:rsidRPr="007E56E2">
              <w:rPr>
                <w:rFonts w:asciiTheme="minorHAnsi" w:hAnsiTheme="minorHAnsi" w:cstheme="majorBidi"/>
                <w:sz w:val="20"/>
              </w:rPr>
              <w:t xml:space="preserve">Pengembangan </w:t>
            </w:r>
            <w:r>
              <w:rPr>
                <w:rFonts w:asciiTheme="minorHAnsi" w:hAnsiTheme="minorHAnsi" w:cstheme="majorBidi"/>
                <w:sz w:val="20"/>
              </w:rPr>
              <w:t>Profesi</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PDSP</w:t>
            </w:r>
          </w:p>
        </w:tc>
        <w:tc>
          <w:tcPr>
            <w:tcW w:w="3685" w:type="dxa"/>
            <w:vAlign w:val="center"/>
          </w:tcPr>
          <w:p w:rsidR="004D3EF0" w:rsidRPr="007E56E2" w:rsidRDefault="006D4DD4" w:rsidP="004D3EF0">
            <w:pPr>
              <w:spacing w:line="276" w:lineRule="auto"/>
              <w:rPr>
                <w:rFonts w:asciiTheme="minorHAnsi" w:hAnsiTheme="minorHAnsi"/>
                <w:sz w:val="20"/>
                <w:lang w:val="en-AU"/>
              </w:rPr>
            </w:pPr>
            <w:r>
              <w:rPr>
                <w:rFonts w:asciiTheme="minorHAnsi" w:hAnsiTheme="minorHAnsi"/>
                <w:sz w:val="20"/>
                <w:lang w:val="en-AU"/>
              </w:rPr>
              <w:t>MoEC</w:t>
            </w:r>
            <w:r w:rsidR="004D3EF0">
              <w:rPr>
                <w:rFonts w:asciiTheme="minorHAnsi" w:hAnsiTheme="minorHAnsi"/>
                <w:sz w:val="20"/>
                <w:lang w:val="en-AU"/>
              </w:rPr>
              <w:t xml:space="preserve"> Centre for Education Data and Statistics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Pusat Data dan Statistik Pendidikan</w:t>
            </w:r>
          </w:p>
        </w:tc>
      </w:tr>
      <w:tr w:rsidR="004D3EF0" w:rsidRPr="007E56E2" w:rsidTr="00D52465">
        <w:trPr>
          <w:trHeight w:val="312"/>
        </w:trPr>
        <w:tc>
          <w:tcPr>
            <w:tcW w:w="1101" w:type="dxa"/>
            <w:vAlign w:val="center"/>
          </w:tcPr>
          <w:p w:rsidR="004D3EF0" w:rsidRPr="00725FE5" w:rsidRDefault="004D3EF0" w:rsidP="004D3EF0">
            <w:pPr>
              <w:spacing w:line="276" w:lineRule="auto"/>
              <w:rPr>
                <w:rFonts w:asciiTheme="minorHAnsi" w:hAnsiTheme="minorHAnsi"/>
                <w:i/>
                <w:sz w:val="20"/>
                <w:lang w:val="en-AU"/>
              </w:rPr>
            </w:pPr>
            <w:r w:rsidRPr="00725FE5">
              <w:rPr>
                <w:rFonts w:asciiTheme="minorHAnsi" w:hAnsiTheme="minorHAnsi"/>
                <w:i/>
                <w:sz w:val="20"/>
                <w:lang w:val="en-AU"/>
              </w:rPr>
              <w:t>Penma</w:t>
            </w:r>
          </w:p>
        </w:tc>
        <w:tc>
          <w:tcPr>
            <w:tcW w:w="3685" w:type="dxa"/>
            <w:vAlign w:val="center"/>
          </w:tcPr>
          <w:p w:rsidR="004D3EF0" w:rsidRPr="007E56E2" w:rsidRDefault="006D4DD4" w:rsidP="004D3EF0">
            <w:pPr>
              <w:spacing w:line="276" w:lineRule="auto"/>
              <w:rPr>
                <w:rFonts w:asciiTheme="minorHAnsi" w:hAnsiTheme="minorHAnsi"/>
                <w:sz w:val="20"/>
                <w:lang w:val="en-AU"/>
              </w:rPr>
            </w:pPr>
            <w:r>
              <w:rPr>
                <w:rFonts w:asciiTheme="minorHAnsi" w:hAnsiTheme="minorHAnsi"/>
                <w:sz w:val="20"/>
                <w:lang w:val="en-AU"/>
              </w:rPr>
              <w:t>MoRA</w:t>
            </w:r>
            <w:r w:rsidR="004D3EF0">
              <w:rPr>
                <w:rFonts w:asciiTheme="minorHAnsi" w:hAnsiTheme="minorHAnsi"/>
                <w:sz w:val="20"/>
                <w:lang w:val="en-AU"/>
              </w:rPr>
              <w:t xml:space="preserve"> </w:t>
            </w:r>
            <w:r w:rsidR="004D3EF0" w:rsidRPr="007E56E2">
              <w:rPr>
                <w:rFonts w:asciiTheme="minorHAnsi" w:hAnsiTheme="minorHAnsi"/>
                <w:sz w:val="20"/>
                <w:lang w:val="en-AU"/>
              </w:rPr>
              <w:t xml:space="preserve">Directorate of </w:t>
            </w:r>
            <w:r w:rsidR="004D3EF0">
              <w:rPr>
                <w:rFonts w:asciiTheme="minorHAnsi" w:hAnsiTheme="minorHAnsi"/>
                <w:sz w:val="20"/>
                <w:lang w:val="en-AU"/>
              </w:rPr>
              <w:t>M</w:t>
            </w:r>
            <w:r w:rsidR="004D3EF0" w:rsidRPr="007E56E2">
              <w:rPr>
                <w:rFonts w:asciiTheme="minorHAnsi" w:hAnsiTheme="minorHAnsi"/>
                <w:sz w:val="20"/>
                <w:lang w:val="en-AU"/>
              </w:rPr>
              <w:t xml:space="preserve">adrasah </w:t>
            </w:r>
            <w:r w:rsidR="004D3EF0">
              <w:rPr>
                <w:rFonts w:asciiTheme="minorHAnsi" w:hAnsiTheme="minorHAnsi"/>
                <w:sz w:val="20"/>
                <w:lang w:val="en-AU"/>
              </w:rPr>
              <w:t>E</w:t>
            </w:r>
            <w:r w:rsidR="004D3EF0" w:rsidRPr="007E56E2">
              <w:rPr>
                <w:rFonts w:asciiTheme="minorHAnsi" w:hAnsiTheme="minorHAnsi"/>
                <w:sz w:val="20"/>
                <w:lang w:val="en-AU"/>
              </w:rPr>
              <w:t>ducation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Direktorat Pendidikan Madrasah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PEO</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Provincial Education Offices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SKPD Pendidikan di Tingkat Provinsi</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PIKAT</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Integrative Education Facilities for Remote Indigenous Communities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Pendidikan Integratif untuk Komunitas Adat Terpencil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PISA</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Program for International Student Assessment</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 xml:space="preserve">Program </w:t>
            </w:r>
            <w:r>
              <w:rPr>
                <w:rFonts w:asciiTheme="minorHAnsi" w:eastAsiaTheme="majorEastAsia" w:hAnsiTheme="minorHAnsi" w:cstheme="majorBidi"/>
                <w:sz w:val="20"/>
              </w:rPr>
              <w:t>Penilaian</w:t>
            </w:r>
            <w:r w:rsidRPr="007E56E2">
              <w:rPr>
                <w:rFonts w:asciiTheme="minorHAnsi" w:eastAsiaTheme="majorEastAsia" w:hAnsiTheme="minorHAnsi" w:cstheme="majorBidi"/>
                <w:sz w:val="20"/>
              </w:rPr>
              <w:t xml:space="preserve"> Siswa </w:t>
            </w:r>
            <w:r>
              <w:rPr>
                <w:rFonts w:asciiTheme="minorHAnsi" w:eastAsiaTheme="majorEastAsia" w:hAnsiTheme="minorHAnsi" w:cstheme="majorBidi"/>
                <w:sz w:val="20"/>
              </w:rPr>
              <w:t>tingkat Internasional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PKB KS/M</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Continuing Professional Development for School/ Madrasah Principals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Pengembangan Keprofesionalan Berkelanjutan bagi Kepala Sekolah/ Madrasah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PMF</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Performance Milestone Framework</w:t>
            </w:r>
          </w:p>
        </w:tc>
        <w:tc>
          <w:tcPr>
            <w:tcW w:w="4223"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Kerangka Capaian Kinerja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PMU</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Twelve Years Universal Education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hAnsiTheme="minorHAnsi"/>
                <w:sz w:val="20"/>
              </w:rPr>
              <w:t>Pendidikan Menengah Universal</w:t>
            </w:r>
            <w:r>
              <w:rPr>
                <w:rFonts w:asciiTheme="minorHAnsi" w:hAnsiTheme="minorHAnsi"/>
                <w:sz w:val="20"/>
              </w:rPr>
              <w:t xml:space="preserve"> 12 Tahun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POM</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Performance Oversight and Monitoring</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Monitoring dan Pengawasan Kinerja</w:t>
            </w:r>
            <w:r>
              <w:rPr>
                <w:rFonts w:asciiTheme="minorHAnsi" w:eastAsiaTheme="majorEastAsia" w:hAnsiTheme="minorHAnsi" w:cstheme="majorBidi"/>
                <w:sz w:val="20"/>
                <w:lang w:val="en-AU"/>
              </w:rPr>
              <w:t xml:space="preserve"> Kemitraan Pendidikan Australia-Indonesia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PPCKS</w:t>
            </w:r>
          </w:p>
        </w:tc>
        <w:tc>
          <w:tcPr>
            <w:tcW w:w="3685" w:type="dxa"/>
            <w:vAlign w:val="center"/>
          </w:tcPr>
          <w:p w:rsidR="004D3EF0" w:rsidRPr="00FA235F" w:rsidRDefault="004D3EF0" w:rsidP="004D3EF0">
            <w:pPr>
              <w:spacing w:line="276" w:lineRule="auto"/>
              <w:rPr>
                <w:rFonts w:asciiTheme="minorHAnsi" w:hAnsiTheme="minorHAnsi"/>
                <w:sz w:val="20"/>
                <w:lang w:val="en-AU"/>
              </w:rPr>
            </w:pPr>
            <w:r>
              <w:rPr>
                <w:rFonts w:asciiTheme="minorHAnsi" w:eastAsiaTheme="majorEastAsia" w:hAnsiTheme="minorHAnsi" w:cstheme="majorBidi"/>
                <w:sz w:val="20"/>
                <w:lang w:val="en-AU"/>
              </w:rPr>
              <w:t xml:space="preserve">Principal Preparation Program </w:t>
            </w:r>
          </w:p>
        </w:tc>
        <w:tc>
          <w:tcPr>
            <w:tcW w:w="4223" w:type="dxa"/>
            <w:vAlign w:val="center"/>
          </w:tcPr>
          <w:p w:rsidR="004D3EF0" w:rsidRPr="00FA235F"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Penyiapan Calon Kepala Sekolah</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PPKPPD</w:t>
            </w:r>
          </w:p>
        </w:tc>
        <w:tc>
          <w:tcPr>
            <w:tcW w:w="3685" w:type="dxa"/>
            <w:vAlign w:val="center"/>
          </w:tcPr>
          <w:p w:rsidR="004D3EF0" w:rsidRPr="00FA235F" w:rsidRDefault="004D3EF0" w:rsidP="004D3EF0">
            <w:pPr>
              <w:spacing w:line="276" w:lineRule="auto"/>
              <w:rPr>
                <w:rFonts w:asciiTheme="minorHAnsi" w:hAnsiTheme="minorHAnsi"/>
                <w:sz w:val="20"/>
                <w:lang w:val="en-AU"/>
              </w:rPr>
            </w:pPr>
            <w:r>
              <w:rPr>
                <w:rFonts w:asciiTheme="minorHAnsi" w:eastAsiaTheme="majorEastAsia" w:hAnsiTheme="minorHAnsi" w:cstheme="majorBidi"/>
                <w:sz w:val="20"/>
                <w:lang w:val="en-AU"/>
              </w:rPr>
              <w:t>Local Government Educational Capacity Building Program</w:t>
            </w:r>
          </w:p>
        </w:tc>
        <w:tc>
          <w:tcPr>
            <w:tcW w:w="4223" w:type="dxa"/>
            <w:vAlign w:val="center"/>
          </w:tcPr>
          <w:p w:rsidR="004D3EF0" w:rsidRPr="00FA235F"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Pengembangan Kapasitas Pendidikan Pemerintah Daerah</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PPKSPS</w:t>
            </w:r>
          </w:p>
        </w:tc>
        <w:tc>
          <w:tcPr>
            <w:tcW w:w="3685" w:type="dxa"/>
            <w:vAlign w:val="center"/>
          </w:tcPr>
          <w:p w:rsidR="004D3EF0" w:rsidRPr="00FA235F" w:rsidRDefault="004D3EF0" w:rsidP="004D3EF0">
            <w:pPr>
              <w:spacing w:line="276" w:lineRule="auto"/>
              <w:rPr>
                <w:rFonts w:asciiTheme="minorHAnsi" w:hAnsiTheme="minorHAnsi"/>
                <w:sz w:val="20"/>
                <w:lang w:val="en-AU"/>
              </w:rPr>
            </w:pPr>
            <w:r>
              <w:rPr>
                <w:rFonts w:asciiTheme="minorHAnsi" w:eastAsiaTheme="majorEastAsia" w:hAnsiTheme="minorHAnsi" w:cstheme="majorBidi"/>
                <w:sz w:val="20"/>
                <w:lang w:val="en-AU"/>
              </w:rPr>
              <w:t>Supervisor Professional Development</w:t>
            </w:r>
          </w:p>
        </w:tc>
        <w:tc>
          <w:tcPr>
            <w:tcW w:w="4223" w:type="dxa"/>
            <w:vAlign w:val="center"/>
          </w:tcPr>
          <w:p w:rsidR="004D3EF0" w:rsidRPr="00FA235F"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 xml:space="preserve">Program Pendampingan Kepala Sekolah oleh </w:t>
            </w:r>
            <w:r>
              <w:rPr>
                <w:rFonts w:asciiTheme="minorHAnsi" w:eastAsiaTheme="majorEastAsia" w:hAnsiTheme="minorHAnsi" w:cstheme="majorBidi"/>
                <w:sz w:val="20"/>
                <w:lang w:val="en-AU"/>
              </w:rPr>
              <w:lastRenderedPageBreak/>
              <w:t>Pengawas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lastRenderedPageBreak/>
              <w:t>PPIP</w:t>
            </w:r>
          </w:p>
        </w:tc>
        <w:tc>
          <w:tcPr>
            <w:tcW w:w="3685" w:type="dxa"/>
            <w:vAlign w:val="center"/>
          </w:tcPr>
          <w:p w:rsidR="004D3EF0" w:rsidRPr="00FA235F" w:rsidRDefault="004D3EF0" w:rsidP="004D3EF0">
            <w:pPr>
              <w:spacing w:line="276" w:lineRule="auto"/>
              <w:rPr>
                <w:rFonts w:asciiTheme="minorHAnsi" w:hAnsiTheme="minorHAnsi"/>
                <w:sz w:val="20"/>
                <w:lang w:val="en-AU"/>
              </w:rPr>
            </w:pPr>
            <w:r>
              <w:rPr>
                <w:rFonts w:asciiTheme="minorHAnsi" w:hAnsiTheme="minorHAnsi"/>
                <w:sz w:val="20"/>
                <w:lang w:val="en-AU"/>
              </w:rPr>
              <w:t>Principals Performance Improvement Program</w:t>
            </w:r>
          </w:p>
        </w:tc>
        <w:tc>
          <w:tcPr>
            <w:tcW w:w="4223" w:type="dxa"/>
            <w:vAlign w:val="center"/>
          </w:tcPr>
          <w:p w:rsidR="004D3EF0" w:rsidRPr="00FA235F"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Peningkatan Kinerja Kepala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PPP</w:t>
            </w:r>
          </w:p>
        </w:tc>
        <w:tc>
          <w:tcPr>
            <w:tcW w:w="3685" w:type="dxa"/>
            <w:vAlign w:val="center"/>
          </w:tcPr>
          <w:p w:rsidR="004D3EF0" w:rsidRPr="00FA235F" w:rsidRDefault="004D3EF0" w:rsidP="004D3EF0">
            <w:pPr>
              <w:spacing w:line="276" w:lineRule="auto"/>
              <w:rPr>
                <w:rFonts w:asciiTheme="minorHAnsi" w:hAnsiTheme="minorHAnsi"/>
                <w:sz w:val="20"/>
                <w:lang w:val="en-AU"/>
              </w:rPr>
            </w:pPr>
            <w:r w:rsidRPr="00FA235F">
              <w:rPr>
                <w:rFonts w:asciiTheme="minorHAnsi" w:hAnsiTheme="minorHAnsi"/>
                <w:sz w:val="20"/>
                <w:lang w:val="en-AU"/>
              </w:rPr>
              <w:t>Principals Preparation Program</w:t>
            </w:r>
          </w:p>
        </w:tc>
        <w:tc>
          <w:tcPr>
            <w:tcW w:w="4223" w:type="dxa"/>
            <w:vAlign w:val="center"/>
          </w:tcPr>
          <w:p w:rsidR="004D3EF0" w:rsidRPr="00FA235F" w:rsidRDefault="004D3EF0" w:rsidP="004D3EF0">
            <w:pPr>
              <w:spacing w:line="276" w:lineRule="auto"/>
              <w:rPr>
                <w:rFonts w:asciiTheme="minorHAnsi" w:eastAsiaTheme="majorEastAsia" w:hAnsiTheme="minorHAnsi" w:cstheme="majorBidi"/>
                <w:sz w:val="20"/>
                <w:lang w:val="en-AU"/>
              </w:rPr>
            </w:pPr>
            <w:r w:rsidRPr="00FA235F">
              <w:rPr>
                <w:rFonts w:asciiTheme="minorHAnsi" w:eastAsiaTheme="majorEastAsia" w:hAnsiTheme="minorHAnsi" w:cstheme="majorBidi"/>
                <w:sz w:val="20"/>
                <w:lang w:val="en-AU"/>
              </w:rPr>
              <w:t>Program Pe</w:t>
            </w:r>
            <w:r>
              <w:rPr>
                <w:rFonts w:asciiTheme="minorHAnsi" w:eastAsiaTheme="majorEastAsia" w:hAnsiTheme="minorHAnsi" w:cstheme="majorBidi"/>
                <w:sz w:val="20"/>
                <w:lang w:val="en-AU"/>
              </w:rPr>
              <w:t>nyiapan</w:t>
            </w:r>
            <w:r w:rsidRPr="00FA235F">
              <w:rPr>
                <w:rFonts w:asciiTheme="minorHAnsi" w:eastAsiaTheme="majorEastAsia" w:hAnsiTheme="minorHAnsi" w:cstheme="majorBidi"/>
                <w:sz w:val="20"/>
                <w:lang w:val="en-AU"/>
              </w:rPr>
              <w:t xml:space="preserve"> </w:t>
            </w:r>
            <w:r>
              <w:rPr>
                <w:rFonts w:asciiTheme="minorHAnsi" w:eastAsiaTheme="majorEastAsia" w:hAnsiTheme="minorHAnsi" w:cstheme="majorBidi"/>
                <w:sz w:val="20"/>
                <w:lang w:val="en-AU"/>
              </w:rPr>
              <w:t xml:space="preserve">Calon </w:t>
            </w:r>
            <w:r w:rsidRPr="00FA235F">
              <w:rPr>
                <w:rFonts w:asciiTheme="minorHAnsi" w:eastAsiaTheme="majorEastAsia" w:hAnsiTheme="minorHAnsi" w:cstheme="majorBidi"/>
                <w:sz w:val="20"/>
                <w:lang w:val="en-AU"/>
              </w:rPr>
              <w:t>Kepala Sekolah</w:t>
            </w:r>
          </w:p>
        </w:tc>
      </w:tr>
      <w:tr w:rsidR="004D3EF0" w:rsidRPr="00312CFC" w:rsidTr="00D52465">
        <w:trPr>
          <w:trHeight w:val="312"/>
        </w:trPr>
        <w:tc>
          <w:tcPr>
            <w:tcW w:w="1101" w:type="dxa"/>
            <w:vAlign w:val="center"/>
          </w:tcPr>
          <w:p w:rsidR="004D3EF0" w:rsidRPr="00312CFC" w:rsidRDefault="004D3EF0" w:rsidP="004D3EF0">
            <w:pPr>
              <w:spacing w:line="276" w:lineRule="auto"/>
              <w:rPr>
                <w:rFonts w:asciiTheme="minorHAnsi" w:hAnsiTheme="minorHAnsi"/>
                <w:sz w:val="20"/>
                <w:lang w:val="en-AU"/>
              </w:rPr>
            </w:pPr>
            <w:r w:rsidRPr="00312CFC">
              <w:rPr>
                <w:rFonts w:asciiTheme="minorHAnsi" w:hAnsiTheme="minorHAnsi"/>
                <w:sz w:val="20"/>
                <w:lang w:val="en-AU"/>
              </w:rPr>
              <w:t>P4TK</w:t>
            </w:r>
          </w:p>
        </w:tc>
        <w:tc>
          <w:tcPr>
            <w:tcW w:w="3685" w:type="dxa"/>
            <w:vAlign w:val="center"/>
          </w:tcPr>
          <w:p w:rsidR="004D3EF0" w:rsidRPr="00312CFC" w:rsidRDefault="004D3EF0" w:rsidP="004D3EF0">
            <w:pPr>
              <w:spacing w:line="276" w:lineRule="auto"/>
              <w:rPr>
                <w:rFonts w:asciiTheme="minorHAnsi" w:hAnsiTheme="minorHAnsi"/>
                <w:sz w:val="20"/>
                <w:lang w:val="en-AU"/>
              </w:rPr>
            </w:pPr>
            <w:r>
              <w:rPr>
                <w:rFonts w:asciiTheme="minorHAnsi" w:hAnsiTheme="minorHAnsi"/>
                <w:sz w:val="20"/>
                <w:lang w:val="en-AU"/>
              </w:rPr>
              <w:t>Centre for Development and Empowerment of Teacher and Education Personnel</w:t>
            </w:r>
          </w:p>
        </w:tc>
        <w:tc>
          <w:tcPr>
            <w:tcW w:w="4223" w:type="dxa"/>
            <w:vAlign w:val="center"/>
          </w:tcPr>
          <w:p w:rsidR="004D3EF0" w:rsidRPr="00312CFC"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Pusat Pengembangan dan Pemberdayaan Pendidik dan Tenaga Kependidikan</w:t>
            </w:r>
          </w:p>
        </w:tc>
      </w:tr>
      <w:tr w:rsidR="004D3EF0" w:rsidRPr="00312CFC" w:rsidTr="00D52465">
        <w:trPr>
          <w:trHeight w:val="312"/>
        </w:trPr>
        <w:tc>
          <w:tcPr>
            <w:tcW w:w="1101" w:type="dxa"/>
            <w:vAlign w:val="center"/>
          </w:tcPr>
          <w:p w:rsidR="004D3EF0" w:rsidRPr="00312CFC" w:rsidRDefault="004D3EF0" w:rsidP="004D3EF0">
            <w:pPr>
              <w:spacing w:line="276" w:lineRule="auto"/>
              <w:rPr>
                <w:rFonts w:asciiTheme="minorHAnsi" w:hAnsiTheme="minorHAnsi"/>
                <w:sz w:val="20"/>
                <w:lang w:val="en-AU"/>
              </w:rPr>
            </w:pPr>
            <w:r>
              <w:rPr>
                <w:rFonts w:asciiTheme="minorHAnsi" w:hAnsiTheme="minorHAnsi"/>
                <w:sz w:val="20"/>
                <w:lang w:val="en-AU"/>
              </w:rPr>
              <w:t>P4TK BOE</w:t>
            </w:r>
          </w:p>
        </w:tc>
        <w:tc>
          <w:tcPr>
            <w:tcW w:w="3685" w:type="dxa"/>
            <w:vAlign w:val="center"/>
          </w:tcPr>
          <w:p w:rsidR="004D3EF0" w:rsidRPr="00312CFC" w:rsidRDefault="004D3EF0" w:rsidP="004D3EF0">
            <w:pPr>
              <w:spacing w:line="276" w:lineRule="auto"/>
              <w:rPr>
                <w:rFonts w:asciiTheme="minorHAnsi" w:hAnsiTheme="minorHAnsi"/>
                <w:sz w:val="20"/>
                <w:lang w:val="en-AU"/>
              </w:rPr>
            </w:pPr>
            <w:r>
              <w:rPr>
                <w:rFonts w:asciiTheme="minorHAnsi" w:hAnsiTheme="minorHAnsi"/>
                <w:sz w:val="20"/>
                <w:lang w:val="en-AU"/>
              </w:rPr>
              <w:t>P4TK in the field of Automotive and Electronics</w:t>
            </w:r>
          </w:p>
        </w:tc>
        <w:tc>
          <w:tcPr>
            <w:tcW w:w="4223" w:type="dxa"/>
            <w:vAlign w:val="center"/>
          </w:tcPr>
          <w:p w:rsidR="004D3EF0" w:rsidRPr="00312CFC" w:rsidRDefault="004D3EF0" w:rsidP="004D3EF0">
            <w:pPr>
              <w:spacing w:line="276" w:lineRule="auto"/>
              <w:rPr>
                <w:rFonts w:asciiTheme="minorHAnsi" w:eastAsiaTheme="majorEastAsia" w:hAnsiTheme="minorHAnsi" w:cstheme="majorBidi"/>
                <w:sz w:val="20"/>
                <w:lang w:val="en-AU"/>
              </w:rPr>
            </w:pPr>
            <w:r>
              <w:rPr>
                <w:rFonts w:asciiTheme="minorHAnsi" w:hAnsiTheme="minorHAnsi"/>
                <w:sz w:val="20"/>
                <w:lang w:val="en-AU"/>
              </w:rPr>
              <w:t>P4TK Bidang Otomotif dan Elektronika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ED2DDA">
              <w:rPr>
                <w:rFonts w:asciiTheme="minorHAnsi" w:hAnsiTheme="minorHAnsi"/>
                <w:i/>
                <w:sz w:val="20"/>
                <w:lang w:val="en-AU"/>
              </w:rPr>
              <w:t>Pusbang</w:t>
            </w:r>
            <w:r>
              <w:rPr>
                <w:rFonts w:asciiTheme="minorHAnsi" w:hAnsiTheme="minorHAnsi"/>
                <w:i/>
                <w:sz w:val="20"/>
                <w:lang w:val="en-AU"/>
              </w:rPr>
              <w:t xml:space="preserve"> </w:t>
            </w:r>
            <w:r w:rsidRPr="00ED2DDA">
              <w:rPr>
                <w:rFonts w:asciiTheme="minorHAnsi" w:hAnsiTheme="minorHAnsi"/>
                <w:i/>
                <w:sz w:val="20"/>
                <w:lang w:val="en-AU"/>
              </w:rPr>
              <w:t>tendik</w:t>
            </w:r>
          </w:p>
        </w:tc>
        <w:tc>
          <w:tcPr>
            <w:tcW w:w="3685" w:type="dxa"/>
            <w:vAlign w:val="center"/>
          </w:tcPr>
          <w:p w:rsidR="004D3EF0" w:rsidRPr="00FA235F" w:rsidRDefault="004D3EF0" w:rsidP="004D3EF0">
            <w:pPr>
              <w:spacing w:line="276" w:lineRule="auto"/>
              <w:rPr>
                <w:rFonts w:asciiTheme="minorHAnsi" w:hAnsiTheme="minorHAnsi"/>
                <w:sz w:val="20"/>
                <w:lang w:val="en-AU"/>
              </w:rPr>
            </w:pPr>
            <w:r w:rsidRPr="00FA235F">
              <w:rPr>
                <w:rFonts w:asciiTheme="minorHAnsi" w:hAnsiTheme="minorHAnsi"/>
                <w:sz w:val="20"/>
                <w:lang w:val="en-AU"/>
              </w:rPr>
              <w:t xml:space="preserve">Centre </w:t>
            </w:r>
            <w:r>
              <w:rPr>
                <w:rFonts w:asciiTheme="minorHAnsi" w:hAnsiTheme="minorHAnsi"/>
                <w:sz w:val="20"/>
                <w:lang w:val="en-AU"/>
              </w:rPr>
              <w:t>for the Development of Education Personnel</w:t>
            </w:r>
          </w:p>
        </w:tc>
        <w:tc>
          <w:tcPr>
            <w:tcW w:w="4223" w:type="dxa"/>
            <w:vAlign w:val="center"/>
          </w:tcPr>
          <w:p w:rsidR="004D3EF0" w:rsidRPr="00FA235F" w:rsidRDefault="004D3EF0" w:rsidP="004D3EF0">
            <w:pPr>
              <w:spacing w:line="276" w:lineRule="auto"/>
              <w:rPr>
                <w:rFonts w:asciiTheme="minorHAnsi" w:eastAsiaTheme="majorEastAsia" w:hAnsiTheme="minorHAnsi" w:cstheme="majorBidi"/>
                <w:sz w:val="20"/>
                <w:lang w:val="en-AU"/>
              </w:rPr>
            </w:pPr>
            <w:r w:rsidRPr="00FA235F">
              <w:rPr>
                <w:rFonts w:asciiTheme="minorHAnsi" w:eastAsiaTheme="majorEastAsia" w:hAnsiTheme="minorHAnsi" w:cstheme="majorBidi"/>
                <w:sz w:val="20"/>
                <w:lang w:val="en-AU"/>
              </w:rPr>
              <w:t>Pusat Pengembangan Tenaga Kependidikan</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QA</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Quality Assurance</w:t>
            </w:r>
          </w:p>
        </w:tc>
        <w:tc>
          <w:tcPr>
            <w:tcW w:w="4223" w:type="dxa"/>
            <w:vAlign w:val="center"/>
          </w:tcPr>
          <w:p w:rsidR="004D3EF0"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Penjaminan Mutu</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QAI</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Quality at Implementation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Kualitas pada Pelaksanaan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QRS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Quality Reporting System</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Sistem Pelaporan Berkualitas</w:t>
            </w:r>
          </w:p>
        </w:tc>
      </w:tr>
      <w:tr w:rsidR="004D3EF0" w:rsidRPr="007E56E2" w:rsidTr="00D52465">
        <w:trPr>
          <w:trHeight w:val="312"/>
        </w:trPr>
        <w:tc>
          <w:tcPr>
            <w:tcW w:w="1101" w:type="dxa"/>
            <w:vAlign w:val="center"/>
          </w:tcPr>
          <w:p w:rsidR="004D3EF0" w:rsidRPr="00725FE5" w:rsidRDefault="006D4DD4" w:rsidP="004D3EF0">
            <w:pPr>
              <w:spacing w:line="276" w:lineRule="auto"/>
              <w:rPr>
                <w:rFonts w:asciiTheme="minorHAnsi" w:hAnsiTheme="minorHAnsi"/>
                <w:i/>
                <w:sz w:val="20"/>
                <w:lang w:val="en-AU"/>
              </w:rPr>
            </w:pPr>
            <w:r w:rsidRPr="006D4DD4">
              <w:rPr>
                <w:rFonts w:asciiTheme="minorHAnsi" w:hAnsiTheme="minorHAnsi"/>
                <w:i/>
                <w:sz w:val="20"/>
                <w:lang w:val="en-AU"/>
              </w:rPr>
              <w:t>Renstra</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Strategic Planning</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Rencana </w:t>
            </w:r>
            <w:r>
              <w:rPr>
                <w:rFonts w:asciiTheme="minorHAnsi" w:eastAsiaTheme="majorEastAsia" w:hAnsiTheme="minorHAnsi" w:cstheme="majorBidi"/>
                <w:sz w:val="20"/>
                <w:lang w:val="en-AU"/>
              </w:rPr>
              <w:t>S</w:t>
            </w:r>
            <w:r w:rsidRPr="007E56E2">
              <w:rPr>
                <w:rFonts w:asciiTheme="minorHAnsi" w:eastAsiaTheme="majorEastAsia" w:hAnsiTheme="minorHAnsi" w:cstheme="majorBidi"/>
                <w:sz w:val="20"/>
                <w:lang w:val="en-AU"/>
              </w:rPr>
              <w:t>trategis</w:t>
            </w:r>
          </w:p>
        </w:tc>
      </w:tr>
      <w:tr w:rsidR="004D3EF0" w:rsidRPr="00C0236E"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RKAS/M</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School/Madrasah Annual Budget</w:t>
            </w:r>
          </w:p>
        </w:tc>
        <w:tc>
          <w:tcPr>
            <w:tcW w:w="4223" w:type="dxa"/>
            <w:vAlign w:val="center"/>
          </w:tcPr>
          <w:p w:rsidR="004D3EF0" w:rsidRPr="00196F93" w:rsidRDefault="004D3EF0" w:rsidP="004D3EF0">
            <w:pPr>
              <w:spacing w:line="276" w:lineRule="auto"/>
              <w:rPr>
                <w:rFonts w:asciiTheme="minorHAnsi" w:hAnsiTheme="minorHAnsi" w:cstheme="majorBidi"/>
                <w:sz w:val="20"/>
                <w:lang w:val="fr-BE"/>
              </w:rPr>
            </w:pPr>
            <w:r>
              <w:rPr>
                <w:rFonts w:asciiTheme="minorHAnsi" w:hAnsiTheme="minorHAnsi" w:cstheme="majorBidi"/>
                <w:sz w:val="20"/>
                <w:lang w:val="fr-BE"/>
              </w:rPr>
              <w:t>Rencana Kerja Anggaran Sekolah</w:t>
            </w:r>
          </w:p>
        </w:tc>
      </w:tr>
      <w:tr w:rsidR="004D3EF0" w:rsidRPr="00C0236E"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RKS/M</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School/Madrasah Work Plan (4-year)</w:t>
            </w:r>
          </w:p>
        </w:tc>
        <w:tc>
          <w:tcPr>
            <w:tcW w:w="4223" w:type="dxa"/>
            <w:vAlign w:val="center"/>
          </w:tcPr>
          <w:p w:rsidR="004D3EF0" w:rsidRPr="00196F93" w:rsidRDefault="004D3EF0" w:rsidP="004D3EF0">
            <w:pPr>
              <w:spacing w:line="276" w:lineRule="auto"/>
              <w:rPr>
                <w:rFonts w:asciiTheme="minorHAnsi" w:hAnsiTheme="minorHAnsi" w:cstheme="majorBidi"/>
                <w:sz w:val="20"/>
                <w:lang w:val="fr-BE"/>
              </w:rPr>
            </w:pPr>
            <w:r>
              <w:rPr>
                <w:rFonts w:asciiTheme="minorHAnsi" w:hAnsiTheme="minorHAnsi" w:cstheme="majorBidi"/>
                <w:sz w:val="20"/>
                <w:lang w:val="fr-BE"/>
              </w:rPr>
              <w:t>Rencana Kerja Sekolah/Madrasah</w:t>
            </w:r>
          </w:p>
        </w:tc>
      </w:tr>
      <w:tr w:rsidR="004D3EF0" w:rsidRPr="00C0236E"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RKT</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School/Madrasah Annual Workplan</w:t>
            </w:r>
          </w:p>
        </w:tc>
        <w:tc>
          <w:tcPr>
            <w:tcW w:w="4223" w:type="dxa"/>
            <w:vAlign w:val="center"/>
          </w:tcPr>
          <w:p w:rsidR="004D3EF0" w:rsidRPr="00196F93" w:rsidRDefault="004D3EF0" w:rsidP="004D3EF0">
            <w:pPr>
              <w:spacing w:line="276" w:lineRule="auto"/>
              <w:rPr>
                <w:rFonts w:asciiTheme="minorHAnsi" w:hAnsiTheme="minorHAnsi" w:cstheme="majorBidi"/>
                <w:sz w:val="20"/>
                <w:lang w:val="fr-BE"/>
              </w:rPr>
            </w:pPr>
            <w:r>
              <w:rPr>
                <w:rFonts w:asciiTheme="minorHAnsi" w:hAnsiTheme="minorHAnsi" w:cstheme="majorBidi"/>
                <w:sz w:val="20"/>
                <w:lang w:val="fr-BE"/>
              </w:rPr>
              <w:t>Rencana Kerja Tahunan</w:t>
            </w:r>
          </w:p>
        </w:tc>
      </w:tr>
      <w:tr w:rsidR="004D3EF0" w:rsidRPr="00C0236E"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RPJMD</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District Medium-Term Development Plan</w:t>
            </w:r>
          </w:p>
        </w:tc>
        <w:tc>
          <w:tcPr>
            <w:tcW w:w="4223" w:type="dxa"/>
            <w:vAlign w:val="center"/>
          </w:tcPr>
          <w:p w:rsidR="004D3EF0" w:rsidRPr="00196F93" w:rsidRDefault="004D3EF0" w:rsidP="004D3EF0">
            <w:pPr>
              <w:spacing w:line="276" w:lineRule="auto"/>
              <w:rPr>
                <w:rFonts w:asciiTheme="minorHAnsi" w:hAnsiTheme="minorHAnsi" w:cstheme="majorBidi"/>
                <w:sz w:val="20"/>
                <w:lang w:val="fr-BE"/>
              </w:rPr>
            </w:pPr>
            <w:r>
              <w:rPr>
                <w:rFonts w:asciiTheme="minorHAnsi" w:hAnsiTheme="minorHAnsi" w:cstheme="majorBidi"/>
                <w:sz w:val="20"/>
                <w:lang w:val="fr-BE"/>
              </w:rPr>
              <w:t>Rencana Pembangunan Jangka Menengah Daerah</w:t>
            </w:r>
          </w:p>
        </w:tc>
      </w:tr>
      <w:tr w:rsidR="004D3EF0" w:rsidRPr="00C0236E"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RPJMN</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lang w:val="en-AU"/>
              </w:rPr>
              <w:t>National Medium-</w:t>
            </w:r>
            <w:r w:rsidRPr="007E56E2">
              <w:rPr>
                <w:rFonts w:asciiTheme="minorHAnsi" w:hAnsiTheme="minorHAnsi"/>
                <w:sz w:val="20"/>
                <w:lang w:val="en-AU"/>
              </w:rPr>
              <w:t>Term Development Plan </w:t>
            </w:r>
          </w:p>
        </w:tc>
        <w:tc>
          <w:tcPr>
            <w:tcW w:w="4223" w:type="dxa"/>
            <w:vAlign w:val="center"/>
          </w:tcPr>
          <w:p w:rsidR="004D3EF0" w:rsidRPr="00196F93" w:rsidRDefault="004D3EF0" w:rsidP="004D3EF0">
            <w:pPr>
              <w:spacing w:line="276" w:lineRule="auto"/>
              <w:rPr>
                <w:rFonts w:asciiTheme="minorHAnsi" w:hAnsiTheme="minorHAnsi" w:cstheme="majorBidi"/>
                <w:sz w:val="20"/>
                <w:lang w:val="fr-BE"/>
              </w:rPr>
            </w:pPr>
            <w:r w:rsidRPr="00196F93">
              <w:rPr>
                <w:rFonts w:asciiTheme="minorHAnsi" w:hAnsiTheme="minorHAnsi" w:cstheme="majorBidi"/>
                <w:sz w:val="20"/>
                <w:lang w:val="fr-BE"/>
              </w:rPr>
              <w:t>Rencana Pembangunan Jangka Menengah Nasional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RPJPN</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National Long-Term Development Plan</w:t>
            </w:r>
          </w:p>
        </w:tc>
        <w:tc>
          <w:tcPr>
            <w:tcW w:w="4223" w:type="dxa"/>
            <w:vAlign w:val="center"/>
          </w:tcPr>
          <w:p w:rsidR="004D3EF0" w:rsidRPr="000D18B6" w:rsidRDefault="004D3EF0" w:rsidP="004D3EF0">
            <w:pPr>
              <w:spacing w:line="276" w:lineRule="auto"/>
              <w:rPr>
                <w:rFonts w:asciiTheme="minorHAnsi" w:hAnsiTheme="minorHAnsi" w:cstheme="majorBidi"/>
                <w:sz w:val="20"/>
              </w:rPr>
            </w:pPr>
            <w:r>
              <w:rPr>
                <w:rFonts w:asciiTheme="minorHAnsi" w:hAnsiTheme="minorHAnsi" w:cstheme="majorBidi"/>
                <w:sz w:val="20"/>
              </w:rPr>
              <w:t>Rencana Pembangunan Jangka Panjang Nasional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SATAP</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Sekolah Satu Atap</w:t>
            </w:r>
          </w:p>
        </w:tc>
        <w:tc>
          <w:tcPr>
            <w:tcW w:w="4223" w:type="dxa"/>
            <w:vAlign w:val="center"/>
          </w:tcPr>
          <w:p w:rsidR="004D3EF0" w:rsidRPr="000D18B6" w:rsidRDefault="004D3EF0" w:rsidP="004D3EF0">
            <w:pPr>
              <w:spacing w:line="276" w:lineRule="auto"/>
              <w:rPr>
                <w:rFonts w:asciiTheme="minorHAnsi" w:hAnsiTheme="minorHAnsi" w:cstheme="majorBidi"/>
                <w:sz w:val="20"/>
              </w:rPr>
            </w:pPr>
            <w:r w:rsidRPr="000D18B6">
              <w:rPr>
                <w:rFonts w:asciiTheme="minorHAnsi" w:hAnsiTheme="minorHAnsi" w:cstheme="majorBidi"/>
                <w:sz w:val="20"/>
              </w:rPr>
              <w:t>One Roof School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SBM</w:t>
            </w:r>
          </w:p>
        </w:tc>
        <w:tc>
          <w:tcPr>
            <w:tcW w:w="3685" w:type="dxa"/>
            <w:vAlign w:val="center"/>
          </w:tcPr>
          <w:p w:rsidR="004D3EF0" w:rsidRPr="00FA235F" w:rsidRDefault="004D3EF0" w:rsidP="004D3EF0">
            <w:pPr>
              <w:spacing w:line="276" w:lineRule="auto"/>
              <w:rPr>
                <w:rFonts w:asciiTheme="minorHAnsi" w:hAnsiTheme="minorHAnsi"/>
                <w:sz w:val="20"/>
                <w:lang w:val="en-AU"/>
              </w:rPr>
            </w:pPr>
            <w:r w:rsidRPr="00FA235F">
              <w:rPr>
                <w:rFonts w:asciiTheme="minorHAnsi" w:hAnsiTheme="minorHAnsi"/>
                <w:sz w:val="20"/>
                <w:lang w:val="en-AU"/>
              </w:rPr>
              <w:t>School Based Management</w:t>
            </w:r>
          </w:p>
        </w:tc>
        <w:tc>
          <w:tcPr>
            <w:tcW w:w="4223" w:type="dxa"/>
            <w:vAlign w:val="center"/>
          </w:tcPr>
          <w:p w:rsidR="004D3EF0" w:rsidRPr="000D18B6" w:rsidRDefault="004D3EF0" w:rsidP="004D3EF0">
            <w:pPr>
              <w:spacing w:line="276" w:lineRule="auto"/>
              <w:rPr>
                <w:rFonts w:asciiTheme="minorHAnsi" w:eastAsiaTheme="majorEastAsia" w:hAnsiTheme="minorHAnsi" w:cstheme="majorBidi"/>
                <w:sz w:val="20"/>
                <w:lang w:val="en-AU"/>
              </w:rPr>
            </w:pPr>
            <w:r w:rsidRPr="0080471F">
              <w:rPr>
                <w:sz w:val="20"/>
              </w:rPr>
              <w:t>Manajemen Berbasis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SCC</w:t>
            </w:r>
          </w:p>
        </w:tc>
        <w:tc>
          <w:tcPr>
            <w:tcW w:w="3685" w:type="dxa"/>
            <w:vAlign w:val="center"/>
          </w:tcPr>
          <w:p w:rsidR="004D3EF0" w:rsidRPr="00FA235F" w:rsidRDefault="004D3EF0" w:rsidP="004D3EF0">
            <w:pPr>
              <w:spacing w:line="276" w:lineRule="auto"/>
              <w:rPr>
                <w:rFonts w:asciiTheme="minorHAnsi" w:hAnsiTheme="minorHAnsi"/>
                <w:sz w:val="20"/>
                <w:lang w:val="en-AU"/>
              </w:rPr>
            </w:pPr>
            <w:r w:rsidRPr="00FA235F">
              <w:rPr>
                <w:rFonts w:asciiTheme="minorHAnsi" w:hAnsiTheme="minorHAnsi"/>
                <w:sz w:val="20"/>
                <w:lang w:val="en-AU"/>
              </w:rPr>
              <w:t>School Construction Committee</w:t>
            </w:r>
          </w:p>
        </w:tc>
        <w:tc>
          <w:tcPr>
            <w:tcW w:w="4223" w:type="dxa"/>
            <w:vAlign w:val="center"/>
          </w:tcPr>
          <w:p w:rsidR="004D3EF0" w:rsidRPr="000D18B6" w:rsidRDefault="004D3EF0" w:rsidP="004D3EF0">
            <w:pPr>
              <w:spacing w:line="276" w:lineRule="auto"/>
              <w:rPr>
                <w:rFonts w:asciiTheme="minorHAnsi" w:eastAsiaTheme="majorEastAsia" w:hAnsiTheme="minorHAnsi" w:cstheme="majorBidi"/>
                <w:sz w:val="20"/>
                <w:lang w:val="en-AU"/>
              </w:rPr>
            </w:pPr>
            <w:r>
              <w:rPr>
                <w:sz w:val="20"/>
              </w:rPr>
              <w:t>Komite</w:t>
            </w:r>
            <w:r w:rsidRPr="0080471F">
              <w:rPr>
                <w:sz w:val="20"/>
              </w:rPr>
              <w:t xml:space="preserve"> Pembangunan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SD</w:t>
            </w:r>
            <w:r w:rsidRPr="007E56E2">
              <w:rPr>
                <w:rFonts w:asciiTheme="minorHAnsi" w:hAnsiTheme="minorHAnsi"/>
                <w:sz w:val="20"/>
                <w:lang w:val="en-AU"/>
              </w:rPr>
              <w:t>T</w:t>
            </w:r>
            <w:r>
              <w:rPr>
                <w:rFonts w:asciiTheme="minorHAnsi" w:hAnsiTheme="minorHAnsi"/>
                <w:sz w:val="20"/>
                <w:lang w:val="en-AU"/>
              </w:rPr>
              <w:t>O</w:t>
            </w:r>
            <w:r w:rsidRPr="007E56E2">
              <w:rPr>
                <w:rFonts w:asciiTheme="minorHAnsi" w:hAnsiTheme="minorHAnsi"/>
                <w:sz w:val="20"/>
                <w:lang w:val="en-AU"/>
              </w:rPr>
              <w:t>G</w:t>
            </w:r>
          </w:p>
        </w:tc>
        <w:tc>
          <w:tcPr>
            <w:tcW w:w="3685" w:type="dxa"/>
            <w:vAlign w:val="center"/>
          </w:tcPr>
          <w:p w:rsidR="004D3EF0" w:rsidRPr="00FA235F" w:rsidRDefault="004D3EF0" w:rsidP="004D3EF0">
            <w:pPr>
              <w:spacing w:line="276" w:lineRule="auto"/>
              <w:rPr>
                <w:rFonts w:asciiTheme="minorHAnsi" w:hAnsiTheme="minorHAnsi"/>
                <w:sz w:val="20"/>
                <w:lang w:val="en-AU"/>
              </w:rPr>
            </w:pPr>
            <w:r w:rsidRPr="00FA235F">
              <w:rPr>
                <w:rFonts w:asciiTheme="minorHAnsi" w:hAnsiTheme="minorHAnsi"/>
                <w:sz w:val="20"/>
                <w:lang w:val="en-AU"/>
              </w:rPr>
              <w:t>Staff Development Technical Oversight Group</w:t>
            </w:r>
          </w:p>
        </w:tc>
        <w:tc>
          <w:tcPr>
            <w:tcW w:w="4223" w:type="dxa"/>
            <w:vAlign w:val="center"/>
          </w:tcPr>
          <w:p w:rsidR="004D3EF0" w:rsidRPr="00701F57"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Kelompok Pengawasa</w:t>
            </w:r>
            <w:r w:rsidRPr="000D18B6">
              <w:rPr>
                <w:rFonts w:asciiTheme="minorHAnsi" w:eastAsiaTheme="majorEastAsia" w:hAnsiTheme="minorHAnsi" w:cstheme="majorBidi"/>
                <w:sz w:val="20"/>
                <w:lang w:val="en-AU"/>
              </w:rPr>
              <w:t>n Teknis</w:t>
            </w:r>
            <w:r>
              <w:rPr>
                <w:rFonts w:asciiTheme="minorHAnsi" w:eastAsiaTheme="majorEastAsia" w:hAnsiTheme="minorHAnsi" w:cstheme="majorBidi"/>
                <w:sz w:val="20"/>
                <w:lang w:val="en-AU"/>
              </w:rPr>
              <w:t xml:space="preserve"> untuk Pengembangan Staf</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SI</w:t>
            </w:r>
          </w:p>
        </w:tc>
        <w:tc>
          <w:tcPr>
            <w:tcW w:w="3685" w:type="dxa"/>
            <w:vAlign w:val="center"/>
          </w:tcPr>
          <w:p w:rsidR="004D3EF0" w:rsidRPr="00FA235F" w:rsidRDefault="004D3EF0" w:rsidP="004D3EF0">
            <w:pPr>
              <w:spacing w:line="276" w:lineRule="auto"/>
              <w:rPr>
                <w:rFonts w:asciiTheme="minorHAnsi" w:hAnsiTheme="minorHAnsi"/>
                <w:sz w:val="20"/>
                <w:lang w:val="en-AU"/>
              </w:rPr>
            </w:pPr>
            <w:r>
              <w:rPr>
                <w:rFonts w:asciiTheme="minorHAnsi" w:hAnsiTheme="minorHAnsi"/>
                <w:sz w:val="20"/>
                <w:lang w:val="en-AU"/>
              </w:rPr>
              <w:t>Social Inclusion</w:t>
            </w:r>
          </w:p>
        </w:tc>
        <w:tc>
          <w:tcPr>
            <w:tcW w:w="4223" w:type="dxa"/>
            <w:vAlign w:val="center"/>
          </w:tcPr>
          <w:p w:rsidR="004D3EF0" w:rsidRPr="000D18B6"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Inklusi Sosial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SMP</w:t>
            </w:r>
          </w:p>
        </w:tc>
        <w:tc>
          <w:tcPr>
            <w:tcW w:w="3685" w:type="dxa"/>
            <w:vAlign w:val="center"/>
          </w:tcPr>
          <w:p w:rsidR="004D3EF0" w:rsidRPr="000D18B6" w:rsidRDefault="004D3EF0" w:rsidP="004D3EF0">
            <w:pPr>
              <w:spacing w:line="276" w:lineRule="auto"/>
              <w:rPr>
                <w:rFonts w:asciiTheme="minorHAnsi" w:hAnsiTheme="minorHAnsi"/>
                <w:sz w:val="20"/>
                <w:lang w:val="en-AU"/>
              </w:rPr>
            </w:pPr>
            <w:r w:rsidRPr="000D18B6">
              <w:rPr>
                <w:rFonts w:asciiTheme="minorHAnsi" w:hAnsiTheme="minorHAnsi"/>
                <w:sz w:val="20"/>
                <w:lang w:val="en-AU"/>
              </w:rPr>
              <w:t>Junior Secondary School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Sekolah Menengah Pertama</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SNIP</w:t>
            </w:r>
          </w:p>
        </w:tc>
        <w:tc>
          <w:tcPr>
            <w:tcW w:w="3685" w:type="dxa"/>
            <w:vAlign w:val="center"/>
          </w:tcPr>
          <w:p w:rsidR="004D3EF0" w:rsidRPr="000D18B6" w:rsidRDefault="004D3EF0" w:rsidP="004D3EF0">
            <w:pPr>
              <w:spacing w:line="276" w:lineRule="auto"/>
              <w:rPr>
                <w:rFonts w:asciiTheme="minorHAnsi" w:hAnsiTheme="minorHAnsi"/>
                <w:sz w:val="20"/>
                <w:lang w:val="en-AU"/>
              </w:rPr>
            </w:pPr>
            <w:r w:rsidRPr="000D18B6">
              <w:rPr>
                <w:rFonts w:asciiTheme="minorHAnsi" w:hAnsiTheme="minorHAnsi"/>
                <w:sz w:val="20"/>
                <w:lang w:val="en-AU"/>
              </w:rPr>
              <w:t>Sub-National Implementation Partners</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Mitra Pelaksana Sub-Nasional</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SPD</w:t>
            </w:r>
          </w:p>
        </w:tc>
        <w:tc>
          <w:tcPr>
            <w:tcW w:w="3685"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Supervisor Professional Development</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Program Pendampingan Kepala Sekolah oleh Pengawas Sekolah</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SP&amp;FM</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Strategic Planning and Financial Management (ProDEP Component)</w:t>
            </w:r>
          </w:p>
        </w:tc>
        <w:tc>
          <w:tcPr>
            <w:tcW w:w="4223" w:type="dxa"/>
            <w:vAlign w:val="center"/>
          </w:tcPr>
          <w:p w:rsidR="004D3EF0"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Perencanaan Strategis dan Manajemen Keuangan (Komponen ProDEP)</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SRP</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School Reconstruction Program</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Rekonstruksi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SSQ</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 xml:space="preserve">School Systems and Quality </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Program </w:t>
            </w:r>
            <w:r>
              <w:rPr>
                <w:rFonts w:asciiTheme="minorHAnsi" w:eastAsiaTheme="majorEastAsia" w:hAnsiTheme="minorHAnsi" w:cstheme="majorBidi"/>
                <w:sz w:val="20"/>
                <w:lang w:val="en-AU"/>
              </w:rPr>
              <w:t>Sistem dan Mutu</w:t>
            </w:r>
            <w:r w:rsidRPr="007E56E2">
              <w:rPr>
                <w:rFonts w:asciiTheme="minorHAnsi" w:eastAsiaTheme="majorEastAsia" w:hAnsiTheme="minorHAnsi" w:cstheme="majorBidi"/>
                <w:sz w:val="20"/>
                <w:lang w:val="en-AU"/>
              </w:rPr>
              <w:t xml:space="preserve"> Sekolah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SSS</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Senior Secondary School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Sekolah Menengah Atas</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T</w:t>
            </w:r>
            <w:r>
              <w:rPr>
                <w:rFonts w:asciiTheme="minorHAnsi" w:hAnsiTheme="minorHAnsi"/>
                <w:sz w:val="20"/>
                <w:lang w:val="en-AU"/>
              </w:rPr>
              <w:t>O</w:t>
            </w:r>
            <w:r w:rsidRPr="007E56E2">
              <w:rPr>
                <w:rFonts w:asciiTheme="minorHAnsi" w:hAnsiTheme="minorHAnsi"/>
                <w:sz w:val="20"/>
                <w:lang w:val="en-AU"/>
              </w:rPr>
              <w:t>G</w:t>
            </w:r>
          </w:p>
        </w:tc>
        <w:tc>
          <w:tcPr>
            <w:tcW w:w="3685"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Technical Oversight Group</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Kelompok Pengawasan Teknis</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TNP2K</w:t>
            </w:r>
          </w:p>
        </w:tc>
        <w:tc>
          <w:tcPr>
            <w:tcW w:w="3685" w:type="dxa"/>
            <w:vAlign w:val="center"/>
          </w:tcPr>
          <w:p w:rsidR="004D3EF0" w:rsidRDefault="004D3EF0" w:rsidP="004D3EF0">
            <w:pPr>
              <w:spacing w:line="276" w:lineRule="auto"/>
              <w:rPr>
                <w:rFonts w:asciiTheme="minorHAnsi" w:hAnsiTheme="minorHAnsi"/>
                <w:sz w:val="20"/>
                <w:lang w:val="en-AU"/>
              </w:rPr>
            </w:pPr>
            <w:r>
              <w:rPr>
                <w:rFonts w:asciiTheme="minorHAnsi" w:hAnsiTheme="minorHAnsi"/>
                <w:sz w:val="20"/>
                <w:lang w:val="en-AU"/>
              </w:rPr>
              <w:t>National team for the acceleration of poverty reduction</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Tim Nasional Percepatan Penanggulangan Kemiskinan</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lang w:val="en-AU"/>
              </w:rPr>
            </w:pPr>
            <w:r w:rsidRPr="007E56E2">
              <w:rPr>
                <w:rFonts w:asciiTheme="minorHAnsi" w:hAnsiTheme="minorHAnsi"/>
                <w:sz w:val="20"/>
                <w:lang w:val="en-AU"/>
              </w:rPr>
              <w:t>UPPAM</w:t>
            </w:r>
          </w:p>
        </w:tc>
        <w:tc>
          <w:tcPr>
            <w:tcW w:w="3685" w:type="dxa"/>
            <w:vAlign w:val="center"/>
          </w:tcPr>
          <w:p w:rsidR="004D3EF0" w:rsidRPr="007E56E2" w:rsidRDefault="004D3EF0" w:rsidP="004D3EF0">
            <w:pPr>
              <w:spacing w:line="276" w:lineRule="auto"/>
              <w:rPr>
                <w:rFonts w:asciiTheme="minorHAnsi" w:hAnsiTheme="minorHAnsi"/>
                <w:sz w:val="20"/>
                <w:lang w:val="en-AU"/>
              </w:rPr>
            </w:pPr>
            <w:r>
              <w:rPr>
                <w:rFonts w:asciiTheme="minorHAnsi" w:hAnsiTheme="minorHAnsi"/>
                <w:sz w:val="20"/>
                <w:lang w:val="en-AU"/>
              </w:rPr>
              <w:t xml:space="preserve">Madrasah </w:t>
            </w:r>
            <w:r w:rsidRPr="007E56E2">
              <w:rPr>
                <w:rFonts w:asciiTheme="minorHAnsi" w:hAnsiTheme="minorHAnsi"/>
                <w:sz w:val="20"/>
                <w:lang w:val="en-AU"/>
              </w:rPr>
              <w:t>Accreditation Im</w:t>
            </w:r>
            <w:r>
              <w:rPr>
                <w:rFonts w:asciiTheme="minorHAnsi" w:hAnsiTheme="minorHAnsi"/>
                <w:sz w:val="20"/>
                <w:lang w:val="en-AU"/>
              </w:rPr>
              <w:t>plementation Unit at Central MoRA</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Unit Pelaksana Akreditasi Madrasah </w:t>
            </w:r>
            <w:r>
              <w:rPr>
                <w:rFonts w:asciiTheme="minorHAnsi" w:eastAsiaTheme="majorEastAsia" w:hAnsiTheme="minorHAnsi" w:cstheme="majorBidi"/>
                <w:sz w:val="20"/>
                <w:lang w:val="en-AU"/>
              </w:rPr>
              <w:t>di tingkat Pemerintah Pusat</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UPPAMDA</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lang w:val="en-AU"/>
              </w:rPr>
              <w:t xml:space="preserve">Madrasah </w:t>
            </w:r>
            <w:r w:rsidRPr="007E56E2">
              <w:rPr>
                <w:rFonts w:asciiTheme="minorHAnsi" w:hAnsiTheme="minorHAnsi"/>
                <w:sz w:val="20"/>
                <w:lang w:val="en-AU"/>
              </w:rPr>
              <w:t>Accreditation Im</w:t>
            </w:r>
            <w:r>
              <w:rPr>
                <w:rFonts w:asciiTheme="minorHAnsi" w:hAnsiTheme="minorHAnsi"/>
                <w:sz w:val="20"/>
                <w:lang w:val="en-AU"/>
              </w:rPr>
              <w:t>plementation Unit at District Level</w:t>
            </w:r>
          </w:p>
        </w:tc>
        <w:tc>
          <w:tcPr>
            <w:tcW w:w="4223" w:type="dxa"/>
            <w:vAlign w:val="center"/>
          </w:tcPr>
          <w:p w:rsidR="004D3EF0" w:rsidRPr="00FA235F"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lang w:val="en-AU"/>
              </w:rPr>
              <w:t xml:space="preserve">Unit Pelaksana Akreditasi </w:t>
            </w:r>
            <w:r>
              <w:rPr>
                <w:rFonts w:asciiTheme="minorHAnsi" w:eastAsiaTheme="majorEastAsia" w:hAnsiTheme="minorHAnsi" w:cstheme="majorBidi"/>
                <w:sz w:val="20"/>
                <w:lang w:val="en-AU"/>
              </w:rPr>
              <w:t>Madrasah di tingkat Daerah</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lastRenderedPageBreak/>
              <w:t>UPPAMPROV</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lang w:val="en-AU"/>
              </w:rPr>
              <w:t xml:space="preserve">Madrasah </w:t>
            </w:r>
            <w:r w:rsidRPr="007E56E2">
              <w:rPr>
                <w:rFonts w:asciiTheme="minorHAnsi" w:hAnsiTheme="minorHAnsi"/>
                <w:sz w:val="20"/>
                <w:lang w:val="en-AU"/>
              </w:rPr>
              <w:t>Accreditation Im</w:t>
            </w:r>
            <w:r>
              <w:rPr>
                <w:rFonts w:asciiTheme="minorHAnsi" w:hAnsiTheme="minorHAnsi"/>
                <w:sz w:val="20"/>
                <w:lang w:val="en-AU"/>
              </w:rPr>
              <w:t>plementation Unit at Provincial Level</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lang w:val="en-AU"/>
              </w:rPr>
              <w:t xml:space="preserve">Unit Pelaksana Akreditasi </w:t>
            </w:r>
            <w:r>
              <w:rPr>
                <w:rFonts w:asciiTheme="minorHAnsi" w:eastAsiaTheme="majorEastAsia" w:hAnsiTheme="minorHAnsi" w:cstheme="majorBidi"/>
                <w:sz w:val="20"/>
                <w:lang w:val="en-AU"/>
              </w:rPr>
              <w:t xml:space="preserve">Madrasah di tingkat </w:t>
            </w:r>
            <w:r w:rsidRPr="007E56E2">
              <w:rPr>
                <w:rFonts w:asciiTheme="minorHAnsi" w:eastAsiaTheme="majorEastAsia" w:hAnsiTheme="minorHAnsi" w:cstheme="majorBidi"/>
                <w:sz w:val="20"/>
                <w:lang w:val="en-AU"/>
              </w:rPr>
              <w:t xml:space="preserve">Provinsi </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UoL</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Unit of Learning</w:t>
            </w:r>
          </w:p>
        </w:tc>
        <w:tc>
          <w:tcPr>
            <w:tcW w:w="4223"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Badan Pembelajaran Umum (lihat BPU)</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sidRPr="007E56E2">
              <w:rPr>
                <w:rFonts w:asciiTheme="minorHAnsi" w:hAnsiTheme="minorHAnsi"/>
                <w:sz w:val="20"/>
              </w:rPr>
              <w:t>USB</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New School Unit</w:t>
            </w:r>
          </w:p>
        </w:tc>
        <w:tc>
          <w:tcPr>
            <w:tcW w:w="4223" w:type="dxa"/>
            <w:vAlign w:val="center"/>
          </w:tcPr>
          <w:p w:rsidR="004D3EF0" w:rsidRPr="007E56E2" w:rsidRDefault="004D3EF0" w:rsidP="004D3EF0">
            <w:pPr>
              <w:spacing w:line="276" w:lineRule="auto"/>
              <w:rPr>
                <w:rFonts w:asciiTheme="minorHAnsi" w:eastAsiaTheme="majorEastAsia" w:hAnsiTheme="minorHAnsi" w:cstheme="majorBidi"/>
                <w:sz w:val="20"/>
              </w:rPr>
            </w:pPr>
            <w:r w:rsidRPr="007E56E2">
              <w:rPr>
                <w:rFonts w:asciiTheme="minorHAnsi" w:hAnsiTheme="minorHAnsi"/>
                <w:sz w:val="20"/>
              </w:rPr>
              <w:t>Unit Sekolah Baru</w:t>
            </w:r>
          </w:p>
        </w:tc>
      </w:tr>
      <w:tr w:rsidR="004D3EF0" w:rsidRPr="007E56E2" w:rsidTr="00D52465">
        <w:trPr>
          <w:trHeight w:val="312"/>
        </w:trPr>
        <w:tc>
          <w:tcPr>
            <w:tcW w:w="1101"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USD</w:t>
            </w:r>
          </w:p>
        </w:tc>
        <w:tc>
          <w:tcPr>
            <w:tcW w:w="3685" w:type="dxa"/>
            <w:vAlign w:val="center"/>
          </w:tcPr>
          <w:p w:rsidR="004D3EF0" w:rsidRPr="007E56E2" w:rsidRDefault="004D3EF0" w:rsidP="004D3EF0">
            <w:pPr>
              <w:spacing w:line="276" w:lineRule="auto"/>
              <w:rPr>
                <w:rFonts w:asciiTheme="minorHAnsi" w:hAnsiTheme="minorHAnsi"/>
                <w:sz w:val="20"/>
              </w:rPr>
            </w:pPr>
            <w:r>
              <w:rPr>
                <w:rFonts w:asciiTheme="minorHAnsi" w:hAnsiTheme="minorHAnsi"/>
                <w:sz w:val="20"/>
              </w:rPr>
              <w:t>United States Dollar</w:t>
            </w:r>
          </w:p>
        </w:tc>
        <w:tc>
          <w:tcPr>
            <w:tcW w:w="4223" w:type="dxa"/>
            <w:vAlign w:val="center"/>
          </w:tcPr>
          <w:p w:rsidR="004D3EF0" w:rsidRPr="00FA235F" w:rsidRDefault="004D3EF0" w:rsidP="004D3EF0">
            <w:pPr>
              <w:spacing w:line="276" w:lineRule="auto"/>
              <w:rPr>
                <w:rFonts w:asciiTheme="minorHAnsi" w:eastAsiaTheme="majorEastAsia" w:hAnsiTheme="minorHAnsi" w:cstheme="majorBidi"/>
                <w:sz w:val="20"/>
              </w:rPr>
            </w:pPr>
            <w:r w:rsidRPr="0080471F">
              <w:rPr>
                <w:sz w:val="20"/>
              </w:rPr>
              <w:t>Dolar Amerika Serikat</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VFM</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Value for Money</w:t>
            </w:r>
          </w:p>
        </w:tc>
        <w:tc>
          <w:tcPr>
            <w:tcW w:w="4223" w:type="dxa"/>
            <w:vAlign w:val="center"/>
          </w:tcPr>
          <w:p w:rsidR="004D3EF0" w:rsidRPr="0080471F" w:rsidRDefault="004D3EF0" w:rsidP="004D3EF0">
            <w:pPr>
              <w:spacing w:line="276" w:lineRule="auto"/>
              <w:rPr>
                <w:sz w:val="20"/>
              </w:rPr>
            </w:pPr>
            <w:r>
              <w:rPr>
                <w:sz w:val="20"/>
              </w:rPr>
              <w:t>Nilai yang diperoleh untuk dana tertentu</w:t>
            </w:r>
          </w:p>
        </w:tc>
      </w:tr>
      <w:tr w:rsidR="004D3EF0" w:rsidRPr="007E56E2" w:rsidTr="00D52465">
        <w:trPr>
          <w:trHeight w:val="312"/>
        </w:trPr>
        <w:tc>
          <w:tcPr>
            <w:tcW w:w="1101"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WiPS</w:t>
            </w:r>
          </w:p>
        </w:tc>
        <w:tc>
          <w:tcPr>
            <w:tcW w:w="3685" w:type="dxa"/>
            <w:vAlign w:val="center"/>
          </w:tcPr>
          <w:p w:rsidR="004D3EF0" w:rsidRDefault="004D3EF0" w:rsidP="004D3EF0">
            <w:pPr>
              <w:spacing w:line="276" w:lineRule="auto"/>
              <w:rPr>
                <w:rFonts w:asciiTheme="minorHAnsi" w:hAnsiTheme="minorHAnsi"/>
                <w:sz w:val="20"/>
              </w:rPr>
            </w:pPr>
            <w:r>
              <w:rPr>
                <w:rFonts w:asciiTheme="minorHAnsi" w:hAnsiTheme="minorHAnsi"/>
                <w:sz w:val="20"/>
              </w:rPr>
              <w:t>Working in Partner Systems</w:t>
            </w:r>
          </w:p>
        </w:tc>
        <w:tc>
          <w:tcPr>
            <w:tcW w:w="4223" w:type="dxa"/>
            <w:vAlign w:val="center"/>
          </w:tcPr>
          <w:p w:rsidR="004D3EF0" w:rsidRDefault="004D3EF0" w:rsidP="004D3EF0">
            <w:pPr>
              <w:spacing w:line="276" w:lineRule="auto"/>
              <w:rPr>
                <w:sz w:val="20"/>
              </w:rPr>
            </w:pPr>
            <w:r>
              <w:rPr>
                <w:sz w:val="20"/>
              </w:rPr>
              <w:t>Bekerja dalam Sistem Mitra</w:t>
            </w:r>
          </w:p>
        </w:tc>
      </w:tr>
    </w:tbl>
    <w:p w:rsidR="000360B1" w:rsidRPr="00851EC7" w:rsidRDefault="000360B1">
      <w:pPr>
        <w:rPr>
          <w:rFonts w:asciiTheme="minorHAnsi" w:hAnsiTheme="minorHAnsi" w:cstheme="minorHAnsi"/>
          <w:b/>
          <w:bCs/>
          <w:color w:val="003880"/>
          <w:kern w:val="32"/>
          <w:sz w:val="32"/>
          <w:szCs w:val="72"/>
          <w:lang w:val="en-AU"/>
        </w:rPr>
      </w:pPr>
      <w:r w:rsidRPr="00851EC7">
        <w:rPr>
          <w:b/>
          <w:lang w:val="en-AU"/>
        </w:rPr>
        <w:br w:type="page"/>
      </w:r>
    </w:p>
    <w:p w:rsidR="00045CAA" w:rsidRPr="00851EC7" w:rsidRDefault="00045CAA" w:rsidP="00B33BC8">
      <w:pPr>
        <w:pStyle w:val="Heading1"/>
        <w:numPr>
          <w:ilvl w:val="0"/>
          <w:numId w:val="0"/>
        </w:numPr>
      </w:pPr>
      <w:bookmarkStart w:id="5" w:name="_Toc407779878"/>
      <w:r w:rsidRPr="00851EC7">
        <w:lastRenderedPageBreak/>
        <w:t>ACKNOWLEDGEMENTS</w:t>
      </w:r>
      <w:bookmarkEnd w:id="5"/>
    </w:p>
    <w:p w:rsidR="00045CAA" w:rsidRPr="00851EC7" w:rsidRDefault="00045CAA" w:rsidP="00045CAA">
      <w:pPr>
        <w:rPr>
          <w:lang w:val="en-AU"/>
        </w:rPr>
      </w:pPr>
    </w:p>
    <w:p w:rsidR="00111DD1" w:rsidRPr="00851EC7" w:rsidRDefault="00045CAA" w:rsidP="00111DD1">
      <w:pPr>
        <w:spacing w:line="276" w:lineRule="auto"/>
        <w:jc w:val="both"/>
        <w:rPr>
          <w:lang w:val="en-AU"/>
        </w:rPr>
      </w:pPr>
      <w:r w:rsidRPr="00851EC7">
        <w:rPr>
          <w:lang w:val="en-AU"/>
        </w:rPr>
        <w:t xml:space="preserve">This report has been prepared by the Performance Oversight and Monitoring (POM) </w:t>
      </w:r>
      <w:r w:rsidR="00111DD1" w:rsidRPr="00851EC7">
        <w:rPr>
          <w:lang w:val="en-AU"/>
        </w:rPr>
        <w:t>team</w:t>
      </w:r>
      <w:r w:rsidRPr="00851EC7">
        <w:rPr>
          <w:lang w:val="en-AU"/>
        </w:rPr>
        <w:t xml:space="preserve"> of </w:t>
      </w:r>
      <w:r w:rsidR="00111DD1" w:rsidRPr="00851EC7">
        <w:rPr>
          <w:lang w:val="en-AU"/>
        </w:rPr>
        <w:t xml:space="preserve">Australia’s </w:t>
      </w:r>
      <w:r w:rsidRPr="00851EC7">
        <w:rPr>
          <w:lang w:val="en-AU"/>
        </w:rPr>
        <w:t>Education Partnership</w:t>
      </w:r>
      <w:r w:rsidR="00111DD1" w:rsidRPr="00851EC7">
        <w:rPr>
          <w:lang w:val="en-AU"/>
        </w:rPr>
        <w:t xml:space="preserve"> with Indonesia</w:t>
      </w:r>
      <w:r w:rsidRPr="00851EC7">
        <w:rPr>
          <w:lang w:val="en-AU"/>
        </w:rPr>
        <w:t>.</w:t>
      </w:r>
      <w:r w:rsidR="0017073C" w:rsidRPr="00851EC7">
        <w:rPr>
          <w:lang w:val="en-AU"/>
        </w:rPr>
        <w:t xml:space="preserve"> </w:t>
      </w:r>
      <w:r w:rsidR="00111DD1" w:rsidRPr="00851EC7">
        <w:rPr>
          <w:lang w:val="en-AU"/>
        </w:rPr>
        <w:t xml:space="preserve">The </w:t>
      </w:r>
      <w:r w:rsidR="0017073C" w:rsidRPr="00851EC7">
        <w:rPr>
          <w:lang w:val="en-AU"/>
        </w:rPr>
        <w:t xml:space="preserve">POM </w:t>
      </w:r>
      <w:r w:rsidR="00111DD1" w:rsidRPr="00851EC7">
        <w:rPr>
          <w:lang w:val="en-AU"/>
        </w:rPr>
        <w:t xml:space="preserve">team </w:t>
      </w:r>
      <w:r w:rsidR="00BA45D9" w:rsidRPr="00851EC7">
        <w:rPr>
          <w:lang w:val="en-AU"/>
        </w:rPr>
        <w:t xml:space="preserve">gratefully </w:t>
      </w:r>
      <w:r w:rsidR="00111DD1" w:rsidRPr="00851EC7">
        <w:rPr>
          <w:lang w:val="en-AU"/>
        </w:rPr>
        <w:t xml:space="preserve">acknowledges </w:t>
      </w:r>
      <w:r w:rsidR="0017073C" w:rsidRPr="00851EC7">
        <w:rPr>
          <w:lang w:val="en-AU"/>
        </w:rPr>
        <w:t xml:space="preserve">all those who </w:t>
      </w:r>
      <w:r w:rsidR="00111DD1" w:rsidRPr="00851EC7">
        <w:rPr>
          <w:lang w:val="en-AU"/>
        </w:rPr>
        <w:t xml:space="preserve">gave their time to </w:t>
      </w:r>
      <w:r w:rsidR="0017073C" w:rsidRPr="00851EC7">
        <w:rPr>
          <w:lang w:val="en-AU"/>
        </w:rPr>
        <w:t>provide information and comment</w:t>
      </w:r>
      <w:r w:rsidR="00111DD1" w:rsidRPr="00851EC7">
        <w:rPr>
          <w:lang w:val="en-AU"/>
        </w:rPr>
        <w:t xml:space="preserve"> for the APPR</w:t>
      </w:r>
      <w:r w:rsidR="0017073C" w:rsidRPr="00851EC7">
        <w:rPr>
          <w:lang w:val="en-AU"/>
        </w:rPr>
        <w:t>.</w:t>
      </w:r>
      <w:r w:rsidRPr="00851EC7">
        <w:rPr>
          <w:lang w:val="en-AU"/>
        </w:rPr>
        <w:t xml:space="preserve"> </w:t>
      </w:r>
    </w:p>
    <w:p w:rsidR="00111DD1" w:rsidRPr="00851EC7" w:rsidRDefault="00111DD1" w:rsidP="00111DD1">
      <w:pPr>
        <w:spacing w:line="276" w:lineRule="auto"/>
        <w:jc w:val="both"/>
        <w:rPr>
          <w:lang w:val="en-AU"/>
        </w:rPr>
      </w:pPr>
    </w:p>
    <w:p w:rsidR="00045CAA" w:rsidRPr="00851EC7" w:rsidRDefault="00045CAA" w:rsidP="00111DD1">
      <w:pPr>
        <w:spacing w:line="276" w:lineRule="auto"/>
        <w:jc w:val="both"/>
        <w:rPr>
          <w:lang w:val="en-AU"/>
        </w:rPr>
      </w:pPr>
      <w:r w:rsidRPr="00851EC7">
        <w:rPr>
          <w:lang w:val="en-AU"/>
        </w:rPr>
        <w:t xml:space="preserve">POM is fully accountable for </w:t>
      </w:r>
      <w:r w:rsidR="0017073C" w:rsidRPr="00851EC7">
        <w:rPr>
          <w:lang w:val="en-AU"/>
        </w:rPr>
        <w:t>the</w:t>
      </w:r>
      <w:r w:rsidRPr="00851EC7">
        <w:rPr>
          <w:lang w:val="en-AU"/>
        </w:rPr>
        <w:t xml:space="preserve"> content</w:t>
      </w:r>
      <w:r w:rsidR="0017073C" w:rsidRPr="00851EC7">
        <w:rPr>
          <w:lang w:val="en-AU"/>
        </w:rPr>
        <w:t xml:space="preserve"> of this report: t</w:t>
      </w:r>
      <w:r w:rsidRPr="00851EC7">
        <w:rPr>
          <w:lang w:val="en-AU"/>
        </w:rPr>
        <w:t>he views contained in this report do not necessarily represent tho</w:t>
      </w:r>
      <w:r w:rsidR="0017073C" w:rsidRPr="00851EC7">
        <w:rPr>
          <w:lang w:val="en-AU"/>
        </w:rPr>
        <w:t xml:space="preserve">se of the Education Partnership, the Governments of </w:t>
      </w:r>
      <w:r w:rsidR="003159D2" w:rsidRPr="00851EC7">
        <w:rPr>
          <w:lang w:val="en-AU"/>
        </w:rPr>
        <w:t xml:space="preserve">Indonesia or </w:t>
      </w:r>
      <w:r w:rsidR="0017073C" w:rsidRPr="00851EC7">
        <w:rPr>
          <w:lang w:val="en-AU"/>
        </w:rPr>
        <w:t>Australia</w:t>
      </w:r>
      <w:r w:rsidR="00123F1E" w:rsidRPr="00851EC7">
        <w:rPr>
          <w:lang w:val="en-AU"/>
        </w:rPr>
        <w:t>, or</w:t>
      </w:r>
      <w:r w:rsidRPr="00851EC7">
        <w:rPr>
          <w:lang w:val="en-AU"/>
        </w:rPr>
        <w:t xml:space="preserve"> of the people consulted during the fieldwork.</w:t>
      </w:r>
    </w:p>
    <w:p w:rsidR="00045CAA" w:rsidRPr="00851EC7" w:rsidRDefault="00045CAA" w:rsidP="00111DD1">
      <w:pPr>
        <w:spacing w:line="276" w:lineRule="auto"/>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045CAA" w:rsidP="00045CAA">
      <w:pPr>
        <w:rPr>
          <w:lang w:val="en-AU"/>
        </w:rPr>
      </w:pPr>
    </w:p>
    <w:p w:rsidR="00045CAA" w:rsidRPr="00851EC7" w:rsidRDefault="00D23E41" w:rsidP="00B33BC8">
      <w:pPr>
        <w:pStyle w:val="Heading1"/>
        <w:numPr>
          <w:ilvl w:val="0"/>
          <w:numId w:val="0"/>
        </w:numPr>
      </w:pPr>
      <w:bookmarkStart w:id="6" w:name="_Toc372401474"/>
      <w:r w:rsidRPr="00851EC7">
        <w:br w:type="page"/>
      </w:r>
      <w:bookmarkStart w:id="7" w:name="_Toc407779879"/>
      <w:r w:rsidR="00045CAA" w:rsidRPr="00851EC7">
        <w:lastRenderedPageBreak/>
        <w:t>E</w:t>
      </w:r>
      <w:r w:rsidR="00111DD1" w:rsidRPr="00851EC7">
        <w:t>XECUTIVE SUMMARY</w:t>
      </w:r>
      <w:bookmarkEnd w:id="6"/>
      <w:bookmarkEnd w:id="7"/>
    </w:p>
    <w:p w:rsidR="004D3EF0" w:rsidRDefault="004D3EF0" w:rsidP="00AA3473">
      <w:pPr>
        <w:spacing w:before="120" w:after="120" w:line="276" w:lineRule="auto"/>
        <w:jc w:val="both"/>
        <w:rPr>
          <w:rFonts w:eastAsia="Calibri" w:cs="Times New Roman"/>
          <w:b/>
          <w:bCs/>
          <w:i/>
          <w:iCs/>
          <w:color w:val="4F81BD" w:themeColor="accent1"/>
          <w:szCs w:val="24"/>
          <w:lang w:val="en-AU" w:eastAsia="en-AU"/>
        </w:rPr>
      </w:pPr>
    </w:p>
    <w:p w:rsidR="00AA3473" w:rsidRPr="00851EC7" w:rsidRDefault="00AA3473" w:rsidP="00AA3473">
      <w:pPr>
        <w:spacing w:before="12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is the Education Partnership?</w:t>
      </w:r>
    </w:p>
    <w:p w:rsidR="00AA3473" w:rsidRPr="00851EC7" w:rsidRDefault="00AA3473" w:rsidP="00AA3473">
      <w:pPr>
        <w:spacing w:before="120" w:after="120" w:line="276" w:lineRule="auto"/>
        <w:jc w:val="both"/>
        <w:rPr>
          <w:rFonts w:asciiTheme="minorHAnsi" w:eastAsia="Calibri" w:hAnsiTheme="minorHAnsi" w:cstheme="minorHAnsi"/>
          <w:szCs w:val="24"/>
          <w:lang w:val="en-AU" w:eastAsia="en-AU"/>
        </w:rPr>
      </w:pPr>
      <w:r w:rsidRPr="00851EC7">
        <w:rPr>
          <w:rFonts w:eastAsia="Calibri" w:cs="Times New Roman"/>
          <w:szCs w:val="24"/>
          <w:lang w:val="en-AU" w:eastAsia="en-AU"/>
        </w:rPr>
        <w:t xml:space="preserve">The AUD 524m investment in the Education Partnership (EP) is Australia’s largest development initiative in Indonesia. </w:t>
      </w:r>
      <w:r w:rsidRPr="00851EC7">
        <w:rPr>
          <w:rFonts w:asciiTheme="minorHAnsi" w:eastAsia="Calibri" w:hAnsiTheme="minorHAnsi" w:cstheme="minorHAnsi"/>
          <w:szCs w:val="24"/>
          <w:lang w:val="en-AU" w:eastAsia="en-AU"/>
        </w:rPr>
        <w:t xml:space="preserve">Australia is supporting the Government of Indonesia (GoI) to achieve its policy goals in relation to access, quality and governance of basic education. </w:t>
      </w:r>
    </w:p>
    <w:p w:rsidR="00AA3473" w:rsidRPr="00851EC7" w:rsidRDefault="00AA3473" w:rsidP="00AA3473">
      <w:p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The EP’s vision is to improve education service delivery in Indonesia. The EP focuses its effort on the attainment of four End-of-Partnership-Outcomes (EOPOs):</w:t>
      </w:r>
    </w:p>
    <w:p w:rsidR="00AA3473" w:rsidRPr="00851EC7" w:rsidRDefault="00AA3473" w:rsidP="00AA3473">
      <w:pPr>
        <w:numPr>
          <w:ilvl w:val="0"/>
          <w:numId w:val="6"/>
        </w:num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 xml:space="preserve">Enrolment in JSE in participating districts increases (Component 1). </w:t>
      </w:r>
    </w:p>
    <w:p w:rsidR="00AA3473" w:rsidRPr="00851EC7" w:rsidRDefault="00AA3473" w:rsidP="00AA3473">
      <w:pPr>
        <w:numPr>
          <w:ilvl w:val="0"/>
          <w:numId w:val="6"/>
        </w:num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 xml:space="preserve">Management of schools and Madrasah improves in participating districts (Component 2). </w:t>
      </w:r>
    </w:p>
    <w:p w:rsidR="00AA3473" w:rsidRPr="00851EC7" w:rsidRDefault="00AA3473" w:rsidP="00AA3473">
      <w:pPr>
        <w:numPr>
          <w:ilvl w:val="0"/>
          <w:numId w:val="6"/>
        </w:num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Quality of Madrasah service provision improves (in line with National Education Standards) in targeted districts (Component 3).</w:t>
      </w:r>
    </w:p>
    <w:p w:rsidR="00AA3473" w:rsidRPr="00851EC7" w:rsidRDefault="00AA3473" w:rsidP="00AA3473">
      <w:pPr>
        <w:numPr>
          <w:ilvl w:val="0"/>
          <w:numId w:val="6"/>
        </w:num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ACDP evidence is incorporated in relevant education sector policies, regulations, plans and budgets (Component 4).</w:t>
      </w:r>
    </w:p>
    <w:p w:rsidR="00AA3473" w:rsidRPr="00851EC7" w:rsidRDefault="00AA3473" w:rsidP="00AA3473">
      <w:p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These EOPOs describe the highest level of change over which the EP has significant influence. The EP uses various modalities to deliver its support, e.g. earmarked budget support (Components 1 and 2), project delivery (Component 3), and technical assistance to Government of Indonesia (GoI) agencies (Components 1-4). Since late 2013, the majority of expenditure in Components 1 and 2 has been made through government systems.</w:t>
      </w:r>
    </w:p>
    <w:p w:rsidR="00AA3473" w:rsidRPr="00851EC7" w:rsidRDefault="00AA3473" w:rsidP="00AA3473">
      <w:pPr>
        <w:spacing w:before="12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is the APPR?</w:t>
      </w:r>
    </w:p>
    <w:p w:rsidR="00AA3473" w:rsidRPr="00851EC7" w:rsidRDefault="00AA3473" w:rsidP="00AA3473">
      <w:p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 xml:space="preserve">The Annual Partnership Performance Report (APPR) provides an objective assessment of program achievements, weaknesses, opportunities and challenges. As such, it speaks to the Australian Government’s aid scrutiny objectives, whilst also seeking to inform program management decisions and strategic dialogue between the Governments of Australia and of Indonesia about sector performance and emerging priorities. The APPR is produced by the EP Performance Oversight and Monitoring (POM) team. POM’s analysis of EP performance is framed by the OECD DAC criteria of relevance, efficiency, effectiveness, impact, and sustainability. As such, it also complies with the </w:t>
      </w:r>
      <w:r w:rsidRPr="00851EC7">
        <w:rPr>
          <w:bCs/>
          <w:lang w:val="en-AU"/>
        </w:rPr>
        <w:t>DFAT’s earlier Quality Reporting System (QRS) and the upcoming Aid Quality Checks (AQC) system</w:t>
      </w:r>
      <w:r w:rsidRPr="00851EC7">
        <w:rPr>
          <w:rFonts w:asciiTheme="minorHAnsi" w:eastAsia="Calibri" w:hAnsiTheme="minorHAnsi" w:cstheme="minorHAnsi"/>
          <w:szCs w:val="24"/>
          <w:lang w:val="en-AU" w:eastAsia="en-AU"/>
        </w:rPr>
        <w:t xml:space="preserve">. </w:t>
      </w:r>
    </w:p>
    <w:p w:rsidR="00AA3473" w:rsidRPr="00851EC7" w:rsidRDefault="00AA3473" w:rsidP="00AA3473">
      <w:pPr>
        <w:spacing w:before="12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is POM’s overall assessment of EP performance?</w:t>
      </w:r>
    </w:p>
    <w:p w:rsidR="00AD5229" w:rsidRPr="009C4263" w:rsidRDefault="00AA3473" w:rsidP="00AD5229">
      <w:pPr>
        <w:spacing w:line="276" w:lineRule="auto"/>
        <w:jc w:val="both"/>
        <w:rPr>
          <w:rFonts w:eastAsiaTheme="minorEastAsia" w:cs="Arial"/>
          <w:color w:val="222222"/>
          <w:lang w:val="en-AU"/>
        </w:rPr>
      </w:pPr>
      <w:r w:rsidRPr="00851EC7">
        <w:rPr>
          <w:lang w:val="en-AU"/>
        </w:rPr>
        <w:t xml:space="preserve">2014 has been a period of relative uncertainty and considerable change for both institutional partners, brought on by the installation of a new government in Indonesia and the ongoing reorganisation and refocusing of Australia’s aid program. Against that backdrop, this year’s APPR offers a timely assessment of progress to date and an analysis of existing challenges and opportunities. The EP has both the time and the resources available to make a considerable difference to Indonesia’s education sector. </w:t>
      </w:r>
      <w:r w:rsidRPr="00851EC7">
        <w:rPr>
          <w:rFonts w:eastAsia="Calibri" w:cs="Times New Roman"/>
          <w:szCs w:val="24"/>
          <w:lang w:val="en-AU" w:eastAsia="en-AU"/>
        </w:rPr>
        <w:t>POM is encouraged to see that EP interventions remain relevant to the policies and priorities of both governments and/or to the needs of the education sector. Gains have been made to the efficiency of EP delivery in 2014 and, overall, POM has greater optimism about the EP’s likely contribution to the expected EOPOs. Nevertheless, more needs to be done to secure a fitting, lasting legacy to the governments’ investment</w:t>
      </w:r>
      <w:r w:rsidRPr="00851EC7">
        <w:rPr>
          <w:lang w:val="en-AU"/>
        </w:rPr>
        <w:t xml:space="preserve">. The foundations have been </w:t>
      </w:r>
      <w:r w:rsidRPr="00851EC7">
        <w:rPr>
          <w:lang w:val="en-AU"/>
        </w:rPr>
        <w:lastRenderedPageBreak/>
        <w:t>laid; the partners are now obliged to generate optimal returns and to capture, share and apply the lessons accruing from the investment to date.</w:t>
      </w:r>
      <w:r w:rsidR="00AD5229" w:rsidRPr="00AD5229">
        <w:rPr>
          <w:lang w:val="en-AU"/>
        </w:rPr>
        <w:t xml:space="preserve"> </w:t>
      </w:r>
    </w:p>
    <w:p w:rsidR="00AA3473" w:rsidRPr="00851EC7" w:rsidRDefault="00AA3473" w:rsidP="00AA3473">
      <w:pPr>
        <w:spacing w:before="12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did the APPR conclude about Component 1?</w:t>
      </w:r>
    </w:p>
    <w:p w:rsidR="00AA3473" w:rsidRPr="00851EC7" w:rsidRDefault="00AA3473" w:rsidP="00AA3473">
      <w:pPr>
        <w:numPr>
          <w:ilvl w:val="0"/>
          <w:numId w:val="17"/>
        </w:numPr>
        <w:spacing w:before="120" w:after="120" w:line="276" w:lineRule="auto"/>
        <w:contextualSpacing/>
        <w:jc w:val="both"/>
        <w:rPr>
          <w:rFonts w:asciiTheme="minorHAnsi" w:eastAsia="Calibri" w:hAnsiTheme="minorHAnsi" w:cstheme="minorHAnsi"/>
          <w:szCs w:val="24"/>
          <w:lang w:val="en-AU" w:eastAsia="en-AU"/>
        </w:rPr>
      </w:pPr>
      <w:r w:rsidRPr="00851EC7">
        <w:rPr>
          <w:lang w:val="en-AU"/>
        </w:rPr>
        <w:t>By December 2014, 76</w:t>
      </w:r>
      <w:r w:rsidR="00AD5229">
        <w:rPr>
          <w:lang w:val="en-AU"/>
        </w:rPr>
        <w:t>4</w:t>
      </w:r>
      <w:r w:rsidRPr="00851EC7">
        <w:rPr>
          <w:lang w:val="en-AU"/>
        </w:rPr>
        <w:t xml:space="preserve"> schools had been built in 232 districts across 29 of the 34 provinces in Indonesia. These new schools have created a total of 3,</w:t>
      </w:r>
      <w:r w:rsidR="00AD5229">
        <w:rPr>
          <w:lang w:val="en-AU"/>
        </w:rPr>
        <w:t>129</w:t>
      </w:r>
      <w:r w:rsidRPr="00851EC7">
        <w:rPr>
          <w:lang w:val="en-AU"/>
        </w:rPr>
        <w:t xml:space="preserve"> new classrooms</w:t>
      </w:r>
      <w:r w:rsidRPr="00851EC7">
        <w:rPr>
          <w:rFonts w:eastAsiaTheme="minorEastAsia" w:cs="Arial"/>
          <w:color w:val="222222"/>
          <w:lang w:val="en-AU"/>
        </w:rPr>
        <w:t xml:space="preserve"> and </w:t>
      </w:r>
      <w:r w:rsidRPr="00851EC7">
        <w:rPr>
          <w:lang w:val="en-AU"/>
        </w:rPr>
        <w:t xml:space="preserve">an </w:t>
      </w:r>
      <w:r w:rsidRPr="00851EC7">
        <w:rPr>
          <w:rFonts w:asciiTheme="minorHAnsi" w:eastAsia="Calibri" w:hAnsiTheme="minorHAnsi" w:cstheme="minorHAnsi"/>
          <w:szCs w:val="24"/>
          <w:lang w:val="en-AU" w:eastAsia="en-AU"/>
        </w:rPr>
        <w:t>additional 11</w:t>
      </w:r>
      <w:r w:rsidR="003D0A5E">
        <w:rPr>
          <w:rFonts w:asciiTheme="minorHAnsi" w:eastAsia="Calibri" w:hAnsiTheme="minorHAnsi" w:cstheme="minorHAnsi"/>
          <w:szCs w:val="24"/>
          <w:lang w:val="en-AU" w:eastAsia="en-AU"/>
        </w:rPr>
        <w:t>2,644</w:t>
      </w:r>
      <w:r w:rsidRPr="00851EC7">
        <w:rPr>
          <w:rFonts w:asciiTheme="minorHAnsi" w:eastAsia="Calibri" w:hAnsiTheme="minorHAnsi" w:cstheme="minorHAnsi"/>
          <w:szCs w:val="24"/>
          <w:lang w:val="en-AU" w:eastAsia="en-AU"/>
        </w:rPr>
        <w:t xml:space="preserve"> student places. Only three of the 767 schools (</w:t>
      </w:r>
      <w:r w:rsidR="003D0A5E">
        <w:rPr>
          <w:rFonts w:asciiTheme="minorHAnsi" w:eastAsia="Calibri" w:hAnsiTheme="minorHAnsi" w:cstheme="minorHAnsi"/>
          <w:szCs w:val="24"/>
          <w:lang w:val="en-AU" w:eastAsia="en-AU"/>
        </w:rPr>
        <w:t>&lt;</w:t>
      </w:r>
      <w:r w:rsidRPr="00851EC7">
        <w:rPr>
          <w:rFonts w:asciiTheme="minorHAnsi" w:eastAsia="Calibri" w:hAnsiTheme="minorHAnsi" w:cstheme="minorHAnsi"/>
          <w:szCs w:val="24"/>
          <w:lang w:val="en-AU" w:eastAsia="en-AU"/>
        </w:rPr>
        <w:t>0.</w:t>
      </w:r>
      <w:r w:rsidR="003D0A5E">
        <w:rPr>
          <w:rFonts w:asciiTheme="minorHAnsi" w:eastAsia="Calibri" w:hAnsiTheme="minorHAnsi" w:cstheme="minorHAnsi"/>
          <w:szCs w:val="24"/>
          <w:lang w:val="en-AU" w:eastAsia="en-AU"/>
        </w:rPr>
        <w:t>5</w:t>
      </w:r>
      <w:r w:rsidRPr="00851EC7">
        <w:rPr>
          <w:rFonts w:asciiTheme="minorHAnsi" w:eastAsia="Calibri" w:hAnsiTheme="minorHAnsi" w:cstheme="minorHAnsi"/>
          <w:szCs w:val="24"/>
          <w:lang w:val="en-AU" w:eastAsia="en-AU"/>
        </w:rPr>
        <w:t xml:space="preserve">%) foreseen within Cycles 1 and 2 remain incomplete as at December 2014. </w:t>
      </w:r>
      <w:r w:rsidRPr="00851EC7">
        <w:rPr>
          <w:lang w:val="en-AU"/>
        </w:rPr>
        <w:t>At least</w:t>
      </w:r>
      <w:r w:rsidR="00AE4D9F">
        <w:rPr>
          <w:lang w:val="en-AU"/>
        </w:rPr>
        <w:t xml:space="preserve"> 15,000 </w:t>
      </w:r>
      <w:r w:rsidRPr="00851EC7">
        <w:rPr>
          <w:lang w:val="en-AU"/>
        </w:rPr>
        <w:t>students are currently enrolled in EP schools.</w:t>
      </w:r>
    </w:p>
    <w:p w:rsidR="00AA3473" w:rsidRPr="00851EC7" w:rsidRDefault="00AA3473" w:rsidP="00AA3473">
      <w:pPr>
        <w:numPr>
          <w:ilvl w:val="0"/>
          <w:numId w:val="17"/>
        </w:numPr>
        <w:spacing w:before="120" w:after="120" w:line="276" w:lineRule="auto"/>
        <w:contextualSpacing/>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Partners</w:t>
      </w:r>
      <w:r w:rsidRPr="00851EC7">
        <w:rPr>
          <w:rFonts w:eastAsia="Calibri" w:cs="Times New Roman"/>
          <w:szCs w:val="24"/>
          <w:lang w:val="en-AU" w:eastAsia="en-AU"/>
        </w:rPr>
        <w:t xml:space="preserve"> have shown commendable appetite to make incremental improvements to the delivery of C1, as witnessed in the strengthening of key site selection, construction </w:t>
      </w:r>
      <w:r w:rsidRPr="00851EC7">
        <w:rPr>
          <w:rFonts w:asciiTheme="minorHAnsi" w:eastAsia="Calibri" w:hAnsiTheme="minorHAnsi" w:cstheme="minorHAnsi"/>
          <w:szCs w:val="24"/>
          <w:lang w:val="en-AU" w:eastAsia="en-AU"/>
        </w:rPr>
        <w:t>monitoring</w:t>
      </w:r>
      <w:r w:rsidRPr="00851EC7">
        <w:rPr>
          <w:rFonts w:eastAsia="Calibri" w:cs="Times New Roman"/>
          <w:szCs w:val="24"/>
          <w:lang w:val="en-AU" w:eastAsia="en-AU"/>
        </w:rPr>
        <w:t xml:space="preserve"> and site selection processes during 2014. POM believes that C1 will probably achieve EOCO</w:t>
      </w:r>
      <w:r w:rsidR="003465D5">
        <w:rPr>
          <w:rFonts w:eastAsia="Calibri" w:cs="Times New Roman"/>
          <w:szCs w:val="24"/>
          <w:lang w:val="en-AU" w:eastAsia="en-AU"/>
        </w:rPr>
        <w:t xml:space="preserve"> </w:t>
      </w:r>
      <w:r w:rsidRPr="00851EC7">
        <w:rPr>
          <w:rFonts w:eastAsia="Calibri" w:cs="Times New Roman"/>
          <w:szCs w:val="24"/>
          <w:lang w:val="en-AU" w:eastAsia="en-AU"/>
        </w:rPr>
        <w:t>1, i.e. an “increase</w:t>
      </w:r>
      <w:r w:rsidRPr="00851EC7">
        <w:rPr>
          <w:rFonts w:asciiTheme="minorHAnsi" w:eastAsia="Calibri" w:hAnsiTheme="minorHAnsi" w:cstheme="minorHAnsi"/>
          <w:szCs w:val="24"/>
          <w:lang w:val="en-AU" w:eastAsia="en-AU"/>
        </w:rPr>
        <w:t xml:space="preserve"> in availability of places in JSE”. It also has greater confidence in 2014 than in 2013 that the EP investment will make a contribution to the End-of-Partnership-Outcome of increased enrolment, even if the total number of new enrolees (vis-à-vis transferees from existing schools) is unlikely to be known by the end of the EP.</w:t>
      </w:r>
      <w:r w:rsidR="00537938">
        <w:rPr>
          <w:rFonts w:asciiTheme="minorHAnsi" w:eastAsia="Calibri" w:hAnsiTheme="minorHAnsi" w:cstheme="minorHAnsi"/>
          <w:szCs w:val="24"/>
          <w:lang w:val="en-AU" w:eastAsia="en-AU"/>
        </w:rPr>
        <w:t xml:space="preserve"> </w:t>
      </w:r>
    </w:p>
    <w:p w:rsidR="00AA3473" w:rsidRPr="00851EC7" w:rsidRDefault="00AA3473" w:rsidP="00AA3473">
      <w:pPr>
        <w:numPr>
          <w:ilvl w:val="0"/>
          <w:numId w:val="17"/>
        </w:numPr>
        <w:spacing w:before="120" w:after="120" w:line="276" w:lineRule="auto"/>
        <w:contextualSpacing/>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These positives must be considered in light of two concerns:</w:t>
      </w:r>
    </w:p>
    <w:p w:rsidR="00AA3473" w:rsidRPr="00851EC7" w:rsidRDefault="00AA3473" w:rsidP="00AA3473">
      <w:pPr>
        <w:numPr>
          <w:ilvl w:val="1"/>
          <w:numId w:val="17"/>
        </w:numPr>
        <w:spacing w:after="240" w:line="276" w:lineRule="auto"/>
        <w:contextualSpacing/>
        <w:jc w:val="both"/>
        <w:rPr>
          <w:rFonts w:eastAsia="Calibri" w:cs="Times New Roman"/>
          <w:szCs w:val="24"/>
          <w:lang w:val="en-AU" w:eastAsia="en-AU"/>
        </w:rPr>
      </w:pPr>
      <w:r w:rsidRPr="00851EC7">
        <w:rPr>
          <w:rFonts w:eastAsia="Calibri" w:cs="Times New Roman"/>
          <w:szCs w:val="24"/>
          <w:lang w:val="en-AU" w:eastAsia="en-AU"/>
        </w:rPr>
        <w:t>There remains need for C1 to systematically and comprehensively report accurate enrolment figures at all newly built schools so that the return on the EP investment is duly captured.</w:t>
      </w:r>
    </w:p>
    <w:p w:rsidR="00AA3473" w:rsidRPr="00851EC7" w:rsidRDefault="00AA3473" w:rsidP="00AA3473">
      <w:pPr>
        <w:numPr>
          <w:ilvl w:val="1"/>
          <w:numId w:val="17"/>
        </w:numPr>
        <w:spacing w:after="240" w:line="276" w:lineRule="auto"/>
        <w:contextualSpacing/>
        <w:jc w:val="both"/>
        <w:rPr>
          <w:rFonts w:eastAsia="Calibri" w:cs="Times New Roman"/>
          <w:szCs w:val="24"/>
          <w:lang w:val="en-AU" w:eastAsia="en-AU"/>
        </w:rPr>
      </w:pPr>
      <w:r w:rsidRPr="00851EC7">
        <w:rPr>
          <w:rFonts w:eastAsia="Calibri" w:cs="Times New Roman"/>
          <w:szCs w:val="24"/>
          <w:lang w:val="en-AU" w:eastAsia="en-AU"/>
        </w:rPr>
        <w:t xml:space="preserve">The menu of options on offer to district stakeholders remains unnecessarily restrictive, even if partners have recently committed to exploring variants of the 6-classroom model for </w:t>
      </w:r>
      <w:r w:rsidRPr="00851EC7">
        <w:rPr>
          <w:lang w:val="en-AU"/>
        </w:rPr>
        <w:t>new junior secondary schools (USBs)</w:t>
      </w:r>
      <w:r w:rsidRPr="00851EC7">
        <w:rPr>
          <w:rFonts w:eastAsia="Calibri" w:cs="Times New Roman"/>
          <w:szCs w:val="24"/>
          <w:lang w:val="en-AU" w:eastAsia="en-AU"/>
        </w:rPr>
        <w:t>.</w:t>
      </w:r>
    </w:p>
    <w:p w:rsidR="00AA3473" w:rsidRPr="00851EC7" w:rsidRDefault="00AA3473" w:rsidP="00AA3473">
      <w:pPr>
        <w:numPr>
          <w:ilvl w:val="0"/>
          <w:numId w:val="17"/>
        </w:numPr>
        <w:spacing w:before="120" w:after="120" w:line="276" w:lineRule="auto"/>
        <w:contextualSpacing/>
        <w:jc w:val="both"/>
        <w:rPr>
          <w:rFonts w:eastAsia="Calibri" w:cs="Times New Roman"/>
          <w:szCs w:val="24"/>
          <w:lang w:val="en-AU" w:eastAsia="en-AU"/>
        </w:rPr>
      </w:pPr>
      <w:r w:rsidRPr="00851EC7">
        <w:rPr>
          <w:rFonts w:eastAsia="Calibri" w:cs="Times New Roman"/>
          <w:szCs w:val="24"/>
          <w:lang w:val="en-AU" w:eastAsia="en-AU"/>
        </w:rPr>
        <w:t xml:space="preserve">Overall, </w:t>
      </w:r>
      <w:r w:rsidRPr="00851EC7">
        <w:rPr>
          <w:rFonts w:asciiTheme="minorHAnsi" w:eastAsia="Calibri" w:hAnsiTheme="minorHAnsi" w:cstheme="minorHAnsi"/>
          <w:szCs w:val="24"/>
          <w:lang w:val="en-AU" w:eastAsia="en-AU"/>
        </w:rPr>
        <w:t>Component</w:t>
      </w:r>
      <w:r w:rsidRPr="00851EC7">
        <w:rPr>
          <w:rFonts w:eastAsia="Calibri" w:cs="Times New Roman"/>
          <w:szCs w:val="24"/>
          <w:lang w:val="en-AU" w:eastAsia="en-AU"/>
        </w:rPr>
        <w:t xml:space="preserve"> 1 displays excellent and improved efficiency (score: 6), but its relevance (score: 3) </w:t>
      </w:r>
      <w:r w:rsidR="00AE4D9F">
        <w:rPr>
          <w:rFonts w:eastAsia="Calibri" w:cs="Times New Roman"/>
          <w:szCs w:val="24"/>
          <w:lang w:val="en-AU" w:eastAsia="en-AU"/>
        </w:rPr>
        <w:t>is reducing as DFAT’s education priorities shift towards education quality</w:t>
      </w:r>
      <w:r w:rsidRPr="00851EC7">
        <w:rPr>
          <w:rFonts w:eastAsia="Calibri" w:cs="Times New Roman"/>
          <w:szCs w:val="24"/>
          <w:lang w:val="en-AU" w:eastAsia="en-AU"/>
        </w:rPr>
        <w:t>. Its effectiveness and (likely) impact and sustainability are all satisfactory (score: 4).</w:t>
      </w:r>
    </w:p>
    <w:p w:rsidR="00AA3473" w:rsidRPr="00851EC7" w:rsidRDefault="00AA3473" w:rsidP="00A82E11">
      <w:pPr>
        <w:spacing w:before="24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did the APPR conclude about Component 2?</w:t>
      </w:r>
    </w:p>
    <w:p w:rsidR="00AA3473" w:rsidRPr="00851EC7" w:rsidRDefault="00AA3473" w:rsidP="00AA3473">
      <w:pPr>
        <w:numPr>
          <w:ilvl w:val="0"/>
          <w:numId w:val="17"/>
        </w:numPr>
        <w:spacing w:before="120" w:after="120" w:line="276" w:lineRule="auto"/>
        <w:contextualSpacing/>
        <w:jc w:val="both"/>
        <w:rPr>
          <w:bCs/>
          <w:iCs/>
          <w:lang w:val="en-AU"/>
        </w:rPr>
      </w:pPr>
      <w:r w:rsidRPr="00851EC7">
        <w:rPr>
          <w:bCs/>
          <w:iCs/>
          <w:lang w:val="en-AU"/>
        </w:rPr>
        <w:t>Component 2 recorded a number of notable achievements in 2014, the most important being the commencement of ProDEP implementation in July 2014</w:t>
      </w:r>
      <w:r w:rsidRPr="00851EC7">
        <w:rPr>
          <w:rFonts w:asciiTheme="minorHAnsi" w:hAnsiTheme="minorHAnsi"/>
          <w:vertAlign w:val="superscript"/>
          <w:lang w:val="en-AU"/>
        </w:rPr>
        <w:t xml:space="preserve">. </w:t>
      </w:r>
      <w:r w:rsidR="00AE4D9F">
        <w:rPr>
          <w:bCs/>
          <w:iCs/>
          <w:lang w:val="en-AU"/>
        </w:rPr>
        <w:t xml:space="preserve">Over </w:t>
      </w:r>
      <w:r w:rsidRPr="00851EC7">
        <w:rPr>
          <w:bCs/>
          <w:iCs/>
          <w:lang w:val="en-AU"/>
        </w:rPr>
        <w:t>2</w:t>
      </w:r>
      <w:r w:rsidR="00AE4D9F">
        <w:rPr>
          <w:bCs/>
          <w:iCs/>
          <w:lang w:val="en-AU"/>
        </w:rPr>
        <w:t>0</w:t>
      </w:r>
      <w:r w:rsidRPr="00851EC7">
        <w:rPr>
          <w:bCs/>
          <w:iCs/>
          <w:lang w:val="en-AU"/>
        </w:rPr>
        <w:t xml:space="preserve">,000 officials receiving training in 2014, with a reported “satisfaction” rate of 90% i.e. significantly above the 80% required in the Performance Assessment Framework. A further 2,726 officials at 546 schools received training within the New Schools Induction Program. </w:t>
      </w:r>
    </w:p>
    <w:p w:rsidR="00AA3473" w:rsidRDefault="00AA3473" w:rsidP="00AA3473">
      <w:pPr>
        <w:numPr>
          <w:ilvl w:val="0"/>
          <w:numId w:val="17"/>
        </w:numPr>
        <w:spacing w:before="120" w:after="120" w:line="276" w:lineRule="auto"/>
        <w:contextualSpacing/>
        <w:jc w:val="both"/>
        <w:rPr>
          <w:bCs/>
          <w:iCs/>
          <w:lang w:val="en-AU"/>
        </w:rPr>
      </w:pPr>
      <w:r w:rsidRPr="00851EC7">
        <w:rPr>
          <w:bCs/>
          <w:iCs/>
          <w:lang w:val="en-AU"/>
        </w:rPr>
        <w:t xml:space="preserve">The C2 investment remains in line with commitments made by GoI and GoA to support the education quality agenda, and there are strong indications that ProDEP-related indicators will be included in the next MoEC </w:t>
      </w:r>
      <w:r w:rsidR="006D4DD4" w:rsidRPr="006D4DD4">
        <w:rPr>
          <w:bCs/>
          <w:i/>
          <w:iCs/>
          <w:lang w:val="en-AU"/>
        </w:rPr>
        <w:t>Renstra</w:t>
      </w:r>
      <w:r w:rsidRPr="00851EC7">
        <w:rPr>
          <w:bCs/>
          <w:iCs/>
          <w:lang w:val="en-AU"/>
        </w:rPr>
        <w:t>. POM is also encouraged to see that ProDEP activities and approaches are well aligned with the EP’s intention to see participating principals apply their improved professional competencies (EOCO</w:t>
      </w:r>
      <w:r w:rsidR="003465D5">
        <w:rPr>
          <w:bCs/>
          <w:iCs/>
          <w:lang w:val="en-AU"/>
        </w:rPr>
        <w:t xml:space="preserve"> </w:t>
      </w:r>
      <w:r w:rsidRPr="00851EC7">
        <w:rPr>
          <w:bCs/>
          <w:iCs/>
          <w:lang w:val="en-AU"/>
        </w:rPr>
        <w:t>2) and thereby improve the management of schools and madrasah in participating districts (EOPO</w:t>
      </w:r>
      <w:r w:rsidR="003465D5">
        <w:rPr>
          <w:bCs/>
          <w:iCs/>
          <w:lang w:val="en-AU"/>
        </w:rPr>
        <w:t xml:space="preserve"> </w:t>
      </w:r>
      <w:r w:rsidRPr="00851EC7">
        <w:rPr>
          <w:bCs/>
          <w:iCs/>
          <w:lang w:val="en-AU"/>
        </w:rPr>
        <w:t>2). Most ProDEP-related output-level indicators in the Performance Assessment Framework are on track (though the reported low number of Continuous Professional Development participants is a concern).</w:t>
      </w:r>
      <w:r w:rsidR="00537938">
        <w:rPr>
          <w:bCs/>
          <w:iCs/>
          <w:lang w:val="en-AU"/>
        </w:rPr>
        <w:t xml:space="preserve"> </w:t>
      </w:r>
      <w:r w:rsidRPr="00851EC7">
        <w:rPr>
          <w:bCs/>
          <w:iCs/>
          <w:lang w:val="en-AU"/>
        </w:rPr>
        <w:t xml:space="preserve">The delivery of NSIP is highly efficient. </w:t>
      </w:r>
    </w:p>
    <w:p w:rsidR="00A82E11" w:rsidRDefault="00A82E11" w:rsidP="00A82E11">
      <w:pPr>
        <w:spacing w:before="120" w:after="120" w:line="276" w:lineRule="auto"/>
        <w:ind w:left="720"/>
        <w:contextualSpacing/>
        <w:jc w:val="both"/>
        <w:rPr>
          <w:rFonts w:asciiTheme="minorHAnsi" w:eastAsia="Calibri" w:hAnsiTheme="minorHAnsi" w:cstheme="minorHAnsi"/>
          <w:szCs w:val="24"/>
          <w:lang w:val="en-AU" w:eastAsia="en-AU"/>
        </w:rPr>
      </w:pPr>
    </w:p>
    <w:p w:rsidR="00A82E11" w:rsidRDefault="00A82E11" w:rsidP="00A82E11">
      <w:pPr>
        <w:spacing w:before="120" w:after="120" w:line="276" w:lineRule="auto"/>
        <w:ind w:left="720"/>
        <w:contextualSpacing/>
        <w:jc w:val="both"/>
        <w:rPr>
          <w:rFonts w:asciiTheme="minorHAnsi" w:eastAsia="Calibri" w:hAnsiTheme="minorHAnsi" w:cstheme="minorHAnsi"/>
          <w:szCs w:val="24"/>
          <w:lang w:val="en-AU" w:eastAsia="en-AU"/>
        </w:rPr>
      </w:pPr>
    </w:p>
    <w:p w:rsidR="00AA3473" w:rsidRPr="00851EC7" w:rsidRDefault="00AA3473" w:rsidP="00AA3473">
      <w:pPr>
        <w:numPr>
          <w:ilvl w:val="0"/>
          <w:numId w:val="17"/>
        </w:numPr>
        <w:spacing w:before="120" w:after="120" w:line="276" w:lineRule="auto"/>
        <w:contextualSpacing/>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These positives must be considered in light of two concerns:</w:t>
      </w:r>
    </w:p>
    <w:p w:rsidR="00AA3473" w:rsidRPr="00851EC7" w:rsidRDefault="00AA3473" w:rsidP="00AA3473">
      <w:pPr>
        <w:numPr>
          <w:ilvl w:val="1"/>
          <w:numId w:val="17"/>
        </w:numPr>
        <w:spacing w:after="240" w:line="276" w:lineRule="auto"/>
        <w:contextualSpacing/>
        <w:jc w:val="both"/>
        <w:rPr>
          <w:rFonts w:eastAsia="Calibri" w:cs="Times New Roman"/>
          <w:szCs w:val="24"/>
          <w:lang w:val="en-AU" w:eastAsia="en-AU"/>
        </w:rPr>
      </w:pPr>
      <w:r w:rsidRPr="00851EC7">
        <w:rPr>
          <w:rFonts w:eastAsia="Calibri" w:cs="Times New Roman"/>
          <w:szCs w:val="24"/>
          <w:lang w:val="en-AU" w:eastAsia="en-AU"/>
        </w:rPr>
        <w:lastRenderedPageBreak/>
        <w:t>Institutional partners have yet to seek clarity on the avenues by which to achieve the financial sustainability of ProDEP.</w:t>
      </w:r>
    </w:p>
    <w:p w:rsidR="00AA3473" w:rsidRPr="00851EC7" w:rsidRDefault="00AA3473" w:rsidP="00AA3473">
      <w:pPr>
        <w:numPr>
          <w:ilvl w:val="1"/>
          <w:numId w:val="17"/>
        </w:numPr>
        <w:spacing w:after="240" w:line="276" w:lineRule="auto"/>
        <w:contextualSpacing/>
        <w:jc w:val="both"/>
        <w:rPr>
          <w:rFonts w:eastAsia="Calibri" w:cs="Times New Roman"/>
          <w:szCs w:val="24"/>
          <w:lang w:val="en-AU" w:eastAsia="en-AU"/>
        </w:rPr>
      </w:pPr>
      <w:r w:rsidRPr="00851EC7">
        <w:rPr>
          <w:rFonts w:eastAsia="Calibri" w:cs="Times New Roman"/>
          <w:szCs w:val="24"/>
          <w:lang w:val="en-AU" w:eastAsia="en-AU"/>
        </w:rPr>
        <w:t>The content of the Continuous Professional Development Units of Learning do not fully reflect the varying requirements of individual principals in a variety of settings (e.g. large/small schools; rural/urban location; school/madrasah).</w:t>
      </w:r>
    </w:p>
    <w:p w:rsidR="00AA3473" w:rsidRPr="00851EC7" w:rsidRDefault="00AA3473" w:rsidP="00AA3473">
      <w:pPr>
        <w:numPr>
          <w:ilvl w:val="0"/>
          <w:numId w:val="17"/>
        </w:numPr>
        <w:spacing w:after="240" w:line="276" w:lineRule="auto"/>
        <w:contextualSpacing/>
        <w:jc w:val="both"/>
        <w:rPr>
          <w:rFonts w:eastAsia="Calibri" w:cs="Times New Roman"/>
          <w:szCs w:val="24"/>
          <w:lang w:val="en-AU" w:eastAsia="en-AU"/>
        </w:rPr>
      </w:pPr>
      <w:r w:rsidRPr="00851EC7">
        <w:rPr>
          <w:rFonts w:eastAsia="Calibri" w:cs="Times New Roman"/>
          <w:szCs w:val="24"/>
          <w:lang w:val="en-AU" w:eastAsia="en-AU"/>
        </w:rPr>
        <w:t xml:space="preserve">Overall, Component 2 has displayed improved efficiency in 2014 (score: 5) and it remains highly relevant (score: 5). However, increased attention should be paid to measures that will safeguard its effectiveness (score: 3) and its impact and sustainability (score: 4). </w:t>
      </w:r>
    </w:p>
    <w:p w:rsidR="00AA3473" w:rsidRPr="00851EC7" w:rsidRDefault="00AA3473" w:rsidP="00A82E11">
      <w:pPr>
        <w:spacing w:before="36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did the APPR conclude about Component 3?</w:t>
      </w:r>
    </w:p>
    <w:p w:rsidR="00AA3473" w:rsidRPr="00851EC7" w:rsidRDefault="00AA3473" w:rsidP="00AA3473">
      <w:pPr>
        <w:pStyle w:val="ListParagraph"/>
        <w:numPr>
          <w:ilvl w:val="0"/>
          <w:numId w:val="17"/>
        </w:numPr>
        <w:spacing w:before="120" w:after="120"/>
        <w:jc w:val="both"/>
        <w:rPr>
          <w:lang w:val="en-AU"/>
        </w:rPr>
      </w:pPr>
      <w:r w:rsidRPr="00851EC7">
        <w:rPr>
          <w:bCs/>
          <w:lang w:val="en-AU"/>
        </w:rPr>
        <w:t xml:space="preserve">C3 has supported over 2,500 madrasah to date – well above the expected target of 1,500 madrasah. Moreover, from an institutional perspective, there is a growing sense of interest in and commitment to the EP model of support, as witnessed in the </w:t>
      </w:r>
      <w:r w:rsidRPr="00851EC7">
        <w:rPr>
          <w:lang w:val="en-AU"/>
        </w:rPr>
        <w:t xml:space="preserve">draft MDC Regulation and the transference of responsibilities held by MoRA’s </w:t>
      </w:r>
      <w:r w:rsidRPr="00851EC7">
        <w:rPr>
          <w:bCs/>
          <w:lang w:val="en-AU"/>
        </w:rPr>
        <w:t xml:space="preserve">Unit for </w:t>
      </w:r>
      <w:r w:rsidRPr="00851EC7">
        <w:rPr>
          <w:rFonts w:asciiTheme="minorHAnsi" w:hAnsiTheme="minorHAnsi" w:cstheme="minorHAnsi"/>
          <w:bCs/>
          <w:iCs/>
          <w:lang w:val="en-AU"/>
        </w:rPr>
        <w:t xml:space="preserve">Implementing Madrasah Accreditation (UPPAM) </w:t>
      </w:r>
      <w:r w:rsidRPr="00851EC7">
        <w:rPr>
          <w:lang w:val="en-AU"/>
        </w:rPr>
        <w:t xml:space="preserve">to Ministry sub-directorates in 2014. </w:t>
      </w:r>
    </w:p>
    <w:p w:rsidR="00AA3473" w:rsidRPr="00851EC7" w:rsidRDefault="00AA3473" w:rsidP="00AA3473">
      <w:pPr>
        <w:pStyle w:val="ListParagraph"/>
        <w:numPr>
          <w:ilvl w:val="0"/>
          <w:numId w:val="17"/>
        </w:numPr>
        <w:spacing w:before="120" w:after="120"/>
        <w:jc w:val="both"/>
        <w:rPr>
          <w:lang w:val="en-AU"/>
        </w:rPr>
      </w:pPr>
      <w:r w:rsidRPr="00851EC7">
        <w:rPr>
          <w:lang w:val="en-AU"/>
        </w:rPr>
        <w:t>Efficient delivery of C3 activities in 2014 has enabled achievement of EOCO</w:t>
      </w:r>
      <w:r w:rsidR="003465D5">
        <w:rPr>
          <w:lang w:val="en-AU"/>
        </w:rPr>
        <w:t xml:space="preserve"> </w:t>
      </w:r>
      <w:r w:rsidRPr="00851EC7">
        <w:rPr>
          <w:lang w:val="en-AU"/>
        </w:rPr>
        <w:t xml:space="preserve">3.1: </w:t>
      </w:r>
      <w:r w:rsidRPr="00851EC7">
        <w:rPr>
          <w:bCs/>
          <w:i/>
          <w:lang w:val="en-AU"/>
        </w:rPr>
        <w:t>targeted madrasah are ready for accreditation</w:t>
      </w:r>
      <w:r w:rsidRPr="00851EC7">
        <w:rPr>
          <w:lang w:val="en-AU"/>
        </w:rPr>
        <w:t>. Five hundred and nineteen (519) Phase 1 madrasah have been assessed by BAN S/M, with 89% receiving accreditation level of A or B. Fifty-three (53) madrasah made gains of three accreditation levels and 192 madrasah gained two levels. There is also evidence that service provision is improving in both targeted and non-targeted madrasah, though the extent to which this is translating to sustained change in the quality of madrasah education service provision in targeted districts (EOPO3) is currently unknown.</w:t>
      </w:r>
    </w:p>
    <w:p w:rsidR="00AA3473" w:rsidRPr="00851EC7" w:rsidRDefault="00AA3473" w:rsidP="00AA3473">
      <w:pPr>
        <w:pStyle w:val="ListParagraph"/>
        <w:numPr>
          <w:ilvl w:val="0"/>
          <w:numId w:val="17"/>
        </w:numPr>
        <w:spacing w:before="120" w:after="120"/>
        <w:jc w:val="both"/>
        <w:rPr>
          <w:lang w:val="en-AU"/>
        </w:rPr>
      </w:pPr>
      <w:r w:rsidRPr="00851EC7">
        <w:rPr>
          <w:lang w:val="en-AU"/>
        </w:rPr>
        <w:t>These positives</w:t>
      </w:r>
      <w:r w:rsidRPr="00851EC7">
        <w:rPr>
          <w:rFonts w:asciiTheme="minorHAnsi" w:hAnsiTheme="minorHAnsi" w:cstheme="minorHAnsi"/>
          <w:szCs w:val="24"/>
          <w:lang w:val="en-AU" w:eastAsia="en-AU"/>
        </w:rPr>
        <w:t xml:space="preserve"> must be considered in light of two concerns:</w:t>
      </w:r>
    </w:p>
    <w:p w:rsidR="00AA3473" w:rsidRPr="00851EC7" w:rsidRDefault="00AA3473" w:rsidP="00AA3473">
      <w:pPr>
        <w:numPr>
          <w:ilvl w:val="1"/>
          <w:numId w:val="17"/>
        </w:numPr>
        <w:spacing w:after="240" w:line="276" w:lineRule="auto"/>
        <w:contextualSpacing/>
        <w:jc w:val="both"/>
        <w:rPr>
          <w:lang w:val="en-AU"/>
        </w:rPr>
      </w:pPr>
      <w:r w:rsidRPr="00851EC7">
        <w:rPr>
          <w:rFonts w:eastAsia="Calibri" w:cs="Times New Roman"/>
          <w:szCs w:val="24"/>
          <w:lang w:val="en-AU" w:eastAsia="en-AU"/>
        </w:rPr>
        <w:t xml:space="preserve">At </w:t>
      </w:r>
      <w:r w:rsidRPr="00851EC7">
        <w:rPr>
          <w:rFonts w:asciiTheme="minorHAnsi" w:eastAsia="Calibri" w:hAnsiTheme="minorHAnsi" w:cstheme="minorHAnsi"/>
          <w:szCs w:val="24"/>
          <w:lang w:val="en-AU" w:eastAsia="en-AU"/>
        </w:rPr>
        <w:t>the</w:t>
      </w:r>
      <w:r w:rsidRPr="00851EC7">
        <w:rPr>
          <w:rFonts w:eastAsia="Calibri" w:cs="Times New Roman"/>
          <w:szCs w:val="24"/>
          <w:lang w:val="en-AU" w:eastAsia="en-AU"/>
        </w:rPr>
        <w:t xml:space="preserve"> level of individual madrasah, POM is not convinced that the achievement of EOCO</w:t>
      </w:r>
      <w:r w:rsidR="003465D5">
        <w:rPr>
          <w:rFonts w:eastAsia="Calibri" w:cs="Times New Roman"/>
          <w:szCs w:val="24"/>
          <w:lang w:val="en-AU" w:eastAsia="en-AU"/>
        </w:rPr>
        <w:t xml:space="preserve"> </w:t>
      </w:r>
      <w:r w:rsidRPr="00851EC7">
        <w:rPr>
          <w:rFonts w:eastAsia="Calibri" w:cs="Times New Roman"/>
          <w:szCs w:val="24"/>
          <w:lang w:val="en-AU" w:eastAsia="en-AU"/>
        </w:rPr>
        <w:t>3.1, which focuses on accreditation, is necessarily</w:t>
      </w:r>
      <w:r w:rsidRPr="00851EC7">
        <w:rPr>
          <w:lang w:val="en-AU"/>
        </w:rPr>
        <w:t xml:space="preserve"> driving improvements in the quality of education service provision expected at the EOPO level. </w:t>
      </w:r>
    </w:p>
    <w:p w:rsidR="00AA3473" w:rsidRPr="00851EC7" w:rsidRDefault="00AA3473" w:rsidP="00AA3473">
      <w:pPr>
        <w:numPr>
          <w:ilvl w:val="1"/>
          <w:numId w:val="17"/>
        </w:numPr>
        <w:spacing w:after="240" w:line="276" w:lineRule="auto"/>
        <w:contextualSpacing/>
        <w:jc w:val="both"/>
        <w:rPr>
          <w:rFonts w:eastAsia="Calibri" w:cs="Times New Roman"/>
          <w:szCs w:val="24"/>
          <w:lang w:val="en-AU" w:eastAsia="en-AU"/>
        </w:rPr>
      </w:pPr>
      <w:r w:rsidRPr="00851EC7">
        <w:rPr>
          <w:rFonts w:asciiTheme="minorHAnsi" w:eastAsia="Calibri" w:hAnsiTheme="minorHAnsi" w:cstheme="minorHAnsi"/>
          <w:szCs w:val="24"/>
          <w:lang w:val="en-AU" w:eastAsia="en-AU"/>
        </w:rPr>
        <w:t xml:space="preserve">With only </w:t>
      </w:r>
      <w:r w:rsidRPr="00851EC7">
        <w:rPr>
          <w:rFonts w:eastAsia="Calibri" w:cs="Times New Roman"/>
          <w:szCs w:val="24"/>
          <w:lang w:val="en-AU" w:eastAsia="en-AU"/>
        </w:rPr>
        <w:t>limited progress being made with respect to the achievement of EOCO</w:t>
      </w:r>
      <w:r w:rsidR="003465D5">
        <w:rPr>
          <w:rFonts w:eastAsia="Calibri" w:cs="Times New Roman"/>
          <w:szCs w:val="24"/>
          <w:lang w:val="en-AU" w:eastAsia="en-AU"/>
        </w:rPr>
        <w:t xml:space="preserve"> </w:t>
      </w:r>
      <w:r w:rsidRPr="00851EC7">
        <w:rPr>
          <w:rFonts w:eastAsia="Calibri" w:cs="Times New Roman"/>
          <w:szCs w:val="24"/>
          <w:lang w:val="en-AU" w:eastAsia="en-AU"/>
        </w:rPr>
        <w:t xml:space="preserve">3.2 – </w:t>
      </w:r>
      <w:r w:rsidRPr="00851EC7">
        <w:rPr>
          <w:bCs/>
          <w:i/>
          <w:lang w:val="en-AU"/>
        </w:rPr>
        <w:t xml:space="preserve">the system for madrasah quality improvement is strengthened </w:t>
      </w:r>
      <w:r w:rsidRPr="00851EC7">
        <w:rPr>
          <w:bCs/>
          <w:lang w:val="en-AU"/>
        </w:rPr>
        <w:t>– there remains untapped</w:t>
      </w:r>
      <w:r w:rsidRPr="00851EC7">
        <w:rPr>
          <w:rFonts w:eastAsia="Calibri" w:cs="Times New Roman"/>
          <w:szCs w:val="24"/>
          <w:lang w:val="en-AU" w:eastAsia="en-AU"/>
        </w:rPr>
        <w:t xml:space="preserve"> opportunity for the EP to make a significant contribution to strengthening and sustaining the systems necessary to drive improvements in the quality of madrasah service provision in targeted </w:t>
      </w:r>
      <w:r w:rsidRPr="00851EC7">
        <w:rPr>
          <w:rFonts w:eastAsia="Calibri" w:cs="Times New Roman"/>
          <w:i/>
          <w:szCs w:val="24"/>
          <w:lang w:val="en-AU" w:eastAsia="en-AU"/>
        </w:rPr>
        <w:t>districts</w:t>
      </w:r>
      <w:r w:rsidRPr="00851EC7">
        <w:rPr>
          <w:rFonts w:eastAsia="Calibri" w:cs="Times New Roman"/>
          <w:szCs w:val="24"/>
          <w:lang w:val="en-AU" w:eastAsia="en-AU"/>
        </w:rPr>
        <w:t xml:space="preserve"> and at a provincial or even national level.</w:t>
      </w:r>
    </w:p>
    <w:p w:rsidR="00AA3473" w:rsidRPr="00851EC7" w:rsidRDefault="00AA3473" w:rsidP="00AA3473">
      <w:pPr>
        <w:numPr>
          <w:ilvl w:val="0"/>
          <w:numId w:val="17"/>
        </w:numPr>
        <w:spacing w:after="240" w:line="276" w:lineRule="auto"/>
        <w:contextualSpacing/>
        <w:jc w:val="both"/>
        <w:rPr>
          <w:rFonts w:eastAsia="Calibri" w:cs="Times New Roman"/>
          <w:szCs w:val="24"/>
          <w:lang w:val="en-AU" w:eastAsia="en-AU"/>
        </w:rPr>
      </w:pPr>
      <w:r w:rsidRPr="00851EC7">
        <w:rPr>
          <w:rFonts w:eastAsia="Calibri" w:cs="Times New Roman"/>
          <w:szCs w:val="24"/>
          <w:lang w:val="en-AU" w:eastAsia="en-AU"/>
        </w:rPr>
        <w:t>Overall, Component 3 displays commendable and improved relevance (score: 5), but its efficiency has declined in 2014 (score: 4) and there remains significant scope to improve both impact and sustainability (score: 3) and to safeguard its effectiveness (score: 4).</w:t>
      </w:r>
    </w:p>
    <w:p w:rsidR="00AA3473" w:rsidRPr="00851EC7" w:rsidRDefault="00AA3473" w:rsidP="00A82E11">
      <w:pPr>
        <w:keepNext/>
        <w:spacing w:before="36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did the APPR conclude about Component 4?</w:t>
      </w:r>
    </w:p>
    <w:p w:rsidR="00AA3473" w:rsidRPr="00851EC7" w:rsidRDefault="00AA3473" w:rsidP="00AA3473">
      <w:pPr>
        <w:numPr>
          <w:ilvl w:val="0"/>
          <w:numId w:val="17"/>
        </w:numPr>
        <w:spacing w:before="120" w:after="120" w:line="276" w:lineRule="auto"/>
        <w:contextualSpacing/>
        <w:jc w:val="both"/>
        <w:rPr>
          <w:rFonts w:asciiTheme="minorHAnsi" w:hAnsiTheme="minorHAnsi" w:cstheme="minorHAnsi"/>
          <w:lang w:val="en-AU"/>
        </w:rPr>
      </w:pPr>
      <w:r w:rsidRPr="00851EC7">
        <w:rPr>
          <w:rFonts w:asciiTheme="minorHAnsi" w:hAnsiTheme="minorHAnsi" w:cstheme="minorHAnsi"/>
          <w:lang w:val="en-AU"/>
        </w:rPr>
        <w:t xml:space="preserve">ACDP continues to make steady progress. At the beginning of December 2014 it had completed 24 activities in total. A further 13 activities were ongoing. Together, these 37 activities constitute nearly USD 29m of contracted commitments. Notable achievements in 2014 include the delivery of background papers to Bappenas that were used during the preparation of the education chapter of the </w:t>
      </w:r>
      <w:r w:rsidRPr="00851EC7">
        <w:rPr>
          <w:rFonts w:eastAsia="Calibri" w:cs="Times New Roman"/>
          <w:bCs/>
          <w:szCs w:val="24"/>
          <w:lang w:val="en-AU" w:eastAsia="en-AU"/>
        </w:rPr>
        <w:t>upcoming</w:t>
      </w:r>
      <w:r w:rsidRPr="00851EC7">
        <w:rPr>
          <w:rFonts w:asciiTheme="minorHAnsi" w:hAnsiTheme="minorHAnsi" w:cstheme="minorHAnsi"/>
          <w:lang w:val="en-AU"/>
        </w:rPr>
        <w:t xml:space="preserve"> Medium Term Development Plan (RJPMN) for 2014-19, </w:t>
      </w:r>
      <w:r w:rsidRPr="00851EC7">
        <w:rPr>
          <w:lang w:val="en-AU"/>
        </w:rPr>
        <w:t>the preparation of draft strategic plan for Papua Tanah, and delivery of several important studies, including t</w:t>
      </w:r>
      <w:r w:rsidRPr="00851EC7">
        <w:rPr>
          <w:rFonts w:asciiTheme="minorHAnsi" w:hAnsiTheme="minorHAnsi" w:cstheme="minorHAnsi"/>
          <w:lang w:val="en-AU"/>
        </w:rPr>
        <w:t xml:space="preserve">he largest study of teacher absenteeism conducted in the world to date. </w:t>
      </w:r>
    </w:p>
    <w:p w:rsidR="00AA3473" w:rsidRPr="00851EC7" w:rsidRDefault="00AA3473" w:rsidP="00AA3473">
      <w:pPr>
        <w:numPr>
          <w:ilvl w:val="0"/>
          <w:numId w:val="17"/>
        </w:numPr>
        <w:spacing w:before="120" w:after="120" w:line="276" w:lineRule="auto"/>
        <w:contextualSpacing/>
        <w:jc w:val="both"/>
        <w:rPr>
          <w:rFonts w:asciiTheme="minorHAnsi" w:eastAsia="Calibri" w:hAnsiTheme="minorHAnsi" w:cstheme="minorHAnsi"/>
          <w:szCs w:val="24"/>
          <w:lang w:val="en-AU" w:eastAsia="en-AU"/>
        </w:rPr>
      </w:pPr>
      <w:r w:rsidRPr="00851EC7">
        <w:rPr>
          <w:rFonts w:asciiTheme="minorHAnsi" w:hAnsiTheme="minorHAnsi" w:cstheme="minorHAnsi"/>
          <w:lang w:val="en-AU"/>
        </w:rPr>
        <w:lastRenderedPageBreak/>
        <w:t xml:space="preserve">ACDP </w:t>
      </w:r>
      <w:r w:rsidRPr="00851EC7">
        <w:rPr>
          <w:rFonts w:eastAsia="Calibri" w:cs="Times New Roman"/>
          <w:bCs/>
          <w:szCs w:val="24"/>
          <w:lang w:val="en-AU" w:eastAsia="en-AU"/>
        </w:rPr>
        <w:t>continues</w:t>
      </w:r>
      <w:r w:rsidRPr="00851EC7">
        <w:rPr>
          <w:rFonts w:asciiTheme="minorHAnsi" w:hAnsiTheme="minorHAnsi" w:cstheme="minorHAnsi"/>
          <w:lang w:val="en-AU"/>
        </w:rPr>
        <w:t xml:space="preserve"> to demonstrate high levels of external relevance, i.e. to the Governments of Indonesia and Australia. It is in </w:t>
      </w:r>
      <w:r w:rsidRPr="00851EC7">
        <w:rPr>
          <w:rFonts w:asciiTheme="minorHAnsi" w:eastAsia="Calibri" w:hAnsiTheme="minorHAnsi" w:cstheme="minorHAnsi"/>
          <w:szCs w:val="24"/>
          <w:lang w:val="en-AU" w:eastAsia="en-AU"/>
        </w:rPr>
        <w:t>line with GoI policy needs and it is in keeping with DFAT’s commitment to support Knowledge-to-Policy measures. Moreover, there is evidence that the investment is generating pockets of success, with reports of ACDP evidence being both utilised (EOCO</w:t>
      </w:r>
      <w:r w:rsidR="003465D5">
        <w:rPr>
          <w:rFonts w:asciiTheme="minorHAnsi" w:eastAsia="Calibri" w:hAnsiTheme="minorHAnsi" w:cstheme="minorHAnsi"/>
          <w:szCs w:val="24"/>
          <w:lang w:val="en-AU" w:eastAsia="en-AU"/>
        </w:rPr>
        <w:t xml:space="preserve"> </w:t>
      </w:r>
      <w:r w:rsidRPr="00851EC7">
        <w:rPr>
          <w:rFonts w:asciiTheme="minorHAnsi" w:eastAsia="Calibri" w:hAnsiTheme="minorHAnsi" w:cstheme="minorHAnsi"/>
          <w:szCs w:val="24"/>
          <w:lang w:val="en-AU" w:eastAsia="en-AU"/>
        </w:rPr>
        <w:t>4) and then incorporated into key documents and frameworks (EOPO4).</w:t>
      </w:r>
      <w:r w:rsidRPr="00851EC7">
        <w:rPr>
          <w:rFonts w:asciiTheme="minorHAnsi" w:hAnsiTheme="minorHAnsi"/>
          <w:sz w:val="20"/>
          <w:szCs w:val="20"/>
          <w:lang w:val="en-AU"/>
        </w:rPr>
        <w:t xml:space="preserve"> </w:t>
      </w:r>
    </w:p>
    <w:p w:rsidR="00AA3473" w:rsidRPr="00851EC7" w:rsidRDefault="00AA3473" w:rsidP="00AA3473">
      <w:pPr>
        <w:numPr>
          <w:ilvl w:val="0"/>
          <w:numId w:val="17"/>
        </w:numPr>
        <w:spacing w:before="120" w:after="120" w:line="276" w:lineRule="auto"/>
        <w:contextualSpacing/>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These positives must be considered in light of two concerns:</w:t>
      </w:r>
    </w:p>
    <w:p w:rsidR="00AA3473" w:rsidRPr="00851EC7" w:rsidRDefault="00AA3473" w:rsidP="00AA3473">
      <w:pPr>
        <w:numPr>
          <w:ilvl w:val="1"/>
          <w:numId w:val="17"/>
        </w:numPr>
        <w:spacing w:before="120" w:after="120" w:line="276" w:lineRule="auto"/>
        <w:contextualSpacing/>
        <w:jc w:val="both"/>
        <w:rPr>
          <w:rFonts w:eastAsia="Calibri" w:cs="Times New Roman"/>
          <w:szCs w:val="24"/>
          <w:lang w:val="en-AU" w:eastAsia="en-AU"/>
        </w:rPr>
      </w:pPr>
      <w:r w:rsidRPr="00851EC7">
        <w:rPr>
          <w:rFonts w:eastAsia="Calibri" w:cs="Times New Roman"/>
          <w:szCs w:val="24"/>
          <w:lang w:val="en-AU" w:eastAsia="en-AU"/>
        </w:rPr>
        <w:t>There is insufficient evidence of a ‘critical mass’ of reported change at the EOPO level, i.e. of ACDP evidence being incorporated into sector policies, regulations, plans and budgets.</w:t>
      </w:r>
    </w:p>
    <w:p w:rsidR="00AA3473" w:rsidRPr="00851EC7" w:rsidRDefault="00AA3473" w:rsidP="00AA3473">
      <w:pPr>
        <w:numPr>
          <w:ilvl w:val="1"/>
          <w:numId w:val="17"/>
        </w:numPr>
        <w:spacing w:before="120" w:after="120" w:line="276" w:lineRule="auto"/>
        <w:contextualSpacing/>
        <w:jc w:val="both"/>
        <w:rPr>
          <w:rFonts w:eastAsia="Calibri" w:cs="Times New Roman"/>
          <w:szCs w:val="24"/>
          <w:lang w:val="en-AU" w:eastAsia="en-AU"/>
        </w:rPr>
      </w:pPr>
      <w:r w:rsidRPr="00851EC7">
        <w:rPr>
          <w:rFonts w:eastAsia="Calibri" w:cs="Times New Roman"/>
          <w:szCs w:val="24"/>
          <w:lang w:val="en-AU" w:eastAsia="en-AU"/>
        </w:rPr>
        <w:t>Whilst sustainability was not foreseen within the design of ACDP, the lack of discussion about any expected institutional legacy represents a missed opportunity to generate a better return on the USD 50m investment.</w:t>
      </w:r>
    </w:p>
    <w:p w:rsidR="00AA3473" w:rsidRPr="00851EC7" w:rsidRDefault="00AA3473" w:rsidP="00AA3473">
      <w:pPr>
        <w:numPr>
          <w:ilvl w:val="0"/>
          <w:numId w:val="9"/>
        </w:numPr>
        <w:spacing w:before="120" w:after="120" w:line="276" w:lineRule="auto"/>
        <w:contextualSpacing/>
        <w:jc w:val="both"/>
        <w:rPr>
          <w:rFonts w:eastAsia="Calibri" w:cs="Times New Roman"/>
          <w:szCs w:val="24"/>
          <w:lang w:val="en-AU" w:eastAsia="en-AU"/>
        </w:rPr>
      </w:pPr>
      <w:r w:rsidRPr="00851EC7">
        <w:rPr>
          <w:rFonts w:asciiTheme="minorHAnsi" w:eastAsia="Calibri" w:hAnsiTheme="minorHAnsi" w:cstheme="minorHAnsi"/>
          <w:szCs w:val="24"/>
          <w:lang w:val="en-AU" w:eastAsia="en-AU"/>
        </w:rPr>
        <w:t>Overall</w:t>
      </w:r>
      <w:r w:rsidRPr="00851EC7">
        <w:rPr>
          <w:rFonts w:eastAsia="Calibri" w:cs="Times New Roman"/>
          <w:szCs w:val="24"/>
          <w:lang w:val="en-AU" w:eastAsia="en-AU"/>
        </w:rPr>
        <w:t>, whilst Component 4 remains relevant (score: 4), there remains significant scope to improve efficiency and impact (score: 3) and to actively promote sustainability (score: 2). Further effort should be made to cement its effectiveness (score: 4).</w:t>
      </w:r>
    </w:p>
    <w:p w:rsidR="00AA3473" w:rsidRPr="00851EC7" w:rsidRDefault="00AA3473" w:rsidP="00A82E11">
      <w:pPr>
        <w:spacing w:before="36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did the APPR conclude about program oversight?</w:t>
      </w:r>
    </w:p>
    <w:p w:rsidR="00AA3473" w:rsidRPr="00851EC7" w:rsidRDefault="00AA3473" w:rsidP="00AA3473">
      <w:pPr>
        <w:numPr>
          <w:ilvl w:val="0"/>
          <w:numId w:val="9"/>
        </w:numPr>
        <w:spacing w:before="120" w:after="120" w:line="276" w:lineRule="auto"/>
        <w:contextualSpacing/>
        <w:jc w:val="both"/>
        <w:rPr>
          <w:rFonts w:eastAsia="Calibri" w:cs="Times New Roman"/>
          <w:szCs w:val="24"/>
          <w:lang w:val="en-AU" w:eastAsia="en-AU"/>
        </w:rPr>
      </w:pPr>
      <w:r w:rsidRPr="00851EC7">
        <w:rPr>
          <w:rFonts w:asciiTheme="minorHAnsi" w:hAnsiTheme="minorHAnsi"/>
          <w:lang w:val="en-AU"/>
        </w:rPr>
        <w:t>Implementing and institutional partners have demonstrated a strong commitment to the timely, responsive and prudent delivery of program outputs, and an increased commitment to achieve the EOCOs. It is also apparent that the degree and nature of strategic or transformational engagement between institutional partners has improved in 2014. This must continue. Strong strategic engagement will translate, through the provision of clear, strategic direction to implementing partners, into an increased contribution to EOPOs</w:t>
      </w:r>
      <w:r w:rsidRPr="00851EC7">
        <w:rPr>
          <w:rFonts w:eastAsia="Calibri" w:cs="Times New Roman"/>
          <w:szCs w:val="24"/>
          <w:lang w:val="en-AU" w:eastAsia="en-AU"/>
        </w:rPr>
        <w:t xml:space="preserve"> and, hence, program effectiveness and impact. </w:t>
      </w:r>
    </w:p>
    <w:p w:rsidR="00AA3473" w:rsidRPr="00851EC7" w:rsidRDefault="00AA3473" w:rsidP="00AA3473">
      <w:pPr>
        <w:numPr>
          <w:ilvl w:val="0"/>
          <w:numId w:val="9"/>
        </w:numPr>
        <w:spacing w:before="120" w:after="120" w:line="276" w:lineRule="auto"/>
        <w:contextualSpacing/>
        <w:jc w:val="both"/>
        <w:rPr>
          <w:rFonts w:eastAsia="Calibri" w:cs="Times New Roman"/>
          <w:szCs w:val="24"/>
          <w:lang w:val="en-AU" w:eastAsia="en-AU"/>
        </w:rPr>
      </w:pPr>
      <w:r w:rsidRPr="00851EC7">
        <w:rPr>
          <w:rFonts w:eastAsia="Calibri" w:cs="Times New Roman"/>
          <w:szCs w:val="24"/>
          <w:lang w:val="en-AU" w:eastAsia="en-AU"/>
        </w:rPr>
        <w:t xml:space="preserve">Relationships between the managers and the implementing agencies are strong and parties should take credit for the incremental adjustments and improvements that have characterized program implementation. In particular, implementation of the School Systems and Quality (SSQ) contract has been typified by adaptive management, which has contributed to greater efficiency and improved prospects for effectiveness. </w:t>
      </w:r>
    </w:p>
    <w:p w:rsidR="00AA3473" w:rsidRPr="00851EC7" w:rsidRDefault="00AA3473" w:rsidP="00AA3473">
      <w:pPr>
        <w:numPr>
          <w:ilvl w:val="0"/>
          <w:numId w:val="9"/>
        </w:numPr>
        <w:spacing w:before="120" w:after="120" w:line="276" w:lineRule="auto"/>
        <w:contextualSpacing/>
        <w:jc w:val="both"/>
        <w:rPr>
          <w:rFonts w:eastAsia="Calibri" w:cs="Times New Roman"/>
          <w:szCs w:val="24"/>
          <w:lang w:val="en-AU" w:eastAsia="en-AU"/>
        </w:rPr>
      </w:pPr>
      <w:r w:rsidRPr="00851EC7">
        <w:rPr>
          <w:rFonts w:eastAsia="Calibri" w:cs="Times New Roman"/>
          <w:szCs w:val="24"/>
          <w:lang w:val="en-AU" w:eastAsia="en-AU"/>
        </w:rPr>
        <w:t>There remains the need for the institutional partners to ensure that the EP is in line with the governments’</w:t>
      </w:r>
      <w:r w:rsidRPr="00851EC7">
        <w:rPr>
          <w:lang w:val="en-AU"/>
        </w:rPr>
        <w:t xml:space="preserve"> overarching development aspirations. On one level this requires due consideration and promotion of the ‘traditional’ (and important) development principles of sustainability and capacity building. On another level it requires due consideration and alignment with the ’new aid paradigm’ and its promotion of, </w:t>
      </w:r>
      <w:r w:rsidRPr="00851EC7">
        <w:rPr>
          <w:i/>
          <w:lang w:val="en-AU"/>
        </w:rPr>
        <w:t>inter alia</w:t>
      </w:r>
      <w:r w:rsidRPr="00851EC7">
        <w:rPr>
          <w:lang w:val="en-AU"/>
        </w:rPr>
        <w:t xml:space="preserve">, value for money, private sector engagement and combatting corruption. Against that backdrop, POM notes the ongoing </w:t>
      </w:r>
      <w:r w:rsidRPr="00851EC7">
        <w:rPr>
          <w:rFonts w:eastAsia="Calibri" w:cs="Times New Roman"/>
          <w:szCs w:val="24"/>
          <w:lang w:val="en-AU" w:eastAsia="en-AU"/>
        </w:rPr>
        <w:t xml:space="preserve">absence of social inclusion and value for money strategies or frameworks, potentially at the expense of securing optimal developmental returns. </w:t>
      </w:r>
    </w:p>
    <w:p w:rsidR="00AA3473" w:rsidRPr="00851EC7" w:rsidRDefault="00AA3473" w:rsidP="00AA3473">
      <w:pPr>
        <w:numPr>
          <w:ilvl w:val="0"/>
          <w:numId w:val="9"/>
        </w:numPr>
        <w:spacing w:before="120" w:after="120" w:line="276" w:lineRule="auto"/>
        <w:contextualSpacing/>
        <w:jc w:val="both"/>
        <w:rPr>
          <w:rFonts w:asciiTheme="minorHAnsi" w:hAnsiTheme="minorHAnsi"/>
          <w:lang w:val="en-AU"/>
        </w:rPr>
      </w:pPr>
      <w:r w:rsidRPr="00851EC7">
        <w:rPr>
          <w:rFonts w:asciiTheme="minorHAnsi" w:hAnsiTheme="minorHAnsi"/>
          <w:lang w:val="en-AU"/>
        </w:rPr>
        <w:t>With consider</w:t>
      </w:r>
      <w:r w:rsidRPr="00851EC7">
        <w:rPr>
          <w:rFonts w:eastAsia="Calibri" w:cs="Times New Roman"/>
          <w:szCs w:val="24"/>
          <w:lang w:val="en-AU" w:eastAsia="en-AU"/>
        </w:rPr>
        <w:t>able time left on the EP and an estimated AUD 250</w:t>
      </w:r>
      <w:r w:rsidR="00537938">
        <w:rPr>
          <w:rFonts w:eastAsia="Calibri" w:cs="Times New Roman"/>
          <w:szCs w:val="24"/>
          <w:lang w:val="en-AU" w:eastAsia="en-AU"/>
        </w:rPr>
        <w:t>m</w:t>
      </w:r>
      <w:r w:rsidRPr="00851EC7">
        <w:rPr>
          <w:rFonts w:eastAsia="Calibri" w:cs="Times New Roman"/>
          <w:szCs w:val="24"/>
          <w:lang w:val="en-AU" w:eastAsia="en-AU"/>
        </w:rPr>
        <w:t xml:space="preserve"> to be committed, challenges must be tackled and opportunities must be grasped. Of particular note is the need for the partners to resolve the </w:t>
      </w:r>
      <w:r w:rsidRPr="00851EC7">
        <w:rPr>
          <w:rFonts w:asciiTheme="minorHAnsi" w:hAnsiTheme="minorHAnsi"/>
          <w:lang w:val="en-AU"/>
        </w:rPr>
        <w:t xml:space="preserve">affordability, means and/or appetite to sustain a range of EP-supported initiatives, not least of which is ProDEP. Equally, it is incumbent on the partners to clarify their respective expectations in relation to several outstanding matters, including the extent and mechanisms for MoRA’s engagement in the management of ProDEP and the future participation of madrasah principals in CPD (C2), and the nature and degree </w:t>
      </w:r>
      <w:r w:rsidRPr="00851EC7">
        <w:rPr>
          <w:rFonts w:asciiTheme="minorHAnsi" w:hAnsiTheme="minorHAnsi"/>
          <w:lang w:val="en-AU"/>
        </w:rPr>
        <w:lastRenderedPageBreak/>
        <w:t xml:space="preserve">of expected results accruing from ACDP and the role of ACDP in the pursuit of those results (C4). </w:t>
      </w:r>
    </w:p>
    <w:p w:rsidR="00AA3473" w:rsidRPr="00851EC7" w:rsidRDefault="00AA3473" w:rsidP="00A82E11">
      <w:pPr>
        <w:spacing w:before="360" w:after="120" w:line="276" w:lineRule="auto"/>
        <w:jc w:val="both"/>
        <w:rPr>
          <w:rFonts w:eastAsia="Calibri" w:cs="Times New Roman"/>
          <w:b/>
          <w:bCs/>
          <w:i/>
          <w:iCs/>
          <w:color w:val="4F81BD" w:themeColor="accent1"/>
          <w:szCs w:val="24"/>
          <w:lang w:val="en-AU" w:eastAsia="en-AU"/>
        </w:rPr>
      </w:pPr>
      <w:r w:rsidRPr="00851EC7">
        <w:rPr>
          <w:rFonts w:eastAsia="Calibri" w:cs="Times New Roman"/>
          <w:b/>
          <w:bCs/>
          <w:i/>
          <w:iCs/>
          <w:color w:val="4F81BD" w:themeColor="accent1"/>
          <w:szCs w:val="24"/>
          <w:lang w:val="en-AU" w:eastAsia="en-AU"/>
        </w:rPr>
        <w:t>What next steps are proposed?</w:t>
      </w:r>
    </w:p>
    <w:p w:rsidR="0024509E" w:rsidRPr="00851EC7" w:rsidRDefault="00AA3473" w:rsidP="00AA3473">
      <w:pPr>
        <w:rPr>
          <w:lang w:val="en-AU"/>
        </w:rPr>
        <w:sectPr w:rsidR="0024509E" w:rsidRPr="00851EC7" w:rsidSect="00045CAA">
          <w:footnotePr>
            <w:numRestart w:val="eachSect"/>
          </w:footnotePr>
          <w:endnotePr>
            <w:numRestart w:val="eachSect"/>
          </w:endnotePr>
          <w:type w:val="oddPage"/>
          <w:pgSz w:w="11909" w:h="16834" w:code="9"/>
          <w:pgMar w:top="1440" w:right="1440" w:bottom="1440" w:left="1440" w:header="432" w:footer="720" w:gutter="0"/>
          <w:pgNumType w:fmt="lowerRoman"/>
          <w:cols w:space="720"/>
          <w:docGrid w:linePitch="360"/>
        </w:sectPr>
      </w:pPr>
      <w:r w:rsidRPr="00851EC7">
        <w:rPr>
          <w:rFonts w:eastAsia="Calibri" w:cs="Times New Roman"/>
          <w:szCs w:val="24"/>
          <w:lang w:val="en-AU" w:eastAsia="en-AU"/>
        </w:rPr>
        <w:t xml:space="preserve">Based on its findings, the APPR offers a </w:t>
      </w:r>
      <w:r w:rsidRPr="00123F1E">
        <w:rPr>
          <w:rFonts w:eastAsia="Calibri" w:cs="Times New Roman"/>
          <w:szCs w:val="24"/>
          <w:lang w:val="en-AU" w:eastAsia="en-AU"/>
        </w:rPr>
        <w:t xml:space="preserve">total of </w:t>
      </w:r>
      <w:r w:rsidR="00123F1E" w:rsidRPr="00123F1E">
        <w:rPr>
          <w:rFonts w:eastAsia="Calibri" w:cs="Times New Roman"/>
          <w:szCs w:val="24"/>
          <w:lang w:val="en-AU" w:eastAsia="en-AU"/>
        </w:rPr>
        <w:t>28</w:t>
      </w:r>
      <w:r w:rsidRPr="00123F1E">
        <w:rPr>
          <w:rFonts w:eastAsia="Calibri" w:cs="Times New Roman"/>
          <w:szCs w:val="24"/>
          <w:lang w:val="en-AU" w:eastAsia="en-AU"/>
        </w:rPr>
        <w:t xml:space="preserve"> recommendations</w:t>
      </w:r>
      <w:r w:rsidRPr="00851EC7">
        <w:rPr>
          <w:rFonts w:eastAsia="Calibri" w:cs="Times New Roman"/>
          <w:szCs w:val="24"/>
          <w:lang w:val="en-AU" w:eastAsia="en-AU"/>
        </w:rPr>
        <w:t>. These are presented over the page.</w:t>
      </w:r>
    </w:p>
    <w:p w:rsidR="00123F1E" w:rsidRDefault="0024509E" w:rsidP="00123F1E">
      <w:pPr>
        <w:rPr>
          <w:rStyle w:val="IntenseEmphasis"/>
          <w:lang w:val="en-AU"/>
        </w:rPr>
      </w:pPr>
      <w:r w:rsidRPr="00851EC7">
        <w:rPr>
          <w:rStyle w:val="IntenseEmphasis"/>
          <w:lang w:val="en-AU"/>
        </w:rPr>
        <w:lastRenderedPageBreak/>
        <w:t>Key recommendations</w:t>
      </w:r>
    </w:p>
    <w:p w:rsidR="00123F1E" w:rsidRPr="00851EC7" w:rsidRDefault="00123F1E" w:rsidP="00123F1E">
      <w:pPr>
        <w:rPr>
          <w:i/>
          <w:lang w:val="en-AU"/>
        </w:rPr>
      </w:pPr>
    </w:p>
    <w:tbl>
      <w:tblPr>
        <w:tblStyle w:val="TableGrid37"/>
        <w:tblW w:w="5001" w:type="pct"/>
        <w:tblLayout w:type="fixed"/>
        <w:tblLook w:val="04A0" w:firstRow="1" w:lastRow="0" w:firstColumn="1" w:lastColumn="0" w:noHBand="0" w:noVBand="1"/>
      </w:tblPr>
      <w:tblGrid>
        <w:gridCol w:w="10032"/>
        <w:gridCol w:w="992"/>
        <w:gridCol w:w="3149"/>
      </w:tblGrid>
      <w:tr w:rsidR="00123F1E" w:rsidRPr="00123F1E" w:rsidTr="00D52465">
        <w:trPr>
          <w:trHeight w:val="567"/>
          <w:tblHeader/>
        </w:trPr>
        <w:tc>
          <w:tcPr>
            <w:tcW w:w="3539" w:type="pct"/>
            <w:tcBorders>
              <w:bottom w:val="single" w:sz="4" w:space="0" w:color="auto"/>
            </w:tcBorders>
            <w:shd w:val="clear" w:color="auto" w:fill="1F497D" w:themeFill="text2"/>
            <w:vAlign w:val="center"/>
          </w:tcPr>
          <w:p w:rsidR="00123F1E" w:rsidRPr="00123F1E" w:rsidRDefault="00123F1E" w:rsidP="00123F1E">
            <w:pPr>
              <w:spacing w:before="120" w:after="120"/>
              <w:jc w:val="center"/>
              <w:rPr>
                <w:b/>
                <w:color w:val="FFFFFF" w:themeColor="background1"/>
                <w:lang w:val="en-AU"/>
              </w:rPr>
            </w:pPr>
            <w:r w:rsidRPr="00123F1E">
              <w:rPr>
                <w:b/>
                <w:color w:val="FFFFFF" w:themeColor="background1"/>
                <w:lang w:val="en-AU"/>
              </w:rPr>
              <w:t>Recommendations</w:t>
            </w:r>
          </w:p>
        </w:tc>
        <w:tc>
          <w:tcPr>
            <w:tcW w:w="350" w:type="pct"/>
            <w:tcBorders>
              <w:bottom w:val="single" w:sz="4" w:space="0" w:color="auto"/>
            </w:tcBorders>
            <w:shd w:val="clear" w:color="auto" w:fill="1F497D" w:themeFill="text2"/>
            <w:vAlign w:val="center"/>
          </w:tcPr>
          <w:p w:rsidR="00123F1E" w:rsidRPr="00123F1E" w:rsidRDefault="00123F1E" w:rsidP="00123F1E">
            <w:pPr>
              <w:spacing w:before="120" w:after="120"/>
              <w:jc w:val="center"/>
              <w:rPr>
                <w:b/>
                <w:color w:val="FFFFFF" w:themeColor="background1"/>
                <w:lang w:val="en-AU"/>
              </w:rPr>
            </w:pPr>
            <w:r w:rsidRPr="00123F1E">
              <w:rPr>
                <w:b/>
                <w:color w:val="FFFFFF" w:themeColor="background1"/>
                <w:lang w:val="en-AU"/>
              </w:rPr>
              <w:t>Level of urgency</w:t>
            </w:r>
          </w:p>
        </w:tc>
        <w:tc>
          <w:tcPr>
            <w:tcW w:w="1111" w:type="pct"/>
            <w:tcBorders>
              <w:bottom w:val="single" w:sz="4" w:space="0" w:color="auto"/>
            </w:tcBorders>
            <w:shd w:val="clear" w:color="auto" w:fill="1F497D" w:themeFill="text2"/>
            <w:vAlign w:val="center"/>
          </w:tcPr>
          <w:p w:rsidR="00123F1E" w:rsidRPr="00123F1E" w:rsidRDefault="00123F1E" w:rsidP="00123F1E">
            <w:pPr>
              <w:spacing w:before="120" w:after="120"/>
              <w:jc w:val="center"/>
              <w:rPr>
                <w:b/>
                <w:color w:val="FFFFFF" w:themeColor="background1"/>
                <w:lang w:val="en-AU"/>
              </w:rPr>
            </w:pPr>
            <w:r w:rsidRPr="00123F1E">
              <w:rPr>
                <w:b/>
                <w:color w:val="FFFFFF" w:themeColor="background1"/>
                <w:lang w:val="en-AU"/>
              </w:rPr>
              <w:t>Prime Responsibility</w:t>
            </w:r>
          </w:p>
        </w:tc>
      </w:tr>
      <w:tr w:rsidR="00123F1E" w:rsidRPr="00123F1E" w:rsidTr="00D52465">
        <w:trPr>
          <w:trHeight w:val="567"/>
        </w:trPr>
        <w:tc>
          <w:tcPr>
            <w:tcW w:w="5000" w:type="pct"/>
            <w:gridSpan w:val="3"/>
            <w:shd w:val="clear" w:color="auto" w:fill="DBE5F1" w:themeFill="accent1" w:themeFillTint="33"/>
            <w:vAlign w:val="center"/>
          </w:tcPr>
          <w:p w:rsidR="00123F1E" w:rsidRPr="00123F1E" w:rsidRDefault="00123F1E" w:rsidP="00123F1E">
            <w:pPr>
              <w:spacing w:before="120" w:after="120"/>
              <w:jc w:val="center"/>
              <w:rPr>
                <w:lang w:val="en-AU"/>
              </w:rPr>
            </w:pPr>
            <w:r w:rsidRPr="00123F1E">
              <w:rPr>
                <w:b/>
                <w:lang w:val="en-AU"/>
              </w:rPr>
              <w:t>Component 1</w:t>
            </w:r>
          </w:p>
        </w:tc>
      </w:tr>
      <w:tr w:rsidR="00123F1E" w:rsidRPr="00123F1E" w:rsidTr="00D52465">
        <w:trPr>
          <w:trHeight w:val="498"/>
        </w:trPr>
        <w:tc>
          <w:tcPr>
            <w:tcW w:w="3539" w:type="pct"/>
            <w:vAlign w:val="center"/>
          </w:tcPr>
          <w:p w:rsidR="00123F1E" w:rsidRPr="00123F1E" w:rsidRDefault="00123F1E" w:rsidP="009F3B13">
            <w:pPr>
              <w:spacing w:line="276" w:lineRule="auto"/>
              <w:ind w:left="459" w:hanging="448"/>
              <w:rPr>
                <w:lang w:val="en-AU"/>
              </w:rPr>
            </w:pPr>
            <w:r w:rsidRPr="00123F1E">
              <w:rPr>
                <w:lang w:val="en-AU"/>
              </w:rPr>
              <w:t>R1:</w:t>
            </w:r>
            <w:r w:rsidRPr="00123F1E">
              <w:rPr>
                <w:lang w:val="en-AU"/>
              </w:rPr>
              <w:tab/>
              <w:t>Institutional partners, with the support of SSQ, should identify which C1 systems and processes have the greatest potential to be sustained (adopted ‘as is’ or adapted to fit) (refer to §2.4.2).</w:t>
            </w:r>
          </w:p>
        </w:tc>
        <w:tc>
          <w:tcPr>
            <w:tcW w:w="350" w:type="pct"/>
            <w:tcBorders>
              <w:bottom w:val="single" w:sz="4" w:space="0" w:color="auto"/>
            </w:tcBorders>
            <w:shd w:val="clear" w:color="auto" w:fill="FF000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459" w:hanging="448"/>
              <w:rPr>
                <w:lang w:val="en-AU"/>
              </w:rPr>
            </w:pPr>
            <w:r w:rsidRPr="00123F1E">
              <w:rPr>
                <w:lang w:val="en-AU"/>
              </w:rPr>
              <w:t>MoEC (with SSQ support)</w:t>
            </w:r>
          </w:p>
        </w:tc>
      </w:tr>
      <w:tr w:rsidR="00123F1E" w:rsidRPr="00123F1E" w:rsidTr="00D52465">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R2:</w:t>
            </w:r>
            <w:r w:rsidRPr="00123F1E">
              <w:rPr>
                <w:lang w:val="en-AU"/>
              </w:rPr>
              <w:tab/>
              <w:t>Institutional partners should consider the commissioning of supplementary analyses of the key success factors for sustainability, including appraisal of approaches to and lessons learned during the implementation of similar activities (refer to §2.4.2).</w:t>
            </w:r>
          </w:p>
        </w:tc>
        <w:tc>
          <w:tcPr>
            <w:tcW w:w="350" w:type="pct"/>
            <w:tcBorders>
              <w:bottom w:val="single" w:sz="4" w:space="0" w:color="auto"/>
            </w:tcBorders>
            <w:shd w:val="clear" w:color="auto" w:fill="FFC00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459" w:hanging="448"/>
              <w:rPr>
                <w:lang w:val="en-AU"/>
              </w:rPr>
            </w:pPr>
            <w:r w:rsidRPr="00123F1E">
              <w:rPr>
                <w:lang w:val="en-AU"/>
              </w:rPr>
              <w:t>MoEC (with SSQ support)</w:t>
            </w:r>
          </w:p>
        </w:tc>
      </w:tr>
      <w:tr w:rsidR="00123F1E" w:rsidRPr="00123F1E" w:rsidTr="00D52465">
        <w:trPr>
          <w:trHeight w:val="738"/>
        </w:trPr>
        <w:tc>
          <w:tcPr>
            <w:tcW w:w="3539" w:type="pct"/>
            <w:vAlign w:val="center"/>
          </w:tcPr>
          <w:p w:rsidR="00123F1E" w:rsidRPr="00123F1E" w:rsidRDefault="00123F1E" w:rsidP="009F3B13">
            <w:pPr>
              <w:spacing w:line="276" w:lineRule="auto"/>
              <w:ind w:left="459" w:hanging="448"/>
              <w:rPr>
                <w:lang w:val="en-AU"/>
              </w:rPr>
            </w:pPr>
            <w:r w:rsidRPr="00123F1E">
              <w:rPr>
                <w:lang w:val="en-AU"/>
              </w:rPr>
              <w:t xml:space="preserve">R3: </w:t>
            </w:r>
            <w:r w:rsidRPr="00123F1E">
              <w:rPr>
                <w:lang w:val="en-AU"/>
              </w:rPr>
              <w:tab/>
              <w:t>Accurate enrolment figures of all newly built schools should be systematically and comprehensively reported (refer §2.4.3).</w:t>
            </w:r>
          </w:p>
        </w:tc>
        <w:tc>
          <w:tcPr>
            <w:tcW w:w="350" w:type="pct"/>
            <w:tcBorders>
              <w:bottom w:val="single" w:sz="4" w:space="0" w:color="auto"/>
            </w:tcBorders>
            <w:shd w:val="clear" w:color="auto" w:fill="FFC00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459" w:hanging="448"/>
              <w:rPr>
                <w:lang w:val="en-AU"/>
              </w:rPr>
            </w:pPr>
            <w:r w:rsidRPr="00123F1E">
              <w:rPr>
                <w:lang w:val="en-AU"/>
              </w:rPr>
              <w:t>MoEC (with SSQ support)</w:t>
            </w:r>
          </w:p>
        </w:tc>
      </w:tr>
      <w:tr w:rsidR="00123F1E" w:rsidRPr="00123F1E" w:rsidTr="00D52465">
        <w:trPr>
          <w:trHeight w:val="738"/>
        </w:trPr>
        <w:tc>
          <w:tcPr>
            <w:tcW w:w="3539" w:type="pct"/>
            <w:vAlign w:val="center"/>
          </w:tcPr>
          <w:p w:rsidR="00123F1E" w:rsidRPr="00123F1E" w:rsidRDefault="00123F1E" w:rsidP="009F3B13">
            <w:pPr>
              <w:spacing w:line="276" w:lineRule="auto"/>
              <w:ind w:left="459" w:hanging="448"/>
              <w:rPr>
                <w:lang w:val="en-AU"/>
              </w:rPr>
            </w:pPr>
            <w:r w:rsidRPr="00123F1E">
              <w:rPr>
                <w:lang w:val="en-AU"/>
              </w:rPr>
              <w:t>R4:</w:t>
            </w:r>
            <w:r w:rsidRPr="00123F1E">
              <w:rPr>
                <w:lang w:val="en-AU"/>
              </w:rPr>
              <w:tab/>
              <w:t>A survey instrument should be proposed in POM’s EOPO 1 Evaluation Study endline in 2015 to disaggregate between new enrolees and transferees (refer §2.4.3).</w:t>
            </w:r>
          </w:p>
        </w:tc>
        <w:tc>
          <w:tcPr>
            <w:tcW w:w="350" w:type="pct"/>
            <w:shd w:val="clear" w:color="auto" w:fill="FFC00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459" w:hanging="448"/>
              <w:rPr>
                <w:lang w:val="en-AU"/>
              </w:rPr>
            </w:pPr>
            <w:r w:rsidRPr="00123F1E">
              <w:rPr>
                <w:lang w:val="en-AU"/>
              </w:rPr>
              <w:t>POM and DFAT</w:t>
            </w:r>
          </w:p>
        </w:tc>
      </w:tr>
      <w:tr w:rsidR="00123F1E" w:rsidRPr="00123F1E" w:rsidTr="00D52465">
        <w:trPr>
          <w:trHeight w:val="738"/>
        </w:trPr>
        <w:tc>
          <w:tcPr>
            <w:tcW w:w="3539" w:type="pct"/>
            <w:vAlign w:val="center"/>
          </w:tcPr>
          <w:p w:rsidR="00123F1E" w:rsidRPr="00123F1E" w:rsidRDefault="00123F1E" w:rsidP="009F3B13">
            <w:pPr>
              <w:spacing w:line="276" w:lineRule="auto"/>
              <w:ind w:left="459" w:hanging="448"/>
              <w:rPr>
                <w:lang w:val="en-AU"/>
              </w:rPr>
            </w:pPr>
            <w:r w:rsidRPr="00123F1E">
              <w:rPr>
                <w:lang w:val="en-AU"/>
              </w:rPr>
              <w:t xml:space="preserve">R5: </w:t>
            </w:r>
            <w:r w:rsidRPr="00123F1E">
              <w:rPr>
                <w:lang w:val="en-AU"/>
              </w:rPr>
              <w:tab/>
              <w:t>The impact of the NSIP and enhanced site selection process should be analysed and documented (possibly through an evaluation study) (refer §2.4.3).</w:t>
            </w:r>
          </w:p>
        </w:tc>
        <w:tc>
          <w:tcPr>
            <w:tcW w:w="350" w:type="pct"/>
            <w:shd w:val="clear" w:color="auto" w:fill="00B05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459" w:hanging="448"/>
              <w:rPr>
                <w:lang w:val="en-AU"/>
              </w:rPr>
            </w:pPr>
            <w:r w:rsidRPr="00123F1E">
              <w:rPr>
                <w:lang w:val="en-AU"/>
              </w:rPr>
              <w:t>MoEC (with SSQ support)</w:t>
            </w:r>
          </w:p>
        </w:tc>
      </w:tr>
      <w:tr w:rsidR="00123F1E" w:rsidRPr="00123F1E" w:rsidTr="00D52465">
        <w:trPr>
          <w:trHeight w:val="567"/>
        </w:trPr>
        <w:tc>
          <w:tcPr>
            <w:tcW w:w="5000" w:type="pct"/>
            <w:gridSpan w:val="3"/>
            <w:shd w:val="clear" w:color="auto" w:fill="DBE5F1" w:themeFill="accent1" w:themeFillTint="33"/>
          </w:tcPr>
          <w:p w:rsidR="00123F1E" w:rsidRPr="00123F1E" w:rsidRDefault="00123F1E" w:rsidP="00123F1E">
            <w:pPr>
              <w:spacing w:before="120"/>
              <w:ind w:left="459" w:hanging="450"/>
              <w:jc w:val="center"/>
              <w:rPr>
                <w:b/>
                <w:lang w:val="en-AU"/>
              </w:rPr>
            </w:pPr>
            <w:r w:rsidRPr="00123F1E">
              <w:rPr>
                <w:b/>
                <w:lang w:val="en-AU"/>
              </w:rPr>
              <w:t>Component 2</w:t>
            </w:r>
          </w:p>
        </w:tc>
      </w:tr>
      <w:tr w:rsidR="00123F1E" w:rsidRPr="00123F1E" w:rsidTr="00D52465">
        <w:trPr>
          <w:trHeight w:val="758"/>
        </w:trPr>
        <w:tc>
          <w:tcPr>
            <w:tcW w:w="3539" w:type="pct"/>
            <w:vAlign w:val="center"/>
          </w:tcPr>
          <w:p w:rsidR="00123F1E" w:rsidRPr="00123F1E" w:rsidRDefault="00123F1E" w:rsidP="003D0A5E">
            <w:pPr>
              <w:spacing w:line="276" w:lineRule="auto"/>
              <w:ind w:left="459" w:hanging="448"/>
              <w:rPr>
                <w:lang w:val="en-AU"/>
              </w:rPr>
            </w:pPr>
            <w:r w:rsidRPr="00123F1E">
              <w:rPr>
                <w:lang w:val="en-AU"/>
              </w:rPr>
              <w:t xml:space="preserve">R6: </w:t>
            </w:r>
            <w:r w:rsidRPr="00123F1E">
              <w:rPr>
                <w:lang w:val="en-AU"/>
              </w:rPr>
              <w:tab/>
              <w:t>A long-term sustainability strategy that resolves issues of affordability, financing and institutional responsibilities and capabilities should be developed, maintained and implemented by June 2</w:t>
            </w:r>
            <w:r w:rsidR="003D0A5E">
              <w:rPr>
                <w:lang w:val="en-AU"/>
              </w:rPr>
              <w:t>01</w:t>
            </w:r>
            <w:r w:rsidRPr="00123F1E">
              <w:rPr>
                <w:lang w:val="en-AU"/>
              </w:rPr>
              <w:t>5 (refer §3.4.5).</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33" w:hanging="22"/>
              <w:rPr>
                <w:lang w:val="en-AU"/>
              </w:rPr>
            </w:pPr>
            <w:r w:rsidRPr="00123F1E">
              <w:rPr>
                <w:lang w:val="en-AU"/>
              </w:rPr>
              <w:t>MoEC and MoRA (with DFAT and SSQ support)</w:t>
            </w:r>
          </w:p>
        </w:tc>
      </w:tr>
      <w:tr w:rsidR="00123F1E" w:rsidRPr="00123F1E" w:rsidTr="00D52465">
        <w:trPr>
          <w:trHeight w:val="738"/>
        </w:trPr>
        <w:tc>
          <w:tcPr>
            <w:tcW w:w="3539" w:type="pct"/>
            <w:vAlign w:val="center"/>
          </w:tcPr>
          <w:p w:rsidR="00123F1E" w:rsidRPr="00123F1E" w:rsidRDefault="00123F1E" w:rsidP="009F3B13">
            <w:pPr>
              <w:spacing w:line="276" w:lineRule="auto"/>
              <w:ind w:left="459" w:hanging="448"/>
              <w:rPr>
                <w:lang w:val="en-AU"/>
              </w:rPr>
            </w:pPr>
            <w:r w:rsidRPr="00123F1E">
              <w:rPr>
                <w:lang w:val="en-AU"/>
              </w:rPr>
              <w:t xml:space="preserve">R7: </w:t>
            </w:r>
            <w:r w:rsidRPr="00123F1E">
              <w:rPr>
                <w:lang w:val="en-AU"/>
              </w:rPr>
              <w:tab/>
              <w:t>GoI’s expectations for MoRA’s long-term involvement and role in ProDEP should be clarified</w:t>
            </w:r>
            <w:r w:rsidR="003D0A5E">
              <w:rPr>
                <w:lang w:val="en-AU"/>
              </w:rPr>
              <w:t>, i.e. whether MoRA is expected to be able to implement and sustain ProDEP within its environment after the EP</w:t>
            </w:r>
            <w:r w:rsidRPr="00123F1E">
              <w:rPr>
                <w:lang w:val="en-AU"/>
              </w:rPr>
              <w:t xml:space="preserve"> (refer §3.4.5).</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33" w:hanging="22"/>
              <w:rPr>
                <w:lang w:val="en-AU"/>
              </w:rPr>
            </w:pPr>
            <w:r w:rsidRPr="00123F1E">
              <w:rPr>
                <w:lang w:val="en-AU"/>
              </w:rPr>
              <w:t>MoEC and MoRA (with DFAT and SSQ support as appropriate)</w:t>
            </w:r>
          </w:p>
        </w:tc>
      </w:tr>
      <w:tr w:rsidR="00123F1E" w:rsidRPr="00123F1E" w:rsidTr="009F3B13">
        <w:trPr>
          <w:trHeight w:val="341"/>
        </w:trPr>
        <w:tc>
          <w:tcPr>
            <w:tcW w:w="3539" w:type="pct"/>
            <w:vAlign w:val="center"/>
          </w:tcPr>
          <w:p w:rsidR="00123F1E" w:rsidRPr="00123F1E" w:rsidRDefault="00123F1E" w:rsidP="009F3B13">
            <w:pPr>
              <w:spacing w:line="276" w:lineRule="auto"/>
              <w:ind w:left="459" w:hanging="448"/>
              <w:rPr>
                <w:lang w:val="en-AU"/>
              </w:rPr>
            </w:pPr>
            <w:r w:rsidRPr="00123F1E">
              <w:rPr>
                <w:lang w:val="en-AU"/>
              </w:rPr>
              <w:t xml:space="preserve">R8: </w:t>
            </w:r>
            <w:r w:rsidRPr="00123F1E">
              <w:rPr>
                <w:lang w:val="en-AU"/>
              </w:rPr>
              <w:tab/>
              <w:t>ProDEP should be ‘marketed’ as a cohesive, integrated package of professional development so as to guard against selection of individual modules or components (refer §3.4.5).</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33" w:hanging="22"/>
              <w:rPr>
                <w:lang w:val="en-AU"/>
              </w:rPr>
            </w:pPr>
            <w:r w:rsidRPr="00123F1E">
              <w:rPr>
                <w:lang w:val="en-AU"/>
              </w:rPr>
              <w:t xml:space="preserve">MoEC and MoRA (with the support of the Eligible Entities </w:t>
            </w:r>
            <w:r w:rsidRPr="00123F1E">
              <w:rPr>
                <w:lang w:val="en-AU"/>
              </w:rPr>
              <w:lastRenderedPageBreak/>
              <w:t>and SSQ)</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lastRenderedPageBreak/>
              <w:t xml:space="preserve">R9: </w:t>
            </w:r>
            <w:r w:rsidRPr="00123F1E">
              <w:rPr>
                <w:lang w:val="en-AU"/>
              </w:rPr>
              <w:tab/>
            </w:r>
            <w:r w:rsidR="00712FDD" w:rsidRPr="00712FDD">
              <w:rPr>
                <w:lang w:val="en-AU"/>
              </w:rPr>
              <w:t>A broad range of UoLs that takes adequate account of the varied competencies of principals should be made availa</w:t>
            </w:r>
            <w:r w:rsidR="00712FDD">
              <w:rPr>
                <w:lang w:val="en-AU"/>
              </w:rPr>
              <w:t>ble to principals</w:t>
            </w:r>
            <w:r w:rsidRPr="00123F1E">
              <w:rPr>
                <w:lang w:val="en-AU"/>
              </w:rPr>
              <w:t xml:space="preserve"> (refer §3.4.3).</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9F3B13">
            <w:pPr>
              <w:spacing w:line="276" w:lineRule="auto"/>
              <w:ind w:left="33" w:hanging="22"/>
              <w:rPr>
                <w:lang w:val="en-AU"/>
              </w:rPr>
            </w:pPr>
            <w:r w:rsidRPr="00123F1E">
              <w:rPr>
                <w:lang w:val="en-AU"/>
              </w:rPr>
              <w:t>MoEC and MoRA (with SSQ support)</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R10: Small schools/madrasah in rural areas should be prioritised during the selection of supervisors and principals (schools) (refer §3.4.3).</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123F1E">
            <w:pPr>
              <w:spacing w:before="120"/>
              <w:ind w:left="11"/>
              <w:rPr>
                <w:lang w:val="en-AU"/>
              </w:rPr>
            </w:pPr>
            <w:r w:rsidRPr="00123F1E">
              <w:rPr>
                <w:lang w:val="en-AU"/>
              </w:rPr>
              <w:t>Eligible Entities (with guidance from MoEC/MoRA and SSQ support as appropriate)</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R11: Responsibility for the design, delivery modalities and quality assurance functions for ProDEP should be transitioned from C2 to an appropriate entity appointed by Badan (see §3.4.5).</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MoEC</w:t>
            </w:r>
          </w:p>
        </w:tc>
      </w:tr>
      <w:tr w:rsidR="00123F1E" w:rsidRPr="00123F1E" w:rsidTr="00D52465">
        <w:trPr>
          <w:trHeight w:val="567"/>
        </w:trPr>
        <w:tc>
          <w:tcPr>
            <w:tcW w:w="5000" w:type="pct"/>
            <w:gridSpan w:val="3"/>
            <w:shd w:val="clear" w:color="auto" w:fill="DBE5F1" w:themeFill="accent1" w:themeFillTint="33"/>
            <w:vAlign w:val="center"/>
          </w:tcPr>
          <w:p w:rsidR="00123F1E" w:rsidRPr="00123F1E" w:rsidRDefault="00123F1E" w:rsidP="009F3B13">
            <w:pPr>
              <w:spacing w:line="276" w:lineRule="auto"/>
              <w:ind w:left="459" w:hanging="448"/>
              <w:rPr>
                <w:lang w:val="en-AU"/>
              </w:rPr>
            </w:pPr>
            <w:r w:rsidRPr="00123F1E">
              <w:rPr>
                <w:lang w:val="en-AU"/>
              </w:rPr>
              <w:t>Component 3</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R12: Priority should be given to assisting MoRA in the immediate development of a comprehensive ‘Grand Design’ or ‘Road Map’ that will guide future efforts to continuously improve the quality of madrasah (refer §4.4.5).</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MoRA (with SSQ support and facilitation)</w:t>
            </w:r>
          </w:p>
        </w:tc>
      </w:tr>
      <w:tr w:rsidR="00123F1E" w:rsidRPr="00123F1E" w:rsidTr="009F3B13">
        <w:trPr>
          <w:trHeight w:val="738"/>
        </w:trPr>
        <w:tc>
          <w:tcPr>
            <w:tcW w:w="3539" w:type="pct"/>
            <w:vAlign w:val="center"/>
          </w:tcPr>
          <w:p w:rsidR="00123F1E" w:rsidRPr="00123F1E" w:rsidRDefault="00123F1E" w:rsidP="009F3B13">
            <w:pPr>
              <w:spacing w:line="276" w:lineRule="auto"/>
              <w:ind w:left="459" w:hanging="448"/>
              <w:rPr>
                <w:lang w:val="en-AU"/>
              </w:rPr>
            </w:pPr>
            <w:r w:rsidRPr="00123F1E">
              <w:rPr>
                <w:lang w:val="en-AU"/>
              </w:rPr>
              <w:t>R13: Lessons from the implementation of C3 – specifically those which contribute to a better understanding of the processes and systems required to improve quality – should be collated, analysed and presented for discussion and consideration as part of the ‘Grand Design’ (refer §4.4.2).</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MoRA (with support from SSQ)</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R14: Priority initiatives identified by the ‘Grand Design’ should be supported with appropriate specialized technical assistance and adequate resources from C3 (and subsequent DFAT support) (refer §4.4.3).</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SSQ and DFAT</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R15: An analysis of the appropriate levels of Block Grant funding required to meet accreditation standards and to improve the quality of education services provided should be conducted and this should take due account of different types and circumstances of madrasah (refer §4.4.2).</w:t>
            </w:r>
          </w:p>
        </w:tc>
        <w:tc>
          <w:tcPr>
            <w:tcW w:w="350" w:type="pct"/>
            <w:tcBorders>
              <w:bottom w:val="single" w:sz="4" w:space="0" w:color="auto"/>
            </w:tcBorders>
            <w:shd w:val="clear" w:color="auto" w:fill="00B05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MoRA (with support from SSQ)</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R16: Introduce Leadership and Community Engagement training and negotiate better engagement with ProDEP training programs (refer §4.4.4).</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MoRA (with SSQ facilitation and assistance)</w:t>
            </w:r>
          </w:p>
        </w:tc>
      </w:tr>
      <w:tr w:rsidR="00123F1E" w:rsidRPr="00123F1E" w:rsidTr="009F3B13">
        <w:trPr>
          <w:trHeight w:val="483"/>
        </w:trPr>
        <w:tc>
          <w:tcPr>
            <w:tcW w:w="3539" w:type="pct"/>
            <w:vAlign w:val="center"/>
          </w:tcPr>
          <w:p w:rsidR="00123F1E" w:rsidRPr="00123F1E" w:rsidRDefault="00123F1E" w:rsidP="009F3B13">
            <w:pPr>
              <w:spacing w:line="276" w:lineRule="auto"/>
              <w:ind w:left="459" w:hanging="448"/>
              <w:rPr>
                <w:lang w:val="en-AU"/>
              </w:rPr>
            </w:pPr>
            <w:r w:rsidRPr="00123F1E">
              <w:rPr>
                <w:lang w:val="en-AU"/>
              </w:rPr>
              <w:lastRenderedPageBreak/>
              <w:t>R17: Ensure rigorous selection, professional development (including linking with ProDEP) and monitoring of mentors (and supervisors) and work to build a cadre of educational professionals for improving madrasah education quality (refer §4.4.4).</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MoRA (with SSQ facilitation and assistance)</w:t>
            </w:r>
          </w:p>
        </w:tc>
      </w:tr>
      <w:tr w:rsidR="00123F1E" w:rsidRPr="00123F1E" w:rsidTr="00D52465">
        <w:trPr>
          <w:trHeight w:val="567"/>
        </w:trPr>
        <w:tc>
          <w:tcPr>
            <w:tcW w:w="5000" w:type="pct"/>
            <w:gridSpan w:val="3"/>
            <w:shd w:val="clear" w:color="auto" w:fill="DBE5F1" w:themeFill="accent1" w:themeFillTint="33"/>
            <w:vAlign w:val="center"/>
          </w:tcPr>
          <w:p w:rsidR="00123F1E" w:rsidRPr="00123F1E" w:rsidRDefault="00123F1E" w:rsidP="00123F1E">
            <w:pPr>
              <w:spacing w:before="120" w:after="120"/>
              <w:jc w:val="center"/>
              <w:rPr>
                <w:b/>
                <w:lang w:val="en-AU"/>
              </w:rPr>
            </w:pPr>
            <w:r w:rsidRPr="00123F1E">
              <w:rPr>
                <w:b/>
                <w:lang w:val="en-AU"/>
              </w:rPr>
              <w:t>Component 4</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R18: The ADB TA Report and ACDP M&amp;E Strategy should be reviewed and updated to include suitable success metrics (refer §5.4.3).</w:t>
            </w:r>
          </w:p>
        </w:tc>
        <w:tc>
          <w:tcPr>
            <w:tcW w:w="350" w:type="pct"/>
            <w:tcBorders>
              <w:bottom w:val="single" w:sz="4" w:space="0" w:color="auto"/>
            </w:tcBorders>
            <w:shd w:val="clear" w:color="auto" w:fill="FF000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ACDP Secretariat and the ADB (with support from the GoI, EU, DFAT and POM)</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R19: The portfolio of investments should be managed more strategically such that the Secretariat looks beyond output-level deliverables to the pursuit of the agreed outcomes, for example by maximising the potential of its ‘back catalogue’ of concluded activities and by exploiting the synergies between activities (refer §5.4.3).</w:t>
            </w:r>
          </w:p>
        </w:tc>
        <w:tc>
          <w:tcPr>
            <w:tcW w:w="350" w:type="pct"/>
            <w:tcBorders>
              <w:bottom w:val="single" w:sz="4" w:space="0" w:color="auto"/>
            </w:tcBorders>
            <w:shd w:val="clear" w:color="auto" w:fill="FF000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ACDP Secretariat (with direction and guidance provided by DFAT, the EU and GoI as appropriate)</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R20: The ACDP Secretariat should invest in full-time, dedicated M&amp;E resources so as to improve results tracking and reporting, and to facilitate learning, continuous improvement and strategic management of its portfolio (refer §5.4.3).</w:t>
            </w:r>
          </w:p>
        </w:tc>
        <w:tc>
          <w:tcPr>
            <w:tcW w:w="350" w:type="pct"/>
            <w:tcBorders>
              <w:bottom w:val="single" w:sz="4" w:space="0" w:color="auto"/>
            </w:tcBorders>
            <w:shd w:val="clear" w:color="auto" w:fill="FF000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ACDP Secretariat and ADB (with input from DFAT, the EU and GoI as appropriate)</w:t>
            </w:r>
          </w:p>
        </w:tc>
      </w:tr>
      <w:tr w:rsidR="00123F1E" w:rsidRPr="00123F1E" w:rsidTr="009F3B13">
        <w:trPr>
          <w:trHeight w:val="674"/>
        </w:trPr>
        <w:tc>
          <w:tcPr>
            <w:tcW w:w="3539" w:type="pct"/>
            <w:vAlign w:val="center"/>
          </w:tcPr>
          <w:p w:rsidR="00123F1E" w:rsidRPr="00123F1E" w:rsidRDefault="00123F1E" w:rsidP="009F3B13">
            <w:pPr>
              <w:spacing w:line="276" w:lineRule="auto"/>
              <w:ind w:left="459" w:hanging="448"/>
              <w:rPr>
                <w:lang w:val="en-AU"/>
              </w:rPr>
            </w:pPr>
            <w:r w:rsidRPr="00123F1E">
              <w:rPr>
                <w:lang w:val="en-AU"/>
              </w:rPr>
              <w:t>R21: Institutional partners should, as part of the negotiations concerning the proposed budget-neutral extension of ACDP, reach a shared understanding or agreement about:</w:t>
            </w:r>
          </w:p>
          <w:p w:rsidR="00123F1E" w:rsidRPr="00123F1E" w:rsidRDefault="00123F1E" w:rsidP="009F3B13">
            <w:pPr>
              <w:numPr>
                <w:ilvl w:val="0"/>
                <w:numId w:val="28"/>
              </w:numPr>
              <w:spacing w:line="276" w:lineRule="auto"/>
              <w:ind w:hanging="252"/>
              <w:contextualSpacing/>
              <w:rPr>
                <w:lang w:val="en-AU"/>
              </w:rPr>
            </w:pPr>
            <w:r w:rsidRPr="00123F1E">
              <w:rPr>
                <w:lang w:val="en-AU"/>
              </w:rPr>
              <w:t xml:space="preserve">the nature of any intended institutional legacy; </w:t>
            </w:r>
          </w:p>
          <w:p w:rsidR="00123F1E" w:rsidRPr="00123F1E" w:rsidRDefault="00123F1E" w:rsidP="009F3B13">
            <w:pPr>
              <w:numPr>
                <w:ilvl w:val="0"/>
                <w:numId w:val="28"/>
              </w:numPr>
              <w:spacing w:line="276" w:lineRule="auto"/>
              <w:ind w:hanging="252"/>
              <w:contextualSpacing/>
              <w:rPr>
                <w:lang w:val="en-AU"/>
              </w:rPr>
            </w:pPr>
            <w:r w:rsidRPr="00123F1E">
              <w:rPr>
                <w:lang w:val="en-AU"/>
              </w:rPr>
              <w:t xml:space="preserve">whether ACDP’s current institutional home is the most appropriate to attain that legacy; </w:t>
            </w:r>
          </w:p>
          <w:p w:rsidR="00123F1E" w:rsidRPr="00123F1E" w:rsidRDefault="00123F1E" w:rsidP="009F3B13">
            <w:pPr>
              <w:numPr>
                <w:ilvl w:val="0"/>
                <w:numId w:val="28"/>
              </w:numPr>
              <w:spacing w:line="276" w:lineRule="auto"/>
              <w:ind w:hanging="252"/>
              <w:contextualSpacing/>
              <w:rPr>
                <w:lang w:val="en-AU"/>
              </w:rPr>
            </w:pPr>
            <w:r w:rsidRPr="00123F1E">
              <w:rPr>
                <w:lang w:val="en-AU"/>
              </w:rPr>
              <w:t>what supporting measures are required by GoI to pursue any intended institutional legacy; and</w:t>
            </w:r>
          </w:p>
          <w:p w:rsidR="00123F1E" w:rsidRPr="00123F1E" w:rsidRDefault="00123F1E" w:rsidP="009F3B13">
            <w:pPr>
              <w:numPr>
                <w:ilvl w:val="0"/>
                <w:numId w:val="28"/>
              </w:numPr>
              <w:spacing w:line="276" w:lineRule="auto"/>
              <w:ind w:hanging="252"/>
              <w:contextualSpacing/>
              <w:rPr>
                <w:lang w:val="en-AU"/>
              </w:rPr>
            </w:pPr>
            <w:r w:rsidRPr="00123F1E">
              <w:rPr>
                <w:lang w:val="en-AU"/>
              </w:rPr>
              <w:t>what is expected of ACDP to build the necessary foundations for that legacy (refer §5.4.5).</w:t>
            </w:r>
          </w:p>
        </w:tc>
        <w:tc>
          <w:tcPr>
            <w:tcW w:w="350" w:type="pct"/>
            <w:tcBorders>
              <w:bottom w:val="single" w:sz="4" w:space="0" w:color="auto"/>
            </w:tcBorders>
            <w:shd w:val="clear" w:color="auto" w:fill="FFC000"/>
            <w:vAlign w:val="center"/>
          </w:tcPr>
          <w:p w:rsidR="00123F1E" w:rsidRPr="00123F1E" w:rsidRDefault="00123F1E" w:rsidP="00123F1E">
            <w:pPr>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GoI, DFAT and the EU (with input from the ADB)</w:t>
            </w:r>
          </w:p>
        </w:tc>
      </w:tr>
      <w:tr w:rsidR="00123F1E" w:rsidRPr="00123F1E" w:rsidTr="00D52465">
        <w:trPr>
          <w:trHeight w:val="567"/>
        </w:trPr>
        <w:tc>
          <w:tcPr>
            <w:tcW w:w="5000" w:type="pct"/>
            <w:gridSpan w:val="3"/>
            <w:shd w:val="clear" w:color="auto" w:fill="DBE5F1" w:themeFill="accent1" w:themeFillTint="33"/>
            <w:vAlign w:val="center"/>
          </w:tcPr>
          <w:p w:rsidR="00123F1E" w:rsidRPr="00123F1E" w:rsidRDefault="00123F1E" w:rsidP="00123F1E">
            <w:pPr>
              <w:spacing w:before="120" w:after="120"/>
              <w:jc w:val="center"/>
              <w:rPr>
                <w:b/>
                <w:lang w:val="en-AU"/>
              </w:rPr>
            </w:pPr>
            <w:r w:rsidRPr="00123F1E">
              <w:rPr>
                <w:b/>
                <w:lang w:val="en-AU"/>
              </w:rPr>
              <w:t>Program Oversight</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R22: EP managers should identify and agree upon key strategies for the realisation of EP EOPOs and ensure that EP workplans align with key strategies (refer §6.3.2).</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GoI and DFAT (with support from TOGs, implementing agencies, POM)</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lastRenderedPageBreak/>
              <w:t>R23: A formal mechanism to identify, review and share lessons learned from the implementation of the EP should be established and then applied to the new AIP priorities and programs (refer §6.3.2).</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DFAT</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R24: EP managers should identify and maximise cross-component synergies through stronger EP portfolio management (refer §6.3.2).</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GoI and DFAT</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R25: Institutional partners, with the support of implementing partners, should define a clear strategy that explains how the EP translates DFAT’s and GoI’s policies on equity and equality into action (refer §6.3.2).</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DFAT and GoI (with support from SSQ and POM)</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R26: Institutional partners, with the support of implementing partners where appropriate, should identify relevant social inclusion indicators, milestones and targets for incorporation into the Performance Milestone Framework (refer §6.3.4).</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DFAT and GoI (with support from SSQ and POM)</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R27: EP managers should develop an action plan identifying adjustments required to the EP to respond to the development principles articulated within Australia’s “new aid paradigm” (refer §6.3.4).</w:t>
            </w:r>
          </w:p>
        </w:tc>
        <w:tc>
          <w:tcPr>
            <w:tcW w:w="350" w:type="pct"/>
            <w:tcBorders>
              <w:bottom w:val="single" w:sz="4" w:space="0" w:color="auto"/>
            </w:tcBorders>
            <w:shd w:val="clear" w:color="auto" w:fill="FFC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DFAT</w:t>
            </w:r>
          </w:p>
        </w:tc>
      </w:tr>
      <w:tr w:rsidR="00123F1E" w:rsidRPr="00123F1E" w:rsidTr="009F3B13">
        <w:trPr>
          <w:trHeight w:val="758"/>
        </w:trPr>
        <w:tc>
          <w:tcPr>
            <w:tcW w:w="3539" w:type="pct"/>
            <w:vAlign w:val="center"/>
          </w:tcPr>
          <w:p w:rsidR="00123F1E" w:rsidRPr="00123F1E" w:rsidRDefault="00123F1E" w:rsidP="009F3B13">
            <w:pPr>
              <w:spacing w:line="276" w:lineRule="auto"/>
              <w:ind w:left="459" w:hanging="448"/>
              <w:rPr>
                <w:lang w:val="en-AU"/>
              </w:rPr>
            </w:pPr>
            <w:r w:rsidRPr="00123F1E">
              <w:rPr>
                <w:lang w:val="en-AU"/>
              </w:rPr>
              <w:t>R28: As part of the above, agreement on a utilitarian VFM framework should be reached early in 2015 (refer §6.3.4).</w:t>
            </w:r>
          </w:p>
        </w:tc>
        <w:tc>
          <w:tcPr>
            <w:tcW w:w="350" w:type="pct"/>
            <w:tcBorders>
              <w:bottom w:val="single" w:sz="4" w:space="0" w:color="auto"/>
            </w:tcBorders>
            <w:shd w:val="clear" w:color="auto" w:fill="FF0000"/>
            <w:vAlign w:val="center"/>
          </w:tcPr>
          <w:p w:rsidR="00123F1E" w:rsidRPr="00123F1E" w:rsidRDefault="00123F1E" w:rsidP="00123F1E">
            <w:pPr>
              <w:spacing w:before="60" w:after="60"/>
              <w:jc w:val="center"/>
              <w:rPr>
                <w:lang w:val="en-AU"/>
              </w:rPr>
            </w:pPr>
            <w:r w:rsidRPr="00123F1E">
              <w:rPr>
                <w:lang w:val="en-AU"/>
              </w:rPr>
              <w:t>***</w:t>
            </w:r>
          </w:p>
        </w:tc>
        <w:tc>
          <w:tcPr>
            <w:tcW w:w="1111" w:type="pct"/>
            <w:vAlign w:val="center"/>
          </w:tcPr>
          <w:p w:rsidR="00123F1E" w:rsidRPr="00123F1E" w:rsidRDefault="00123F1E" w:rsidP="006D4DD4">
            <w:pPr>
              <w:spacing w:line="276" w:lineRule="auto"/>
              <w:ind w:left="11"/>
              <w:rPr>
                <w:lang w:val="en-AU"/>
              </w:rPr>
            </w:pPr>
            <w:r w:rsidRPr="00123F1E">
              <w:rPr>
                <w:lang w:val="en-AU"/>
              </w:rPr>
              <w:t>DFAT and POM (with input from Implementing Partners as appropriate</w:t>
            </w:r>
            <w:r>
              <w:rPr>
                <w:lang w:val="en-AU"/>
              </w:rPr>
              <w:t>)</w:t>
            </w:r>
          </w:p>
        </w:tc>
      </w:tr>
    </w:tbl>
    <w:p w:rsidR="00123F1E" w:rsidRDefault="00123F1E" w:rsidP="00123F1E">
      <w:pPr>
        <w:rPr>
          <w:i/>
          <w:lang w:val="en-AU"/>
        </w:rPr>
      </w:pPr>
    </w:p>
    <w:p w:rsidR="0024509E" w:rsidRPr="00851EC7" w:rsidRDefault="0024509E" w:rsidP="00123F1E">
      <w:pPr>
        <w:rPr>
          <w:lang w:val="en-AU"/>
        </w:rPr>
      </w:pPr>
      <w:r w:rsidRPr="00851EC7">
        <w:rPr>
          <w:i/>
          <w:lang w:val="en-AU"/>
        </w:rPr>
        <w:t>NB: Red</w:t>
      </w:r>
      <w:r w:rsidR="00191A9B" w:rsidRPr="00851EC7">
        <w:rPr>
          <w:i/>
          <w:lang w:val="en-AU"/>
        </w:rPr>
        <w:t xml:space="preserve"> (***)</w:t>
      </w:r>
      <w:r w:rsidRPr="00851EC7">
        <w:rPr>
          <w:i/>
          <w:lang w:val="en-AU"/>
        </w:rPr>
        <w:t xml:space="preserve"> - high urgency; Orange</w:t>
      </w:r>
      <w:r w:rsidR="00191A9B" w:rsidRPr="00851EC7">
        <w:rPr>
          <w:i/>
          <w:lang w:val="en-AU"/>
        </w:rPr>
        <w:t xml:space="preserve"> (**)</w:t>
      </w:r>
      <w:r w:rsidRPr="00851EC7">
        <w:rPr>
          <w:i/>
          <w:lang w:val="en-AU"/>
        </w:rPr>
        <w:t xml:space="preserve"> - medium urgency; Green</w:t>
      </w:r>
      <w:r w:rsidR="00191A9B" w:rsidRPr="00851EC7">
        <w:rPr>
          <w:i/>
          <w:lang w:val="en-AU"/>
        </w:rPr>
        <w:t xml:space="preserve"> (*)</w:t>
      </w:r>
      <w:r w:rsidRPr="00851EC7">
        <w:rPr>
          <w:i/>
          <w:lang w:val="en-AU"/>
        </w:rPr>
        <w:t xml:space="preserve"> - low urgency</w:t>
      </w:r>
    </w:p>
    <w:p w:rsidR="00045CAA" w:rsidRPr="00851EC7" w:rsidRDefault="00045CAA" w:rsidP="00854A82">
      <w:pPr>
        <w:rPr>
          <w:lang w:val="en-AU"/>
        </w:rPr>
        <w:sectPr w:rsidR="00045CAA" w:rsidRPr="00851EC7" w:rsidSect="00045CAA">
          <w:footnotePr>
            <w:numRestart w:val="eachSect"/>
          </w:footnotePr>
          <w:endnotePr>
            <w:numRestart w:val="eachSect"/>
          </w:endnotePr>
          <w:pgSz w:w="16834" w:h="11909" w:orient="landscape" w:code="9"/>
          <w:pgMar w:top="1440" w:right="1440" w:bottom="1440" w:left="1440" w:header="432" w:footer="720" w:gutter="0"/>
          <w:pgNumType w:fmt="lowerRoman"/>
          <w:cols w:space="720"/>
          <w:docGrid w:linePitch="360"/>
        </w:sectPr>
      </w:pPr>
    </w:p>
    <w:p w:rsidR="00045CAA" w:rsidRPr="00851EC7" w:rsidRDefault="00045CAA" w:rsidP="00045CAA">
      <w:pPr>
        <w:rPr>
          <w:lang w:val="en-AU"/>
        </w:rPr>
      </w:pPr>
      <w:r w:rsidRPr="00851EC7">
        <w:rPr>
          <w:noProof/>
          <w:color w:val="000000" w:themeColor="text1"/>
          <w:sz w:val="28"/>
          <w:szCs w:val="28"/>
          <w:lang w:val="en-AU" w:eastAsia="en-AU"/>
        </w:rPr>
        <w:lastRenderedPageBreak/>
        <w:drawing>
          <wp:anchor distT="0" distB="0" distL="114300" distR="114300" simplePos="0" relativeHeight="251672576" behindDoc="1" locked="0" layoutInCell="1" allowOverlap="1" wp14:anchorId="43669D16" wp14:editId="52A52683">
            <wp:simplePos x="0" y="0"/>
            <wp:positionH relativeFrom="page">
              <wp:posOffset>-7620</wp:posOffset>
            </wp:positionH>
            <wp:positionV relativeFrom="page">
              <wp:posOffset>2540</wp:posOffset>
            </wp:positionV>
            <wp:extent cx="7580630" cy="10709275"/>
            <wp:effectExtent l="0" t="0" r="1270" b="0"/>
            <wp:wrapNone/>
            <wp:docPr id="11" name="Picture 11"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color w:val="FFFFFF" w:themeColor="background1"/>
          <w:sz w:val="36"/>
          <w:szCs w:val="36"/>
          <w:lang w:val="en-AU"/>
        </w:rPr>
      </w:pPr>
    </w:p>
    <w:p w:rsidR="00045CAA" w:rsidRPr="00851EC7" w:rsidRDefault="00045CAA" w:rsidP="00045CAA">
      <w:pPr>
        <w:tabs>
          <w:tab w:val="left" w:pos="2977"/>
        </w:tabs>
        <w:ind w:left="2880"/>
        <w:rPr>
          <w:b/>
          <w:i/>
          <w:color w:val="FFFFFF" w:themeColor="background1"/>
          <w:sz w:val="32"/>
          <w:szCs w:val="32"/>
          <w:lang w:val="en-AU"/>
        </w:rPr>
      </w:pPr>
      <w:r w:rsidRPr="00851EC7">
        <w:rPr>
          <w:b/>
          <w:color w:val="FFFFFF" w:themeColor="background1"/>
          <w:sz w:val="36"/>
          <w:szCs w:val="36"/>
          <w:lang w:val="en-AU"/>
        </w:rPr>
        <w:t>Introduction, Approach and Methodology</w:t>
      </w:r>
    </w:p>
    <w:p w:rsidR="00045CAA" w:rsidRPr="00851EC7" w:rsidRDefault="00045CAA" w:rsidP="00854A82">
      <w:pPr>
        <w:rPr>
          <w:lang w:val="en-AU"/>
        </w:rPr>
        <w:sectPr w:rsidR="00045CAA" w:rsidRPr="00851EC7" w:rsidSect="00396227">
          <w:headerReference w:type="default" r:id="rId25"/>
          <w:footerReference w:type="default" r:id="rId26"/>
          <w:footnotePr>
            <w:numRestart w:val="eachSect"/>
          </w:footnotePr>
          <w:endnotePr>
            <w:numRestart w:val="eachSect"/>
          </w:endnotePr>
          <w:type w:val="oddPage"/>
          <w:pgSz w:w="11909" w:h="16834" w:code="9"/>
          <w:pgMar w:top="1440" w:right="1440" w:bottom="1440" w:left="1440" w:header="432" w:footer="720" w:gutter="0"/>
          <w:pgNumType w:start="1"/>
          <w:cols w:space="720"/>
          <w:docGrid w:linePitch="360"/>
        </w:sectPr>
      </w:pPr>
    </w:p>
    <w:p w:rsidR="00396227" w:rsidRPr="00851EC7" w:rsidRDefault="00396227" w:rsidP="00B33BC8">
      <w:pPr>
        <w:pStyle w:val="Heading1"/>
      </w:pPr>
      <w:bookmarkStart w:id="8" w:name="_Toc372401475"/>
      <w:bookmarkStart w:id="9" w:name="_Toc407779880"/>
      <w:r w:rsidRPr="00851EC7">
        <w:lastRenderedPageBreak/>
        <w:t>Introduction</w:t>
      </w:r>
      <w:bookmarkEnd w:id="8"/>
      <w:bookmarkEnd w:id="9"/>
    </w:p>
    <w:p w:rsidR="00396227" w:rsidRPr="00851EC7" w:rsidRDefault="00396227" w:rsidP="00DC41F6">
      <w:pPr>
        <w:pStyle w:val="Heading2"/>
      </w:pPr>
      <w:bookmarkStart w:id="10" w:name="_Toc372401476"/>
      <w:r w:rsidRPr="00851EC7">
        <w:t>The Education Partnership</w:t>
      </w:r>
      <w:bookmarkEnd w:id="10"/>
      <w:r w:rsidRPr="00851EC7">
        <w:t xml:space="preserve"> </w:t>
      </w:r>
    </w:p>
    <w:p w:rsidR="00396227" w:rsidRPr="00851EC7" w:rsidRDefault="00396227"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The Government of Australia (GoA) has been investing in Indonesia’s basic education sector for a number of years, most notably through the flagship AUD 395</w:t>
      </w:r>
      <w:r w:rsidR="00537938">
        <w:rPr>
          <w:rFonts w:asciiTheme="minorHAnsi" w:hAnsiTheme="minorHAnsi" w:cstheme="minorHAnsi"/>
          <w:lang w:val="en-AU"/>
        </w:rPr>
        <w:t>m</w:t>
      </w:r>
      <w:r w:rsidRPr="00851EC7">
        <w:rPr>
          <w:rFonts w:asciiTheme="minorHAnsi" w:hAnsiTheme="minorHAnsi" w:cstheme="minorHAnsi"/>
          <w:lang w:val="en-AU"/>
        </w:rPr>
        <w:t xml:space="preserve"> Australia Indonesia Basic Education Program (AIBEP) (2006-2011) and now through the Australia-Indonesia Education Partnership (EP): a five-year, AUD 5</w:t>
      </w:r>
      <w:r w:rsidR="0022598A" w:rsidRPr="00851EC7">
        <w:rPr>
          <w:rFonts w:asciiTheme="minorHAnsi" w:hAnsiTheme="minorHAnsi" w:cstheme="minorHAnsi"/>
          <w:lang w:val="en-AU"/>
        </w:rPr>
        <w:t>24</w:t>
      </w:r>
      <w:r w:rsidR="00537938">
        <w:rPr>
          <w:rFonts w:asciiTheme="minorHAnsi" w:hAnsiTheme="minorHAnsi" w:cstheme="minorHAnsi"/>
          <w:lang w:val="en-AU"/>
        </w:rPr>
        <w:t>m</w:t>
      </w:r>
      <w:r w:rsidR="0022598A" w:rsidRPr="00851EC7">
        <w:rPr>
          <w:rStyle w:val="FootnoteReference"/>
          <w:rFonts w:cstheme="minorHAnsi"/>
          <w:lang w:val="en-AU"/>
        </w:rPr>
        <w:footnoteReference w:id="1"/>
      </w:r>
      <w:r w:rsidRPr="00851EC7">
        <w:rPr>
          <w:rFonts w:asciiTheme="minorHAnsi" w:hAnsiTheme="minorHAnsi" w:cstheme="minorHAnsi"/>
          <w:lang w:val="en-AU"/>
        </w:rPr>
        <w:t xml:space="preserve"> program that </w:t>
      </w:r>
      <w:r w:rsidR="00F4282E" w:rsidRPr="00851EC7">
        <w:rPr>
          <w:rFonts w:asciiTheme="minorHAnsi" w:hAnsiTheme="minorHAnsi" w:cstheme="minorHAnsi"/>
          <w:lang w:val="en-AU"/>
        </w:rPr>
        <w:t xml:space="preserve">has </w:t>
      </w:r>
      <w:r w:rsidRPr="00851EC7">
        <w:rPr>
          <w:rFonts w:asciiTheme="minorHAnsi" w:hAnsiTheme="minorHAnsi" w:cstheme="minorHAnsi"/>
          <w:lang w:val="en-AU"/>
        </w:rPr>
        <w:t>operate</w:t>
      </w:r>
      <w:r w:rsidR="00F4282E" w:rsidRPr="00851EC7">
        <w:rPr>
          <w:rFonts w:asciiTheme="minorHAnsi" w:hAnsiTheme="minorHAnsi" w:cstheme="minorHAnsi"/>
          <w:lang w:val="en-AU"/>
        </w:rPr>
        <w:t>d</w:t>
      </w:r>
      <w:r w:rsidRPr="00851EC7">
        <w:rPr>
          <w:rFonts w:asciiTheme="minorHAnsi" w:hAnsiTheme="minorHAnsi" w:cstheme="minorHAnsi"/>
          <w:lang w:val="en-AU"/>
        </w:rPr>
        <w:t xml:space="preserve"> from mid-2011 </w:t>
      </w:r>
      <w:r w:rsidR="00F4282E" w:rsidRPr="00851EC7">
        <w:rPr>
          <w:rFonts w:asciiTheme="minorHAnsi" w:hAnsiTheme="minorHAnsi" w:cstheme="minorHAnsi"/>
          <w:lang w:val="en-AU"/>
        </w:rPr>
        <w:t xml:space="preserve">and will continue to operate until </w:t>
      </w:r>
      <w:r w:rsidRPr="00851EC7">
        <w:rPr>
          <w:rFonts w:asciiTheme="minorHAnsi" w:hAnsiTheme="minorHAnsi" w:cstheme="minorHAnsi"/>
          <w:lang w:val="en-AU"/>
        </w:rPr>
        <w:t xml:space="preserve">mid-2016. </w:t>
      </w:r>
    </w:p>
    <w:p w:rsidR="00396227" w:rsidRPr="00851EC7" w:rsidRDefault="00396227"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Australia is supporting the Government of Indonesia (GoI) to achieve its policy goals in relation to access, quality and governance of basic education (defined as primary and junior secondary education). The EP’s vision is to improve education service delivery in Indonesia. To achieve this, it focuses on three goals:</w:t>
      </w:r>
    </w:p>
    <w:p w:rsidR="00396227" w:rsidRPr="00851EC7" w:rsidRDefault="00396227" w:rsidP="00215A8F">
      <w:pPr>
        <w:pStyle w:val="ListParagraph"/>
        <w:numPr>
          <w:ilvl w:val="0"/>
          <w:numId w:val="6"/>
        </w:numPr>
        <w:spacing w:before="120" w:after="120"/>
        <w:contextualSpacing w:val="0"/>
        <w:jc w:val="both"/>
        <w:rPr>
          <w:rFonts w:asciiTheme="minorHAnsi" w:hAnsiTheme="minorHAnsi" w:cstheme="minorHAnsi"/>
          <w:lang w:val="en-AU"/>
        </w:rPr>
      </w:pPr>
      <w:r w:rsidRPr="00851EC7">
        <w:rPr>
          <w:rFonts w:asciiTheme="minorHAnsi" w:hAnsiTheme="minorHAnsi" w:cstheme="minorHAnsi"/>
          <w:lang w:val="en-AU"/>
        </w:rPr>
        <w:t xml:space="preserve">To increase participation in Junior Secondary Education (JSE) schooling. </w:t>
      </w:r>
    </w:p>
    <w:p w:rsidR="00396227" w:rsidRPr="00851EC7" w:rsidRDefault="00396227" w:rsidP="00215A8F">
      <w:pPr>
        <w:pStyle w:val="ListParagraph"/>
        <w:numPr>
          <w:ilvl w:val="0"/>
          <w:numId w:val="6"/>
        </w:numPr>
        <w:spacing w:before="120" w:after="120"/>
        <w:contextualSpacing w:val="0"/>
        <w:jc w:val="both"/>
        <w:rPr>
          <w:rFonts w:asciiTheme="minorHAnsi" w:hAnsiTheme="minorHAnsi" w:cstheme="minorHAnsi"/>
          <w:lang w:val="en-AU"/>
        </w:rPr>
      </w:pPr>
      <w:r w:rsidRPr="00851EC7">
        <w:rPr>
          <w:rFonts w:asciiTheme="minorHAnsi" w:hAnsiTheme="minorHAnsi" w:cstheme="minorHAnsi"/>
          <w:lang w:val="en-AU"/>
        </w:rPr>
        <w:t>To improve the quality of education in public and private schools, including Madrasah.</w:t>
      </w:r>
    </w:p>
    <w:p w:rsidR="00396227" w:rsidRPr="00851EC7" w:rsidRDefault="00396227" w:rsidP="00215A8F">
      <w:pPr>
        <w:pStyle w:val="ListParagraph"/>
        <w:numPr>
          <w:ilvl w:val="0"/>
          <w:numId w:val="6"/>
        </w:numPr>
        <w:spacing w:before="120" w:after="120"/>
        <w:contextualSpacing w:val="0"/>
        <w:jc w:val="both"/>
        <w:rPr>
          <w:rFonts w:asciiTheme="minorHAnsi" w:hAnsiTheme="minorHAnsi" w:cstheme="minorHAnsi"/>
          <w:lang w:val="en-AU"/>
        </w:rPr>
      </w:pPr>
      <w:r w:rsidRPr="00851EC7">
        <w:rPr>
          <w:rFonts w:asciiTheme="minorHAnsi" w:hAnsiTheme="minorHAnsi" w:cstheme="minorHAnsi"/>
          <w:lang w:val="en-AU"/>
        </w:rPr>
        <w:t>To improve sector governance through increased use of evidence for decision-making.</w:t>
      </w:r>
    </w:p>
    <w:p w:rsidR="00396227" w:rsidRPr="00851EC7" w:rsidRDefault="00396227"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The EP recognizes that these goals are aspirational and are influenced by a multitude of factors, many of which are outside the control or even direct influence of the Partnership. As such, the EP focuses its effort on the attainment of four End-of-Partnership-Outcomes (EOPOs):</w:t>
      </w:r>
    </w:p>
    <w:p w:rsidR="00680BDC" w:rsidRPr="00851EC7" w:rsidRDefault="00680BDC" w:rsidP="00215A8F">
      <w:pPr>
        <w:numPr>
          <w:ilvl w:val="0"/>
          <w:numId w:val="6"/>
        </w:num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 xml:space="preserve">Enrolment in JSE in participating districts increases (Component 1). </w:t>
      </w:r>
    </w:p>
    <w:p w:rsidR="00680BDC" w:rsidRPr="00851EC7" w:rsidRDefault="00680BDC" w:rsidP="00215A8F">
      <w:pPr>
        <w:numPr>
          <w:ilvl w:val="0"/>
          <w:numId w:val="6"/>
        </w:num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 xml:space="preserve">Management of schools and Madrasah improves in participating districts (Component 2). </w:t>
      </w:r>
    </w:p>
    <w:p w:rsidR="00680BDC" w:rsidRPr="00851EC7" w:rsidRDefault="00680BDC" w:rsidP="00215A8F">
      <w:pPr>
        <w:numPr>
          <w:ilvl w:val="0"/>
          <w:numId w:val="6"/>
        </w:num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 xml:space="preserve">Quality of Madrasah service provision improves (in line with National Education Standards) in targeted </w:t>
      </w:r>
      <w:r w:rsidR="008D2891" w:rsidRPr="00851EC7">
        <w:rPr>
          <w:rFonts w:asciiTheme="minorHAnsi" w:eastAsia="Calibri" w:hAnsiTheme="minorHAnsi" w:cstheme="minorHAnsi"/>
          <w:szCs w:val="24"/>
          <w:lang w:val="en-AU" w:eastAsia="en-AU"/>
        </w:rPr>
        <w:t xml:space="preserve">districts </w:t>
      </w:r>
      <w:r w:rsidRPr="00851EC7">
        <w:rPr>
          <w:rFonts w:asciiTheme="minorHAnsi" w:eastAsia="Calibri" w:hAnsiTheme="minorHAnsi" w:cstheme="minorHAnsi"/>
          <w:szCs w:val="24"/>
          <w:lang w:val="en-AU" w:eastAsia="en-AU"/>
        </w:rPr>
        <w:t>(Component 3).</w:t>
      </w:r>
    </w:p>
    <w:p w:rsidR="00396227" w:rsidRPr="00851EC7" w:rsidRDefault="008D2891" w:rsidP="00215A8F">
      <w:pPr>
        <w:numPr>
          <w:ilvl w:val="0"/>
          <w:numId w:val="6"/>
        </w:numPr>
        <w:spacing w:before="120" w:after="120" w:line="276" w:lineRule="auto"/>
        <w:jc w:val="both"/>
        <w:rPr>
          <w:rFonts w:asciiTheme="minorHAnsi" w:eastAsia="Calibri" w:hAnsiTheme="minorHAnsi" w:cstheme="minorHAnsi"/>
          <w:szCs w:val="24"/>
          <w:lang w:val="en-AU" w:eastAsia="en-AU"/>
        </w:rPr>
      </w:pPr>
      <w:r w:rsidRPr="00851EC7">
        <w:rPr>
          <w:rFonts w:asciiTheme="minorHAnsi" w:eastAsia="Calibri" w:hAnsiTheme="minorHAnsi" w:cstheme="minorHAnsi"/>
          <w:szCs w:val="24"/>
          <w:lang w:val="en-AU" w:eastAsia="en-AU"/>
        </w:rPr>
        <w:t>ACDP evidence is incorporated in relevant education sector policies, regulations, plans and budgets</w:t>
      </w:r>
      <w:r w:rsidR="00680BDC" w:rsidRPr="00851EC7">
        <w:rPr>
          <w:rFonts w:asciiTheme="minorHAnsi" w:eastAsia="Calibri" w:hAnsiTheme="minorHAnsi" w:cstheme="minorHAnsi"/>
          <w:szCs w:val="24"/>
          <w:lang w:val="en-AU" w:eastAsia="en-AU"/>
        </w:rPr>
        <w:t xml:space="preserve"> (Component 4).</w:t>
      </w:r>
    </w:p>
    <w:p w:rsidR="00396227" w:rsidRPr="00851EC7" w:rsidRDefault="00396227"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These EOPOs describe the highest level of change over which the EP has significant in</w:t>
      </w:r>
      <w:r w:rsidR="003454D1" w:rsidRPr="00851EC7">
        <w:rPr>
          <w:rFonts w:asciiTheme="minorHAnsi" w:hAnsiTheme="minorHAnsi" w:cstheme="minorHAnsi"/>
          <w:lang w:val="en-AU"/>
        </w:rPr>
        <w:t xml:space="preserve">fluence (see </w:t>
      </w:r>
      <w:r w:rsidR="00817845" w:rsidRPr="00851EC7">
        <w:rPr>
          <w:rFonts w:asciiTheme="minorHAnsi" w:hAnsiTheme="minorHAnsi" w:cstheme="minorHAnsi"/>
          <w:lang w:val="en-AU"/>
        </w:rPr>
        <w:t>the current</w:t>
      </w:r>
      <w:r w:rsidR="00680BDC" w:rsidRPr="00851EC7">
        <w:rPr>
          <w:rStyle w:val="FootnoteReference"/>
          <w:rFonts w:cstheme="minorHAnsi"/>
          <w:lang w:val="en-AU"/>
        </w:rPr>
        <w:footnoteReference w:id="2"/>
      </w:r>
      <w:r w:rsidR="00817845" w:rsidRPr="00851EC7">
        <w:rPr>
          <w:rFonts w:asciiTheme="minorHAnsi" w:hAnsiTheme="minorHAnsi" w:cstheme="minorHAnsi"/>
          <w:lang w:val="en-AU"/>
        </w:rPr>
        <w:t xml:space="preserve"> </w:t>
      </w:r>
      <w:r w:rsidR="00C7786C" w:rsidRPr="00851EC7">
        <w:rPr>
          <w:rFonts w:asciiTheme="minorHAnsi" w:hAnsiTheme="minorHAnsi" w:cstheme="minorHAnsi"/>
          <w:lang w:val="en-AU"/>
        </w:rPr>
        <w:t>EP logic ar</w:t>
      </w:r>
      <w:r w:rsidR="00817845" w:rsidRPr="00851EC7">
        <w:rPr>
          <w:rFonts w:asciiTheme="minorHAnsi" w:hAnsiTheme="minorHAnsi" w:cstheme="minorHAnsi"/>
          <w:lang w:val="en-AU"/>
        </w:rPr>
        <w:t xml:space="preserve">chitecture in </w:t>
      </w:r>
      <w:r w:rsidR="003454D1" w:rsidRPr="00851EC7">
        <w:rPr>
          <w:rFonts w:asciiTheme="minorHAnsi" w:hAnsiTheme="minorHAnsi" w:cstheme="minorHAnsi"/>
          <w:lang w:val="en-AU"/>
        </w:rPr>
        <w:t xml:space="preserve">Annex </w:t>
      </w:r>
      <w:r w:rsidR="00517297" w:rsidRPr="00851EC7">
        <w:rPr>
          <w:rFonts w:asciiTheme="minorHAnsi" w:hAnsiTheme="minorHAnsi" w:cstheme="minorHAnsi"/>
          <w:lang w:val="en-AU"/>
        </w:rPr>
        <w:t>I</w:t>
      </w:r>
      <w:r w:rsidRPr="00851EC7">
        <w:rPr>
          <w:rFonts w:asciiTheme="minorHAnsi" w:hAnsiTheme="minorHAnsi" w:cstheme="minorHAnsi"/>
          <w:lang w:val="en-AU"/>
        </w:rPr>
        <w:t xml:space="preserve">). The EP uses various modalities to deliver its support, e.g. earmarked budget support (Components 1 and 2), project delivery (Component 3), and technical assistance to GoI agencies (Components 1-4). </w:t>
      </w:r>
      <w:r w:rsidR="008D2891" w:rsidRPr="00851EC7">
        <w:rPr>
          <w:rFonts w:asciiTheme="minorHAnsi" w:hAnsiTheme="minorHAnsi" w:cstheme="minorHAnsi"/>
          <w:lang w:val="en-AU"/>
        </w:rPr>
        <w:t xml:space="preserve">Since </w:t>
      </w:r>
      <w:r w:rsidRPr="00851EC7">
        <w:rPr>
          <w:rFonts w:asciiTheme="minorHAnsi" w:hAnsiTheme="minorHAnsi" w:cstheme="minorHAnsi"/>
          <w:lang w:val="en-AU"/>
        </w:rPr>
        <w:t xml:space="preserve">late 2013, the majority of expenditure in Components 1 and 2 </w:t>
      </w:r>
      <w:r w:rsidR="00CF3151" w:rsidRPr="00851EC7">
        <w:rPr>
          <w:rFonts w:asciiTheme="minorHAnsi" w:hAnsiTheme="minorHAnsi" w:cstheme="minorHAnsi"/>
          <w:lang w:val="en-AU"/>
        </w:rPr>
        <w:t>has been</w:t>
      </w:r>
      <w:r w:rsidRPr="00851EC7">
        <w:rPr>
          <w:rFonts w:asciiTheme="minorHAnsi" w:hAnsiTheme="minorHAnsi" w:cstheme="minorHAnsi"/>
          <w:lang w:val="en-AU"/>
        </w:rPr>
        <w:t xml:space="preserve"> made through government systems.</w:t>
      </w:r>
    </w:p>
    <w:p w:rsidR="00C7786C" w:rsidRPr="00851EC7" w:rsidRDefault="00C7786C" w:rsidP="00896DF8">
      <w:pPr>
        <w:spacing w:before="120" w:after="120" w:line="276" w:lineRule="auto"/>
        <w:jc w:val="both"/>
        <w:rPr>
          <w:rFonts w:asciiTheme="minorHAnsi" w:hAnsiTheme="minorHAnsi" w:cstheme="minorHAnsi"/>
          <w:lang w:val="en-AU"/>
        </w:rPr>
      </w:pPr>
    </w:p>
    <w:p w:rsidR="00396227" w:rsidRPr="00851EC7" w:rsidRDefault="00396227" w:rsidP="00DC41F6">
      <w:pPr>
        <w:pStyle w:val="Heading2"/>
      </w:pPr>
      <w:bookmarkStart w:id="11" w:name="_Toc372401477"/>
      <w:r w:rsidRPr="00851EC7">
        <w:t xml:space="preserve">The Annual </w:t>
      </w:r>
      <w:r w:rsidR="00466FA8" w:rsidRPr="00851EC7">
        <w:t>Partnership Performance</w:t>
      </w:r>
      <w:r w:rsidRPr="00851EC7">
        <w:t xml:space="preserve"> Report</w:t>
      </w:r>
      <w:bookmarkEnd w:id="11"/>
    </w:p>
    <w:p w:rsidR="00396227" w:rsidRPr="00851EC7" w:rsidRDefault="00396227" w:rsidP="00DC41F6">
      <w:pPr>
        <w:pStyle w:val="Heading3"/>
      </w:pPr>
      <w:bookmarkStart w:id="12" w:name="_Toc372401478"/>
      <w:r w:rsidRPr="00851EC7">
        <w:t>Objective</w:t>
      </w:r>
      <w:bookmarkEnd w:id="12"/>
    </w:p>
    <w:p w:rsidR="00D64B25" w:rsidRPr="00851EC7" w:rsidRDefault="00994C63"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 xml:space="preserve">The EP remains Australia’s largest ever bilateral program. </w:t>
      </w:r>
      <w:r w:rsidR="00D64B25" w:rsidRPr="00851EC7">
        <w:rPr>
          <w:rFonts w:asciiTheme="minorHAnsi" w:hAnsiTheme="minorHAnsi" w:cstheme="minorHAnsi"/>
          <w:lang w:val="en-AU"/>
        </w:rPr>
        <w:t xml:space="preserve">It is important that </w:t>
      </w:r>
      <w:r w:rsidRPr="00851EC7">
        <w:rPr>
          <w:rFonts w:asciiTheme="minorHAnsi" w:hAnsiTheme="minorHAnsi" w:cstheme="minorHAnsi"/>
          <w:lang w:val="en-AU"/>
        </w:rPr>
        <w:t xml:space="preserve">the program generates significant ‘developmental return’, that </w:t>
      </w:r>
      <w:r w:rsidR="00D64B25" w:rsidRPr="00851EC7">
        <w:rPr>
          <w:rFonts w:asciiTheme="minorHAnsi" w:hAnsiTheme="minorHAnsi" w:cstheme="minorHAnsi"/>
          <w:lang w:val="en-AU"/>
        </w:rPr>
        <w:t>implementation is carefully scrutinized, and that results and lessons are captured</w:t>
      </w:r>
      <w:r w:rsidRPr="00851EC7">
        <w:rPr>
          <w:rFonts w:asciiTheme="minorHAnsi" w:hAnsiTheme="minorHAnsi" w:cstheme="minorHAnsi"/>
          <w:lang w:val="en-AU"/>
        </w:rPr>
        <w:t>,</w:t>
      </w:r>
      <w:r w:rsidR="00D64B25" w:rsidRPr="00851EC7">
        <w:rPr>
          <w:rFonts w:asciiTheme="minorHAnsi" w:hAnsiTheme="minorHAnsi" w:cstheme="minorHAnsi"/>
          <w:lang w:val="en-AU"/>
        </w:rPr>
        <w:t xml:space="preserve"> shared</w:t>
      </w:r>
      <w:r w:rsidRPr="00851EC7">
        <w:rPr>
          <w:rFonts w:asciiTheme="minorHAnsi" w:hAnsiTheme="minorHAnsi" w:cstheme="minorHAnsi"/>
          <w:lang w:val="en-AU"/>
        </w:rPr>
        <w:t xml:space="preserve"> and fed into decision-making processes</w:t>
      </w:r>
      <w:r w:rsidR="00D64B25" w:rsidRPr="00851EC7">
        <w:rPr>
          <w:rFonts w:asciiTheme="minorHAnsi" w:hAnsiTheme="minorHAnsi" w:cstheme="minorHAnsi"/>
          <w:lang w:val="en-AU"/>
        </w:rPr>
        <w:t xml:space="preserve">. The EP Performance Oversight and Monitoring (POM) team is charged with generating timely evidence and actionable </w:t>
      </w:r>
      <w:r w:rsidR="00D64B25" w:rsidRPr="00851EC7">
        <w:rPr>
          <w:rFonts w:asciiTheme="minorHAnsi" w:hAnsiTheme="minorHAnsi" w:cstheme="minorHAnsi"/>
          <w:lang w:val="en-AU"/>
        </w:rPr>
        <w:lastRenderedPageBreak/>
        <w:t xml:space="preserve">recommendations so that </w:t>
      </w:r>
      <w:r w:rsidR="00834CB4" w:rsidRPr="00851EC7">
        <w:rPr>
          <w:rFonts w:asciiTheme="minorHAnsi" w:hAnsiTheme="minorHAnsi" w:cstheme="minorHAnsi"/>
          <w:lang w:val="en-AU"/>
        </w:rPr>
        <w:t xml:space="preserve">the </w:t>
      </w:r>
      <w:r w:rsidR="00E45CCB" w:rsidRPr="00851EC7">
        <w:rPr>
          <w:rFonts w:asciiTheme="minorHAnsi" w:hAnsiTheme="minorHAnsi" w:cstheme="minorHAnsi"/>
          <w:lang w:val="en-AU"/>
        </w:rPr>
        <w:t>Australian Department for Foreign Affairs and Trade (</w:t>
      </w:r>
      <w:r w:rsidR="00D64B25" w:rsidRPr="00851EC7">
        <w:rPr>
          <w:rFonts w:asciiTheme="minorHAnsi" w:hAnsiTheme="minorHAnsi" w:cstheme="minorHAnsi"/>
          <w:lang w:val="en-AU"/>
        </w:rPr>
        <w:t>DFAT</w:t>
      </w:r>
      <w:r w:rsidR="00E45CCB" w:rsidRPr="00851EC7">
        <w:rPr>
          <w:rFonts w:asciiTheme="minorHAnsi" w:hAnsiTheme="minorHAnsi" w:cstheme="minorHAnsi"/>
          <w:lang w:val="en-AU"/>
        </w:rPr>
        <w:t>)</w:t>
      </w:r>
      <w:r w:rsidR="00D64B25" w:rsidRPr="00851EC7">
        <w:rPr>
          <w:rFonts w:asciiTheme="minorHAnsi" w:hAnsiTheme="minorHAnsi" w:cstheme="minorHAnsi"/>
          <w:lang w:val="en-AU"/>
        </w:rPr>
        <w:t xml:space="preserve"> and its partners can safeguard Australia’s investment in the EP; improve EP management and implementation; strengthen education policy dialogue with the GoI; and guide future Australian investment in the Indonesian education sector.</w:t>
      </w:r>
    </w:p>
    <w:p w:rsidR="00BA0E69" w:rsidRPr="00851EC7" w:rsidRDefault="00466FA8"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The Annual Partnership Performance Report (APPR)</w:t>
      </w:r>
      <w:r w:rsidR="00994C63" w:rsidRPr="00851EC7">
        <w:rPr>
          <w:rFonts w:asciiTheme="minorHAnsi" w:hAnsiTheme="minorHAnsi" w:cstheme="minorHAnsi"/>
          <w:lang w:val="en-AU"/>
        </w:rPr>
        <w:t xml:space="preserve"> provides </w:t>
      </w:r>
      <w:r w:rsidR="00E45CCB" w:rsidRPr="00851EC7">
        <w:rPr>
          <w:rFonts w:asciiTheme="minorHAnsi" w:hAnsiTheme="minorHAnsi" w:cstheme="minorHAnsi"/>
          <w:lang w:val="en-AU"/>
        </w:rPr>
        <w:t>a</w:t>
      </w:r>
      <w:r w:rsidR="0026072B" w:rsidRPr="00851EC7">
        <w:rPr>
          <w:rFonts w:asciiTheme="minorHAnsi" w:hAnsiTheme="minorHAnsi" w:cstheme="minorHAnsi"/>
          <w:lang w:val="en-AU"/>
        </w:rPr>
        <w:t>n objective</w:t>
      </w:r>
      <w:r w:rsidR="00994C63" w:rsidRPr="00851EC7">
        <w:rPr>
          <w:rFonts w:asciiTheme="minorHAnsi" w:hAnsiTheme="minorHAnsi" w:cstheme="minorHAnsi"/>
          <w:lang w:val="en-AU"/>
        </w:rPr>
        <w:t xml:space="preserve"> assessment of </w:t>
      </w:r>
      <w:r w:rsidR="00E45CCB" w:rsidRPr="00851EC7">
        <w:rPr>
          <w:rFonts w:asciiTheme="minorHAnsi" w:hAnsiTheme="minorHAnsi" w:cstheme="minorHAnsi"/>
          <w:lang w:val="en-AU"/>
        </w:rPr>
        <w:t>program</w:t>
      </w:r>
      <w:r w:rsidR="00E935E4" w:rsidRPr="00851EC7">
        <w:rPr>
          <w:rFonts w:asciiTheme="minorHAnsi" w:hAnsiTheme="minorHAnsi" w:cstheme="minorHAnsi"/>
          <w:lang w:val="en-AU"/>
        </w:rPr>
        <w:t xml:space="preserve"> </w:t>
      </w:r>
      <w:r w:rsidR="00C7786C" w:rsidRPr="00851EC7">
        <w:rPr>
          <w:rFonts w:asciiTheme="minorHAnsi" w:hAnsiTheme="minorHAnsi" w:cstheme="minorHAnsi"/>
          <w:lang w:val="en-AU"/>
        </w:rPr>
        <w:t>achievements</w:t>
      </w:r>
      <w:r w:rsidR="00E935E4" w:rsidRPr="00851EC7">
        <w:rPr>
          <w:rFonts w:asciiTheme="minorHAnsi" w:hAnsiTheme="minorHAnsi" w:cstheme="minorHAnsi"/>
          <w:lang w:val="en-AU"/>
        </w:rPr>
        <w:t>, weaknesses, opportunities and challenges</w:t>
      </w:r>
      <w:r w:rsidR="00E45CCB" w:rsidRPr="00851EC7">
        <w:rPr>
          <w:rFonts w:asciiTheme="minorHAnsi" w:hAnsiTheme="minorHAnsi" w:cstheme="minorHAnsi"/>
          <w:lang w:val="en-AU"/>
        </w:rPr>
        <w:t xml:space="preserve">. As such, it speaks to </w:t>
      </w:r>
      <w:r w:rsidR="00E935E4" w:rsidRPr="00851EC7">
        <w:rPr>
          <w:rFonts w:asciiTheme="minorHAnsi" w:hAnsiTheme="minorHAnsi" w:cstheme="minorHAnsi"/>
          <w:lang w:val="en-AU"/>
        </w:rPr>
        <w:t>DFAT’s aid scrutiny objectives, whilst also</w:t>
      </w:r>
      <w:r w:rsidR="00E45CCB" w:rsidRPr="00851EC7">
        <w:rPr>
          <w:rFonts w:asciiTheme="minorHAnsi" w:hAnsiTheme="minorHAnsi" w:cstheme="minorHAnsi"/>
          <w:lang w:val="en-AU"/>
        </w:rPr>
        <w:t xml:space="preserve"> seeking to</w:t>
      </w:r>
      <w:r w:rsidR="00994C63" w:rsidRPr="00851EC7">
        <w:rPr>
          <w:rFonts w:asciiTheme="minorHAnsi" w:hAnsiTheme="minorHAnsi" w:cstheme="minorHAnsi"/>
          <w:lang w:val="en-AU"/>
        </w:rPr>
        <w:t xml:space="preserve"> inform program management decisions and strategic </w:t>
      </w:r>
      <w:r w:rsidRPr="00851EC7">
        <w:rPr>
          <w:rFonts w:asciiTheme="minorHAnsi" w:hAnsiTheme="minorHAnsi" w:cstheme="minorHAnsi"/>
          <w:lang w:val="en-AU"/>
        </w:rPr>
        <w:t>dialogue between</w:t>
      </w:r>
      <w:r w:rsidR="004A51AF" w:rsidRPr="00851EC7">
        <w:rPr>
          <w:rFonts w:asciiTheme="minorHAnsi" w:hAnsiTheme="minorHAnsi" w:cstheme="minorHAnsi"/>
          <w:lang w:val="en-AU"/>
        </w:rPr>
        <w:t xml:space="preserve"> the Governments of Australia and</w:t>
      </w:r>
      <w:r w:rsidR="00C7786C" w:rsidRPr="00851EC7">
        <w:rPr>
          <w:rFonts w:asciiTheme="minorHAnsi" w:hAnsiTheme="minorHAnsi" w:cstheme="minorHAnsi"/>
          <w:lang w:val="en-AU"/>
        </w:rPr>
        <w:t xml:space="preserve"> of</w:t>
      </w:r>
      <w:r w:rsidR="004A51AF" w:rsidRPr="00851EC7">
        <w:rPr>
          <w:rFonts w:asciiTheme="minorHAnsi" w:hAnsiTheme="minorHAnsi" w:cstheme="minorHAnsi"/>
          <w:lang w:val="en-AU"/>
        </w:rPr>
        <w:t xml:space="preserve"> Indonesia</w:t>
      </w:r>
      <w:r w:rsidR="00994C63" w:rsidRPr="00851EC7">
        <w:rPr>
          <w:rFonts w:asciiTheme="minorHAnsi" w:hAnsiTheme="minorHAnsi" w:cstheme="minorHAnsi"/>
          <w:lang w:val="en-AU"/>
        </w:rPr>
        <w:t xml:space="preserve"> about sector performance and emerging priorities</w:t>
      </w:r>
      <w:r w:rsidRPr="00851EC7">
        <w:rPr>
          <w:rFonts w:asciiTheme="minorHAnsi" w:hAnsiTheme="minorHAnsi" w:cstheme="minorHAnsi"/>
          <w:lang w:val="en-AU"/>
        </w:rPr>
        <w:t xml:space="preserve">. </w:t>
      </w:r>
    </w:p>
    <w:p w:rsidR="00062CCA" w:rsidRPr="00851EC7" w:rsidRDefault="00E935E4"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The 201</w:t>
      </w:r>
      <w:r w:rsidR="008D2891" w:rsidRPr="00851EC7">
        <w:rPr>
          <w:rFonts w:asciiTheme="minorHAnsi" w:hAnsiTheme="minorHAnsi" w:cstheme="minorHAnsi"/>
          <w:lang w:val="en-AU"/>
        </w:rPr>
        <w:t>4</w:t>
      </w:r>
      <w:r w:rsidRPr="00851EC7">
        <w:rPr>
          <w:rFonts w:asciiTheme="minorHAnsi" w:hAnsiTheme="minorHAnsi" w:cstheme="minorHAnsi"/>
          <w:lang w:val="en-AU"/>
        </w:rPr>
        <w:t xml:space="preserve"> APPR – POM’s </w:t>
      </w:r>
      <w:r w:rsidR="008D2891" w:rsidRPr="00851EC7">
        <w:rPr>
          <w:rFonts w:asciiTheme="minorHAnsi" w:hAnsiTheme="minorHAnsi" w:cstheme="minorHAnsi"/>
          <w:lang w:val="en-AU"/>
        </w:rPr>
        <w:t>third</w:t>
      </w:r>
      <w:r w:rsidRPr="00851EC7">
        <w:rPr>
          <w:rFonts w:asciiTheme="minorHAnsi" w:hAnsiTheme="minorHAnsi" w:cstheme="minorHAnsi"/>
          <w:lang w:val="en-AU"/>
        </w:rPr>
        <w:t>, full APPR of the EP</w:t>
      </w:r>
      <w:r w:rsidR="001469B9" w:rsidRPr="00851EC7">
        <w:rPr>
          <w:rFonts w:asciiTheme="minorHAnsi" w:hAnsiTheme="minorHAnsi" w:cstheme="minorHAnsi"/>
          <w:lang w:val="en-AU"/>
        </w:rPr>
        <w:t xml:space="preserve"> </w:t>
      </w:r>
      <w:r w:rsidRPr="00851EC7">
        <w:rPr>
          <w:rFonts w:asciiTheme="minorHAnsi" w:hAnsiTheme="minorHAnsi" w:cstheme="minorHAnsi"/>
          <w:lang w:val="en-AU"/>
        </w:rPr>
        <w:t xml:space="preserve">– </w:t>
      </w:r>
      <w:r w:rsidR="00466FA8" w:rsidRPr="00851EC7">
        <w:rPr>
          <w:rFonts w:asciiTheme="minorHAnsi" w:hAnsiTheme="minorHAnsi" w:cstheme="minorHAnsi"/>
          <w:lang w:val="en-AU"/>
        </w:rPr>
        <w:t>report</w:t>
      </w:r>
      <w:r w:rsidR="00EE7DC4" w:rsidRPr="00851EC7">
        <w:rPr>
          <w:rFonts w:asciiTheme="minorHAnsi" w:hAnsiTheme="minorHAnsi" w:cstheme="minorHAnsi"/>
          <w:lang w:val="en-AU"/>
        </w:rPr>
        <w:t>s and</w:t>
      </w:r>
      <w:r w:rsidR="00466FA8" w:rsidRPr="00851EC7">
        <w:rPr>
          <w:rFonts w:asciiTheme="minorHAnsi" w:hAnsiTheme="minorHAnsi" w:cstheme="minorHAnsi"/>
          <w:lang w:val="en-AU"/>
        </w:rPr>
        <w:t xml:space="preserve"> </w:t>
      </w:r>
      <w:r w:rsidR="00062CCA" w:rsidRPr="00851EC7">
        <w:rPr>
          <w:rFonts w:asciiTheme="minorHAnsi" w:hAnsiTheme="minorHAnsi" w:cstheme="minorHAnsi"/>
          <w:lang w:val="en-AU"/>
        </w:rPr>
        <w:t>analy</w:t>
      </w:r>
      <w:r w:rsidR="00896DF8" w:rsidRPr="00851EC7">
        <w:rPr>
          <w:rFonts w:asciiTheme="minorHAnsi" w:hAnsiTheme="minorHAnsi" w:cstheme="minorHAnsi"/>
          <w:lang w:val="en-AU"/>
        </w:rPr>
        <w:t>s</w:t>
      </w:r>
      <w:r w:rsidR="00062CCA" w:rsidRPr="00851EC7">
        <w:rPr>
          <w:rFonts w:asciiTheme="minorHAnsi" w:hAnsiTheme="minorHAnsi" w:cstheme="minorHAnsi"/>
          <w:lang w:val="en-AU"/>
        </w:rPr>
        <w:t>e</w:t>
      </w:r>
      <w:r w:rsidR="004A51AF" w:rsidRPr="00851EC7">
        <w:rPr>
          <w:rFonts w:asciiTheme="minorHAnsi" w:hAnsiTheme="minorHAnsi" w:cstheme="minorHAnsi"/>
          <w:lang w:val="en-AU"/>
        </w:rPr>
        <w:t>s</w:t>
      </w:r>
      <w:r w:rsidR="00466FA8" w:rsidRPr="00851EC7">
        <w:rPr>
          <w:rFonts w:asciiTheme="minorHAnsi" w:hAnsiTheme="minorHAnsi" w:cstheme="minorHAnsi"/>
          <w:lang w:val="en-AU"/>
        </w:rPr>
        <w:t xml:space="preserve"> </w:t>
      </w:r>
      <w:r w:rsidRPr="00851EC7">
        <w:rPr>
          <w:rFonts w:asciiTheme="minorHAnsi" w:hAnsiTheme="minorHAnsi" w:cstheme="minorHAnsi"/>
          <w:lang w:val="en-AU"/>
        </w:rPr>
        <w:t>program performance in 201</w:t>
      </w:r>
      <w:r w:rsidR="008D2891" w:rsidRPr="00851EC7">
        <w:rPr>
          <w:rFonts w:asciiTheme="minorHAnsi" w:hAnsiTheme="minorHAnsi" w:cstheme="minorHAnsi"/>
          <w:lang w:val="en-AU"/>
        </w:rPr>
        <w:t>4</w:t>
      </w:r>
      <w:r w:rsidR="00466FA8" w:rsidRPr="00851EC7">
        <w:rPr>
          <w:rFonts w:asciiTheme="minorHAnsi" w:hAnsiTheme="minorHAnsi" w:cstheme="minorHAnsi"/>
          <w:lang w:val="en-AU"/>
        </w:rPr>
        <w:t xml:space="preserve">. </w:t>
      </w:r>
      <w:r w:rsidR="004A51AF" w:rsidRPr="00851EC7">
        <w:rPr>
          <w:rFonts w:asciiTheme="minorHAnsi" w:hAnsiTheme="minorHAnsi" w:cstheme="minorHAnsi"/>
          <w:lang w:val="en-AU"/>
        </w:rPr>
        <w:t>It</w:t>
      </w:r>
      <w:r w:rsidR="00062CCA" w:rsidRPr="00851EC7">
        <w:rPr>
          <w:rFonts w:asciiTheme="minorHAnsi" w:hAnsiTheme="minorHAnsi" w:cstheme="minorHAnsi"/>
          <w:lang w:val="en-AU"/>
        </w:rPr>
        <w:t xml:space="preserve"> seeks to deliver:</w:t>
      </w:r>
    </w:p>
    <w:p w:rsidR="00BB3873" w:rsidRPr="00851EC7" w:rsidRDefault="00062CCA" w:rsidP="00215A8F">
      <w:pPr>
        <w:pStyle w:val="ListParagraph"/>
        <w:numPr>
          <w:ilvl w:val="0"/>
          <w:numId w:val="12"/>
        </w:numPr>
        <w:spacing w:before="120" w:after="120"/>
        <w:jc w:val="both"/>
        <w:rPr>
          <w:rFonts w:asciiTheme="minorHAnsi" w:hAnsiTheme="minorHAnsi" w:cstheme="minorHAnsi"/>
          <w:lang w:val="en-AU"/>
        </w:rPr>
      </w:pPr>
      <w:r w:rsidRPr="00851EC7">
        <w:rPr>
          <w:rFonts w:asciiTheme="minorHAnsi" w:hAnsiTheme="minorHAnsi" w:cstheme="minorHAnsi"/>
          <w:lang w:val="en-AU"/>
        </w:rPr>
        <w:t xml:space="preserve">A clear, </w:t>
      </w:r>
      <w:r w:rsidR="00BB3873" w:rsidRPr="00851EC7">
        <w:rPr>
          <w:rFonts w:asciiTheme="minorHAnsi" w:hAnsiTheme="minorHAnsi" w:cstheme="minorHAnsi"/>
          <w:lang w:val="en-AU"/>
        </w:rPr>
        <w:t xml:space="preserve">concise and </w:t>
      </w:r>
      <w:r w:rsidRPr="00851EC7">
        <w:rPr>
          <w:rFonts w:asciiTheme="minorHAnsi" w:hAnsiTheme="minorHAnsi" w:cstheme="minorHAnsi"/>
          <w:lang w:val="en-AU"/>
        </w:rPr>
        <w:t xml:space="preserve">evidence-informed picture of </w:t>
      </w:r>
      <w:r w:rsidR="00BB3873" w:rsidRPr="00851EC7">
        <w:rPr>
          <w:rFonts w:asciiTheme="minorHAnsi" w:hAnsiTheme="minorHAnsi" w:cstheme="minorHAnsi"/>
          <w:lang w:val="en-AU"/>
        </w:rPr>
        <w:t xml:space="preserve">achievements </w:t>
      </w:r>
      <w:r w:rsidR="0026072B" w:rsidRPr="00851EC7">
        <w:rPr>
          <w:rFonts w:asciiTheme="minorHAnsi" w:hAnsiTheme="minorHAnsi" w:cstheme="minorHAnsi"/>
          <w:lang w:val="en-AU"/>
        </w:rPr>
        <w:t>over the year</w:t>
      </w:r>
      <w:r w:rsidR="00BB3873" w:rsidRPr="00851EC7">
        <w:rPr>
          <w:rFonts w:asciiTheme="minorHAnsi" w:hAnsiTheme="minorHAnsi" w:cstheme="minorHAnsi"/>
          <w:lang w:val="en-AU"/>
        </w:rPr>
        <w:t>.</w:t>
      </w:r>
    </w:p>
    <w:p w:rsidR="00062CCA" w:rsidRPr="00851EC7" w:rsidRDefault="00BB3873" w:rsidP="00215A8F">
      <w:pPr>
        <w:pStyle w:val="ListParagraph"/>
        <w:numPr>
          <w:ilvl w:val="0"/>
          <w:numId w:val="12"/>
        </w:numPr>
        <w:spacing w:before="120" w:after="120"/>
        <w:jc w:val="both"/>
        <w:rPr>
          <w:rFonts w:asciiTheme="minorHAnsi" w:hAnsiTheme="minorHAnsi" w:cstheme="minorHAnsi"/>
          <w:lang w:val="en-AU"/>
        </w:rPr>
      </w:pPr>
      <w:r w:rsidRPr="00851EC7">
        <w:rPr>
          <w:rFonts w:asciiTheme="minorHAnsi" w:hAnsiTheme="minorHAnsi" w:cstheme="minorHAnsi"/>
          <w:lang w:val="en-AU"/>
        </w:rPr>
        <w:t>A clear and concise commentary about concerns and possible challenges in 201</w:t>
      </w:r>
      <w:r w:rsidR="008D2891" w:rsidRPr="00851EC7">
        <w:rPr>
          <w:rFonts w:asciiTheme="minorHAnsi" w:hAnsiTheme="minorHAnsi" w:cstheme="minorHAnsi"/>
          <w:lang w:val="en-AU"/>
        </w:rPr>
        <w:t>5</w:t>
      </w:r>
      <w:r w:rsidRPr="00851EC7">
        <w:rPr>
          <w:rFonts w:asciiTheme="minorHAnsi" w:hAnsiTheme="minorHAnsi" w:cstheme="minorHAnsi"/>
          <w:lang w:val="en-AU"/>
        </w:rPr>
        <w:t>-16</w:t>
      </w:r>
      <w:r w:rsidR="00062CCA" w:rsidRPr="00851EC7">
        <w:rPr>
          <w:rFonts w:asciiTheme="minorHAnsi" w:hAnsiTheme="minorHAnsi" w:cstheme="minorHAnsi"/>
          <w:lang w:val="en-AU"/>
        </w:rPr>
        <w:t>.</w:t>
      </w:r>
    </w:p>
    <w:p w:rsidR="00062CCA" w:rsidRPr="00851EC7" w:rsidRDefault="00062CCA" w:rsidP="00215A8F">
      <w:pPr>
        <w:pStyle w:val="ListParagraph"/>
        <w:numPr>
          <w:ilvl w:val="0"/>
          <w:numId w:val="12"/>
        </w:numPr>
        <w:spacing w:before="120" w:after="120"/>
        <w:jc w:val="both"/>
        <w:rPr>
          <w:rFonts w:asciiTheme="minorHAnsi" w:hAnsiTheme="minorHAnsi" w:cstheme="minorHAnsi"/>
          <w:lang w:val="en-AU"/>
        </w:rPr>
      </w:pPr>
      <w:r w:rsidRPr="00851EC7">
        <w:rPr>
          <w:rFonts w:asciiTheme="minorHAnsi" w:hAnsiTheme="minorHAnsi" w:cstheme="minorHAnsi"/>
          <w:lang w:val="en-AU"/>
        </w:rPr>
        <w:t>A set of action-oriented recommendations.</w:t>
      </w:r>
    </w:p>
    <w:p w:rsidR="00786C58" w:rsidRPr="00851EC7" w:rsidRDefault="00786C58" w:rsidP="00DC41F6">
      <w:pPr>
        <w:pStyle w:val="Heading3"/>
      </w:pPr>
      <w:bookmarkStart w:id="13" w:name="_Toc372401483"/>
      <w:r w:rsidRPr="00851EC7">
        <w:t>Approach</w:t>
      </w:r>
      <w:bookmarkEnd w:id="13"/>
    </w:p>
    <w:p w:rsidR="00F1558B" w:rsidRPr="00851EC7" w:rsidRDefault="00426352" w:rsidP="00426352">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 xml:space="preserve">POM’s analysis </w:t>
      </w:r>
      <w:r w:rsidR="00786C58" w:rsidRPr="00851EC7">
        <w:rPr>
          <w:rFonts w:asciiTheme="minorHAnsi" w:hAnsiTheme="minorHAnsi" w:cstheme="minorHAnsi"/>
          <w:lang w:val="en-AU"/>
        </w:rPr>
        <w:t>of EP performance draws on OECD</w:t>
      </w:r>
      <w:r w:rsidRPr="00851EC7">
        <w:rPr>
          <w:rFonts w:asciiTheme="minorHAnsi" w:hAnsiTheme="minorHAnsi" w:cstheme="minorHAnsi"/>
          <w:lang w:val="en-AU"/>
        </w:rPr>
        <w:t>’s</w:t>
      </w:r>
      <w:r w:rsidR="00786C58" w:rsidRPr="00851EC7">
        <w:rPr>
          <w:rFonts w:asciiTheme="minorHAnsi" w:hAnsiTheme="minorHAnsi" w:cstheme="minorHAnsi"/>
          <w:lang w:val="en-AU"/>
        </w:rPr>
        <w:t xml:space="preserve"> DAC criteria</w:t>
      </w:r>
      <w:r w:rsidR="00F1558B" w:rsidRPr="00851EC7">
        <w:rPr>
          <w:rFonts w:asciiTheme="minorHAnsi" w:hAnsiTheme="minorHAnsi" w:cstheme="minorHAnsi"/>
          <w:lang w:val="en-AU"/>
        </w:rPr>
        <w:t xml:space="preserve"> of</w:t>
      </w:r>
      <w:r w:rsidR="00786C58" w:rsidRPr="00851EC7">
        <w:rPr>
          <w:rFonts w:asciiTheme="minorHAnsi" w:hAnsiTheme="minorHAnsi" w:cstheme="minorHAnsi"/>
          <w:lang w:val="en-AU"/>
        </w:rPr>
        <w:t xml:space="preserve"> </w:t>
      </w:r>
      <w:r w:rsidR="00517297" w:rsidRPr="00851EC7">
        <w:rPr>
          <w:rFonts w:asciiTheme="minorHAnsi" w:hAnsiTheme="minorHAnsi" w:cstheme="minorHAnsi"/>
          <w:lang w:val="en-AU"/>
        </w:rPr>
        <w:t xml:space="preserve">relevance, </w:t>
      </w:r>
      <w:r w:rsidR="00786C58" w:rsidRPr="00851EC7">
        <w:rPr>
          <w:rFonts w:asciiTheme="minorHAnsi" w:hAnsiTheme="minorHAnsi" w:cstheme="minorHAnsi"/>
          <w:lang w:val="en-AU"/>
        </w:rPr>
        <w:t xml:space="preserve">efficiency, effectiveness, impact and sustainability. </w:t>
      </w:r>
      <w:r w:rsidR="00EE7DC4" w:rsidRPr="00851EC7">
        <w:rPr>
          <w:rFonts w:asciiTheme="minorHAnsi" w:hAnsiTheme="minorHAnsi" w:cstheme="minorHAnsi"/>
          <w:lang w:val="en-AU"/>
        </w:rPr>
        <w:t xml:space="preserve">As such, it also </w:t>
      </w:r>
      <w:r w:rsidRPr="00851EC7">
        <w:rPr>
          <w:rFonts w:asciiTheme="minorHAnsi" w:hAnsiTheme="minorHAnsi" w:cstheme="minorHAnsi"/>
          <w:lang w:val="en-AU"/>
        </w:rPr>
        <w:t xml:space="preserve">speaks to the requirements of </w:t>
      </w:r>
      <w:r w:rsidR="00EE7DC4" w:rsidRPr="00851EC7">
        <w:rPr>
          <w:rFonts w:asciiTheme="minorHAnsi" w:hAnsiTheme="minorHAnsi" w:cstheme="minorHAnsi"/>
          <w:lang w:val="en-AU"/>
        </w:rPr>
        <w:t xml:space="preserve">GoA’s </w:t>
      </w:r>
      <w:r w:rsidR="00517297" w:rsidRPr="00851EC7">
        <w:rPr>
          <w:rFonts w:asciiTheme="minorHAnsi" w:hAnsiTheme="minorHAnsi" w:cstheme="minorHAnsi"/>
          <w:lang w:val="en-AU"/>
        </w:rPr>
        <w:t>Quality Reporting System (QRS)</w:t>
      </w:r>
      <w:r w:rsidR="00242FB6" w:rsidRPr="00851EC7">
        <w:rPr>
          <w:rFonts w:asciiTheme="minorHAnsi" w:hAnsiTheme="minorHAnsi" w:cstheme="minorHAnsi"/>
          <w:lang w:val="en-AU"/>
        </w:rPr>
        <w:t xml:space="preserve"> and the upcoming Aid Quality Checks</w:t>
      </w:r>
      <w:r w:rsidR="00D31574" w:rsidRPr="00851EC7">
        <w:rPr>
          <w:rFonts w:asciiTheme="minorHAnsi" w:hAnsiTheme="minorHAnsi" w:cstheme="minorHAnsi"/>
          <w:lang w:val="en-AU"/>
        </w:rPr>
        <w:t>)</w:t>
      </w:r>
      <w:r w:rsidR="00EE7DC4" w:rsidRPr="00851EC7">
        <w:rPr>
          <w:rFonts w:asciiTheme="minorHAnsi" w:hAnsiTheme="minorHAnsi" w:cstheme="minorHAnsi"/>
          <w:lang w:val="en-AU"/>
        </w:rPr>
        <w:t>.</w:t>
      </w:r>
      <w:r w:rsidR="001469B9" w:rsidRPr="00851EC7">
        <w:rPr>
          <w:rFonts w:asciiTheme="minorHAnsi" w:hAnsiTheme="minorHAnsi" w:cstheme="minorHAnsi"/>
          <w:lang w:val="en-AU"/>
        </w:rPr>
        <w:t xml:space="preserve"> </w:t>
      </w:r>
      <w:r w:rsidR="005153F6" w:rsidRPr="00851EC7">
        <w:rPr>
          <w:rFonts w:asciiTheme="minorHAnsi" w:hAnsiTheme="minorHAnsi" w:cstheme="minorHAnsi"/>
          <w:lang w:val="en-AU"/>
        </w:rPr>
        <w:t xml:space="preserve">Annex </w:t>
      </w:r>
      <w:r w:rsidR="007269E9" w:rsidRPr="00851EC7">
        <w:rPr>
          <w:rFonts w:asciiTheme="minorHAnsi" w:hAnsiTheme="minorHAnsi" w:cstheme="minorHAnsi"/>
          <w:lang w:val="en-AU"/>
        </w:rPr>
        <w:t xml:space="preserve">II </w:t>
      </w:r>
      <w:r w:rsidR="005153F6" w:rsidRPr="00851EC7">
        <w:rPr>
          <w:rFonts w:asciiTheme="minorHAnsi" w:hAnsiTheme="minorHAnsi" w:cstheme="minorHAnsi"/>
          <w:lang w:val="en-AU"/>
        </w:rPr>
        <w:t xml:space="preserve">explains the APPR interpretation of the DAC criteria and the Rating Scale used under the QRS and in this APPR is presented in Annex </w:t>
      </w:r>
      <w:r w:rsidR="007269E9" w:rsidRPr="00851EC7">
        <w:rPr>
          <w:rFonts w:asciiTheme="minorHAnsi" w:hAnsiTheme="minorHAnsi" w:cstheme="minorHAnsi"/>
          <w:lang w:val="en-AU"/>
        </w:rPr>
        <w:t>I</w:t>
      </w:r>
      <w:r w:rsidR="005153F6" w:rsidRPr="00851EC7">
        <w:rPr>
          <w:rFonts w:asciiTheme="minorHAnsi" w:hAnsiTheme="minorHAnsi" w:cstheme="minorHAnsi"/>
          <w:lang w:val="en-AU"/>
        </w:rPr>
        <w:t xml:space="preserve">II. </w:t>
      </w:r>
    </w:p>
    <w:p w:rsidR="00AC4C2B" w:rsidRPr="00851EC7" w:rsidRDefault="00AC4C2B" w:rsidP="008819C6">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The performance of each EOPO is scored, using the same system and guidelines contained with</w:t>
      </w:r>
      <w:r w:rsidR="001D27D3" w:rsidRPr="00851EC7">
        <w:rPr>
          <w:rFonts w:asciiTheme="minorHAnsi" w:hAnsiTheme="minorHAnsi" w:cstheme="minorHAnsi"/>
          <w:lang w:val="en-AU"/>
        </w:rPr>
        <w:t>in</w:t>
      </w:r>
      <w:r w:rsidRPr="00851EC7">
        <w:rPr>
          <w:rFonts w:asciiTheme="minorHAnsi" w:hAnsiTheme="minorHAnsi" w:cstheme="minorHAnsi"/>
          <w:lang w:val="en-AU"/>
        </w:rPr>
        <w:t xml:space="preserve"> GoA’s </w:t>
      </w:r>
      <w:r w:rsidR="00CF3151" w:rsidRPr="00851EC7">
        <w:rPr>
          <w:rFonts w:asciiTheme="minorHAnsi" w:hAnsiTheme="minorHAnsi" w:cstheme="minorHAnsi"/>
          <w:lang w:val="en-AU"/>
        </w:rPr>
        <w:t>Independent Completion Reporting (</w:t>
      </w:r>
      <w:r w:rsidRPr="00851EC7">
        <w:rPr>
          <w:rFonts w:asciiTheme="minorHAnsi" w:hAnsiTheme="minorHAnsi" w:cstheme="minorHAnsi"/>
          <w:lang w:val="en-AU"/>
        </w:rPr>
        <w:t>ICR</w:t>
      </w:r>
      <w:r w:rsidR="00CF3151" w:rsidRPr="00851EC7">
        <w:rPr>
          <w:rFonts w:asciiTheme="minorHAnsi" w:hAnsiTheme="minorHAnsi" w:cstheme="minorHAnsi"/>
          <w:lang w:val="en-AU"/>
        </w:rPr>
        <w:t>)</w:t>
      </w:r>
      <w:r w:rsidRPr="00851EC7">
        <w:rPr>
          <w:rFonts w:asciiTheme="minorHAnsi" w:hAnsiTheme="minorHAnsi" w:cstheme="minorHAnsi"/>
          <w:lang w:val="en-AU"/>
        </w:rPr>
        <w:t xml:space="preserve"> framework.</w:t>
      </w:r>
      <w:r w:rsidR="008D2891" w:rsidRPr="00851EC7">
        <w:rPr>
          <w:rFonts w:asciiTheme="minorHAnsi" w:hAnsiTheme="minorHAnsi" w:cstheme="minorHAnsi"/>
          <w:lang w:val="en-AU"/>
        </w:rPr>
        <w:t xml:space="preserve"> </w:t>
      </w:r>
      <w:r w:rsidR="00930A73" w:rsidRPr="00851EC7">
        <w:rPr>
          <w:bCs/>
          <w:lang w:val="en-AU"/>
        </w:rPr>
        <w:t xml:space="preserve">The rating scale used with the previous DFAT Quality Reporting System (QRS) and the upcoming Aid Quality Checks (AQC) system has been adopted. </w:t>
      </w:r>
      <w:r w:rsidR="008D2891" w:rsidRPr="00851EC7">
        <w:rPr>
          <w:rFonts w:asciiTheme="minorHAnsi" w:hAnsiTheme="minorHAnsi" w:cstheme="minorHAnsi"/>
          <w:lang w:val="en-AU"/>
        </w:rPr>
        <w:t xml:space="preserve">Scores for 2013 are </w:t>
      </w:r>
      <w:r w:rsidR="00930A73" w:rsidRPr="00851EC7">
        <w:rPr>
          <w:rFonts w:asciiTheme="minorHAnsi" w:hAnsiTheme="minorHAnsi" w:cstheme="minorHAnsi"/>
          <w:lang w:val="en-AU"/>
        </w:rPr>
        <w:t xml:space="preserve">also </w:t>
      </w:r>
      <w:r w:rsidR="008D2891" w:rsidRPr="00851EC7">
        <w:rPr>
          <w:rFonts w:asciiTheme="minorHAnsi" w:hAnsiTheme="minorHAnsi" w:cstheme="minorHAnsi"/>
          <w:lang w:val="en-AU"/>
        </w:rPr>
        <w:t xml:space="preserve">presented such that the reader can see the evolution of </w:t>
      </w:r>
      <w:r w:rsidR="00C300B4" w:rsidRPr="00851EC7">
        <w:rPr>
          <w:rFonts w:asciiTheme="minorHAnsi" w:hAnsiTheme="minorHAnsi" w:cstheme="minorHAnsi"/>
          <w:lang w:val="en-AU"/>
        </w:rPr>
        <w:t>component</w:t>
      </w:r>
      <w:r w:rsidR="008D2891" w:rsidRPr="00851EC7">
        <w:rPr>
          <w:rFonts w:asciiTheme="minorHAnsi" w:hAnsiTheme="minorHAnsi" w:cstheme="minorHAnsi"/>
          <w:lang w:val="en-AU"/>
        </w:rPr>
        <w:t xml:space="preserve"> performance</w:t>
      </w:r>
      <w:r w:rsidR="00C300B4" w:rsidRPr="00851EC7">
        <w:rPr>
          <w:rFonts w:asciiTheme="minorHAnsi" w:hAnsiTheme="minorHAnsi" w:cstheme="minorHAnsi"/>
          <w:lang w:val="en-AU"/>
        </w:rPr>
        <w:t>.</w:t>
      </w:r>
      <w:r w:rsidR="00537938">
        <w:rPr>
          <w:rFonts w:asciiTheme="minorHAnsi" w:hAnsiTheme="minorHAnsi" w:cstheme="minorHAnsi"/>
          <w:lang w:val="en-AU"/>
        </w:rPr>
        <w:t xml:space="preserve"> </w:t>
      </w:r>
    </w:p>
    <w:p w:rsidR="00F1558B" w:rsidRPr="00851EC7" w:rsidRDefault="008D2891"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 xml:space="preserve">In 2013, POM believed it was too early to provide defensible scores in some cases, particularly in the case of </w:t>
      </w:r>
      <w:r w:rsidR="001D27D3" w:rsidRPr="00851EC7">
        <w:rPr>
          <w:rFonts w:asciiTheme="minorHAnsi" w:hAnsiTheme="minorHAnsi" w:cstheme="minorHAnsi"/>
          <w:i/>
          <w:lang w:val="en-AU"/>
        </w:rPr>
        <w:t>impact</w:t>
      </w:r>
      <w:r w:rsidRPr="00851EC7">
        <w:rPr>
          <w:rFonts w:asciiTheme="minorHAnsi" w:hAnsiTheme="minorHAnsi" w:cstheme="minorHAnsi"/>
          <w:lang w:val="en-AU"/>
        </w:rPr>
        <w:t xml:space="preserve">, i.e. long-term change. </w:t>
      </w:r>
      <w:r w:rsidR="00C300B4" w:rsidRPr="00851EC7">
        <w:rPr>
          <w:rFonts w:asciiTheme="minorHAnsi" w:hAnsiTheme="minorHAnsi" w:cstheme="minorHAnsi"/>
          <w:lang w:val="en-AU"/>
        </w:rPr>
        <w:t>This year POM has sought to score all criteria, though in some cases, such as imp</w:t>
      </w:r>
      <w:r w:rsidR="00930A73" w:rsidRPr="00851EC7">
        <w:rPr>
          <w:rFonts w:asciiTheme="minorHAnsi" w:hAnsiTheme="minorHAnsi" w:cstheme="minorHAnsi"/>
          <w:lang w:val="en-AU"/>
        </w:rPr>
        <w:t>a</w:t>
      </w:r>
      <w:r w:rsidR="00C300B4" w:rsidRPr="00851EC7">
        <w:rPr>
          <w:rFonts w:asciiTheme="minorHAnsi" w:hAnsiTheme="minorHAnsi" w:cstheme="minorHAnsi"/>
          <w:lang w:val="en-AU"/>
        </w:rPr>
        <w:t>ct and su</w:t>
      </w:r>
      <w:r w:rsidR="00930A73" w:rsidRPr="00851EC7">
        <w:rPr>
          <w:rFonts w:asciiTheme="minorHAnsi" w:hAnsiTheme="minorHAnsi" w:cstheme="minorHAnsi"/>
          <w:lang w:val="en-AU"/>
        </w:rPr>
        <w:t>s</w:t>
      </w:r>
      <w:r w:rsidR="00C300B4" w:rsidRPr="00851EC7">
        <w:rPr>
          <w:rFonts w:asciiTheme="minorHAnsi" w:hAnsiTheme="minorHAnsi" w:cstheme="minorHAnsi"/>
          <w:lang w:val="en-AU"/>
        </w:rPr>
        <w:t>tainability, the score and the narrative speak to</w:t>
      </w:r>
      <w:r w:rsidRPr="00851EC7">
        <w:rPr>
          <w:rFonts w:asciiTheme="minorHAnsi" w:hAnsiTheme="minorHAnsi" w:cstheme="minorHAnsi"/>
          <w:lang w:val="en-AU"/>
        </w:rPr>
        <w:t xml:space="preserve"> </w:t>
      </w:r>
      <w:r w:rsidR="00E86489" w:rsidRPr="00851EC7">
        <w:rPr>
          <w:rFonts w:asciiTheme="minorHAnsi" w:hAnsiTheme="minorHAnsi" w:cstheme="minorHAnsi"/>
          <w:lang w:val="en-AU"/>
        </w:rPr>
        <w:t>probability</w:t>
      </w:r>
      <w:r w:rsidR="001D27D3" w:rsidRPr="00851EC7">
        <w:rPr>
          <w:rFonts w:asciiTheme="minorHAnsi" w:hAnsiTheme="minorHAnsi" w:cstheme="minorHAnsi"/>
          <w:lang w:val="en-AU"/>
        </w:rPr>
        <w:t xml:space="preserve"> or likelihood</w:t>
      </w:r>
      <w:r w:rsidR="00E86489" w:rsidRPr="00851EC7">
        <w:rPr>
          <w:rFonts w:asciiTheme="minorHAnsi" w:hAnsiTheme="minorHAnsi" w:cstheme="minorHAnsi"/>
          <w:lang w:val="en-AU"/>
        </w:rPr>
        <w:t xml:space="preserve">. </w:t>
      </w:r>
      <w:r w:rsidR="00F1558B" w:rsidRPr="00851EC7">
        <w:rPr>
          <w:rFonts w:asciiTheme="minorHAnsi" w:hAnsiTheme="minorHAnsi" w:cstheme="minorHAnsi"/>
          <w:lang w:val="en-AU"/>
        </w:rPr>
        <w:t>In all cases POM has scored the component</w:t>
      </w:r>
      <w:r w:rsidR="001D27D3" w:rsidRPr="00851EC7">
        <w:rPr>
          <w:rFonts w:asciiTheme="minorHAnsi" w:hAnsiTheme="minorHAnsi" w:cstheme="minorHAnsi"/>
          <w:lang w:val="en-AU"/>
        </w:rPr>
        <w:t xml:space="preserve"> and</w:t>
      </w:r>
      <w:r w:rsidR="00F1558B" w:rsidRPr="00851EC7">
        <w:rPr>
          <w:rFonts w:asciiTheme="minorHAnsi" w:hAnsiTheme="minorHAnsi" w:cstheme="minorHAnsi"/>
          <w:lang w:val="en-AU"/>
        </w:rPr>
        <w:t xml:space="preserve"> not the performance of individual implementing partners</w:t>
      </w:r>
      <w:r w:rsidR="00E86489" w:rsidRPr="00851EC7">
        <w:rPr>
          <w:rFonts w:asciiTheme="minorHAnsi" w:hAnsiTheme="minorHAnsi" w:cstheme="minorHAnsi"/>
          <w:lang w:val="en-AU"/>
        </w:rPr>
        <w:t xml:space="preserve"> working within the component</w:t>
      </w:r>
      <w:r w:rsidR="00F1558B" w:rsidRPr="00851EC7">
        <w:rPr>
          <w:rFonts w:asciiTheme="minorHAnsi" w:hAnsiTheme="minorHAnsi" w:cstheme="minorHAnsi"/>
          <w:lang w:val="en-AU"/>
        </w:rPr>
        <w:t>.</w:t>
      </w:r>
      <w:r w:rsidR="00ED2DDA" w:rsidRPr="00851EC7">
        <w:rPr>
          <w:rFonts w:asciiTheme="minorHAnsi" w:hAnsiTheme="minorHAnsi" w:cstheme="minorHAnsi"/>
          <w:lang w:val="en-AU"/>
        </w:rPr>
        <w:t xml:space="preserve"> </w:t>
      </w:r>
    </w:p>
    <w:p w:rsidR="00786C58" w:rsidRPr="00851EC7" w:rsidRDefault="00786C58" w:rsidP="00DC41F6">
      <w:pPr>
        <w:pStyle w:val="Heading3"/>
      </w:pPr>
      <w:bookmarkStart w:id="14" w:name="_Toc372401484"/>
      <w:r w:rsidRPr="00851EC7">
        <w:t>Methodology</w:t>
      </w:r>
      <w:bookmarkEnd w:id="14"/>
    </w:p>
    <w:p w:rsidR="00786C58" w:rsidRPr="00851EC7" w:rsidRDefault="00786C58"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 xml:space="preserve">The </w:t>
      </w:r>
      <w:r w:rsidR="00E86489" w:rsidRPr="00851EC7">
        <w:rPr>
          <w:rFonts w:asciiTheme="minorHAnsi" w:hAnsiTheme="minorHAnsi" w:cstheme="minorHAnsi"/>
          <w:lang w:val="en-AU"/>
        </w:rPr>
        <w:t xml:space="preserve">APPR assessment process </w:t>
      </w:r>
      <w:r w:rsidRPr="00851EC7">
        <w:rPr>
          <w:rFonts w:asciiTheme="minorHAnsi" w:hAnsiTheme="minorHAnsi" w:cstheme="minorHAnsi"/>
          <w:lang w:val="en-AU"/>
        </w:rPr>
        <w:t>was conducted in October-December 201</w:t>
      </w:r>
      <w:r w:rsidR="008D2891" w:rsidRPr="00851EC7">
        <w:rPr>
          <w:rFonts w:asciiTheme="minorHAnsi" w:hAnsiTheme="minorHAnsi" w:cstheme="minorHAnsi"/>
          <w:lang w:val="en-AU"/>
        </w:rPr>
        <w:t>4</w:t>
      </w:r>
      <w:r w:rsidRPr="00851EC7">
        <w:rPr>
          <w:rFonts w:asciiTheme="minorHAnsi" w:hAnsiTheme="minorHAnsi" w:cstheme="minorHAnsi"/>
          <w:lang w:val="en-AU"/>
        </w:rPr>
        <w:t xml:space="preserve">. </w:t>
      </w:r>
      <w:r w:rsidR="00E86489" w:rsidRPr="00851EC7">
        <w:rPr>
          <w:rFonts w:asciiTheme="minorHAnsi" w:hAnsiTheme="minorHAnsi" w:cstheme="minorHAnsi"/>
          <w:lang w:val="en-AU"/>
        </w:rPr>
        <w:t>It contained</w:t>
      </w:r>
      <w:r w:rsidRPr="00851EC7">
        <w:rPr>
          <w:rFonts w:asciiTheme="minorHAnsi" w:hAnsiTheme="minorHAnsi" w:cstheme="minorHAnsi"/>
          <w:lang w:val="en-AU"/>
        </w:rPr>
        <w:t xml:space="preserve"> </w:t>
      </w:r>
      <w:r w:rsidR="00242FB6" w:rsidRPr="00851EC7">
        <w:rPr>
          <w:rFonts w:asciiTheme="minorHAnsi" w:hAnsiTheme="minorHAnsi" w:cstheme="minorHAnsi"/>
          <w:lang w:val="en-AU"/>
        </w:rPr>
        <w:t xml:space="preserve">nine </w:t>
      </w:r>
      <w:r w:rsidRPr="00851EC7">
        <w:rPr>
          <w:rFonts w:asciiTheme="minorHAnsi" w:hAnsiTheme="minorHAnsi" w:cstheme="minorHAnsi"/>
          <w:lang w:val="en-AU"/>
        </w:rPr>
        <w:t>key steps:</w:t>
      </w:r>
    </w:p>
    <w:p w:rsidR="008D2891" w:rsidRPr="00851EC7" w:rsidRDefault="008D2891" w:rsidP="00215A8F">
      <w:pPr>
        <w:numPr>
          <w:ilvl w:val="0"/>
          <w:numId w:val="8"/>
        </w:numPr>
        <w:spacing w:before="120" w:after="120" w:line="276" w:lineRule="auto"/>
        <w:ind w:left="714" w:hanging="357"/>
        <w:jc w:val="both"/>
        <w:rPr>
          <w:rFonts w:asciiTheme="minorHAnsi" w:eastAsiaTheme="minorHAnsi" w:hAnsiTheme="minorHAnsi" w:cstheme="minorBidi"/>
          <w:b/>
          <w:lang w:val="en-AU"/>
        </w:rPr>
      </w:pPr>
      <w:r w:rsidRPr="00851EC7">
        <w:rPr>
          <w:rFonts w:asciiTheme="minorHAnsi" w:eastAsiaTheme="minorHAnsi" w:hAnsiTheme="minorHAnsi" w:cstheme="minorBidi"/>
          <w:b/>
          <w:lang w:val="en-AU"/>
        </w:rPr>
        <w:t xml:space="preserve">Step 1: A critical appraisal and revision </w:t>
      </w:r>
      <w:r w:rsidR="00C300B4" w:rsidRPr="00851EC7">
        <w:rPr>
          <w:rFonts w:asciiTheme="minorHAnsi" w:eastAsiaTheme="minorHAnsi" w:hAnsiTheme="minorHAnsi" w:cstheme="minorBidi"/>
          <w:b/>
          <w:lang w:val="en-AU"/>
        </w:rPr>
        <w:t>of</w:t>
      </w:r>
      <w:r w:rsidRPr="00851EC7">
        <w:rPr>
          <w:rFonts w:asciiTheme="minorHAnsi" w:eastAsiaTheme="minorHAnsi" w:hAnsiTheme="minorHAnsi" w:cstheme="minorBidi"/>
          <w:b/>
          <w:lang w:val="en-AU"/>
        </w:rPr>
        <w:t xml:space="preserve"> the EP Analytical Framework </w:t>
      </w:r>
      <w:r w:rsidRPr="00851EC7">
        <w:rPr>
          <w:rFonts w:asciiTheme="minorHAnsi" w:eastAsiaTheme="minorHAnsi" w:hAnsiTheme="minorHAnsi" w:cstheme="minorBidi"/>
          <w:lang w:val="en-AU"/>
        </w:rPr>
        <w:t>(</w:t>
      </w:r>
      <w:r w:rsidR="008819C6" w:rsidRPr="00851EC7">
        <w:rPr>
          <w:rFonts w:asciiTheme="minorHAnsi" w:eastAsiaTheme="minorHAnsi" w:hAnsiTheme="minorHAnsi" w:cstheme="minorBidi"/>
          <w:lang w:val="en-AU"/>
        </w:rPr>
        <w:t>see</w:t>
      </w:r>
      <w:r w:rsidR="001E2A58" w:rsidRPr="00851EC7">
        <w:rPr>
          <w:rFonts w:asciiTheme="minorHAnsi" w:eastAsiaTheme="minorHAnsi" w:hAnsiTheme="minorHAnsi" w:cstheme="minorBidi"/>
          <w:lang w:val="en-AU"/>
        </w:rPr>
        <w:t xml:space="preserve"> Annex </w:t>
      </w:r>
      <w:r w:rsidR="00242FB6" w:rsidRPr="00851EC7">
        <w:rPr>
          <w:rFonts w:asciiTheme="minorHAnsi" w:eastAsiaTheme="minorHAnsi" w:hAnsiTheme="minorHAnsi" w:cstheme="minorBidi"/>
          <w:lang w:val="en-AU"/>
        </w:rPr>
        <w:t>V</w:t>
      </w:r>
      <w:r w:rsidRPr="00851EC7">
        <w:rPr>
          <w:rFonts w:asciiTheme="minorHAnsi" w:eastAsiaTheme="minorHAnsi" w:hAnsiTheme="minorHAnsi" w:cstheme="minorBidi"/>
          <w:lang w:val="en-AU"/>
        </w:rPr>
        <w:t>)</w:t>
      </w:r>
      <w:r w:rsidR="00242FB6" w:rsidRPr="00851EC7">
        <w:rPr>
          <w:rFonts w:asciiTheme="minorHAnsi" w:eastAsiaTheme="minorHAnsi" w:hAnsiTheme="minorHAnsi" w:cstheme="minorBidi"/>
          <w:lang w:val="en-AU"/>
        </w:rPr>
        <w:t>.</w:t>
      </w:r>
    </w:p>
    <w:p w:rsidR="00786C58" w:rsidRPr="00851EC7" w:rsidRDefault="00786C58" w:rsidP="00215A8F">
      <w:pPr>
        <w:numPr>
          <w:ilvl w:val="0"/>
          <w:numId w:val="8"/>
        </w:numPr>
        <w:spacing w:before="120" w:after="120" w:line="276" w:lineRule="auto"/>
        <w:ind w:left="714" w:hanging="357"/>
        <w:jc w:val="both"/>
        <w:rPr>
          <w:rFonts w:asciiTheme="minorHAnsi" w:eastAsiaTheme="minorHAnsi" w:hAnsiTheme="minorHAnsi" w:cstheme="minorBidi"/>
          <w:b/>
          <w:sz w:val="24"/>
          <w:lang w:val="en-AU"/>
        </w:rPr>
      </w:pPr>
      <w:r w:rsidRPr="00851EC7">
        <w:rPr>
          <w:b/>
          <w:lang w:val="en-AU"/>
        </w:rPr>
        <w:t xml:space="preserve">Step </w:t>
      </w:r>
      <w:r w:rsidR="00242FB6" w:rsidRPr="00851EC7">
        <w:rPr>
          <w:b/>
          <w:lang w:val="en-AU"/>
        </w:rPr>
        <w:t>2</w:t>
      </w:r>
      <w:r w:rsidRPr="00851EC7">
        <w:rPr>
          <w:b/>
          <w:lang w:val="en-AU"/>
        </w:rPr>
        <w:t>: A desk review and screening</w:t>
      </w:r>
      <w:r w:rsidRPr="00851EC7">
        <w:rPr>
          <w:lang w:val="en-AU"/>
        </w:rPr>
        <w:t xml:space="preserve"> </w:t>
      </w:r>
      <w:r w:rsidRPr="00851EC7">
        <w:rPr>
          <w:szCs w:val="20"/>
          <w:lang w:val="en-AU"/>
        </w:rPr>
        <w:t xml:space="preserve">of </w:t>
      </w:r>
      <w:r w:rsidRPr="00851EC7">
        <w:rPr>
          <w:lang w:val="en-AU"/>
        </w:rPr>
        <w:t xml:space="preserve">every report related to EP performance </w:t>
      </w:r>
      <w:r w:rsidR="00183584" w:rsidRPr="00851EC7">
        <w:rPr>
          <w:lang w:val="en-AU"/>
        </w:rPr>
        <w:t xml:space="preserve">that was </w:t>
      </w:r>
      <w:r w:rsidRPr="00851EC7">
        <w:rPr>
          <w:lang w:val="en-AU"/>
        </w:rPr>
        <w:t>submitted or received by POM</w:t>
      </w:r>
      <w:r w:rsidR="00D31574" w:rsidRPr="00851EC7">
        <w:rPr>
          <w:lang w:val="en-AU"/>
        </w:rPr>
        <w:t xml:space="preserve"> in 201</w:t>
      </w:r>
      <w:r w:rsidR="008D2891" w:rsidRPr="00851EC7">
        <w:rPr>
          <w:lang w:val="en-AU"/>
        </w:rPr>
        <w:t>4</w:t>
      </w:r>
      <w:r w:rsidRPr="00851EC7">
        <w:rPr>
          <w:lang w:val="en-AU"/>
        </w:rPr>
        <w:t xml:space="preserve"> (see Annex </w:t>
      </w:r>
      <w:r w:rsidR="001E2A58" w:rsidRPr="00851EC7">
        <w:rPr>
          <w:lang w:val="en-AU"/>
        </w:rPr>
        <w:t>I</w:t>
      </w:r>
      <w:r w:rsidR="007269E9" w:rsidRPr="00851EC7">
        <w:rPr>
          <w:lang w:val="en-AU"/>
        </w:rPr>
        <w:t>V</w:t>
      </w:r>
      <w:r w:rsidRPr="00851EC7">
        <w:rPr>
          <w:lang w:val="en-AU"/>
        </w:rPr>
        <w:t>)</w:t>
      </w:r>
      <w:r w:rsidRPr="00851EC7">
        <w:rPr>
          <w:szCs w:val="20"/>
          <w:lang w:val="en-AU"/>
        </w:rPr>
        <w:t xml:space="preserve">. </w:t>
      </w:r>
    </w:p>
    <w:p w:rsidR="00786C58" w:rsidRPr="00851EC7" w:rsidRDefault="00786C58" w:rsidP="00215A8F">
      <w:pPr>
        <w:numPr>
          <w:ilvl w:val="0"/>
          <w:numId w:val="8"/>
        </w:numPr>
        <w:spacing w:before="120" w:after="120" w:line="276" w:lineRule="auto"/>
        <w:ind w:left="714" w:hanging="357"/>
        <w:jc w:val="both"/>
        <w:rPr>
          <w:lang w:val="en-AU"/>
        </w:rPr>
      </w:pPr>
      <w:r w:rsidRPr="00851EC7">
        <w:rPr>
          <w:b/>
          <w:lang w:val="en-AU"/>
        </w:rPr>
        <w:t xml:space="preserve">Step </w:t>
      </w:r>
      <w:r w:rsidR="00242FB6" w:rsidRPr="00851EC7">
        <w:rPr>
          <w:b/>
          <w:lang w:val="en-AU"/>
        </w:rPr>
        <w:t>3</w:t>
      </w:r>
      <w:r w:rsidRPr="00851EC7">
        <w:rPr>
          <w:b/>
          <w:lang w:val="en-AU"/>
        </w:rPr>
        <w:t>: Semi-structured interviews with key informants</w:t>
      </w:r>
      <w:r w:rsidR="00E86489" w:rsidRPr="00851EC7">
        <w:rPr>
          <w:lang w:val="en-AU"/>
        </w:rPr>
        <w:t xml:space="preserve">, with a view to further developing and testing </w:t>
      </w:r>
      <w:r w:rsidRPr="00851EC7">
        <w:rPr>
          <w:lang w:val="en-AU"/>
        </w:rPr>
        <w:t>POM’s understanding of key matters. Lines of enquiry drew on insigh</w:t>
      </w:r>
      <w:r w:rsidR="008819C6" w:rsidRPr="00851EC7">
        <w:rPr>
          <w:lang w:val="en-AU"/>
        </w:rPr>
        <w:t xml:space="preserve">ts gleaned from the desk review </w:t>
      </w:r>
      <w:r w:rsidRPr="00851EC7">
        <w:rPr>
          <w:lang w:val="en-AU"/>
        </w:rPr>
        <w:t>(</w:t>
      </w:r>
      <w:r w:rsidR="008819C6" w:rsidRPr="00851EC7">
        <w:rPr>
          <w:lang w:val="en-AU"/>
        </w:rPr>
        <w:t>s</w:t>
      </w:r>
      <w:r w:rsidRPr="00851EC7">
        <w:rPr>
          <w:lang w:val="en-AU"/>
        </w:rPr>
        <w:t xml:space="preserve">ee Annex </w:t>
      </w:r>
      <w:r w:rsidR="00517297" w:rsidRPr="00851EC7">
        <w:rPr>
          <w:lang w:val="en-AU"/>
        </w:rPr>
        <w:t>V</w:t>
      </w:r>
      <w:r w:rsidR="007269E9" w:rsidRPr="00851EC7">
        <w:rPr>
          <w:lang w:val="en-AU"/>
        </w:rPr>
        <w:t>I</w:t>
      </w:r>
      <w:r w:rsidRPr="00851EC7">
        <w:rPr>
          <w:lang w:val="en-AU"/>
        </w:rPr>
        <w:t xml:space="preserve"> for a list of persons consulted</w:t>
      </w:r>
      <w:r w:rsidR="00C300B4" w:rsidRPr="00851EC7">
        <w:rPr>
          <w:lang w:val="en-AU"/>
        </w:rPr>
        <w:t xml:space="preserve"> and </w:t>
      </w:r>
      <w:r w:rsidR="008819C6" w:rsidRPr="00851EC7">
        <w:rPr>
          <w:lang w:val="en-AU"/>
        </w:rPr>
        <w:t>those a</w:t>
      </w:r>
      <w:r w:rsidR="008D2891" w:rsidRPr="00851EC7">
        <w:rPr>
          <w:lang w:val="en-AU"/>
        </w:rPr>
        <w:t>pproached but unavailable</w:t>
      </w:r>
      <w:r w:rsidRPr="00851EC7">
        <w:rPr>
          <w:lang w:val="en-AU"/>
        </w:rPr>
        <w:t xml:space="preserve">). </w:t>
      </w:r>
    </w:p>
    <w:p w:rsidR="00786C58" w:rsidRPr="00851EC7" w:rsidRDefault="00786C58" w:rsidP="00215A8F">
      <w:pPr>
        <w:numPr>
          <w:ilvl w:val="0"/>
          <w:numId w:val="8"/>
        </w:numPr>
        <w:spacing w:before="120" w:after="120" w:line="276" w:lineRule="auto"/>
        <w:ind w:left="714" w:hanging="357"/>
        <w:jc w:val="both"/>
        <w:rPr>
          <w:lang w:val="en-AU"/>
        </w:rPr>
      </w:pPr>
      <w:r w:rsidRPr="00851EC7">
        <w:rPr>
          <w:b/>
          <w:lang w:val="en-AU"/>
        </w:rPr>
        <w:lastRenderedPageBreak/>
        <w:t xml:space="preserve">Step </w:t>
      </w:r>
      <w:r w:rsidR="00242FB6" w:rsidRPr="00851EC7">
        <w:rPr>
          <w:b/>
          <w:lang w:val="en-AU"/>
        </w:rPr>
        <w:t>4</w:t>
      </w:r>
      <w:r w:rsidRPr="00851EC7">
        <w:rPr>
          <w:b/>
          <w:lang w:val="en-AU"/>
        </w:rPr>
        <w:t xml:space="preserve">: An internal </w:t>
      </w:r>
      <w:r w:rsidR="00183584" w:rsidRPr="00851EC7">
        <w:rPr>
          <w:b/>
          <w:lang w:val="en-AU"/>
        </w:rPr>
        <w:t xml:space="preserve">POM APPR </w:t>
      </w:r>
      <w:r w:rsidRPr="00851EC7">
        <w:rPr>
          <w:b/>
          <w:lang w:val="en-AU"/>
        </w:rPr>
        <w:t xml:space="preserve">workshop </w:t>
      </w:r>
      <w:r w:rsidRPr="00851EC7">
        <w:rPr>
          <w:lang w:val="en-AU"/>
        </w:rPr>
        <w:t xml:space="preserve">in mid-November during which </w:t>
      </w:r>
      <w:r w:rsidR="00183584" w:rsidRPr="00851EC7">
        <w:rPr>
          <w:lang w:val="en-AU"/>
        </w:rPr>
        <w:t xml:space="preserve">POM staff identified and discussed </w:t>
      </w:r>
      <w:r w:rsidRPr="00851EC7">
        <w:rPr>
          <w:lang w:val="en-AU"/>
        </w:rPr>
        <w:t xml:space="preserve">key findings, messages and implications. </w:t>
      </w:r>
    </w:p>
    <w:p w:rsidR="00786C58" w:rsidRPr="00851EC7" w:rsidRDefault="00786C58" w:rsidP="00215A8F">
      <w:pPr>
        <w:numPr>
          <w:ilvl w:val="0"/>
          <w:numId w:val="8"/>
        </w:numPr>
        <w:spacing w:before="120" w:after="120" w:line="276" w:lineRule="auto"/>
        <w:ind w:left="714" w:hanging="357"/>
        <w:jc w:val="both"/>
        <w:rPr>
          <w:lang w:val="en-AU"/>
        </w:rPr>
      </w:pPr>
      <w:r w:rsidRPr="00851EC7">
        <w:rPr>
          <w:b/>
          <w:lang w:val="en-AU"/>
        </w:rPr>
        <w:t xml:space="preserve">Step </w:t>
      </w:r>
      <w:r w:rsidR="00242FB6" w:rsidRPr="00851EC7">
        <w:rPr>
          <w:b/>
          <w:lang w:val="en-AU"/>
        </w:rPr>
        <w:t>5</w:t>
      </w:r>
      <w:r w:rsidRPr="00851EC7">
        <w:rPr>
          <w:b/>
          <w:lang w:val="en-AU"/>
        </w:rPr>
        <w:t xml:space="preserve">: A </w:t>
      </w:r>
      <w:r w:rsidR="00242FB6" w:rsidRPr="00851EC7">
        <w:rPr>
          <w:b/>
          <w:lang w:val="en-AU"/>
        </w:rPr>
        <w:t xml:space="preserve">series of </w:t>
      </w:r>
      <w:r w:rsidR="008819C6" w:rsidRPr="00851EC7">
        <w:rPr>
          <w:b/>
          <w:lang w:val="en-AU"/>
        </w:rPr>
        <w:t>half-</w:t>
      </w:r>
      <w:r w:rsidR="00C300B4" w:rsidRPr="00851EC7">
        <w:rPr>
          <w:b/>
          <w:lang w:val="en-AU"/>
        </w:rPr>
        <w:t xml:space="preserve">day </w:t>
      </w:r>
      <w:r w:rsidR="00242FB6" w:rsidRPr="00851EC7">
        <w:rPr>
          <w:b/>
          <w:lang w:val="en-AU"/>
        </w:rPr>
        <w:t xml:space="preserve">Component </w:t>
      </w:r>
      <w:r w:rsidR="00C300B4" w:rsidRPr="00851EC7">
        <w:rPr>
          <w:b/>
          <w:lang w:val="en-AU"/>
        </w:rPr>
        <w:t>and Program Oversight</w:t>
      </w:r>
      <w:r w:rsidR="00242FB6" w:rsidRPr="00851EC7">
        <w:rPr>
          <w:b/>
          <w:lang w:val="en-AU"/>
        </w:rPr>
        <w:t xml:space="preserve"> </w:t>
      </w:r>
      <w:r w:rsidR="00C300B4" w:rsidRPr="00851EC7">
        <w:rPr>
          <w:b/>
          <w:lang w:val="en-AU"/>
        </w:rPr>
        <w:t xml:space="preserve">meetings with </w:t>
      </w:r>
      <w:r w:rsidRPr="00851EC7">
        <w:rPr>
          <w:b/>
          <w:lang w:val="en-AU"/>
        </w:rPr>
        <w:t>key EP stakeholders</w:t>
      </w:r>
      <w:r w:rsidR="00C300B4" w:rsidRPr="00851EC7">
        <w:rPr>
          <w:b/>
          <w:lang w:val="en-AU"/>
        </w:rPr>
        <w:t xml:space="preserve"> from institutional and implementing partners</w:t>
      </w:r>
      <w:r w:rsidRPr="00851EC7">
        <w:rPr>
          <w:b/>
          <w:lang w:val="en-AU"/>
        </w:rPr>
        <w:t xml:space="preserve"> </w:t>
      </w:r>
      <w:r w:rsidR="00242FB6" w:rsidRPr="00851EC7">
        <w:rPr>
          <w:lang w:val="en-AU"/>
        </w:rPr>
        <w:t xml:space="preserve">between </w:t>
      </w:r>
      <w:r w:rsidR="008819C6" w:rsidRPr="00851EC7">
        <w:rPr>
          <w:lang w:val="en-AU"/>
        </w:rPr>
        <w:t>19</w:t>
      </w:r>
      <w:r w:rsidR="008819C6" w:rsidRPr="00851EC7">
        <w:rPr>
          <w:vertAlign w:val="superscript"/>
          <w:lang w:val="en-AU"/>
        </w:rPr>
        <w:t>th</w:t>
      </w:r>
      <w:r w:rsidR="008819C6" w:rsidRPr="00851EC7">
        <w:rPr>
          <w:lang w:val="en-AU"/>
        </w:rPr>
        <w:t xml:space="preserve"> and 27</w:t>
      </w:r>
      <w:r w:rsidR="008819C6" w:rsidRPr="00851EC7">
        <w:rPr>
          <w:vertAlign w:val="superscript"/>
          <w:lang w:val="en-AU"/>
        </w:rPr>
        <w:t>th</w:t>
      </w:r>
      <w:r w:rsidR="008819C6" w:rsidRPr="00851EC7">
        <w:rPr>
          <w:lang w:val="en-AU"/>
        </w:rPr>
        <w:t xml:space="preserve"> November</w:t>
      </w:r>
      <w:r w:rsidRPr="00851EC7">
        <w:rPr>
          <w:lang w:val="en-AU"/>
        </w:rPr>
        <w:t xml:space="preserve"> </w:t>
      </w:r>
      <w:r w:rsidR="008819C6" w:rsidRPr="00851EC7">
        <w:rPr>
          <w:lang w:val="en-AU"/>
        </w:rPr>
        <w:t xml:space="preserve">2014 </w:t>
      </w:r>
      <w:r w:rsidR="00C300B4" w:rsidRPr="00851EC7">
        <w:rPr>
          <w:lang w:val="en-AU"/>
        </w:rPr>
        <w:t>during which emerging findings were presented and discussed</w:t>
      </w:r>
      <w:r w:rsidRPr="00851EC7">
        <w:rPr>
          <w:lang w:val="en-AU"/>
        </w:rPr>
        <w:t>.</w:t>
      </w:r>
      <w:r w:rsidR="00946EBD" w:rsidRPr="00851EC7">
        <w:rPr>
          <w:lang w:val="en-AU"/>
        </w:rPr>
        <w:t xml:space="preserve"> </w:t>
      </w:r>
    </w:p>
    <w:p w:rsidR="00242FB6" w:rsidRPr="00851EC7" w:rsidRDefault="00242FB6" w:rsidP="00215A8F">
      <w:pPr>
        <w:numPr>
          <w:ilvl w:val="0"/>
          <w:numId w:val="8"/>
        </w:numPr>
        <w:spacing w:before="120" w:after="120" w:line="276" w:lineRule="auto"/>
        <w:ind w:left="714" w:hanging="357"/>
        <w:jc w:val="both"/>
        <w:rPr>
          <w:lang w:val="en-AU"/>
        </w:rPr>
      </w:pPr>
      <w:r w:rsidRPr="00851EC7">
        <w:rPr>
          <w:b/>
          <w:lang w:val="en-AU"/>
        </w:rPr>
        <w:t>Step 6: Preparation, submission and discussion of a Critical Issues Report</w:t>
      </w:r>
      <w:r w:rsidR="00C300B4" w:rsidRPr="00851EC7">
        <w:rPr>
          <w:b/>
          <w:lang w:val="en-AU"/>
        </w:rPr>
        <w:t xml:space="preserve"> that reflected the issues discussed at the aforementioned meetings</w:t>
      </w:r>
      <w:r w:rsidRPr="00851EC7">
        <w:rPr>
          <w:lang w:val="en-AU"/>
        </w:rPr>
        <w:t xml:space="preserve">, submitted to DFAT on </w:t>
      </w:r>
      <w:r w:rsidR="008819C6" w:rsidRPr="00851EC7">
        <w:rPr>
          <w:lang w:val="en-AU"/>
        </w:rPr>
        <w:t>3</w:t>
      </w:r>
      <w:r w:rsidR="008819C6" w:rsidRPr="00851EC7">
        <w:rPr>
          <w:vertAlign w:val="superscript"/>
          <w:lang w:val="en-AU"/>
        </w:rPr>
        <w:t>rd</w:t>
      </w:r>
      <w:r w:rsidR="008819C6" w:rsidRPr="00851EC7">
        <w:rPr>
          <w:lang w:val="en-AU"/>
        </w:rPr>
        <w:t xml:space="preserve"> December </w:t>
      </w:r>
      <w:r w:rsidR="00C300B4" w:rsidRPr="00851EC7">
        <w:rPr>
          <w:lang w:val="en-AU"/>
        </w:rPr>
        <w:t>2014</w:t>
      </w:r>
      <w:r w:rsidRPr="00851EC7">
        <w:rPr>
          <w:lang w:val="en-AU"/>
        </w:rPr>
        <w:t xml:space="preserve">. </w:t>
      </w:r>
    </w:p>
    <w:p w:rsidR="00242FB6" w:rsidRPr="00851EC7" w:rsidRDefault="00242FB6" w:rsidP="00215A8F">
      <w:pPr>
        <w:numPr>
          <w:ilvl w:val="0"/>
          <w:numId w:val="8"/>
        </w:numPr>
        <w:spacing w:before="120" w:after="120" w:line="276" w:lineRule="auto"/>
        <w:ind w:left="714" w:hanging="357"/>
        <w:jc w:val="both"/>
        <w:rPr>
          <w:lang w:val="en-AU"/>
        </w:rPr>
      </w:pPr>
      <w:r w:rsidRPr="00851EC7">
        <w:rPr>
          <w:b/>
          <w:lang w:val="en-AU"/>
        </w:rPr>
        <w:t xml:space="preserve">Step 7: Circulation of draft Component and Program Oversight </w:t>
      </w:r>
      <w:r w:rsidRPr="00851EC7">
        <w:rPr>
          <w:lang w:val="en-AU"/>
        </w:rPr>
        <w:t xml:space="preserve">chapters to </w:t>
      </w:r>
      <w:r w:rsidR="008819C6" w:rsidRPr="00851EC7">
        <w:rPr>
          <w:lang w:val="en-AU"/>
        </w:rPr>
        <w:t xml:space="preserve">Component Managers and </w:t>
      </w:r>
      <w:r w:rsidRPr="00851EC7">
        <w:rPr>
          <w:lang w:val="en-AU"/>
        </w:rPr>
        <w:t xml:space="preserve">DFAT Unit Managers </w:t>
      </w:r>
      <w:r w:rsidR="00C300B4" w:rsidRPr="00851EC7">
        <w:rPr>
          <w:lang w:val="en-AU"/>
        </w:rPr>
        <w:t xml:space="preserve">on </w:t>
      </w:r>
      <w:r w:rsidR="008819C6" w:rsidRPr="00851EC7">
        <w:rPr>
          <w:lang w:val="en-AU"/>
        </w:rPr>
        <w:t>17</w:t>
      </w:r>
      <w:r w:rsidR="008819C6" w:rsidRPr="00851EC7">
        <w:rPr>
          <w:vertAlign w:val="superscript"/>
          <w:lang w:val="en-AU"/>
        </w:rPr>
        <w:t>th</w:t>
      </w:r>
      <w:r w:rsidR="008819C6" w:rsidRPr="00851EC7">
        <w:rPr>
          <w:lang w:val="en-AU"/>
        </w:rPr>
        <w:t xml:space="preserve"> December 2014</w:t>
      </w:r>
      <w:r w:rsidR="00C300B4" w:rsidRPr="00851EC7">
        <w:rPr>
          <w:lang w:val="en-AU"/>
        </w:rPr>
        <w:t xml:space="preserve"> </w:t>
      </w:r>
      <w:r w:rsidRPr="00851EC7">
        <w:rPr>
          <w:lang w:val="en-AU"/>
        </w:rPr>
        <w:t>for review, and specifically to correct any factual inaccuracies.</w:t>
      </w:r>
      <w:r w:rsidRPr="00851EC7">
        <w:rPr>
          <w:b/>
          <w:lang w:val="en-AU"/>
        </w:rPr>
        <w:t xml:space="preserve"> </w:t>
      </w:r>
    </w:p>
    <w:p w:rsidR="00786C58" w:rsidRPr="00851EC7" w:rsidRDefault="00786C58" w:rsidP="00215A8F">
      <w:pPr>
        <w:numPr>
          <w:ilvl w:val="0"/>
          <w:numId w:val="8"/>
        </w:numPr>
        <w:spacing w:before="120" w:after="120" w:line="276" w:lineRule="auto"/>
        <w:ind w:left="714" w:hanging="357"/>
        <w:jc w:val="both"/>
        <w:rPr>
          <w:b/>
          <w:lang w:val="en-AU"/>
        </w:rPr>
      </w:pPr>
      <w:r w:rsidRPr="00851EC7">
        <w:rPr>
          <w:b/>
          <w:lang w:val="en-AU"/>
        </w:rPr>
        <w:t xml:space="preserve">Step </w:t>
      </w:r>
      <w:r w:rsidR="00A3750B">
        <w:rPr>
          <w:b/>
          <w:lang w:val="en-AU"/>
        </w:rPr>
        <w:t>8</w:t>
      </w:r>
      <w:r w:rsidRPr="00851EC7">
        <w:rPr>
          <w:b/>
          <w:lang w:val="en-AU"/>
        </w:rPr>
        <w:t xml:space="preserve">: </w:t>
      </w:r>
      <w:r w:rsidR="00C300B4" w:rsidRPr="00851EC7">
        <w:rPr>
          <w:b/>
          <w:lang w:val="en-AU"/>
        </w:rPr>
        <w:t xml:space="preserve">Production and submission of the </w:t>
      </w:r>
      <w:r w:rsidR="00D24E8C" w:rsidRPr="00851EC7">
        <w:rPr>
          <w:b/>
          <w:lang w:val="en-AU"/>
        </w:rPr>
        <w:t xml:space="preserve">Draft </w:t>
      </w:r>
      <w:r w:rsidR="00C300B4" w:rsidRPr="00851EC7">
        <w:rPr>
          <w:b/>
          <w:lang w:val="en-AU"/>
        </w:rPr>
        <w:t>APPR to</w:t>
      </w:r>
      <w:r w:rsidR="00D24E8C" w:rsidRPr="00851EC7">
        <w:rPr>
          <w:b/>
          <w:lang w:val="en-AU"/>
        </w:rPr>
        <w:t xml:space="preserve"> DFAT</w:t>
      </w:r>
      <w:r w:rsidR="00C300B4" w:rsidRPr="00851EC7">
        <w:rPr>
          <w:b/>
          <w:lang w:val="en-AU"/>
        </w:rPr>
        <w:t xml:space="preserve"> on 31 December 2014</w:t>
      </w:r>
      <w:r w:rsidRPr="00851EC7">
        <w:rPr>
          <w:b/>
          <w:lang w:val="en-AU"/>
        </w:rPr>
        <w:t>.</w:t>
      </w:r>
    </w:p>
    <w:p w:rsidR="00D24E8C" w:rsidRPr="00851EC7" w:rsidRDefault="00D24E8C" w:rsidP="00215A8F">
      <w:pPr>
        <w:numPr>
          <w:ilvl w:val="0"/>
          <w:numId w:val="8"/>
        </w:numPr>
        <w:spacing w:before="120" w:after="120" w:line="276" w:lineRule="auto"/>
        <w:ind w:left="714" w:hanging="357"/>
        <w:jc w:val="both"/>
        <w:rPr>
          <w:lang w:val="en-AU"/>
        </w:rPr>
      </w:pPr>
      <w:r w:rsidRPr="00851EC7">
        <w:rPr>
          <w:b/>
          <w:lang w:val="en-AU"/>
        </w:rPr>
        <w:t xml:space="preserve">Step </w:t>
      </w:r>
      <w:r w:rsidR="00A3750B">
        <w:rPr>
          <w:b/>
          <w:lang w:val="en-AU"/>
        </w:rPr>
        <w:t>9</w:t>
      </w:r>
      <w:r w:rsidRPr="00851EC7">
        <w:rPr>
          <w:b/>
          <w:lang w:val="en-AU"/>
        </w:rPr>
        <w:t xml:space="preserve">: </w:t>
      </w:r>
      <w:r w:rsidR="00C300B4" w:rsidRPr="00851EC7">
        <w:rPr>
          <w:b/>
          <w:lang w:val="en-AU"/>
        </w:rPr>
        <w:t>S</w:t>
      </w:r>
      <w:r w:rsidRPr="00851EC7">
        <w:rPr>
          <w:b/>
          <w:lang w:val="en-AU"/>
        </w:rPr>
        <w:t xml:space="preserve">ubmission </w:t>
      </w:r>
      <w:r w:rsidR="00C300B4" w:rsidRPr="00851EC7">
        <w:rPr>
          <w:b/>
          <w:lang w:val="en-AU"/>
        </w:rPr>
        <w:t xml:space="preserve">of the Final APPR </w:t>
      </w:r>
      <w:r w:rsidRPr="00851EC7">
        <w:rPr>
          <w:b/>
          <w:lang w:val="en-AU"/>
        </w:rPr>
        <w:t xml:space="preserve">to DFAT </w:t>
      </w:r>
      <w:r w:rsidRPr="00851EC7">
        <w:rPr>
          <w:lang w:val="en-AU"/>
        </w:rPr>
        <w:t xml:space="preserve">following factual corrections on basis of comments </w:t>
      </w:r>
      <w:r w:rsidR="00C300B4" w:rsidRPr="00851EC7">
        <w:rPr>
          <w:lang w:val="en-AU"/>
        </w:rPr>
        <w:t xml:space="preserve">received </w:t>
      </w:r>
      <w:r w:rsidRPr="00851EC7">
        <w:rPr>
          <w:lang w:val="en-AU"/>
        </w:rPr>
        <w:t>from DFAT.</w:t>
      </w:r>
    </w:p>
    <w:p w:rsidR="00786C58" w:rsidRPr="00851EC7" w:rsidRDefault="00786C58" w:rsidP="00DC41F6">
      <w:pPr>
        <w:pStyle w:val="Heading3"/>
      </w:pPr>
      <w:bookmarkStart w:id="15" w:name="_Toc372401489"/>
      <w:r w:rsidRPr="00851EC7">
        <w:t>Caveats and limitations</w:t>
      </w:r>
      <w:bookmarkEnd w:id="15"/>
      <w:r w:rsidRPr="00851EC7">
        <w:t xml:space="preserve"> </w:t>
      </w:r>
    </w:p>
    <w:p w:rsidR="00786C58" w:rsidRPr="00851EC7" w:rsidRDefault="00786C58"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 xml:space="preserve">Every effort has been made to present credible, robust and evidence-informed findings and recommendations. Nevertheless, there are always limitations. Of particular note is the absence of </w:t>
      </w:r>
      <w:r w:rsidR="00C300B4" w:rsidRPr="00851EC7">
        <w:rPr>
          <w:rFonts w:asciiTheme="minorHAnsi" w:hAnsiTheme="minorHAnsi" w:cstheme="minorHAnsi"/>
          <w:lang w:val="en-AU"/>
        </w:rPr>
        <w:t xml:space="preserve">EP-wide performance data that speak to the content of the </w:t>
      </w:r>
      <w:r w:rsidRPr="00851EC7">
        <w:rPr>
          <w:rFonts w:asciiTheme="minorHAnsi" w:hAnsiTheme="minorHAnsi" w:cstheme="minorHAnsi"/>
          <w:lang w:val="en-AU"/>
        </w:rPr>
        <w:t>EP Performance Milestone Framework</w:t>
      </w:r>
      <w:r w:rsidR="00BA0E69" w:rsidRPr="00851EC7">
        <w:rPr>
          <w:rFonts w:asciiTheme="minorHAnsi" w:hAnsiTheme="minorHAnsi" w:cstheme="minorHAnsi"/>
          <w:lang w:val="en-AU"/>
        </w:rPr>
        <w:t xml:space="preserve"> (PMF)</w:t>
      </w:r>
      <w:r w:rsidRPr="00851EC7">
        <w:rPr>
          <w:rFonts w:asciiTheme="minorHAnsi" w:hAnsiTheme="minorHAnsi" w:cstheme="minorHAnsi"/>
          <w:lang w:val="en-AU"/>
        </w:rPr>
        <w:t xml:space="preserve">. </w:t>
      </w:r>
      <w:r w:rsidR="00C300B4" w:rsidRPr="00851EC7">
        <w:rPr>
          <w:rFonts w:asciiTheme="minorHAnsi" w:hAnsiTheme="minorHAnsi" w:cstheme="minorHAnsi"/>
          <w:lang w:val="en-AU"/>
        </w:rPr>
        <w:t>With approval and implementation of the PMF commencing at various points in Q2-3 of 2014, the 2014 APPR frequently speaks to the spirit but not the letter of the PMF</w:t>
      </w:r>
      <w:r w:rsidRPr="00851EC7">
        <w:rPr>
          <w:rFonts w:asciiTheme="minorHAnsi" w:hAnsiTheme="minorHAnsi" w:cstheme="minorHAnsi"/>
          <w:lang w:val="en-AU"/>
        </w:rPr>
        <w:t>.</w:t>
      </w:r>
    </w:p>
    <w:p w:rsidR="00466FA8" w:rsidRPr="00851EC7" w:rsidRDefault="00786C58" w:rsidP="00DC41F6">
      <w:pPr>
        <w:pStyle w:val="Heading2"/>
      </w:pPr>
      <w:r w:rsidRPr="00851EC7">
        <w:t>Report s</w:t>
      </w:r>
      <w:r w:rsidR="00466FA8" w:rsidRPr="00851EC7">
        <w:t xml:space="preserve">tructure </w:t>
      </w:r>
    </w:p>
    <w:p w:rsidR="00466FA8" w:rsidRPr="00851EC7" w:rsidRDefault="00466FA8"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 xml:space="preserve">The layout of the APPR seeks to present information in a succinct and logical manner. Guidance on the contents of the report has been taken from the Monitoring and Evaluation Standards developed by the </w:t>
      </w:r>
      <w:r w:rsidR="00896DF8" w:rsidRPr="00851EC7">
        <w:rPr>
          <w:rFonts w:asciiTheme="minorHAnsi" w:hAnsiTheme="minorHAnsi" w:cstheme="minorHAnsi"/>
          <w:lang w:val="en-AU"/>
        </w:rPr>
        <w:t>DFAT</w:t>
      </w:r>
      <w:r w:rsidR="00D31574" w:rsidRPr="00851EC7">
        <w:rPr>
          <w:rFonts w:asciiTheme="minorHAnsi" w:hAnsiTheme="minorHAnsi" w:cstheme="minorHAnsi"/>
          <w:lang w:val="en-AU"/>
        </w:rPr>
        <w:t>-</w:t>
      </w:r>
      <w:r w:rsidRPr="00851EC7">
        <w:rPr>
          <w:rFonts w:asciiTheme="minorHAnsi" w:hAnsiTheme="minorHAnsi" w:cstheme="minorHAnsi"/>
          <w:lang w:val="en-AU"/>
        </w:rPr>
        <w:t xml:space="preserve">Jakarta Evaluation Capacity Building Program (ECBP). More specifically, this report includes, as Annex </w:t>
      </w:r>
      <w:r w:rsidR="00C300B4" w:rsidRPr="00851EC7">
        <w:rPr>
          <w:rFonts w:asciiTheme="minorHAnsi" w:hAnsiTheme="minorHAnsi" w:cstheme="minorHAnsi"/>
          <w:lang w:val="en-AU"/>
        </w:rPr>
        <w:t>VII</w:t>
      </w:r>
      <w:r w:rsidRPr="00851EC7">
        <w:rPr>
          <w:rFonts w:asciiTheme="minorHAnsi" w:hAnsiTheme="minorHAnsi" w:cstheme="minorHAnsi"/>
          <w:lang w:val="en-AU"/>
        </w:rPr>
        <w:t xml:space="preserve">, an assessment of its compliance with the proposed features listed in ‘Standard 3: Initiative Progress Reporting’. </w:t>
      </w:r>
    </w:p>
    <w:p w:rsidR="007F2113" w:rsidRPr="00851EC7" w:rsidRDefault="00466FA8"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The</w:t>
      </w:r>
      <w:r w:rsidR="00786C58" w:rsidRPr="00851EC7">
        <w:rPr>
          <w:rFonts w:asciiTheme="minorHAnsi" w:hAnsiTheme="minorHAnsi" w:cstheme="minorHAnsi"/>
          <w:lang w:val="en-AU"/>
        </w:rPr>
        <w:t xml:space="preserve"> </w:t>
      </w:r>
      <w:r w:rsidRPr="00851EC7">
        <w:rPr>
          <w:rFonts w:asciiTheme="minorHAnsi" w:hAnsiTheme="minorHAnsi" w:cstheme="minorHAnsi"/>
          <w:lang w:val="en-AU"/>
        </w:rPr>
        <w:t xml:space="preserve">APPR is divided into </w:t>
      </w:r>
      <w:r w:rsidR="002D621D" w:rsidRPr="00851EC7">
        <w:rPr>
          <w:rFonts w:asciiTheme="minorHAnsi" w:hAnsiTheme="minorHAnsi" w:cstheme="minorHAnsi"/>
          <w:lang w:val="en-AU"/>
        </w:rPr>
        <w:t xml:space="preserve">three </w:t>
      </w:r>
      <w:r w:rsidR="00AA3CE8" w:rsidRPr="00851EC7">
        <w:rPr>
          <w:rFonts w:asciiTheme="minorHAnsi" w:hAnsiTheme="minorHAnsi" w:cstheme="minorHAnsi"/>
          <w:lang w:val="en-AU"/>
        </w:rPr>
        <w:t>p</w:t>
      </w:r>
      <w:r w:rsidR="002D621D" w:rsidRPr="00851EC7">
        <w:rPr>
          <w:rFonts w:asciiTheme="minorHAnsi" w:hAnsiTheme="minorHAnsi" w:cstheme="minorHAnsi"/>
          <w:lang w:val="en-AU"/>
        </w:rPr>
        <w:t>arts</w:t>
      </w:r>
      <w:r w:rsidR="007F2113" w:rsidRPr="00851EC7">
        <w:rPr>
          <w:rFonts w:asciiTheme="minorHAnsi" w:hAnsiTheme="minorHAnsi" w:cstheme="minorHAnsi"/>
          <w:lang w:val="en-AU"/>
        </w:rPr>
        <w:t>:</w:t>
      </w:r>
    </w:p>
    <w:p w:rsidR="007F2113" w:rsidRPr="00851EC7" w:rsidRDefault="002D621D" w:rsidP="00215A8F">
      <w:pPr>
        <w:pStyle w:val="ListParagraph"/>
        <w:numPr>
          <w:ilvl w:val="0"/>
          <w:numId w:val="13"/>
        </w:numPr>
        <w:spacing w:before="120" w:after="120"/>
        <w:jc w:val="both"/>
        <w:rPr>
          <w:rFonts w:asciiTheme="minorHAnsi" w:hAnsiTheme="minorHAnsi" w:cstheme="minorHAnsi"/>
          <w:lang w:val="en-AU"/>
        </w:rPr>
      </w:pPr>
      <w:r w:rsidRPr="00851EC7">
        <w:rPr>
          <w:rFonts w:asciiTheme="minorHAnsi" w:hAnsiTheme="minorHAnsi" w:cstheme="minorHAnsi"/>
          <w:lang w:val="en-AU"/>
        </w:rPr>
        <w:t>Part A “zooms in” on component-by-component performance</w:t>
      </w:r>
      <w:r w:rsidR="001B1F08" w:rsidRPr="00851EC7">
        <w:rPr>
          <w:rFonts w:asciiTheme="minorHAnsi" w:hAnsiTheme="minorHAnsi" w:cstheme="minorHAnsi"/>
          <w:lang w:val="en-AU"/>
        </w:rPr>
        <w:t xml:space="preserve">: it considers the context in which the component operates; it highlights the achievements of the past year; it analyses progress </w:t>
      </w:r>
      <w:r w:rsidR="00183584" w:rsidRPr="00851EC7">
        <w:rPr>
          <w:rFonts w:asciiTheme="minorHAnsi" w:hAnsiTheme="minorHAnsi" w:cstheme="minorHAnsi"/>
          <w:lang w:val="en-AU"/>
        </w:rPr>
        <w:t xml:space="preserve">and performance </w:t>
      </w:r>
      <w:r w:rsidR="001B1F08" w:rsidRPr="00851EC7">
        <w:rPr>
          <w:rFonts w:asciiTheme="minorHAnsi" w:hAnsiTheme="minorHAnsi" w:cstheme="minorHAnsi"/>
          <w:lang w:val="en-AU"/>
        </w:rPr>
        <w:t>in relation to the DAC criteria of efficiency, effectiveness, impact, relevance and sustainability; and it proposes recommendations for action in light of that analysis.</w:t>
      </w:r>
      <w:r w:rsidRPr="00851EC7">
        <w:rPr>
          <w:rFonts w:asciiTheme="minorHAnsi" w:hAnsiTheme="minorHAnsi" w:cstheme="minorHAnsi"/>
          <w:lang w:val="en-AU"/>
        </w:rPr>
        <w:t xml:space="preserve"> </w:t>
      </w:r>
    </w:p>
    <w:p w:rsidR="007F2113" w:rsidRPr="00851EC7" w:rsidRDefault="002D621D" w:rsidP="00215A8F">
      <w:pPr>
        <w:pStyle w:val="ListParagraph"/>
        <w:numPr>
          <w:ilvl w:val="0"/>
          <w:numId w:val="13"/>
        </w:numPr>
        <w:spacing w:before="120" w:after="120"/>
        <w:jc w:val="both"/>
        <w:rPr>
          <w:rFonts w:asciiTheme="minorHAnsi" w:hAnsiTheme="minorHAnsi" w:cstheme="minorHAnsi"/>
          <w:lang w:val="en-AU"/>
        </w:rPr>
      </w:pPr>
      <w:r w:rsidRPr="00851EC7">
        <w:rPr>
          <w:rFonts w:asciiTheme="minorHAnsi" w:hAnsiTheme="minorHAnsi" w:cstheme="minorHAnsi"/>
          <w:lang w:val="en-AU"/>
        </w:rPr>
        <w:t xml:space="preserve">Part B “zooms out” by </w:t>
      </w:r>
      <w:r w:rsidR="00C300B4" w:rsidRPr="00851EC7">
        <w:rPr>
          <w:rFonts w:asciiTheme="minorHAnsi" w:hAnsiTheme="minorHAnsi" w:cstheme="minorHAnsi"/>
          <w:lang w:val="en-AU"/>
        </w:rPr>
        <w:t>examining program oversight, and spec</w:t>
      </w:r>
      <w:r w:rsidR="00FB28C4" w:rsidRPr="00851EC7">
        <w:rPr>
          <w:rFonts w:asciiTheme="minorHAnsi" w:hAnsiTheme="minorHAnsi" w:cstheme="minorHAnsi"/>
          <w:lang w:val="en-AU"/>
        </w:rPr>
        <w:t xml:space="preserve">ifically </w:t>
      </w:r>
      <w:r w:rsidR="00C300B4" w:rsidRPr="00851EC7">
        <w:rPr>
          <w:rFonts w:asciiTheme="minorHAnsi" w:hAnsiTheme="minorHAnsi" w:cstheme="minorHAnsi"/>
          <w:lang w:val="en-AU"/>
        </w:rPr>
        <w:t xml:space="preserve">issues pertaining to the EP’s delivery, management, governance and cross-cutting developmental objectives. </w:t>
      </w:r>
    </w:p>
    <w:p w:rsidR="00AC4C2B" w:rsidRPr="00851EC7" w:rsidRDefault="002D621D" w:rsidP="00215A8F">
      <w:pPr>
        <w:pStyle w:val="ListParagraph"/>
        <w:numPr>
          <w:ilvl w:val="0"/>
          <w:numId w:val="13"/>
        </w:numPr>
        <w:spacing w:before="120" w:after="120"/>
        <w:jc w:val="both"/>
        <w:rPr>
          <w:rFonts w:asciiTheme="minorHAnsi" w:hAnsiTheme="minorHAnsi" w:cstheme="minorHAnsi"/>
          <w:lang w:val="en-AU"/>
        </w:rPr>
      </w:pPr>
      <w:r w:rsidRPr="00851EC7">
        <w:rPr>
          <w:rFonts w:asciiTheme="minorHAnsi" w:hAnsiTheme="minorHAnsi" w:cstheme="minorHAnsi"/>
          <w:lang w:val="en-AU"/>
        </w:rPr>
        <w:t xml:space="preserve">Part C describes conclusions and </w:t>
      </w:r>
      <w:r w:rsidR="00183584" w:rsidRPr="00851EC7">
        <w:rPr>
          <w:rFonts w:asciiTheme="minorHAnsi" w:hAnsiTheme="minorHAnsi" w:cstheme="minorHAnsi"/>
          <w:lang w:val="en-AU"/>
        </w:rPr>
        <w:t xml:space="preserve">presents </w:t>
      </w:r>
      <w:r w:rsidR="00AC4C2B" w:rsidRPr="00851EC7">
        <w:rPr>
          <w:rFonts w:asciiTheme="minorHAnsi" w:hAnsiTheme="minorHAnsi" w:cstheme="minorHAnsi"/>
          <w:lang w:val="en-AU"/>
        </w:rPr>
        <w:t xml:space="preserve">a consolidated set of </w:t>
      </w:r>
      <w:r w:rsidRPr="00851EC7">
        <w:rPr>
          <w:rFonts w:asciiTheme="minorHAnsi" w:hAnsiTheme="minorHAnsi" w:cstheme="minorHAnsi"/>
          <w:lang w:val="en-AU"/>
        </w:rPr>
        <w:t xml:space="preserve">recommendations. </w:t>
      </w:r>
    </w:p>
    <w:p w:rsidR="007E707A" w:rsidRPr="00851EC7" w:rsidRDefault="006E7EC4" w:rsidP="00AA3CE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 xml:space="preserve">Each recommendation </w:t>
      </w:r>
      <w:r w:rsidR="00AC4C2B" w:rsidRPr="00851EC7">
        <w:rPr>
          <w:rFonts w:asciiTheme="minorHAnsi" w:hAnsiTheme="minorHAnsi" w:cstheme="minorHAnsi"/>
          <w:lang w:val="en-AU"/>
        </w:rPr>
        <w:t xml:space="preserve">in the APPR </w:t>
      </w:r>
      <w:r w:rsidRPr="00851EC7">
        <w:rPr>
          <w:rFonts w:asciiTheme="minorHAnsi" w:hAnsiTheme="minorHAnsi" w:cstheme="minorHAnsi"/>
          <w:lang w:val="en-AU"/>
        </w:rPr>
        <w:t xml:space="preserve">is accompanied by a </w:t>
      </w:r>
      <w:r w:rsidR="00EE7DC4" w:rsidRPr="00851EC7">
        <w:rPr>
          <w:rFonts w:asciiTheme="minorHAnsi" w:hAnsiTheme="minorHAnsi" w:cstheme="minorHAnsi"/>
          <w:lang w:val="en-AU"/>
        </w:rPr>
        <w:t xml:space="preserve">nominated </w:t>
      </w:r>
      <w:r w:rsidRPr="00851EC7">
        <w:rPr>
          <w:rFonts w:asciiTheme="minorHAnsi" w:hAnsiTheme="minorHAnsi" w:cstheme="minorHAnsi"/>
          <w:lang w:val="en-AU"/>
        </w:rPr>
        <w:t xml:space="preserve">stakeholder who is assigned prime responsibility for implementation. Recommendations are presented by a color-coded system that indicates the </w:t>
      </w:r>
      <w:r w:rsidR="00786C58" w:rsidRPr="00851EC7">
        <w:rPr>
          <w:rFonts w:asciiTheme="minorHAnsi" w:hAnsiTheme="minorHAnsi" w:cstheme="minorHAnsi"/>
          <w:lang w:val="en-AU"/>
        </w:rPr>
        <w:t>relative immediacy of the issue</w:t>
      </w:r>
      <w:r w:rsidRPr="00851EC7">
        <w:rPr>
          <w:rFonts w:asciiTheme="minorHAnsi" w:hAnsiTheme="minorHAnsi" w:cstheme="minorHAnsi"/>
          <w:lang w:val="en-AU"/>
        </w:rPr>
        <w:t>.</w:t>
      </w:r>
    </w:p>
    <w:p w:rsidR="00396227" w:rsidRPr="00851EC7" w:rsidRDefault="007E707A" w:rsidP="00896DF8">
      <w:pPr>
        <w:spacing w:before="120" w:after="120" w:line="276" w:lineRule="auto"/>
        <w:jc w:val="both"/>
        <w:rPr>
          <w:rFonts w:asciiTheme="minorHAnsi" w:hAnsiTheme="minorHAnsi" w:cstheme="minorHAnsi"/>
          <w:lang w:val="en-AU"/>
        </w:rPr>
      </w:pPr>
      <w:r w:rsidRPr="00851EC7">
        <w:rPr>
          <w:rFonts w:asciiTheme="minorHAnsi" w:hAnsiTheme="minorHAnsi" w:cstheme="minorHAnsi"/>
          <w:lang w:val="en-AU"/>
        </w:rPr>
        <w:t xml:space="preserve">Footnotes and endnotes are utilized throughout the document: footnotes are employed to </w:t>
      </w:r>
      <w:r w:rsidR="000D3672" w:rsidRPr="00851EC7">
        <w:rPr>
          <w:rFonts w:asciiTheme="minorHAnsi" w:hAnsiTheme="minorHAnsi" w:cstheme="minorHAnsi"/>
          <w:lang w:val="en-AU"/>
        </w:rPr>
        <w:t>provide</w:t>
      </w:r>
      <w:r w:rsidR="005A6E38" w:rsidRPr="00851EC7">
        <w:rPr>
          <w:rFonts w:asciiTheme="minorHAnsi" w:hAnsiTheme="minorHAnsi" w:cstheme="minorHAnsi"/>
          <w:lang w:val="en-AU"/>
        </w:rPr>
        <w:t xml:space="preserve"> c</w:t>
      </w:r>
      <w:r w:rsidR="000D3672" w:rsidRPr="00851EC7">
        <w:rPr>
          <w:rFonts w:asciiTheme="minorHAnsi" w:hAnsiTheme="minorHAnsi" w:cstheme="minorHAnsi"/>
          <w:lang w:val="en-AU"/>
        </w:rPr>
        <w:t>larification on a point; endnotes are employed to reference a source.</w:t>
      </w:r>
      <w:r w:rsidRPr="00851EC7">
        <w:rPr>
          <w:rFonts w:asciiTheme="minorHAnsi" w:hAnsiTheme="minorHAnsi" w:cstheme="minorHAnsi"/>
          <w:lang w:val="en-AU"/>
        </w:rPr>
        <w:t xml:space="preserve"> </w:t>
      </w:r>
      <w:bookmarkStart w:id="16" w:name="_Toc372401482"/>
    </w:p>
    <w:p w:rsidR="005A6E38" w:rsidRPr="00851EC7" w:rsidRDefault="005A6E38" w:rsidP="00896DF8">
      <w:pPr>
        <w:spacing w:before="120" w:after="120" w:line="276" w:lineRule="auto"/>
        <w:jc w:val="both"/>
        <w:rPr>
          <w:rFonts w:asciiTheme="minorHAnsi" w:hAnsiTheme="minorHAnsi" w:cstheme="minorHAnsi"/>
          <w:lang w:val="en-AU"/>
        </w:rPr>
        <w:sectPr w:rsidR="005A6E38" w:rsidRPr="00851EC7" w:rsidSect="008F2D9C">
          <w:footnotePr>
            <w:numRestart w:val="eachSect"/>
          </w:footnotePr>
          <w:endnotePr>
            <w:numRestart w:val="eachSect"/>
          </w:endnotePr>
          <w:type w:val="oddPage"/>
          <w:pgSz w:w="11909" w:h="16834" w:code="9"/>
          <w:pgMar w:top="1440" w:right="1440" w:bottom="1440" w:left="1440" w:header="432" w:footer="720" w:gutter="0"/>
          <w:pgNumType w:start="1"/>
          <w:cols w:space="720"/>
          <w:docGrid w:linePitch="360"/>
        </w:sectPr>
      </w:pPr>
    </w:p>
    <w:bookmarkEnd w:id="16"/>
    <w:p w:rsidR="00743482" w:rsidRPr="00851EC7" w:rsidRDefault="00743482" w:rsidP="00743482">
      <w:pPr>
        <w:spacing w:before="120" w:after="120"/>
        <w:rPr>
          <w:lang w:val="en-AU"/>
        </w:rPr>
      </w:pPr>
    </w:p>
    <w:p w:rsidR="00396227" w:rsidRPr="00851EC7" w:rsidRDefault="00396227" w:rsidP="00396227">
      <w:pPr>
        <w:spacing w:before="120" w:after="120"/>
        <w:rPr>
          <w:lang w:val="en-AU"/>
        </w:rPr>
      </w:pPr>
    </w:p>
    <w:p w:rsidR="00DE0C5D" w:rsidRPr="00851EC7" w:rsidRDefault="00DE0C5D" w:rsidP="00DE0C5D">
      <w:pPr>
        <w:rPr>
          <w:lang w:val="en-AU"/>
        </w:rPr>
      </w:pPr>
      <w:r w:rsidRPr="00851EC7">
        <w:rPr>
          <w:noProof/>
          <w:color w:val="000000" w:themeColor="text1"/>
          <w:sz w:val="28"/>
          <w:szCs w:val="28"/>
          <w:lang w:val="en-AU" w:eastAsia="en-AU"/>
        </w:rPr>
        <w:drawing>
          <wp:anchor distT="0" distB="0" distL="114300" distR="114300" simplePos="0" relativeHeight="251677696" behindDoc="1" locked="0" layoutInCell="1" allowOverlap="1" wp14:anchorId="24C36168" wp14:editId="767CA93F">
            <wp:simplePos x="0" y="0"/>
            <wp:positionH relativeFrom="page">
              <wp:posOffset>-7620</wp:posOffset>
            </wp:positionH>
            <wp:positionV relativeFrom="page">
              <wp:posOffset>2540</wp:posOffset>
            </wp:positionV>
            <wp:extent cx="7580630" cy="10709275"/>
            <wp:effectExtent l="0" t="0" r="1270" b="0"/>
            <wp:wrapNone/>
            <wp:docPr id="14" name="Picture 14"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2D621D" w:rsidP="00DE0C5D">
      <w:pPr>
        <w:tabs>
          <w:tab w:val="left" w:pos="2977"/>
        </w:tabs>
        <w:ind w:left="2880"/>
        <w:rPr>
          <w:b/>
          <w:color w:val="FFFFFF" w:themeColor="background1"/>
          <w:sz w:val="36"/>
          <w:szCs w:val="36"/>
          <w:lang w:val="en-AU"/>
        </w:rPr>
      </w:pPr>
      <w:r w:rsidRPr="00851EC7">
        <w:rPr>
          <w:b/>
          <w:color w:val="FFFFFF" w:themeColor="background1"/>
          <w:sz w:val="36"/>
          <w:szCs w:val="36"/>
          <w:lang w:val="en-AU"/>
        </w:rPr>
        <w:t xml:space="preserve">Part A: </w:t>
      </w:r>
      <w:r w:rsidR="00062CCA" w:rsidRPr="00851EC7">
        <w:rPr>
          <w:b/>
          <w:color w:val="FFFFFF" w:themeColor="background1"/>
          <w:sz w:val="36"/>
          <w:szCs w:val="36"/>
          <w:lang w:val="en-AU"/>
        </w:rPr>
        <w:t>Zooming in</w:t>
      </w:r>
    </w:p>
    <w:p w:rsidR="00DE0C5D" w:rsidRPr="00851EC7" w:rsidRDefault="00DE0C5D" w:rsidP="00DE0C5D">
      <w:pPr>
        <w:tabs>
          <w:tab w:val="left" w:pos="2977"/>
        </w:tabs>
        <w:ind w:left="2880"/>
        <w:rPr>
          <w:b/>
          <w:color w:val="FFFFFF" w:themeColor="background1"/>
          <w:sz w:val="36"/>
          <w:szCs w:val="36"/>
          <w:lang w:val="en-AU"/>
        </w:rPr>
      </w:pPr>
    </w:p>
    <w:p w:rsidR="00DE0C5D" w:rsidRPr="00851EC7" w:rsidRDefault="00062CCA" w:rsidP="00DE0C5D">
      <w:pPr>
        <w:tabs>
          <w:tab w:val="left" w:pos="2977"/>
        </w:tabs>
        <w:ind w:left="2880"/>
        <w:rPr>
          <w:b/>
          <w:i/>
          <w:color w:val="FFFFFF" w:themeColor="background1"/>
          <w:sz w:val="32"/>
          <w:szCs w:val="32"/>
          <w:lang w:val="en-AU"/>
        </w:rPr>
      </w:pPr>
      <w:r w:rsidRPr="00851EC7">
        <w:rPr>
          <w:b/>
          <w:i/>
          <w:color w:val="FFFFFF" w:themeColor="background1"/>
          <w:sz w:val="36"/>
          <w:szCs w:val="36"/>
          <w:lang w:val="en-AU"/>
        </w:rPr>
        <w:t xml:space="preserve">Component performance </w:t>
      </w:r>
    </w:p>
    <w:p w:rsidR="00DE0C5D" w:rsidRPr="00851EC7" w:rsidRDefault="00DE0C5D" w:rsidP="00854A82">
      <w:pPr>
        <w:rPr>
          <w:lang w:val="en-AU"/>
        </w:rPr>
        <w:sectPr w:rsidR="00DE0C5D" w:rsidRPr="00851EC7" w:rsidSect="00EE0C3E">
          <w:footnotePr>
            <w:numRestart w:val="eachSect"/>
          </w:footnotePr>
          <w:endnotePr>
            <w:numRestart w:val="eachSect"/>
          </w:endnotePr>
          <w:type w:val="oddPage"/>
          <w:pgSz w:w="11909" w:h="16834" w:code="9"/>
          <w:pgMar w:top="1440" w:right="1440" w:bottom="1440" w:left="1440" w:header="431" w:footer="720" w:gutter="0"/>
          <w:cols w:space="720"/>
          <w:noEndnote/>
          <w:docGrid w:linePitch="360"/>
        </w:sectPr>
      </w:pPr>
    </w:p>
    <w:p w:rsidR="00B33BC8" w:rsidRPr="00851EC7" w:rsidRDefault="00B33BC8" w:rsidP="00B33BC8">
      <w:pPr>
        <w:pStyle w:val="Heading1"/>
      </w:pPr>
      <w:bookmarkStart w:id="17" w:name="_Toc375124627"/>
      <w:bookmarkStart w:id="18" w:name="_Toc407779881"/>
      <w:r w:rsidRPr="00851EC7">
        <w:lastRenderedPageBreak/>
        <w:t>Component 1: School Construction</w:t>
      </w:r>
      <w:bookmarkEnd w:id="17"/>
      <w:bookmarkEnd w:id="18"/>
    </w:p>
    <w:p w:rsidR="00B33BC8" w:rsidRPr="00851EC7" w:rsidRDefault="00B33BC8" w:rsidP="00DC41F6">
      <w:pPr>
        <w:pStyle w:val="Heading2"/>
      </w:pPr>
      <w:bookmarkStart w:id="19" w:name="_Toc372401491"/>
      <w:r w:rsidRPr="00851EC7">
        <w:t>Introduction</w:t>
      </w:r>
      <w:bookmarkEnd w:id="19"/>
      <w:r w:rsidRPr="00851EC7">
        <w:t xml:space="preserve"> </w:t>
      </w:r>
    </w:p>
    <w:p w:rsidR="00B33BC8" w:rsidRPr="00851EC7" w:rsidRDefault="00B33BC8" w:rsidP="00DC41F6">
      <w:pPr>
        <w:pStyle w:val="Heading3"/>
      </w:pPr>
      <w:r w:rsidRPr="00851EC7">
        <w:t xml:space="preserve">The EP investment </w:t>
      </w:r>
    </w:p>
    <w:p w:rsidR="00B33BC8" w:rsidRPr="00851EC7" w:rsidRDefault="00B33BC8" w:rsidP="00B33BC8">
      <w:pPr>
        <w:spacing w:before="120" w:after="120" w:line="276" w:lineRule="auto"/>
        <w:jc w:val="both"/>
        <w:rPr>
          <w:lang w:val="en-AU"/>
        </w:rPr>
      </w:pPr>
      <w:r w:rsidRPr="00851EC7">
        <w:rPr>
          <w:lang w:val="en-AU"/>
        </w:rPr>
        <w:t>The Government of Australia is supporting GoI to build up to 1,150 new junior secondary schools (USBs) and one-roof junior secondary schools (SATAPs)</w:t>
      </w:r>
      <w:r w:rsidR="00794B58">
        <w:rPr>
          <w:lang w:val="en-AU"/>
        </w:rPr>
        <w:t>,</w:t>
      </w:r>
      <w:r w:rsidRPr="00851EC7">
        <w:rPr>
          <w:lang w:val="en-AU"/>
        </w:rPr>
        <w:t xml:space="preserve"> creating up to 160,000 new student places between 2011 and 2016</w:t>
      </w:r>
      <w:r w:rsidRPr="00851EC7">
        <w:rPr>
          <w:rStyle w:val="EndnoteReference"/>
          <w:rFonts w:asciiTheme="minorHAnsi" w:hAnsiTheme="minorHAnsi" w:cstheme="minorHAnsi"/>
          <w:lang w:val="en-AU"/>
        </w:rPr>
        <w:endnoteReference w:id="1"/>
      </w:r>
      <w:r w:rsidRPr="00851EC7">
        <w:rPr>
          <w:rFonts w:asciiTheme="minorHAnsi" w:hAnsiTheme="minorHAnsi" w:cstheme="minorHAnsi"/>
          <w:lang w:val="en-AU"/>
        </w:rPr>
        <w:t xml:space="preserve">. </w:t>
      </w:r>
      <w:r w:rsidRPr="00851EC7">
        <w:rPr>
          <w:lang w:val="en-AU"/>
        </w:rPr>
        <w:t>The resulting increase in available student places in participating districts (EOCO) is expected to lead to an increase in enrolment in Junior Secondary Education (JSE) in participating districts (EOPO).</w:t>
      </w:r>
    </w:p>
    <w:p w:rsidR="00B33BC8" w:rsidRPr="00851EC7" w:rsidRDefault="00B33BC8" w:rsidP="00B33BC8">
      <w:pPr>
        <w:spacing w:before="120" w:after="120" w:line="276" w:lineRule="auto"/>
        <w:jc w:val="both"/>
        <w:rPr>
          <w:lang w:val="en-AU"/>
        </w:rPr>
      </w:pPr>
      <w:r w:rsidRPr="00851EC7">
        <w:rPr>
          <w:lang w:val="en-AU"/>
        </w:rPr>
        <w:t>The supply of new JSE places is expected to provide (prospective) learners with improved physical access to JSE. The closer proximity of schools to households is also expected to reduce financial barriers to enrolment (costs of student transportation and/or lodging) and therefore enable continued and improved participation</w:t>
      </w:r>
      <w:r w:rsidRPr="00851EC7">
        <w:rPr>
          <w:rFonts w:cstheme="minorHAnsi"/>
          <w:vertAlign w:val="superscript"/>
          <w:lang w:val="en-AU"/>
        </w:rPr>
        <w:endnoteReference w:id="2"/>
      </w:r>
      <w:r w:rsidRPr="00851EC7">
        <w:rPr>
          <w:lang w:val="en-AU"/>
        </w:rPr>
        <w:t xml:space="preserve">. Within participating districts, the investment is expected to have an impact on JSE enrolment and retention rates, and rates of transition of students from primary to junior secondary school. </w:t>
      </w:r>
    </w:p>
    <w:p w:rsidR="00B33BC8" w:rsidRPr="00851EC7" w:rsidRDefault="00B33BC8" w:rsidP="00B33BC8">
      <w:pPr>
        <w:spacing w:before="120" w:after="120" w:line="276" w:lineRule="auto"/>
        <w:jc w:val="both"/>
        <w:rPr>
          <w:rFonts w:asciiTheme="minorHAnsi" w:hAnsiTheme="minorHAnsi" w:cstheme="minorHAnsi"/>
          <w:lang w:val="en-AU"/>
        </w:rPr>
      </w:pPr>
      <w:r w:rsidRPr="00851EC7">
        <w:rPr>
          <w:lang w:val="en-AU"/>
        </w:rPr>
        <w:t>The GoA seeks to focus its EP investment on districts with low junior secondary enrolment rates</w:t>
      </w:r>
      <w:r w:rsidRPr="00851EC7">
        <w:rPr>
          <w:rStyle w:val="FootnoteReference"/>
          <w:rFonts w:cstheme="minorHAnsi"/>
          <w:lang w:val="en-AU"/>
        </w:rPr>
        <w:footnoteReference w:id="3"/>
      </w:r>
      <w:r w:rsidRPr="00851EC7">
        <w:rPr>
          <w:rFonts w:asciiTheme="minorHAnsi" w:hAnsiTheme="minorHAnsi" w:cstheme="minorHAnsi"/>
          <w:lang w:val="en-AU"/>
        </w:rPr>
        <w:t xml:space="preserve"> so as </w:t>
      </w:r>
      <w:r w:rsidRPr="00851EC7">
        <w:rPr>
          <w:lang w:val="en-AU"/>
        </w:rPr>
        <w:t xml:space="preserve">to reduce inter-district disparities in enrolment rates. In doing so, it wishes to make a contribution to the GoI target of increasing the percentage of districts with a JSE Gross Enrolment Rate (GER) of 90% or greater, to 85% by 2014 from 75% </w:t>
      </w:r>
      <w:r w:rsidR="00F4282E" w:rsidRPr="00851EC7">
        <w:rPr>
          <w:lang w:val="en-AU"/>
        </w:rPr>
        <w:t>i</w:t>
      </w:r>
      <w:r w:rsidRPr="00851EC7">
        <w:rPr>
          <w:lang w:val="en-AU"/>
        </w:rPr>
        <w:t>n 2011</w:t>
      </w:r>
      <w:r w:rsidRPr="00851EC7">
        <w:rPr>
          <w:rFonts w:asciiTheme="minorHAnsi" w:hAnsiTheme="minorHAnsi" w:cstheme="minorHAnsi"/>
          <w:vertAlign w:val="superscript"/>
          <w:lang w:val="en-AU"/>
        </w:rPr>
        <w:endnoteReference w:id="3"/>
      </w:r>
      <w:r w:rsidRPr="00851EC7">
        <w:rPr>
          <w:rFonts w:asciiTheme="minorHAnsi" w:hAnsiTheme="minorHAnsi" w:cstheme="minorHAnsi"/>
          <w:lang w:val="en-AU"/>
        </w:rPr>
        <w:t xml:space="preserve">. </w:t>
      </w:r>
      <w:r w:rsidRPr="00851EC7">
        <w:rPr>
          <w:lang w:val="en-AU"/>
        </w:rPr>
        <w:t xml:space="preserve">It also expects to assist Indonesia to deliver on its 2010-14 </w:t>
      </w:r>
      <w:r w:rsidR="006D4DD4" w:rsidRPr="006D4DD4">
        <w:rPr>
          <w:i/>
          <w:lang w:val="en-AU"/>
        </w:rPr>
        <w:t>Renstra</w:t>
      </w:r>
      <w:r w:rsidRPr="00851EC7">
        <w:rPr>
          <w:lang w:val="en-AU"/>
        </w:rPr>
        <w:t xml:space="preserve"> targets by improving access to nine years of basic education for boys and girls, and children with physical disabilities, in un-served and under-served areas of the country</w:t>
      </w:r>
      <w:r w:rsidRPr="00851EC7">
        <w:rPr>
          <w:rFonts w:cstheme="minorHAnsi"/>
          <w:vertAlign w:val="superscript"/>
          <w:lang w:val="en-AU"/>
        </w:rPr>
        <w:endnoteReference w:id="4"/>
      </w:r>
      <w:r w:rsidRPr="00851EC7">
        <w:rPr>
          <w:rFonts w:asciiTheme="minorHAnsi" w:hAnsiTheme="minorHAnsi" w:cstheme="minorHAnsi"/>
          <w:lang w:val="en-AU"/>
        </w:rPr>
        <w:t xml:space="preserve">. </w:t>
      </w:r>
    </w:p>
    <w:p w:rsidR="00B33BC8" w:rsidRPr="00851EC7" w:rsidRDefault="00B33BC8" w:rsidP="00B33BC8">
      <w:pPr>
        <w:spacing w:before="120" w:after="120" w:line="276" w:lineRule="auto"/>
        <w:jc w:val="both"/>
        <w:rPr>
          <w:rFonts w:asciiTheme="minorHAnsi" w:hAnsiTheme="minorHAnsi" w:cstheme="minorHAnsi"/>
          <w:lang w:val="en-AU"/>
        </w:rPr>
      </w:pPr>
      <w:r w:rsidRPr="00851EC7">
        <w:rPr>
          <w:lang w:val="en-AU"/>
        </w:rPr>
        <w:t>Component 1 does not expect to deliver systemic change</w:t>
      </w:r>
      <w:r w:rsidRPr="00851EC7">
        <w:rPr>
          <w:rFonts w:ascii="Times New Roman" w:hAnsi="Times New Roman" w:cstheme="minorHAnsi"/>
          <w:vertAlign w:val="superscript"/>
          <w:lang w:val="en-AU"/>
        </w:rPr>
        <w:footnoteReference w:id="4"/>
      </w:r>
      <w:r w:rsidRPr="00851EC7">
        <w:rPr>
          <w:rFonts w:asciiTheme="minorHAnsi" w:hAnsiTheme="minorHAnsi" w:cstheme="minorHAnsi"/>
          <w:lang w:val="en-AU"/>
        </w:rPr>
        <w:t xml:space="preserve"> </w:t>
      </w:r>
      <w:r w:rsidRPr="00851EC7">
        <w:rPr>
          <w:lang w:val="en-AU"/>
        </w:rPr>
        <w:t>in government policy, planning and service delivery, though indirect benefits may accrue. The primary output is the construction of new schools and the additional places they offer learners, with the expectation that increased enrolment (the expected outcome) and sustained participation (the expected goal) will follow</w:t>
      </w:r>
      <w:r w:rsidRPr="00851EC7">
        <w:rPr>
          <w:rFonts w:asciiTheme="minorHAnsi" w:hAnsiTheme="minorHAnsi" w:cstheme="minorHAnsi"/>
          <w:lang w:val="en-AU"/>
        </w:rPr>
        <w:t>.</w:t>
      </w:r>
    </w:p>
    <w:p w:rsidR="00B33BC8" w:rsidRPr="00851EC7" w:rsidRDefault="00B33BC8" w:rsidP="00B33BC8">
      <w:pPr>
        <w:spacing w:before="120" w:after="120" w:line="276" w:lineRule="auto"/>
        <w:jc w:val="both"/>
        <w:rPr>
          <w:rFonts w:asciiTheme="minorHAnsi" w:hAnsiTheme="minorHAnsi" w:cstheme="minorHAnsi"/>
          <w:lang w:val="en-AU"/>
        </w:rPr>
      </w:pPr>
      <w:r w:rsidRPr="00851EC7">
        <w:rPr>
          <w:lang w:val="en-AU"/>
        </w:rPr>
        <w:t>All schools are expected to be fully operational within six months following completion of construction, and be capable of delivering effective formal and non-formal education services</w:t>
      </w:r>
      <w:r w:rsidRPr="00851EC7">
        <w:rPr>
          <w:rFonts w:cstheme="minorHAnsi"/>
          <w:vertAlign w:val="superscript"/>
          <w:lang w:val="en-AU"/>
        </w:rPr>
        <w:endnoteReference w:id="5"/>
      </w:r>
      <w:r w:rsidRPr="00851EC7">
        <w:rPr>
          <w:lang w:val="en-AU"/>
        </w:rPr>
        <w:t>. This expectation requires that the schools be fully staffed and equipped (e.g. with laboratory equipment and books), and have accessed the necessary GoI operational funds to run and maintain the schools</w:t>
      </w:r>
      <w:r w:rsidRPr="00851EC7">
        <w:rPr>
          <w:rFonts w:asciiTheme="minorHAnsi" w:hAnsiTheme="minorHAnsi" w:cstheme="minorHAnsi"/>
          <w:vertAlign w:val="superscript"/>
          <w:lang w:val="en-AU"/>
        </w:rPr>
        <w:endnoteReference w:id="6"/>
      </w:r>
      <w:r w:rsidRPr="00851EC7">
        <w:rPr>
          <w:rFonts w:asciiTheme="minorHAnsi" w:hAnsiTheme="minorHAnsi" w:cstheme="minorHAnsi"/>
          <w:lang w:val="en-AU"/>
        </w:rPr>
        <w:t xml:space="preserve">. </w:t>
      </w:r>
      <w:r w:rsidRPr="00851EC7">
        <w:rPr>
          <w:lang w:val="en-AU"/>
        </w:rPr>
        <w:t>The Grant Agreement between GoA and GoI provides for the SATAPs to receive an initial “start-up” grant upon school completion to ensure smooth initial operations; the USBs do not have the same entitlement</w:t>
      </w:r>
      <w:r w:rsidRPr="00851EC7">
        <w:rPr>
          <w:rFonts w:asciiTheme="minorHAnsi" w:hAnsiTheme="minorHAnsi" w:cstheme="minorHAnsi"/>
          <w:lang w:val="en-AU"/>
        </w:rPr>
        <w:t>.</w:t>
      </w:r>
    </w:p>
    <w:p w:rsidR="00B33BC8" w:rsidRPr="00851EC7" w:rsidRDefault="00B33BC8" w:rsidP="00B33BC8">
      <w:pPr>
        <w:spacing w:before="120" w:after="120" w:line="276" w:lineRule="auto"/>
        <w:jc w:val="both"/>
        <w:rPr>
          <w:rFonts w:asciiTheme="minorHAnsi" w:hAnsiTheme="minorHAnsi" w:cstheme="minorHAnsi"/>
          <w:lang w:val="en-AU"/>
        </w:rPr>
      </w:pPr>
      <w:r w:rsidRPr="00851EC7">
        <w:rPr>
          <w:lang w:val="en-AU"/>
        </w:rPr>
        <w:t>Once the schools are built, the EP, and specifically Component 2, delivers a New School Induction Program (NSIP) in school-based management to school management teams. Upon completion, the participants are expected to demonstrate a statistically significant increase in knowledge, which should then be applied when conducting their duties</w:t>
      </w:r>
      <w:r w:rsidRPr="00851EC7">
        <w:rPr>
          <w:rFonts w:asciiTheme="minorHAnsi" w:hAnsiTheme="minorHAnsi" w:cstheme="minorHAnsi"/>
          <w:lang w:val="en-AU"/>
        </w:rPr>
        <w:t xml:space="preserve">. </w:t>
      </w:r>
    </w:p>
    <w:p w:rsidR="00B33BC8" w:rsidRPr="00851EC7" w:rsidRDefault="00B33BC8" w:rsidP="00215A8F">
      <w:pPr>
        <w:keepNext/>
        <w:numPr>
          <w:ilvl w:val="2"/>
          <w:numId w:val="7"/>
        </w:numPr>
        <w:spacing w:before="120" w:after="120"/>
        <w:ind w:left="709" w:hanging="709"/>
        <w:outlineLvl w:val="2"/>
        <w:rPr>
          <w:bCs/>
          <w:color w:val="003880"/>
          <w:sz w:val="24"/>
          <w:szCs w:val="28"/>
          <w:lang w:val="en-AU"/>
        </w:rPr>
      </w:pPr>
      <w:bookmarkStart w:id="20" w:name="_Toc372401496"/>
      <w:r w:rsidRPr="00851EC7">
        <w:rPr>
          <w:bCs/>
          <w:color w:val="003880"/>
          <w:sz w:val="24"/>
          <w:szCs w:val="28"/>
          <w:lang w:val="en-AU"/>
        </w:rPr>
        <w:lastRenderedPageBreak/>
        <w:t>The delivery mechanisms and support provided by the EP</w:t>
      </w:r>
      <w:bookmarkEnd w:id="20"/>
    </w:p>
    <w:p w:rsidR="00B33BC8" w:rsidRPr="00851EC7" w:rsidRDefault="00B33BC8" w:rsidP="00B33BC8">
      <w:pPr>
        <w:spacing w:before="120" w:after="120" w:line="276" w:lineRule="auto"/>
        <w:jc w:val="both"/>
        <w:rPr>
          <w:rFonts w:asciiTheme="minorHAnsi" w:hAnsiTheme="minorHAnsi" w:cstheme="minorHAnsi"/>
          <w:lang w:val="en-AU"/>
        </w:rPr>
      </w:pPr>
      <w:r w:rsidRPr="00851EC7">
        <w:rPr>
          <w:lang w:val="en-AU"/>
        </w:rPr>
        <w:t>Support provided through Component 1 is delivered through a combination of technical assistance and budget support to MoEC</w:t>
      </w:r>
      <w:r w:rsidRPr="00851EC7">
        <w:rPr>
          <w:rFonts w:cstheme="minorHAnsi"/>
          <w:vertAlign w:val="superscript"/>
          <w:lang w:val="en-AU"/>
        </w:rPr>
        <w:endnoteReference w:id="7"/>
      </w:r>
      <w:r w:rsidRPr="00851EC7">
        <w:rPr>
          <w:rFonts w:asciiTheme="minorHAnsi" w:hAnsiTheme="minorHAnsi" w:cstheme="minorHAnsi"/>
          <w:lang w:val="en-AU"/>
        </w:rPr>
        <w:t xml:space="preserve">. </w:t>
      </w:r>
      <w:r w:rsidRPr="00851EC7">
        <w:rPr>
          <w:lang w:val="en-AU"/>
        </w:rPr>
        <w:t>Technical assistance and training are provided by the managing contractor that holds the School Systems and Quality (SSQ) contract. Funding for school construction is channelled through GoI system</w:t>
      </w:r>
      <w:r w:rsidR="00F4282E" w:rsidRPr="00851EC7">
        <w:rPr>
          <w:lang w:val="en-AU"/>
        </w:rPr>
        <w:t>s</w:t>
      </w:r>
      <w:r w:rsidRPr="00851EC7">
        <w:rPr>
          <w:lang w:val="en-AU"/>
        </w:rPr>
        <w:t>, thus overall responsibility for the construction process lies within MoEC</w:t>
      </w:r>
      <w:r w:rsidRPr="00851EC7">
        <w:rPr>
          <w:rFonts w:asciiTheme="minorHAnsi" w:hAnsiTheme="minorHAnsi" w:cstheme="minorHAnsi"/>
          <w:lang w:val="en-AU"/>
        </w:rPr>
        <w:t>.</w:t>
      </w:r>
    </w:p>
    <w:p w:rsidR="00B33BC8" w:rsidRPr="00851EC7" w:rsidRDefault="00B33BC8" w:rsidP="00B33BC8">
      <w:pPr>
        <w:spacing w:before="120" w:after="120" w:line="276" w:lineRule="auto"/>
        <w:jc w:val="both"/>
        <w:rPr>
          <w:rFonts w:asciiTheme="minorHAnsi" w:hAnsiTheme="minorHAnsi" w:cstheme="minorHAnsi"/>
          <w:lang w:val="en-AU"/>
        </w:rPr>
      </w:pPr>
      <w:r w:rsidRPr="00851EC7">
        <w:rPr>
          <w:lang w:val="en-AU"/>
        </w:rPr>
        <w:t>In that context, GoA provides</w:t>
      </w:r>
      <w:r w:rsidRPr="00851EC7">
        <w:rPr>
          <w:rFonts w:asciiTheme="minorHAnsi" w:hAnsiTheme="minorHAnsi" w:cstheme="minorHAnsi"/>
          <w:lang w:val="en-AU"/>
        </w:rPr>
        <w:t>:</w:t>
      </w:r>
    </w:p>
    <w:p w:rsidR="00B33BC8" w:rsidRPr="00851EC7" w:rsidRDefault="00B33BC8" w:rsidP="00215A8F">
      <w:pPr>
        <w:pStyle w:val="ListParagraph"/>
        <w:numPr>
          <w:ilvl w:val="0"/>
          <w:numId w:val="10"/>
        </w:numPr>
        <w:spacing w:before="120" w:after="120"/>
        <w:rPr>
          <w:rFonts w:asciiTheme="minorHAnsi" w:hAnsiTheme="minorHAnsi" w:cstheme="minorHAnsi"/>
          <w:lang w:val="en-AU"/>
        </w:rPr>
      </w:pPr>
      <w:r w:rsidRPr="00851EC7">
        <w:rPr>
          <w:lang w:val="en-AU"/>
        </w:rPr>
        <w:t>AUD 155m of grants</w:t>
      </w:r>
      <w:r w:rsidRPr="00851EC7">
        <w:rPr>
          <w:rFonts w:eastAsia="Times New Roman" w:cstheme="minorHAnsi"/>
          <w:vertAlign w:val="superscript"/>
          <w:lang w:val="en-AU"/>
        </w:rPr>
        <w:endnoteReference w:id="8"/>
      </w:r>
      <w:r w:rsidRPr="00851EC7">
        <w:rPr>
          <w:rFonts w:eastAsia="Times New Roman" w:cstheme="minorHAnsi"/>
          <w:vertAlign w:val="superscript"/>
          <w:lang w:val="en-AU"/>
        </w:rPr>
        <w:t xml:space="preserve"> </w:t>
      </w:r>
      <w:r w:rsidRPr="00851EC7">
        <w:rPr>
          <w:lang w:val="en-AU"/>
        </w:rPr>
        <w:t>to fund the community-based JSE school construction.</w:t>
      </w:r>
      <w:r w:rsidRPr="00851EC7">
        <w:rPr>
          <w:rFonts w:asciiTheme="minorHAnsi" w:hAnsiTheme="minorHAnsi" w:cstheme="minorHAnsi"/>
          <w:lang w:val="en-AU"/>
        </w:rPr>
        <w:t xml:space="preserve"> </w:t>
      </w:r>
    </w:p>
    <w:p w:rsidR="00B33BC8" w:rsidRPr="00851EC7" w:rsidRDefault="00B33BC8" w:rsidP="00215A8F">
      <w:pPr>
        <w:pStyle w:val="ListParagraph"/>
        <w:numPr>
          <w:ilvl w:val="0"/>
          <w:numId w:val="10"/>
        </w:numPr>
        <w:spacing w:before="120" w:after="120"/>
        <w:rPr>
          <w:lang w:val="en-AU"/>
        </w:rPr>
      </w:pPr>
      <w:r w:rsidRPr="00851EC7">
        <w:rPr>
          <w:lang w:val="en-AU"/>
        </w:rPr>
        <w:t xml:space="preserve">Technical assistance and training to MoEC, School Construction Committees (SCCs) and District Education Officials (DEOs) concerning site selection and subsequent monitoring of school construction. </w:t>
      </w:r>
    </w:p>
    <w:p w:rsidR="00B33BC8" w:rsidRPr="00851EC7" w:rsidRDefault="00B33BC8" w:rsidP="00215A8F">
      <w:pPr>
        <w:pStyle w:val="ListParagraph"/>
        <w:numPr>
          <w:ilvl w:val="0"/>
          <w:numId w:val="10"/>
        </w:numPr>
        <w:spacing w:before="120" w:after="120"/>
        <w:rPr>
          <w:lang w:val="en-AU"/>
        </w:rPr>
      </w:pPr>
      <w:r w:rsidRPr="00851EC7">
        <w:rPr>
          <w:lang w:val="en-AU"/>
        </w:rPr>
        <w:t xml:space="preserve">Training in SBM for principals, school committees, DEOs and community members through the New School Induction Program (NSIP). </w:t>
      </w:r>
    </w:p>
    <w:p w:rsidR="00B33BC8" w:rsidRPr="00851EC7" w:rsidRDefault="00B33BC8" w:rsidP="00215A8F">
      <w:pPr>
        <w:pStyle w:val="ListParagraph"/>
        <w:numPr>
          <w:ilvl w:val="0"/>
          <w:numId w:val="10"/>
        </w:numPr>
        <w:spacing w:before="120" w:after="120"/>
        <w:rPr>
          <w:lang w:val="en-AU"/>
        </w:rPr>
      </w:pPr>
      <w:r w:rsidRPr="00851EC7">
        <w:rPr>
          <w:lang w:val="en-AU"/>
        </w:rPr>
        <w:t>Support to the establishment and implementation of a MoEC-managed Complaint Handling System (CHS).</w:t>
      </w:r>
    </w:p>
    <w:p w:rsidR="00B33BC8" w:rsidRPr="00851EC7" w:rsidRDefault="00B33BC8" w:rsidP="00215A8F">
      <w:pPr>
        <w:pStyle w:val="ListParagraph"/>
        <w:numPr>
          <w:ilvl w:val="0"/>
          <w:numId w:val="10"/>
        </w:numPr>
        <w:spacing w:before="120" w:after="120"/>
        <w:rPr>
          <w:lang w:val="en-AU"/>
        </w:rPr>
      </w:pPr>
      <w:r w:rsidRPr="00851EC7">
        <w:rPr>
          <w:lang w:val="en-AU"/>
        </w:rPr>
        <w:t>Financing of supplementary independent audits.</w:t>
      </w:r>
    </w:p>
    <w:p w:rsidR="00B33BC8" w:rsidRPr="00851EC7" w:rsidRDefault="00B33BC8" w:rsidP="00B33BC8">
      <w:pPr>
        <w:pStyle w:val="ListParagraph"/>
        <w:spacing w:before="120" w:after="120"/>
        <w:rPr>
          <w:lang w:val="en-AU"/>
        </w:rPr>
      </w:pPr>
    </w:p>
    <w:p w:rsidR="00B33BC8" w:rsidRPr="00851EC7" w:rsidRDefault="00B33BC8" w:rsidP="00215A8F">
      <w:pPr>
        <w:keepNext/>
        <w:numPr>
          <w:ilvl w:val="1"/>
          <w:numId w:val="7"/>
        </w:numPr>
        <w:ind w:hanging="720"/>
        <w:outlineLvl w:val="1"/>
        <w:rPr>
          <w:b/>
          <w:bCs/>
          <w:iCs/>
          <w:color w:val="003880"/>
          <w:sz w:val="24"/>
          <w:szCs w:val="24"/>
          <w:lang w:val="en-AU"/>
        </w:rPr>
      </w:pPr>
      <w:r w:rsidRPr="00851EC7">
        <w:rPr>
          <w:b/>
          <w:bCs/>
          <w:iCs/>
          <w:color w:val="003880"/>
          <w:sz w:val="24"/>
          <w:szCs w:val="24"/>
          <w:lang w:val="en-AU"/>
        </w:rPr>
        <w:t>Context</w:t>
      </w:r>
    </w:p>
    <w:p w:rsidR="00B33BC8" w:rsidRPr="00851EC7" w:rsidRDefault="00B33BC8" w:rsidP="00B33BC8">
      <w:pPr>
        <w:spacing w:before="120" w:after="120" w:line="276" w:lineRule="auto"/>
        <w:jc w:val="both"/>
        <w:rPr>
          <w:lang w:val="en-AU"/>
        </w:rPr>
      </w:pPr>
      <w:r w:rsidRPr="00851EC7">
        <w:rPr>
          <w:lang w:val="en-AU"/>
        </w:rPr>
        <w:t>While the official national GER figure</w:t>
      </w:r>
      <w:r w:rsidR="00794B58">
        <w:rPr>
          <w:lang w:val="en-AU"/>
        </w:rPr>
        <w:t xml:space="preserve"> for</w:t>
      </w:r>
      <w:r w:rsidRPr="00851EC7">
        <w:rPr>
          <w:lang w:val="en-AU"/>
        </w:rPr>
        <w:t xml:space="preserve"> </w:t>
      </w:r>
      <w:r w:rsidR="00794B58" w:rsidRPr="00851EC7">
        <w:rPr>
          <w:lang w:val="en-AU"/>
        </w:rPr>
        <w:t>2012/2013</w:t>
      </w:r>
      <w:r w:rsidR="00794B58">
        <w:rPr>
          <w:lang w:val="en-AU"/>
        </w:rPr>
        <w:t xml:space="preserve"> rose above</w:t>
      </w:r>
      <w:r w:rsidRPr="00851EC7">
        <w:rPr>
          <w:lang w:val="en-AU"/>
        </w:rPr>
        <w:t xml:space="preserve"> 100%, </w:t>
      </w:r>
      <w:r w:rsidR="00794B58">
        <w:rPr>
          <w:lang w:val="en-AU"/>
        </w:rPr>
        <w:t xml:space="preserve">it has since fallen </w:t>
      </w:r>
      <w:r w:rsidR="00752CCC">
        <w:rPr>
          <w:lang w:val="en-AU"/>
        </w:rPr>
        <w:t xml:space="preserve">back </w:t>
      </w:r>
      <w:r w:rsidR="00794B58">
        <w:rPr>
          <w:lang w:val="en-AU"/>
        </w:rPr>
        <w:t>to 97% (see Table 1)</w:t>
      </w:r>
      <w:r w:rsidRPr="00851EC7">
        <w:rPr>
          <w:lang w:val="en-AU"/>
        </w:rPr>
        <w:t xml:space="preserve">. This </w:t>
      </w:r>
      <w:r w:rsidR="00794B58">
        <w:rPr>
          <w:lang w:val="en-AU"/>
        </w:rPr>
        <w:t xml:space="preserve">is </w:t>
      </w:r>
      <w:r w:rsidR="00752CCC">
        <w:rPr>
          <w:lang w:val="en-AU"/>
        </w:rPr>
        <w:t>probably</w:t>
      </w:r>
      <w:r w:rsidR="00794B58">
        <w:rPr>
          <w:lang w:val="en-AU"/>
        </w:rPr>
        <w:t xml:space="preserve"> due to the increased </w:t>
      </w:r>
      <w:r w:rsidRPr="00851EC7">
        <w:rPr>
          <w:lang w:val="en-AU"/>
        </w:rPr>
        <w:t>number of JSE aged children (</w:t>
      </w:r>
      <w:r w:rsidR="00794B58">
        <w:rPr>
          <w:lang w:val="en-AU"/>
        </w:rPr>
        <w:t>+</w:t>
      </w:r>
      <w:r w:rsidRPr="00851EC7">
        <w:rPr>
          <w:lang w:val="en-AU"/>
        </w:rPr>
        <w:t>4%)</w:t>
      </w:r>
      <w:r w:rsidR="00794B58">
        <w:rPr>
          <w:lang w:val="en-AU"/>
        </w:rPr>
        <w:t xml:space="preserve">, set against the minimal increase in the </w:t>
      </w:r>
      <w:r w:rsidRPr="00851EC7">
        <w:rPr>
          <w:lang w:val="en-AU"/>
        </w:rPr>
        <w:t xml:space="preserve">numbers of students in JSE </w:t>
      </w:r>
      <w:r w:rsidR="00794B58">
        <w:rPr>
          <w:lang w:val="en-AU"/>
        </w:rPr>
        <w:t>(+</w:t>
      </w:r>
      <w:r w:rsidRPr="00851EC7">
        <w:rPr>
          <w:lang w:val="en-AU"/>
        </w:rPr>
        <w:t>0.7%</w:t>
      </w:r>
      <w:r w:rsidR="00794B58">
        <w:rPr>
          <w:lang w:val="en-AU"/>
        </w:rPr>
        <w:t>)</w:t>
      </w:r>
      <w:r w:rsidRPr="00851EC7">
        <w:rPr>
          <w:lang w:val="en-AU"/>
        </w:rPr>
        <w:t xml:space="preserve">. </w:t>
      </w:r>
      <w:r w:rsidR="00794B58">
        <w:rPr>
          <w:lang w:val="en-AU"/>
        </w:rPr>
        <w:t>The result is that</w:t>
      </w:r>
      <w:r w:rsidRPr="00851EC7">
        <w:rPr>
          <w:lang w:val="en-AU"/>
        </w:rPr>
        <w:t xml:space="preserve"> the gap between 2014 enrolment rate and the MoEC 2014 </w:t>
      </w:r>
      <w:r w:rsidR="006D4DD4" w:rsidRPr="006D4DD4">
        <w:rPr>
          <w:i/>
          <w:lang w:val="en-AU"/>
        </w:rPr>
        <w:t>Renstra</w:t>
      </w:r>
      <w:r w:rsidRPr="00851EC7">
        <w:rPr>
          <w:lang w:val="en-AU"/>
        </w:rPr>
        <w:t xml:space="preserve"> Target has </w:t>
      </w:r>
      <w:r w:rsidR="00794B58">
        <w:rPr>
          <w:lang w:val="en-AU"/>
        </w:rPr>
        <w:t>widened</w:t>
      </w:r>
      <w:r w:rsidRPr="00851EC7">
        <w:rPr>
          <w:lang w:val="en-AU"/>
        </w:rPr>
        <w:t xml:space="preserve">. </w:t>
      </w:r>
    </w:p>
    <w:p w:rsidR="00B33BC8" w:rsidRPr="00851EC7" w:rsidRDefault="00B33BC8" w:rsidP="00B33BC8">
      <w:pPr>
        <w:rPr>
          <w:rFonts w:asciiTheme="minorHAnsi" w:hAnsiTheme="minorHAnsi" w:cstheme="minorHAnsi"/>
          <w:lang w:val="en-AU"/>
        </w:rPr>
      </w:pPr>
    </w:p>
    <w:p w:rsidR="00B33BC8" w:rsidRPr="00851EC7" w:rsidRDefault="004D3EF0" w:rsidP="004D3EF0">
      <w:pPr>
        <w:pStyle w:val="Caption"/>
        <w:keepNext/>
        <w:rPr>
          <w:lang w:val="en-AU"/>
        </w:rPr>
      </w:pPr>
      <w:bookmarkStart w:id="21" w:name="_Toc412534573"/>
      <w:r>
        <w:t xml:space="preserve">Table </w:t>
      </w:r>
      <w:r>
        <w:fldChar w:fldCharType="begin"/>
      </w:r>
      <w:r>
        <w:instrText xml:space="preserve"> SEQ Table \* ARABIC </w:instrText>
      </w:r>
      <w:r>
        <w:fldChar w:fldCharType="separate"/>
      </w:r>
      <w:r w:rsidR="004A0A8F">
        <w:rPr>
          <w:noProof/>
        </w:rPr>
        <w:t>1</w:t>
      </w:r>
      <w:r>
        <w:fldChar w:fldCharType="end"/>
      </w:r>
      <w:r w:rsidR="00B33BC8" w:rsidRPr="00851EC7">
        <w:rPr>
          <w:lang w:val="en-AU"/>
        </w:rPr>
        <w:t>: JSE enrolment 2011/12 to 2013/14</w:t>
      </w:r>
      <w:bookmarkEnd w:id="21"/>
    </w:p>
    <w:tbl>
      <w:tblPr>
        <w:tblStyle w:val="LightList-Accent1"/>
        <w:tblW w:w="6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1293"/>
        <w:gridCol w:w="1293"/>
        <w:gridCol w:w="1293"/>
      </w:tblGrid>
      <w:tr w:rsidR="00B33BC8" w:rsidRPr="00851EC7" w:rsidTr="00B33BC8">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733" w:type="dxa"/>
            <w:shd w:val="clear" w:color="auto" w:fill="1F497D" w:themeFill="text2"/>
            <w:noWrap/>
            <w:hideMark/>
          </w:tcPr>
          <w:p w:rsidR="00B33BC8" w:rsidRPr="00851EC7" w:rsidRDefault="00B33BC8" w:rsidP="00B33BC8">
            <w:pPr>
              <w:jc w:val="center"/>
              <w:rPr>
                <w:rFonts w:ascii="Times New Roman" w:hAnsi="Times New Roman"/>
                <w:lang w:eastAsia="en-GB"/>
              </w:rPr>
            </w:pPr>
          </w:p>
        </w:tc>
        <w:tc>
          <w:tcPr>
            <w:tcW w:w="1293" w:type="dxa"/>
            <w:shd w:val="clear" w:color="auto" w:fill="1F497D" w:themeFill="text2"/>
            <w:noWrap/>
            <w:vAlign w:val="center"/>
            <w:hideMark/>
          </w:tcPr>
          <w:p w:rsidR="00B33BC8" w:rsidRPr="00851EC7" w:rsidRDefault="00B33BC8" w:rsidP="00B33BC8">
            <w:pPr>
              <w:jc w:val="center"/>
              <w:cnfStyle w:val="100000000000" w:firstRow="1" w:lastRow="0" w:firstColumn="0" w:lastColumn="0" w:oddVBand="0" w:evenVBand="0" w:oddHBand="0" w:evenHBand="0" w:firstRowFirstColumn="0" w:firstRowLastColumn="0" w:lastRowFirstColumn="0" w:lastRowLastColumn="0"/>
              <w:rPr>
                <w:rFonts w:eastAsiaTheme="minorHAnsi"/>
                <w:lang w:eastAsia="en-GB"/>
              </w:rPr>
            </w:pPr>
            <w:r w:rsidRPr="00851EC7">
              <w:rPr>
                <w:lang w:eastAsia="en-GB"/>
              </w:rPr>
              <w:t>2011/2012</w:t>
            </w:r>
          </w:p>
        </w:tc>
        <w:tc>
          <w:tcPr>
            <w:tcW w:w="1293" w:type="dxa"/>
            <w:shd w:val="clear" w:color="auto" w:fill="1F497D" w:themeFill="text2"/>
            <w:noWrap/>
            <w:vAlign w:val="center"/>
            <w:hideMark/>
          </w:tcPr>
          <w:p w:rsidR="00B33BC8" w:rsidRPr="00851EC7" w:rsidRDefault="00B33BC8" w:rsidP="00B33BC8">
            <w:pPr>
              <w:jc w:val="center"/>
              <w:cnfStyle w:val="100000000000" w:firstRow="1" w:lastRow="0" w:firstColumn="0" w:lastColumn="0" w:oddVBand="0" w:evenVBand="0" w:oddHBand="0" w:evenHBand="0" w:firstRowFirstColumn="0" w:firstRowLastColumn="0" w:lastRowFirstColumn="0" w:lastRowLastColumn="0"/>
              <w:rPr>
                <w:rFonts w:eastAsiaTheme="minorHAnsi"/>
                <w:lang w:eastAsia="en-GB"/>
              </w:rPr>
            </w:pPr>
            <w:r w:rsidRPr="00851EC7">
              <w:rPr>
                <w:lang w:eastAsia="en-GB"/>
              </w:rPr>
              <w:t>2012/2013</w:t>
            </w:r>
          </w:p>
        </w:tc>
        <w:tc>
          <w:tcPr>
            <w:tcW w:w="1293" w:type="dxa"/>
            <w:shd w:val="clear" w:color="auto" w:fill="1F497D" w:themeFill="text2"/>
            <w:vAlign w:val="center"/>
            <w:hideMark/>
          </w:tcPr>
          <w:p w:rsidR="00B33BC8" w:rsidRPr="00851EC7" w:rsidRDefault="00B33BC8" w:rsidP="00B33BC8">
            <w:pPr>
              <w:jc w:val="center"/>
              <w:cnfStyle w:val="100000000000" w:firstRow="1" w:lastRow="0" w:firstColumn="0" w:lastColumn="0" w:oddVBand="0" w:evenVBand="0" w:oddHBand="0" w:evenHBand="0" w:firstRowFirstColumn="0" w:firstRowLastColumn="0" w:lastRowFirstColumn="0" w:lastRowLastColumn="0"/>
              <w:rPr>
                <w:rFonts w:eastAsiaTheme="minorHAnsi"/>
                <w:lang w:eastAsia="en-GB"/>
              </w:rPr>
            </w:pPr>
            <w:r w:rsidRPr="00851EC7">
              <w:rPr>
                <w:lang w:eastAsia="en-GB"/>
              </w:rPr>
              <w:t>2013/2014</w:t>
            </w:r>
          </w:p>
        </w:tc>
      </w:tr>
      <w:tr w:rsidR="00B33BC8" w:rsidRPr="00851EC7" w:rsidTr="00B33BC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733" w:type="dxa"/>
            <w:tcBorders>
              <w:top w:val="none" w:sz="0" w:space="0" w:color="auto"/>
              <w:left w:val="none" w:sz="0" w:space="0" w:color="auto"/>
              <w:bottom w:val="none" w:sz="0" w:space="0" w:color="auto"/>
            </w:tcBorders>
            <w:noWrap/>
            <w:vAlign w:val="center"/>
            <w:hideMark/>
          </w:tcPr>
          <w:p w:rsidR="00B33BC8" w:rsidRPr="00851EC7" w:rsidRDefault="00B33BC8" w:rsidP="00B33BC8">
            <w:pPr>
              <w:rPr>
                <w:sz w:val="22"/>
                <w:szCs w:val="22"/>
              </w:rPr>
            </w:pPr>
            <w:r w:rsidRPr="00851EC7">
              <w:rPr>
                <w:sz w:val="22"/>
                <w:szCs w:val="22"/>
              </w:rPr>
              <w:t># JSE enrolled students</w:t>
            </w:r>
          </w:p>
        </w:tc>
        <w:tc>
          <w:tcPr>
            <w:tcW w:w="1293" w:type="dxa"/>
            <w:tcBorders>
              <w:top w:val="none" w:sz="0" w:space="0" w:color="auto"/>
              <w:bottom w:val="none" w:sz="0" w:space="0" w:color="auto"/>
            </w:tcBorders>
            <w:noWrap/>
            <w:vAlign w:val="center"/>
            <w:hideMark/>
          </w:tcPr>
          <w:p w:rsidR="00B33BC8" w:rsidRPr="00851EC7" w:rsidRDefault="00B33BC8" w:rsidP="00B33BC8">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 w:val="18"/>
                <w:lang w:eastAsia="en-GB"/>
              </w:rPr>
            </w:pPr>
            <w:r w:rsidRPr="00851EC7">
              <w:rPr>
                <w:color w:val="000000"/>
                <w:sz w:val="18"/>
                <w:lang w:eastAsia="en-GB"/>
              </w:rPr>
              <w:t>12,605,112</w:t>
            </w:r>
          </w:p>
        </w:tc>
        <w:tc>
          <w:tcPr>
            <w:tcW w:w="1293" w:type="dxa"/>
            <w:tcBorders>
              <w:top w:val="none" w:sz="0" w:space="0" w:color="auto"/>
              <w:bottom w:val="none" w:sz="0" w:space="0" w:color="auto"/>
            </w:tcBorders>
            <w:noWrap/>
            <w:vAlign w:val="center"/>
            <w:hideMark/>
          </w:tcPr>
          <w:p w:rsidR="00B33BC8" w:rsidRPr="00851EC7" w:rsidRDefault="00B33BC8" w:rsidP="00B33BC8">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 w:val="18"/>
                <w:lang w:eastAsia="en-GB"/>
              </w:rPr>
            </w:pPr>
            <w:r w:rsidRPr="00851EC7">
              <w:rPr>
                <w:color w:val="000000"/>
                <w:sz w:val="18"/>
                <w:lang w:eastAsia="en-GB"/>
              </w:rPr>
              <w:t>12,796,074</w:t>
            </w:r>
          </w:p>
        </w:tc>
        <w:tc>
          <w:tcPr>
            <w:tcW w:w="1293" w:type="dxa"/>
            <w:tcBorders>
              <w:top w:val="none" w:sz="0" w:space="0" w:color="auto"/>
              <w:bottom w:val="none" w:sz="0" w:space="0" w:color="auto"/>
              <w:right w:val="none" w:sz="0" w:space="0" w:color="auto"/>
            </w:tcBorders>
            <w:vAlign w:val="center"/>
            <w:hideMark/>
          </w:tcPr>
          <w:p w:rsidR="00B33BC8" w:rsidRPr="00851EC7" w:rsidRDefault="00B33BC8" w:rsidP="00B33BC8">
            <w:pPr>
              <w:jc w:val="center"/>
              <w:cnfStyle w:val="000000100000" w:firstRow="0" w:lastRow="0" w:firstColumn="0" w:lastColumn="0" w:oddVBand="0" w:evenVBand="0" w:oddHBand="1" w:evenHBand="0" w:firstRowFirstColumn="0" w:firstRowLastColumn="0" w:lastRowFirstColumn="0" w:lastRowLastColumn="0"/>
              <w:rPr>
                <w:rFonts w:eastAsiaTheme="minorHAnsi"/>
                <w:sz w:val="18"/>
              </w:rPr>
            </w:pPr>
            <w:r w:rsidRPr="00851EC7">
              <w:rPr>
                <w:sz w:val="18"/>
              </w:rPr>
              <w:t>12,891,887</w:t>
            </w:r>
          </w:p>
        </w:tc>
      </w:tr>
      <w:tr w:rsidR="00B33BC8" w:rsidRPr="00851EC7" w:rsidTr="00B33BC8">
        <w:trPr>
          <w:trHeight w:val="454"/>
          <w:jc w:val="center"/>
        </w:trPr>
        <w:tc>
          <w:tcPr>
            <w:cnfStyle w:val="001000000000" w:firstRow="0" w:lastRow="0" w:firstColumn="1" w:lastColumn="0" w:oddVBand="0" w:evenVBand="0" w:oddHBand="0" w:evenHBand="0" w:firstRowFirstColumn="0" w:firstRowLastColumn="0" w:lastRowFirstColumn="0" w:lastRowLastColumn="0"/>
            <w:tcW w:w="2733" w:type="dxa"/>
            <w:noWrap/>
            <w:vAlign w:val="center"/>
            <w:hideMark/>
          </w:tcPr>
          <w:p w:rsidR="00B33BC8" w:rsidRPr="00851EC7" w:rsidRDefault="00B33BC8" w:rsidP="00B33BC8">
            <w:pPr>
              <w:rPr>
                <w:sz w:val="22"/>
                <w:szCs w:val="22"/>
              </w:rPr>
            </w:pPr>
            <w:r w:rsidRPr="00851EC7">
              <w:rPr>
                <w:sz w:val="22"/>
                <w:szCs w:val="22"/>
              </w:rPr>
              <w:t># JSE Aged Children</w:t>
            </w:r>
          </w:p>
        </w:tc>
        <w:tc>
          <w:tcPr>
            <w:tcW w:w="1293" w:type="dxa"/>
            <w:noWrap/>
            <w:vAlign w:val="center"/>
            <w:hideMark/>
          </w:tcPr>
          <w:p w:rsidR="00B33BC8" w:rsidRPr="00851EC7" w:rsidRDefault="00B33BC8" w:rsidP="00B33BC8">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sz w:val="18"/>
                <w:lang w:eastAsia="en-GB"/>
              </w:rPr>
            </w:pPr>
            <w:r w:rsidRPr="00851EC7">
              <w:rPr>
                <w:color w:val="000000"/>
                <w:sz w:val="18"/>
                <w:lang w:eastAsia="en-GB"/>
              </w:rPr>
              <w:t>12,672,739</w:t>
            </w:r>
          </w:p>
        </w:tc>
        <w:tc>
          <w:tcPr>
            <w:tcW w:w="1293" w:type="dxa"/>
            <w:noWrap/>
            <w:vAlign w:val="center"/>
            <w:hideMark/>
          </w:tcPr>
          <w:p w:rsidR="00B33BC8" w:rsidRPr="00851EC7" w:rsidRDefault="00B33BC8" w:rsidP="00B33BC8">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sz w:val="18"/>
                <w:lang w:eastAsia="en-GB"/>
              </w:rPr>
            </w:pPr>
            <w:r w:rsidRPr="00851EC7">
              <w:rPr>
                <w:color w:val="000000"/>
                <w:sz w:val="18"/>
                <w:lang w:eastAsia="en-GB"/>
              </w:rPr>
              <w:t>12,775,079</w:t>
            </w:r>
          </w:p>
        </w:tc>
        <w:tc>
          <w:tcPr>
            <w:tcW w:w="1293" w:type="dxa"/>
            <w:vAlign w:val="center"/>
            <w:hideMark/>
          </w:tcPr>
          <w:p w:rsidR="00B33BC8" w:rsidRPr="00851EC7" w:rsidRDefault="00B33BC8" w:rsidP="00B33BC8">
            <w:pPr>
              <w:jc w:val="center"/>
              <w:cnfStyle w:val="000000000000" w:firstRow="0" w:lastRow="0" w:firstColumn="0" w:lastColumn="0" w:oddVBand="0" w:evenVBand="0" w:oddHBand="0" w:evenHBand="0" w:firstRowFirstColumn="0" w:firstRowLastColumn="0" w:lastRowFirstColumn="0" w:lastRowLastColumn="0"/>
              <w:rPr>
                <w:rFonts w:eastAsiaTheme="minorHAnsi"/>
                <w:sz w:val="18"/>
              </w:rPr>
            </w:pPr>
            <w:r w:rsidRPr="00851EC7">
              <w:rPr>
                <w:sz w:val="18"/>
              </w:rPr>
              <w:t>13,303,300</w:t>
            </w:r>
          </w:p>
        </w:tc>
      </w:tr>
      <w:tr w:rsidR="00B33BC8" w:rsidRPr="00851EC7" w:rsidTr="00B33BC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733" w:type="dxa"/>
            <w:tcBorders>
              <w:top w:val="none" w:sz="0" w:space="0" w:color="auto"/>
              <w:left w:val="none" w:sz="0" w:space="0" w:color="auto"/>
              <w:bottom w:val="none" w:sz="0" w:space="0" w:color="auto"/>
            </w:tcBorders>
            <w:noWrap/>
            <w:vAlign w:val="center"/>
            <w:hideMark/>
          </w:tcPr>
          <w:p w:rsidR="00B33BC8" w:rsidRPr="00851EC7" w:rsidRDefault="00B33BC8" w:rsidP="00B33BC8">
            <w:pPr>
              <w:rPr>
                <w:sz w:val="22"/>
                <w:szCs w:val="22"/>
              </w:rPr>
            </w:pPr>
            <w:r w:rsidRPr="00851EC7">
              <w:rPr>
                <w:sz w:val="22"/>
                <w:szCs w:val="22"/>
              </w:rPr>
              <w:t>National GER</w:t>
            </w:r>
          </w:p>
        </w:tc>
        <w:tc>
          <w:tcPr>
            <w:tcW w:w="1293" w:type="dxa"/>
            <w:tcBorders>
              <w:top w:val="none" w:sz="0" w:space="0" w:color="auto"/>
              <w:bottom w:val="none" w:sz="0" w:space="0" w:color="auto"/>
            </w:tcBorders>
            <w:noWrap/>
            <w:vAlign w:val="center"/>
            <w:hideMark/>
          </w:tcPr>
          <w:p w:rsidR="00B33BC8" w:rsidRPr="00851EC7" w:rsidRDefault="00B33BC8" w:rsidP="00B33BC8">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 w:val="18"/>
                <w:lang w:eastAsia="en-GB"/>
              </w:rPr>
            </w:pPr>
            <w:r w:rsidRPr="00851EC7">
              <w:rPr>
                <w:color w:val="000000"/>
                <w:sz w:val="18"/>
                <w:lang w:eastAsia="en-GB"/>
              </w:rPr>
              <w:t>99.5%</w:t>
            </w:r>
          </w:p>
        </w:tc>
        <w:tc>
          <w:tcPr>
            <w:tcW w:w="1293" w:type="dxa"/>
            <w:tcBorders>
              <w:top w:val="none" w:sz="0" w:space="0" w:color="auto"/>
              <w:bottom w:val="none" w:sz="0" w:space="0" w:color="auto"/>
            </w:tcBorders>
            <w:noWrap/>
            <w:vAlign w:val="center"/>
            <w:hideMark/>
          </w:tcPr>
          <w:p w:rsidR="00B33BC8" w:rsidRPr="00851EC7" w:rsidRDefault="00B33BC8" w:rsidP="00B33BC8">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 w:val="18"/>
                <w:lang w:eastAsia="en-GB"/>
              </w:rPr>
            </w:pPr>
            <w:r w:rsidRPr="00851EC7">
              <w:rPr>
                <w:color w:val="000000"/>
                <w:sz w:val="18"/>
                <w:lang w:eastAsia="en-GB"/>
              </w:rPr>
              <w:t>100.2%</w:t>
            </w:r>
          </w:p>
        </w:tc>
        <w:tc>
          <w:tcPr>
            <w:tcW w:w="1293" w:type="dxa"/>
            <w:tcBorders>
              <w:top w:val="none" w:sz="0" w:space="0" w:color="auto"/>
              <w:bottom w:val="none" w:sz="0" w:space="0" w:color="auto"/>
              <w:right w:val="none" w:sz="0" w:space="0" w:color="auto"/>
            </w:tcBorders>
            <w:vAlign w:val="center"/>
            <w:hideMark/>
          </w:tcPr>
          <w:p w:rsidR="00B33BC8" w:rsidRPr="00851EC7" w:rsidRDefault="00B33BC8" w:rsidP="00B33BC8">
            <w:pPr>
              <w:jc w:val="center"/>
              <w:cnfStyle w:val="000000100000" w:firstRow="0" w:lastRow="0" w:firstColumn="0" w:lastColumn="0" w:oddVBand="0" w:evenVBand="0" w:oddHBand="1" w:evenHBand="0" w:firstRowFirstColumn="0" w:firstRowLastColumn="0" w:lastRowFirstColumn="0" w:lastRowLastColumn="0"/>
              <w:rPr>
                <w:rFonts w:eastAsiaTheme="minorHAnsi"/>
                <w:sz w:val="18"/>
              </w:rPr>
            </w:pPr>
            <w:r w:rsidRPr="00851EC7">
              <w:rPr>
                <w:sz w:val="18"/>
              </w:rPr>
              <w:t>97%</w:t>
            </w:r>
          </w:p>
        </w:tc>
      </w:tr>
      <w:tr w:rsidR="00B33BC8" w:rsidRPr="00851EC7" w:rsidTr="00B33BC8">
        <w:trPr>
          <w:trHeight w:val="454"/>
          <w:jc w:val="center"/>
        </w:trPr>
        <w:tc>
          <w:tcPr>
            <w:cnfStyle w:val="001000000000" w:firstRow="0" w:lastRow="0" w:firstColumn="1" w:lastColumn="0" w:oddVBand="0" w:evenVBand="0" w:oddHBand="0" w:evenHBand="0" w:firstRowFirstColumn="0" w:firstRowLastColumn="0" w:lastRowFirstColumn="0" w:lastRowLastColumn="0"/>
            <w:tcW w:w="2733" w:type="dxa"/>
            <w:noWrap/>
            <w:vAlign w:val="center"/>
          </w:tcPr>
          <w:p w:rsidR="00B33BC8" w:rsidRPr="00851EC7" w:rsidRDefault="00B33BC8" w:rsidP="00B33BC8">
            <w:pPr>
              <w:rPr>
                <w:sz w:val="22"/>
                <w:szCs w:val="22"/>
              </w:rPr>
            </w:pPr>
            <w:r w:rsidRPr="00851EC7">
              <w:rPr>
                <w:sz w:val="22"/>
                <w:szCs w:val="22"/>
              </w:rPr>
              <w:t>MoEC specific GER</w:t>
            </w:r>
          </w:p>
        </w:tc>
        <w:tc>
          <w:tcPr>
            <w:tcW w:w="1293" w:type="dxa"/>
            <w:noWrap/>
            <w:vAlign w:val="center"/>
          </w:tcPr>
          <w:p w:rsidR="00B33BC8" w:rsidRPr="00851EC7" w:rsidRDefault="00B33BC8" w:rsidP="00B33BC8">
            <w:pPr>
              <w:jc w:val="cente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851EC7">
              <w:rPr>
                <w:color w:val="000000"/>
                <w:sz w:val="18"/>
                <w:lang w:eastAsia="en-GB"/>
              </w:rPr>
              <w:t>76.5%</w:t>
            </w:r>
          </w:p>
        </w:tc>
        <w:tc>
          <w:tcPr>
            <w:tcW w:w="1293" w:type="dxa"/>
            <w:noWrap/>
            <w:vAlign w:val="center"/>
          </w:tcPr>
          <w:p w:rsidR="00B33BC8" w:rsidRPr="00851EC7" w:rsidRDefault="00B33BC8" w:rsidP="00B33BC8">
            <w:pPr>
              <w:jc w:val="cente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851EC7">
              <w:rPr>
                <w:color w:val="000000"/>
                <w:sz w:val="18"/>
                <w:lang w:eastAsia="en-GB"/>
              </w:rPr>
              <w:t>77.6%</w:t>
            </w:r>
          </w:p>
        </w:tc>
        <w:tc>
          <w:tcPr>
            <w:tcW w:w="1293" w:type="dxa"/>
            <w:vAlign w:val="center"/>
          </w:tcPr>
          <w:p w:rsidR="00B33BC8" w:rsidRPr="00851EC7" w:rsidRDefault="00B33BC8" w:rsidP="00B33BC8">
            <w:pPr>
              <w:jc w:val="center"/>
              <w:cnfStyle w:val="000000000000" w:firstRow="0" w:lastRow="0" w:firstColumn="0" w:lastColumn="0" w:oddVBand="0" w:evenVBand="0" w:oddHBand="0" w:evenHBand="0" w:firstRowFirstColumn="0" w:firstRowLastColumn="0" w:lastRowFirstColumn="0" w:lastRowLastColumn="0"/>
              <w:rPr>
                <w:sz w:val="18"/>
              </w:rPr>
            </w:pPr>
            <w:r w:rsidRPr="00851EC7">
              <w:rPr>
                <w:sz w:val="18"/>
              </w:rPr>
              <w:t>74.28%</w:t>
            </w:r>
          </w:p>
        </w:tc>
      </w:tr>
    </w:tbl>
    <w:p w:rsidR="00B33BC8" w:rsidRPr="00851EC7" w:rsidRDefault="00B33BC8" w:rsidP="00A943BB">
      <w:pPr>
        <w:pStyle w:val="Source"/>
        <w:rPr>
          <w:lang w:val="en-AU"/>
        </w:rPr>
      </w:pPr>
      <w:r w:rsidRPr="00851EC7">
        <w:rPr>
          <w:lang w:val="en-AU"/>
        </w:rPr>
        <w:t>Source: MoEC PDSP data</w:t>
      </w:r>
    </w:p>
    <w:p w:rsidR="00B33BC8" w:rsidRPr="00851EC7" w:rsidRDefault="00B33BC8" w:rsidP="00215A8F">
      <w:pPr>
        <w:keepNext/>
        <w:numPr>
          <w:ilvl w:val="1"/>
          <w:numId w:val="7"/>
        </w:numPr>
        <w:ind w:hanging="720"/>
        <w:outlineLvl w:val="1"/>
        <w:rPr>
          <w:b/>
          <w:bCs/>
          <w:iCs/>
          <w:color w:val="003880"/>
          <w:sz w:val="24"/>
          <w:szCs w:val="24"/>
          <w:lang w:val="en-AU"/>
        </w:rPr>
      </w:pPr>
      <w:r w:rsidRPr="00851EC7">
        <w:rPr>
          <w:b/>
          <w:bCs/>
          <w:iCs/>
          <w:color w:val="003880"/>
          <w:sz w:val="24"/>
          <w:szCs w:val="24"/>
          <w:lang w:val="en-AU"/>
        </w:rPr>
        <w:t>Achievements</w:t>
      </w:r>
    </w:p>
    <w:p w:rsidR="00B33BC8" w:rsidRPr="00851EC7" w:rsidRDefault="00B33BC8" w:rsidP="00B33BC8">
      <w:pPr>
        <w:keepNext/>
        <w:outlineLvl w:val="1"/>
        <w:rPr>
          <w:b/>
          <w:bCs/>
          <w:iCs/>
          <w:color w:val="003880"/>
          <w:sz w:val="24"/>
          <w:szCs w:val="24"/>
          <w:lang w:val="en-AU"/>
        </w:rPr>
      </w:pPr>
    </w:p>
    <w:p w:rsidR="00B33BC8" w:rsidRPr="009C4263" w:rsidRDefault="00B33BC8" w:rsidP="00B33BC8">
      <w:pPr>
        <w:spacing w:line="276" w:lineRule="auto"/>
        <w:jc w:val="both"/>
        <w:rPr>
          <w:rFonts w:eastAsiaTheme="minorEastAsia" w:cs="Arial"/>
          <w:color w:val="222222"/>
          <w:lang w:val="en-AU"/>
        </w:rPr>
      </w:pPr>
      <w:r w:rsidRPr="00851EC7">
        <w:rPr>
          <w:lang w:val="en-AU"/>
        </w:rPr>
        <w:t xml:space="preserve">By December 2014, </w:t>
      </w:r>
      <w:r w:rsidR="002A0AAA" w:rsidRPr="00851EC7">
        <w:rPr>
          <w:lang w:val="en-AU"/>
        </w:rPr>
        <w:t>76</w:t>
      </w:r>
      <w:r w:rsidR="002A0AAA">
        <w:rPr>
          <w:lang w:val="en-AU"/>
        </w:rPr>
        <w:t>4</w:t>
      </w:r>
      <w:r w:rsidR="002A0AAA" w:rsidRPr="00851EC7">
        <w:rPr>
          <w:lang w:val="en-AU"/>
        </w:rPr>
        <w:t xml:space="preserve"> </w:t>
      </w:r>
      <w:r w:rsidRPr="00851EC7">
        <w:rPr>
          <w:lang w:val="en-AU"/>
        </w:rPr>
        <w:t xml:space="preserve">schools – </w:t>
      </w:r>
      <w:r w:rsidR="00671AB5">
        <w:rPr>
          <w:lang w:val="id-ID"/>
        </w:rPr>
        <w:t>279</w:t>
      </w:r>
      <w:r w:rsidR="00671AB5" w:rsidRPr="00851EC7">
        <w:rPr>
          <w:lang w:val="en-AU"/>
        </w:rPr>
        <w:t xml:space="preserve"> </w:t>
      </w:r>
      <w:r w:rsidRPr="00851EC7">
        <w:rPr>
          <w:lang w:val="en-AU"/>
        </w:rPr>
        <w:t xml:space="preserve">USB and </w:t>
      </w:r>
      <w:r w:rsidR="00671AB5">
        <w:rPr>
          <w:lang w:val="id-ID"/>
        </w:rPr>
        <w:t>485</w:t>
      </w:r>
      <w:r w:rsidRPr="00851EC7">
        <w:rPr>
          <w:lang w:val="en-AU"/>
        </w:rPr>
        <w:t xml:space="preserve"> SATAP – </w:t>
      </w:r>
      <w:r w:rsidR="00794B58">
        <w:rPr>
          <w:lang w:val="en-AU"/>
        </w:rPr>
        <w:t>had</w:t>
      </w:r>
      <w:r w:rsidR="00794B58" w:rsidRPr="00851EC7">
        <w:rPr>
          <w:lang w:val="en-AU"/>
        </w:rPr>
        <w:t xml:space="preserve"> </w:t>
      </w:r>
      <w:r w:rsidRPr="00851EC7">
        <w:rPr>
          <w:lang w:val="en-AU"/>
        </w:rPr>
        <w:t xml:space="preserve">been built in 232 districts across 29 of the 34 provinces in Indonesia (see Figure </w:t>
      </w:r>
      <w:r w:rsidR="00F4282E" w:rsidRPr="00851EC7">
        <w:rPr>
          <w:lang w:val="en-AU"/>
        </w:rPr>
        <w:t>1</w:t>
      </w:r>
      <w:r w:rsidRPr="00851EC7">
        <w:rPr>
          <w:lang w:val="en-AU"/>
        </w:rPr>
        <w:t xml:space="preserve">). </w:t>
      </w:r>
      <w:r w:rsidR="00794B58">
        <w:rPr>
          <w:lang w:val="en-AU"/>
        </w:rPr>
        <w:t>Construction of these</w:t>
      </w:r>
      <w:r w:rsidR="00794B58" w:rsidRPr="00851EC7">
        <w:rPr>
          <w:lang w:val="en-AU"/>
        </w:rPr>
        <w:t xml:space="preserve"> </w:t>
      </w:r>
      <w:r w:rsidRPr="00851EC7">
        <w:rPr>
          <w:lang w:val="en-AU"/>
        </w:rPr>
        <w:t xml:space="preserve">new schools </w:t>
      </w:r>
      <w:r w:rsidR="00794B58">
        <w:rPr>
          <w:lang w:val="en-AU"/>
        </w:rPr>
        <w:t xml:space="preserve">has led to the creation of </w:t>
      </w:r>
      <w:r w:rsidR="00671AB5">
        <w:rPr>
          <w:lang w:val="id-ID"/>
        </w:rPr>
        <w:t>3,129</w:t>
      </w:r>
      <w:r w:rsidRPr="00851EC7">
        <w:rPr>
          <w:lang w:val="en-AU"/>
        </w:rPr>
        <w:t xml:space="preserve"> new classrooms</w:t>
      </w:r>
      <w:r w:rsidRPr="00851EC7">
        <w:rPr>
          <w:rStyle w:val="FootnoteReference"/>
          <w:rFonts w:eastAsiaTheme="minorEastAsia" w:cs="Arial"/>
          <w:color w:val="222222"/>
          <w:lang w:val="en-AU"/>
        </w:rPr>
        <w:footnoteReference w:id="5"/>
      </w:r>
      <w:r w:rsidRPr="00851EC7">
        <w:rPr>
          <w:rFonts w:eastAsiaTheme="minorEastAsia" w:cs="Arial"/>
          <w:color w:val="222222"/>
          <w:lang w:val="en-AU"/>
        </w:rPr>
        <w:t xml:space="preserve"> and </w:t>
      </w:r>
      <w:r w:rsidRPr="00851EC7">
        <w:rPr>
          <w:lang w:val="en-AU"/>
        </w:rPr>
        <w:t xml:space="preserve">an additional </w:t>
      </w:r>
      <w:r w:rsidR="00671AB5" w:rsidRPr="00851EC7">
        <w:rPr>
          <w:lang w:val="en-AU"/>
        </w:rPr>
        <w:t>11</w:t>
      </w:r>
      <w:r w:rsidR="00671AB5">
        <w:rPr>
          <w:lang w:val="id-ID"/>
        </w:rPr>
        <w:t>2</w:t>
      </w:r>
      <w:r w:rsidRPr="00851EC7">
        <w:rPr>
          <w:lang w:val="en-AU"/>
        </w:rPr>
        <w:t>,</w:t>
      </w:r>
      <w:r w:rsidR="00671AB5" w:rsidRPr="00851EC7">
        <w:rPr>
          <w:lang w:val="en-AU"/>
        </w:rPr>
        <w:t>6</w:t>
      </w:r>
      <w:r w:rsidR="00671AB5">
        <w:rPr>
          <w:lang w:val="id-ID"/>
        </w:rPr>
        <w:t>44</w:t>
      </w:r>
      <w:r w:rsidR="00671AB5" w:rsidRPr="00851EC7">
        <w:rPr>
          <w:lang w:val="en-AU"/>
        </w:rPr>
        <w:t xml:space="preserve"> </w:t>
      </w:r>
      <w:r w:rsidRPr="00851EC7">
        <w:rPr>
          <w:lang w:val="en-AU"/>
        </w:rPr>
        <w:t>student places</w:t>
      </w:r>
      <w:r w:rsidRPr="00851EC7">
        <w:rPr>
          <w:rFonts w:ascii="Times New Roman" w:hAnsi="Times New Roman" w:cstheme="minorHAnsi"/>
          <w:vertAlign w:val="superscript"/>
          <w:lang w:val="en-AU"/>
        </w:rPr>
        <w:footnoteReference w:id="6"/>
      </w:r>
      <w:r w:rsidRPr="00851EC7">
        <w:rPr>
          <w:lang w:val="en-AU"/>
        </w:rPr>
        <w:t xml:space="preserve">. Only </w:t>
      </w:r>
      <w:r w:rsidR="00671AB5">
        <w:rPr>
          <w:lang w:val="id-ID"/>
        </w:rPr>
        <w:t xml:space="preserve">three </w:t>
      </w:r>
      <w:r w:rsidRPr="00851EC7">
        <w:rPr>
          <w:lang w:val="en-AU"/>
        </w:rPr>
        <w:t>of the 767 schools (</w:t>
      </w:r>
      <w:r w:rsidR="009C4263">
        <w:rPr>
          <w:lang w:val="en-AU"/>
        </w:rPr>
        <w:t>&lt;</w:t>
      </w:r>
      <w:r w:rsidRPr="00851EC7">
        <w:rPr>
          <w:lang w:val="en-AU"/>
        </w:rPr>
        <w:t>0.5%) foreseen within Cycles 1 and 2 remain incomplete as at December 2014</w:t>
      </w:r>
      <w:r w:rsidRPr="00851EC7">
        <w:rPr>
          <w:rFonts w:eastAsiaTheme="minorEastAsia" w:cs="Arial"/>
          <w:color w:val="222222"/>
          <w:lang w:val="en-AU"/>
        </w:rPr>
        <w:t>.</w:t>
      </w:r>
    </w:p>
    <w:p w:rsidR="00B33BC8" w:rsidRPr="00851EC7" w:rsidRDefault="00B33BC8" w:rsidP="00B33BC8">
      <w:pPr>
        <w:rPr>
          <w:rFonts w:eastAsiaTheme="minorEastAsia" w:cs="Arial"/>
          <w:color w:val="222222"/>
          <w:lang w:val="en-AU"/>
        </w:rPr>
      </w:pPr>
    </w:p>
    <w:p w:rsidR="00B33BC8" w:rsidRPr="00851EC7" w:rsidRDefault="004D3EF0" w:rsidP="004D3EF0">
      <w:pPr>
        <w:pStyle w:val="Caption"/>
        <w:keepNext/>
        <w:rPr>
          <w:rFonts w:eastAsiaTheme="minorEastAsia"/>
          <w:lang w:val="en-AU"/>
        </w:rPr>
      </w:pPr>
      <w:bookmarkStart w:id="22" w:name="_Toc412534761"/>
      <w:r>
        <w:t xml:space="preserve">Figure </w:t>
      </w:r>
      <w:r>
        <w:fldChar w:fldCharType="begin"/>
      </w:r>
      <w:r>
        <w:instrText xml:space="preserve"> SEQ Figure \* ARABIC </w:instrText>
      </w:r>
      <w:r>
        <w:fldChar w:fldCharType="separate"/>
      </w:r>
      <w:r w:rsidR="004A0A8F">
        <w:rPr>
          <w:noProof/>
        </w:rPr>
        <w:t>1</w:t>
      </w:r>
      <w:r>
        <w:fldChar w:fldCharType="end"/>
      </w:r>
      <w:r w:rsidR="00B33BC8" w:rsidRPr="00851EC7">
        <w:rPr>
          <w:lang w:val="en-AU"/>
        </w:rPr>
        <w:t>: Distribution of Component 1 schools across provinces</w:t>
      </w:r>
      <w:bookmarkEnd w:id="22"/>
    </w:p>
    <w:p w:rsidR="00B33BC8" w:rsidRPr="00851EC7" w:rsidRDefault="00B33BC8" w:rsidP="00B33BC8">
      <w:pPr>
        <w:rPr>
          <w:rFonts w:eastAsiaTheme="minorEastAsia" w:cs="Arial"/>
          <w:color w:val="222222"/>
          <w:lang w:val="en-AU"/>
        </w:rPr>
      </w:pPr>
    </w:p>
    <w:p w:rsidR="00B33BC8" w:rsidRPr="00851EC7" w:rsidRDefault="00B33BC8" w:rsidP="00B33BC8">
      <w:pPr>
        <w:rPr>
          <w:rFonts w:eastAsiaTheme="minorEastAsia" w:cs="Arial"/>
          <w:color w:val="222222"/>
          <w:lang w:val="en-AU"/>
        </w:rPr>
      </w:pPr>
      <w:r w:rsidRPr="00851EC7">
        <w:rPr>
          <w:noProof/>
          <w:lang w:val="en-AU" w:eastAsia="en-AU"/>
        </w:rPr>
        <w:drawing>
          <wp:anchor distT="0" distB="0" distL="114300" distR="114300" simplePos="0" relativeHeight="251687936" behindDoc="0" locked="0" layoutInCell="1" allowOverlap="1" wp14:anchorId="5F38A1E5" wp14:editId="1AA7BC30">
            <wp:simplePos x="0" y="0"/>
            <wp:positionH relativeFrom="column">
              <wp:posOffset>4149369</wp:posOffset>
            </wp:positionH>
            <wp:positionV relativeFrom="paragraph">
              <wp:posOffset>143301</wp:posOffset>
            </wp:positionV>
            <wp:extent cx="1310578" cy="709684"/>
            <wp:effectExtent l="38100" t="38100" r="99695" b="908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1317986" cy="713695"/>
                    </a:xfrm>
                    <a:prstGeom prst="rect">
                      <a:avLst/>
                    </a:prstGeom>
                    <a:ln w="19050" cap="sq" cmpd="sng" algn="ctr">
                      <a:no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EC7">
        <w:rPr>
          <w:noProof/>
          <w:lang w:val="en-AU" w:eastAsia="en-AU"/>
        </w:rPr>
        <w:drawing>
          <wp:inline distT="0" distB="0" distL="0" distR="0" wp14:anchorId="2FEB49CA" wp14:editId="707AA7BE">
            <wp:extent cx="5466867" cy="2415654"/>
            <wp:effectExtent l="57150" t="57150" r="114935" b="1181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422" t="13357" r="7151" b="25000"/>
                    <a:stretch/>
                  </pic:blipFill>
                  <pic:spPr bwMode="auto">
                    <a:xfrm>
                      <a:off x="0" y="0"/>
                      <a:ext cx="5474676" cy="2419105"/>
                    </a:xfrm>
                    <a:prstGeom prst="rect">
                      <a:avLst/>
                    </a:prstGeom>
                    <a:ln w="190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Pr="00851EC7">
        <w:rPr>
          <w:rFonts w:eastAsiaTheme="minorEastAsia" w:cs="Arial"/>
          <w:color w:val="222222"/>
          <w:lang w:val="en-AU"/>
        </w:rPr>
        <w:br/>
      </w:r>
    </w:p>
    <w:p w:rsidR="00B33BC8" w:rsidRPr="00851EC7" w:rsidRDefault="00B33BC8" w:rsidP="00B33BC8">
      <w:pPr>
        <w:spacing w:line="276" w:lineRule="auto"/>
        <w:jc w:val="both"/>
        <w:rPr>
          <w:lang w:val="en-AU"/>
        </w:rPr>
      </w:pPr>
      <w:r w:rsidRPr="00851EC7">
        <w:rPr>
          <w:lang w:val="en-AU"/>
        </w:rPr>
        <w:t>The support provided by the SSQ team to MoEC has been wide-ranging and instrumental in achieving this progress.</w:t>
      </w:r>
      <w:r w:rsidR="00537938">
        <w:rPr>
          <w:lang w:val="en-AU"/>
        </w:rPr>
        <w:t xml:space="preserve"> </w:t>
      </w:r>
      <w:r w:rsidRPr="00851EC7">
        <w:rPr>
          <w:lang w:val="en-AU"/>
        </w:rPr>
        <w:t>It included</w:t>
      </w:r>
      <w:r w:rsidR="00722CAD">
        <w:rPr>
          <w:rStyle w:val="EndnoteReference"/>
          <w:lang w:val="en-AU"/>
        </w:rPr>
        <w:endnoteReference w:id="9"/>
      </w:r>
      <w:r w:rsidRPr="00851EC7">
        <w:rPr>
          <w:lang w:val="en-AU"/>
        </w:rPr>
        <w:t xml:space="preserve">: </w:t>
      </w:r>
    </w:p>
    <w:p w:rsidR="00B33BC8" w:rsidRPr="00851EC7" w:rsidRDefault="00B33BC8" w:rsidP="00215A8F">
      <w:pPr>
        <w:pStyle w:val="ListParagraph"/>
        <w:numPr>
          <w:ilvl w:val="0"/>
          <w:numId w:val="10"/>
        </w:numPr>
        <w:spacing w:before="120" w:after="120"/>
        <w:rPr>
          <w:lang w:val="en-AU"/>
        </w:rPr>
      </w:pPr>
      <w:r w:rsidRPr="00851EC7">
        <w:rPr>
          <w:lang w:val="en-AU"/>
        </w:rPr>
        <w:t>site verification and review of school proposals;</w:t>
      </w:r>
    </w:p>
    <w:p w:rsidR="00B33BC8" w:rsidRPr="00851EC7" w:rsidDel="00522D80" w:rsidRDefault="00B33BC8" w:rsidP="00215A8F">
      <w:pPr>
        <w:pStyle w:val="ListParagraph"/>
        <w:numPr>
          <w:ilvl w:val="0"/>
          <w:numId w:val="10"/>
        </w:numPr>
        <w:spacing w:before="120" w:after="120"/>
        <w:rPr>
          <w:lang w:val="en-AU"/>
        </w:rPr>
      </w:pPr>
      <w:r w:rsidRPr="00851EC7">
        <w:rPr>
          <w:lang w:val="en-AU"/>
        </w:rPr>
        <w:t xml:space="preserve">compliance analysis of school sites; </w:t>
      </w:r>
    </w:p>
    <w:p w:rsidR="00B33BC8" w:rsidRPr="00851EC7" w:rsidRDefault="00B33BC8" w:rsidP="00215A8F">
      <w:pPr>
        <w:pStyle w:val="ListParagraph"/>
        <w:numPr>
          <w:ilvl w:val="0"/>
          <w:numId w:val="10"/>
        </w:numPr>
        <w:spacing w:before="120" w:after="120"/>
        <w:rPr>
          <w:lang w:val="en-AU"/>
        </w:rPr>
      </w:pPr>
      <w:r w:rsidRPr="00851EC7">
        <w:rPr>
          <w:lang w:val="en-AU"/>
        </w:rPr>
        <w:t xml:space="preserve">monitoring of school construction quality and progress; </w:t>
      </w:r>
    </w:p>
    <w:p w:rsidR="00B33BC8" w:rsidRPr="00851EC7" w:rsidRDefault="00B33BC8" w:rsidP="00215A8F">
      <w:pPr>
        <w:pStyle w:val="ListParagraph"/>
        <w:numPr>
          <w:ilvl w:val="0"/>
          <w:numId w:val="10"/>
        </w:numPr>
        <w:spacing w:before="120" w:after="120"/>
        <w:rPr>
          <w:lang w:val="en-AU"/>
        </w:rPr>
      </w:pPr>
      <w:r w:rsidRPr="00851EC7">
        <w:rPr>
          <w:lang w:val="en-AU"/>
        </w:rPr>
        <w:t xml:space="preserve">identification of issues at the field level and reporting to MoEC and DFAT; </w:t>
      </w:r>
    </w:p>
    <w:p w:rsidR="00B33BC8" w:rsidRPr="00851EC7" w:rsidRDefault="00B33BC8" w:rsidP="00215A8F">
      <w:pPr>
        <w:pStyle w:val="ListParagraph"/>
        <w:numPr>
          <w:ilvl w:val="0"/>
          <w:numId w:val="10"/>
        </w:numPr>
        <w:spacing w:before="120" w:after="120"/>
        <w:rPr>
          <w:lang w:val="en-AU"/>
        </w:rPr>
      </w:pPr>
      <w:r w:rsidRPr="00851EC7">
        <w:rPr>
          <w:lang w:val="en-AU"/>
        </w:rPr>
        <w:t xml:space="preserve">support to the resolution of field issues; </w:t>
      </w:r>
    </w:p>
    <w:p w:rsidR="00B33BC8" w:rsidRPr="00851EC7" w:rsidRDefault="00B33BC8" w:rsidP="00215A8F">
      <w:pPr>
        <w:pStyle w:val="ListParagraph"/>
        <w:numPr>
          <w:ilvl w:val="0"/>
          <w:numId w:val="10"/>
        </w:numPr>
        <w:spacing w:before="120" w:after="120"/>
        <w:rPr>
          <w:lang w:val="en-AU"/>
        </w:rPr>
      </w:pPr>
      <w:r w:rsidRPr="00851EC7">
        <w:rPr>
          <w:lang w:val="en-AU"/>
        </w:rPr>
        <w:t>compilation of school data into financial and administrative compliance reports;</w:t>
      </w:r>
    </w:p>
    <w:p w:rsidR="00B33BC8" w:rsidRPr="00851EC7" w:rsidRDefault="00B33BC8" w:rsidP="00215A8F">
      <w:pPr>
        <w:pStyle w:val="ListParagraph"/>
        <w:numPr>
          <w:ilvl w:val="0"/>
          <w:numId w:val="10"/>
        </w:numPr>
        <w:spacing w:before="120" w:after="120"/>
        <w:rPr>
          <w:lang w:val="en-AU"/>
        </w:rPr>
      </w:pPr>
      <w:r w:rsidRPr="00851EC7">
        <w:rPr>
          <w:lang w:val="en-AU"/>
        </w:rPr>
        <w:t>training of school construction committees (SCC) and construction management consultants (CMC)</w:t>
      </w:r>
      <w:r w:rsidR="00794B58">
        <w:rPr>
          <w:lang w:val="en-AU"/>
        </w:rPr>
        <w:t>;</w:t>
      </w:r>
    </w:p>
    <w:p w:rsidR="00B33BC8" w:rsidRPr="00851EC7" w:rsidRDefault="00B33BC8" w:rsidP="00215A8F">
      <w:pPr>
        <w:pStyle w:val="ListParagraph"/>
        <w:numPr>
          <w:ilvl w:val="0"/>
          <w:numId w:val="10"/>
        </w:numPr>
        <w:spacing w:before="120" w:after="120"/>
        <w:rPr>
          <w:lang w:val="en-AU"/>
        </w:rPr>
      </w:pPr>
      <w:r w:rsidRPr="00851EC7">
        <w:rPr>
          <w:lang w:val="en-AU"/>
        </w:rPr>
        <w:t>establishment of the Joint Technical Unit (JTU) between MoEC and S</w:t>
      </w:r>
      <w:r w:rsidR="003465D5">
        <w:rPr>
          <w:lang w:val="en-AU"/>
        </w:rPr>
        <w:t>S</w:t>
      </w:r>
      <w:r w:rsidRPr="00851EC7">
        <w:rPr>
          <w:lang w:val="en-AU"/>
        </w:rPr>
        <w:t xml:space="preserve">Q; and </w:t>
      </w:r>
    </w:p>
    <w:p w:rsidR="00B33BC8" w:rsidRPr="00851EC7" w:rsidRDefault="00B33BC8" w:rsidP="00215A8F">
      <w:pPr>
        <w:pStyle w:val="ListParagraph"/>
        <w:numPr>
          <w:ilvl w:val="0"/>
          <w:numId w:val="10"/>
        </w:numPr>
        <w:spacing w:before="120" w:after="120"/>
        <w:rPr>
          <w:lang w:val="en-AU"/>
        </w:rPr>
      </w:pPr>
      <w:r w:rsidRPr="00851EC7">
        <w:rPr>
          <w:lang w:val="en-AU"/>
        </w:rPr>
        <w:t xml:space="preserve">implementation of the NSIP for principals, teachers and school committee members of all EP schools built in 2013. </w:t>
      </w:r>
    </w:p>
    <w:p w:rsidR="00B33BC8" w:rsidRPr="00851EC7" w:rsidRDefault="00B33BC8" w:rsidP="00B33BC8">
      <w:pPr>
        <w:keepNext/>
        <w:rPr>
          <w:lang w:val="en-AU"/>
        </w:rPr>
      </w:pPr>
    </w:p>
    <w:p w:rsidR="00B33BC8" w:rsidRPr="00851EC7" w:rsidRDefault="00B33BC8" w:rsidP="00215A8F">
      <w:pPr>
        <w:keepNext/>
        <w:numPr>
          <w:ilvl w:val="1"/>
          <w:numId w:val="7"/>
        </w:numPr>
        <w:spacing w:before="120" w:after="120"/>
        <w:ind w:hanging="720"/>
        <w:outlineLvl w:val="1"/>
        <w:rPr>
          <w:b/>
          <w:bCs/>
          <w:iCs/>
          <w:color w:val="003880"/>
          <w:sz w:val="24"/>
          <w:szCs w:val="24"/>
          <w:lang w:val="en-AU"/>
        </w:rPr>
      </w:pPr>
      <w:r w:rsidRPr="00851EC7">
        <w:rPr>
          <w:b/>
          <w:bCs/>
          <w:iCs/>
          <w:color w:val="003880"/>
          <w:sz w:val="24"/>
          <w:szCs w:val="24"/>
          <w:lang w:val="en-AU"/>
        </w:rPr>
        <w:t>Analysis</w:t>
      </w:r>
    </w:p>
    <w:p w:rsidR="00B33BC8" w:rsidRPr="00851EC7" w:rsidRDefault="00B33BC8" w:rsidP="00215A8F">
      <w:pPr>
        <w:keepNext/>
        <w:numPr>
          <w:ilvl w:val="2"/>
          <w:numId w:val="7"/>
        </w:numPr>
        <w:spacing w:line="276" w:lineRule="auto"/>
        <w:ind w:left="720"/>
        <w:outlineLvl w:val="2"/>
        <w:rPr>
          <w:bCs/>
          <w:color w:val="003880"/>
          <w:sz w:val="24"/>
          <w:szCs w:val="28"/>
          <w:lang w:val="en-AU"/>
        </w:rPr>
      </w:pPr>
      <w:r w:rsidRPr="00851EC7">
        <w:rPr>
          <w:bCs/>
          <w:color w:val="003880"/>
          <w:sz w:val="24"/>
          <w:szCs w:val="28"/>
          <w:lang w:val="en-AU"/>
        </w:rPr>
        <w:t>Relevance</w:t>
      </w:r>
    </w:p>
    <w:p w:rsidR="000C6215" w:rsidRDefault="00B33BC8" w:rsidP="00B33BC8">
      <w:pPr>
        <w:spacing w:before="120" w:after="120" w:line="276" w:lineRule="auto"/>
        <w:jc w:val="both"/>
        <w:rPr>
          <w:lang w:val="en-AU"/>
        </w:rPr>
      </w:pPr>
      <w:r w:rsidRPr="00851EC7">
        <w:rPr>
          <w:lang w:val="en-AU"/>
        </w:rPr>
        <w:t>From a sector perspective, the EP investment in JSE school construction remains in line with MoEC’s access agenda</w:t>
      </w:r>
      <w:r w:rsidR="00752CCC">
        <w:rPr>
          <w:lang w:val="en-AU"/>
        </w:rPr>
        <w:t xml:space="preserve"> and s</w:t>
      </w:r>
      <w:r w:rsidRPr="00851EC7">
        <w:rPr>
          <w:lang w:val="en-AU"/>
        </w:rPr>
        <w:t xml:space="preserve">chool construction remains of interest to the GoI. </w:t>
      </w:r>
      <w:r w:rsidR="009E4F62">
        <w:rPr>
          <w:lang w:val="en-AU"/>
        </w:rPr>
        <w:t xml:space="preserve">While MoEC spending on </w:t>
      </w:r>
      <w:r w:rsidR="00E41313">
        <w:rPr>
          <w:lang w:val="en-AU"/>
        </w:rPr>
        <w:t xml:space="preserve">new </w:t>
      </w:r>
      <w:r w:rsidR="009E4F62">
        <w:rPr>
          <w:lang w:val="en-AU"/>
        </w:rPr>
        <w:t xml:space="preserve">school construction </w:t>
      </w:r>
      <w:r w:rsidR="000C6215">
        <w:rPr>
          <w:lang w:val="en-AU"/>
        </w:rPr>
        <w:t xml:space="preserve">has </w:t>
      </w:r>
      <w:r w:rsidR="009E4F62">
        <w:rPr>
          <w:lang w:val="en-AU"/>
        </w:rPr>
        <w:t>declin</w:t>
      </w:r>
      <w:r w:rsidR="000C6215">
        <w:rPr>
          <w:lang w:val="en-AU"/>
        </w:rPr>
        <w:t>ed in recent years</w:t>
      </w:r>
      <w:r w:rsidR="009E4F62">
        <w:rPr>
          <w:lang w:val="en-AU"/>
        </w:rPr>
        <w:t xml:space="preserve">, the unexpected </w:t>
      </w:r>
      <w:r w:rsidR="00E41313">
        <w:rPr>
          <w:lang w:val="en-AU"/>
        </w:rPr>
        <w:t xml:space="preserve">reduction in </w:t>
      </w:r>
      <w:r w:rsidR="009E4F62">
        <w:rPr>
          <w:lang w:val="en-AU"/>
        </w:rPr>
        <w:t xml:space="preserve">GER </w:t>
      </w:r>
      <w:r w:rsidR="00E41313">
        <w:rPr>
          <w:lang w:val="en-AU"/>
        </w:rPr>
        <w:t>(see Table 1) has re-energised g</w:t>
      </w:r>
      <w:r w:rsidR="009E4F62">
        <w:rPr>
          <w:lang w:val="en-AU"/>
        </w:rPr>
        <w:t xml:space="preserve">overnment initiatives, </w:t>
      </w:r>
      <w:r w:rsidR="00E41313">
        <w:rPr>
          <w:lang w:val="en-AU"/>
        </w:rPr>
        <w:t xml:space="preserve">and </w:t>
      </w:r>
      <w:r w:rsidRPr="00851EC7">
        <w:rPr>
          <w:lang w:val="en-AU"/>
        </w:rPr>
        <w:t xml:space="preserve">MoEC </w:t>
      </w:r>
      <w:r w:rsidR="00E41313">
        <w:rPr>
          <w:lang w:val="en-AU"/>
        </w:rPr>
        <w:t xml:space="preserve">now </w:t>
      </w:r>
      <w:r w:rsidRPr="00851EC7">
        <w:rPr>
          <w:lang w:val="en-AU"/>
        </w:rPr>
        <w:t xml:space="preserve">reports that it needs to construct an additional 4,700 SMP schools if it is to achieve the 2010-14 </w:t>
      </w:r>
      <w:r w:rsidR="006D4DD4" w:rsidRPr="006D4DD4">
        <w:rPr>
          <w:i/>
          <w:lang w:val="en-AU"/>
        </w:rPr>
        <w:t>Renstra</w:t>
      </w:r>
      <w:r w:rsidRPr="00851EC7">
        <w:rPr>
          <w:lang w:val="en-AU"/>
        </w:rPr>
        <w:t xml:space="preserve"> enrolment target</w:t>
      </w:r>
      <w:r w:rsidRPr="00851EC7">
        <w:rPr>
          <w:vertAlign w:val="superscript"/>
          <w:lang w:val="en-AU"/>
        </w:rPr>
        <w:footnoteReference w:id="7"/>
      </w:r>
      <w:r w:rsidRPr="00851EC7">
        <w:rPr>
          <w:lang w:val="en-AU"/>
        </w:rPr>
        <w:t xml:space="preserve">. </w:t>
      </w:r>
    </w:p>
    <w:p w:rsidR="00B33BC8" w:rsidRPr="00851EC7" w:rsidRDefault="00957EE9" w:rsidP="00B33BC8">
      <w:pPr>
        <w:spacing w:before="120" w:after="120" w:line="276" w:lineRule="auto"/>
        <w:jc w:val="both"/>
        <w:rPr>
          <w:lang w:val="en-AU"/>
        </w:rPr>
      </w:pPr>
      <w:r>
        <w:rPr>
          <w:lang w:val="en-AU"/>
        </w:rPr>
        <w:lastRenderedPageBreak/>
        <w:t>F</w:t>
      </w:r>
      <w:r w:rsidR="00B33BC8" w:rsidRPr="00851EC7">
        <w:rPr>
          <w:lang w:val="en-AU"/>
        </w:rPr>
        <w:t xml:space="preserve">rom an Australian perspective, </w:t>
      </w:r>
      <w:r w:rsidR="00794B58">
        <w:rPr>
          <w:lang w:val="en-AU"/>
        </w:rPr>
        <w:t xml:space="preserve">DFAT’s </w:t>
      </w:r>
      <w:r w:rsidR="000C6215">
        <w:rPr>
          <w:lang w:val="en-AU"/>
        </w:rPr>
        <w:t xml:space="preserve">education </w:t>
      </w:r>
      <w:r w:rsidR="009E4F62">
        <w:rPr>
          <w:lang w:val="en-AU"/>
        </w:rPr>
        <w:t>priorit</w:t>
      </w:r>
      <w:r>
        <w:rPr>
          <w:lang w:val="en-AU"/>
        </w:rPr>
        <w:t>ies</w:t>
      </w:r>
      <w:r w:rsidR="009E4F62">
        <w:rPr>
          <w:lang w:val="en-AU"/>
        </w:rPr>
        <w:t xml:space="preserve"> </w:t>
      </w:r>
      <w:r w:rsidR="0087649D">
        <w:rPr>
          <w:lang w:val="en-AU"/>
        </w:rPr>
        <w:t xml:space="preserve">have shifted </w:t>
      </w:r>
      <w:r w:rsidR="000C6215">
        <w:rPr>
          <w:lang w:val="en-AU"/>
        </w:rPr>
        <w:t>towards education quality</w:t>
      </w:r>
      <w:r w:rsidR="0087649D">
        <w:rPr>
          <w:lang w:val="en-AU"/>
        </w:rPr>
        <w:t xml:space="preserve"> and there will be an associated reduction of support</w:t>
      </w:r>
      <w:r w:rsidR="00B33BC8" w:rsidRPr="00851EC7">
        <w:rPr>
          <w:lang w:val="en-AU"/>
        </w:rPr>
        <w:t xml:space="preserve"> </w:t>
      </w:r>
      <w:r w:rsidR="00780049">
        <w:rPr>
          <w:lang w:val="en-AU"/>
        </w:rPr>
        <w:t xml:space="preserve">to </w:t>
      </w:r>
      <w:r w:rsidR="00B33BC8" w:rsidRPr="00851EC7">
        <w:rPr>
          <w:lang w:val="en-AU"/>
        </w:rPr>
        <w:t>Indonesia’s access agenda</w:t>
      </w:r>
      <w:r w:rsidR="000C6215">
        <w:rPr>
          <w:lang w:val="en-AU"/>
        </w:rPr>
        <w:t xml:space="preserve"> post-EP</w:t>
      </w:r>
      <w:r w:rsidR="00B33BC8" w:rsidRPr="00851EC7">
        <w:rPr>
          <w:lang w:val="en-AU"/>
        </w:rPr>
        <w:t xml:space="preserve">. POM understands that this is evidenced in the absence of any school construction-related objective in the upcoming DFAT Aid Investment Plan and it may also be reflected in the Partnership’s decision to reduce the overall funding to Component 1 from AUD 210m to AUD 155m. </w:t>
      </w:r>
      <w:r>
        <w:rPr>
          <w:lang w:val="en-AU"/>
        </w:rPr>
        <w:t>T</w:t>
      </w:r>
      <w:r w:rsidR="00D31EB7">
        <w:rPr>
          <w:lang w:val="en-AU"/>
        </w:rPr>
        <w:t xml:space="preserve">hese changes </w:t>
      </w:r>
      <w:r>
        <w:rPr>
          <w:lang w:val="en-AU"/>
        </w:rPr>
        <w:t xml:space="preserve">in </w:t>
      </w:r>
      <w:r w:rsidR="0087649D">
        <w:rPr>
          <w:lang w:val="en-AU"/>
        </w:rPr>
        <w:t>emphasis</w:t>
      </w:r>
      <w:r>
        <w:rPr>
          <w:lang w:val="en-AU"/>
        </w:rPr>
        <w:t xml:space="preserve"> away from </w:t>
      </w:r>
      <w:r w:rsidR="00E41313">
        <w:rPr>
          <w:lang w:val="en-AU"/>
        </w:rPr>
        <w:t>school construction</w:t>
      </w:r>
      <w:r>
        <w:rPr>
          <w:lang w:val="en-AU"/>
        </w:rPr>
        <w:t xml:space="preserve"> </w:t>
      </w:r>
      <w:r w:rsidR="00D31EB7">
        <w:rPr>
          <w:lang w:val="en-AU"/>
        </w:rPr>
        <w:t xml:space="preserve">should not undermine the </w:t>
      </w:r>
      <w:r>
        <w:rPr>
          <w:lang w:val="en-AU"/>
        </w:rPr>
        <w:t xml:space="preserve">importance of the achievements of </w:t>
      </w:r>
      <w:r w:rsidR="00D31EB7">
        <w:rPr>
          <w:lang w:val="en-AU"/>
        </w:rPr>
        <w:t>C1</w:t>
      </w:r>
      <w:r>
        <w:rPr>
          <w:lang w:val="en-AU"/>
        </w:rPr>
        <w:t>. N</w:t>
      </w:r>
      <w:r w:rsidR="00D31EB7">
        <w:rPr>
          <w:lang w:val="en-AU"/>
        </w:rPr>
        <w:t>evertheless</w:t>
      </w:r>
      <w:r>
        <w:rPr>
          <w:lang w:val="en-AU"/>
        </w:rPr>
        <w:t>,</w:t>
      </w:r>
      <w:r w:rsidR="00D31EB7">
        <w:rPr>
          <w:lang w:val="en-AU"/>
        </w:rPr>
        <w:t xml:space="preserve"> </w:t>
      </w:r>
      <w:r>
        <w:rPr>
          <w:lang w:val="en-AU"/>
        </w:rPr>
        <w:t xml:space="preserve">the changes </w:t>
      </w:r>
      <w:r w:rsidR="0087649D">
        <w:rPr>
          <w:lang w:val="en-AU"/>
        </w:rPr>
        <w:t xml:space="preserve">point to a decline in the </w:t>
      </w:r>
      <w:r>
        <w:rPr>
          <w:lang w:val="en-AU"/>
        </w:rPr>
        <w:t>e</w:t>
      </w:r>
      <w:r w:rsidR="00D31EB7">
        <w:rPr>
          <w:lang w:val="en-AU"/>
        </w:rPr>
        <w:t xml:space="preserve">xternal relevance of school construction </w:t>
      </w:r>
      <w:r>
        <w:rPr>
          <w:lang w:val="en-AU"/>
        </w:rPr>
        <w:t xml:space="preserve">with respect to current </w:t>
      </w:r>
      <w:r w:rsidR="00D31EB7">
        <w:rPr>
          <w:lang w:val="en-AU"/>
        </w:rPr>
        <w:t>Australian development policies and priorities.</w:t>
      </w:r>
    </w:p>
    <w:p w:rsidR="00B33BC8" w:rsidRPr="00851EC7" w:rsidRDefault="00B33BC8" w:rsidP="00B33BC8">
      <w:pPr>
        <w:spacing w:before="120" w:after="120" w:line="276" w:lineRule="auto"/>
        <w:jc w:val="both"/>
        <w:rPr>
          <w:lang w:val="en-AU"/>
        </w:rPr>
      </w:pPr>
      <w:r w:rsidRPr="00851EC7">
        <w:rPr>
          <w:lang w:val="en-AU"/>
        </w:rPr>
        <w:t>POM believes the internal relevance of Component 1 to have remained unchanged since the beginning of the EP. The component continues to offer only a limited response mechanism to fulfil the objective of increased enrolment: only one type of activity (school construction) is offered and for just two types of schools (3-class SATAP and 6-class USB), despite the opportunity to support and promote other measures that would contribute to the attainment of the EOPO. Such measures include both construction and non-construction solutions, such as additional and rehabilitated classrooms, and retrieval programs respectively.</w:t>
      </w:r>
    </w:p>
    <w:p w:rsidR="00B33BC8" w:rsidRPr="00851EC7" w:rsidRDefault="00B33BC8" w:rsidP="00B33BC8">
      <w:pPr>
        <w:keepNext/>
        <w:spacing w:line="276" w:lineRule="auto"/>
        <w:outlineLvl w:val="2"/>
        <w:rPr>
          <w:bCs/>
          <w:color w:val="003880"/>
          <w:sz w:val="24"/>
          <w:szCs w:val="28"/>
          <w:lang w:val="en-AU"/>
        </w:rPr>
      </w:pPr>
    </w:p>
    <w:p w:rsidR="00B33BC8" w:rsidRPr="00851EC7" w:rsidRDefault="00B33BC8" w:rsidP="00215A8F">
      <w:pPr>
        <w:keepNext/>
        <w:numPr>
          <w:ilvl w:val="2"/>
          <w:numId w:val="7"/>
        </w:numPr>
        <w:spacing w:line="276" w:lineRule="auto"/>
        <w:ind w:left="720"/>
        <w:outlineLvl w:val="2"/>
        <w:rPr>
          <w:bCs/>
          <w:color w:val="003880"/>
          <w:sz w:val="24"/>
          <w:szCs w:val="28"/>
          <w:lang w:val="en-AU"/>
        </w:rPr>
      </w:pPr>
      <w:r w:rsidRPr="00851EC7">
        <w:rPr>
          <w:bCs/>
          <w:color w:val="003880"/>
          <w:sz w:val="24"/>
          <w:szCs w:val="28"/>
          <w:lang w:val="en-AU"/>
        </w:rPr>
        <w:t>Efficiency</w:t>
      </w:r>
    </w:p>
    <w:p w:rsidR="00B33BC8" w:rsidRPr="00851EC7" w:rsidRDefault="00B33BC8" w:rsidP="00B33BC8">
      <w:pPr>
        <w:spacing w:before="120" w:after="120" w:line="276" w:lineRule="auto"/>
        <w:jc w:val="both"/>
        <w:rPr>
          <w:rFonts w:asciiTheme="minorHAnsi" w:hAnsiTheme="minorHAnsi" w:cstheme="minorHAnsi"/>
          <w:lang w:val="en-AU"/>
        </w:rPr>
      </w:pPr>
      <w:r w:rsidRPr="00851EC7">
        <w:rPr>
          <w:lang w:val="en-AU"/>
        </w:rPr>
        <w:t xml:space="preserve">The implementation of C1 is managed by MoEC, with technical support provided by SSQ. The first cycle of construction started in September 2012 and was finalized by May 2013. The second cycle was implemented from August 2013 to July 2014. The third cycle started in September 2014 and is still ongoing. </w:t>
      </w:r>
      <w:r w:rsidR="0087649D">
        <w:rPr>
          <w:lang w:val="en-AU"/>
        </w:rPr>
        <w:t xml:space="preserve">One thousand, eight hundred and sixty-five </w:t>
      </w:r>
      <w:r w:rsidRPr="00851EC7">
        <w:rPr>
          <w:lang w:val="en-AU"/>
        </w:rPr>
        <w:t>participants from Cycle 1 schools have benefited from the NSIP training</w:t>
      </w:r>
      <w:r w:rsidRPr="00851EC7">
        <w:rPr>
          <w:rStyle w:val="EndnoteReference"/>
          <w:rFonts w:asciiTheme="minorHAnsi" w:hAnsiTheme="minorHAnsi" w:cstheme="minorHAnsi"/>
          <w:lang w:val="en-AU"/>
        </w:rPr>
        <w:endnoteReference w:id="10"/>
      </w:r>
      <w:r w:rsidRPr="00851EC7">
        <w:rPr>
          <w:rFonts w:asciiTheme="minorHAnsi" w:hAnsiTheme="minorHAnsi"/>
          <w:lang w:val="en-AU"/>
        </w:rPr>
        <w:t>,</w:t>
      </w:r>
      <w:r w:rsidRPr="00851EC7">
        <w:rPr>
          <w:lang w:val="en-AU"/>
        </w:rPr>
        <w:t xml:space="preserve"> which should provide upsides for the acceleration of school-based management capacity in newly constructed schools.</w:t>
      </w:r>
      <w:r w:rsidRPr="00851EC7">
        <w:rPr>
          <w:rFonts w:asciiTheme="minorHAnsi" w:hAnsiTheme="minorHAnsi" w:cstheme="minorHAnsi"/>
          <w:lang w:val="en-AU"/>
        </w:rPr>
        <w:t xml:space="preserve"> </w:t>
      </w:r>
    </w:p>
    <w:p w:rsidR="002145BB" w:rsidRDefault="00B33BC8" w:rsidP="00B33BC8">
      <w:pPr>
        <w:spacing w:before="120" w:after="120" w:line="276" w:lineRule="auto"/>
        <w:jc w:val="both"/>
        <w:rPr>
          <w:lang w:val="en-AU"/>
        </w:rPr>
      </w:pPr>
      <w:r w:rsidRPr="00851EC7">
        <w:rPr>
          <w:lang w:val="en-AU"/>
        </w:rPr>
        <w:t xml:space="preserve">The number of schools built within each cycle has declined from </w:t>
      </w:r>
      <w:r w:rsidR="0042688C">
        <w:rPr>
          <w:lang w:val="en-AU"/>
        </w:rPr>
        <w:t xml:space="preserve">Cycle 1 </w:t>
      </w:r>
      <w:r w:rsidRPr="00851EC7">
        <w:rPr>
          <w:lang w:val="en-AU"/>
        </w:rPr>
        <w:t xml:space="preserve">to date (see Table </w:t>
      </w:r>
      <w:r w:rsidR="00F4282E" w:rsidRPr="00851EC7">
        <w:rPr>
          <w:lang w:val="en-AU"/>
        </w:rPr>
        <w:t>2</w:t>
      </w:r>
      <w:r w:rsidRPr="00851EC7">
        <w:rPr>
          <w:lang w:val="en-AU"/>
        </w:rPr>
        <w:t>). This reflects several factors, including the increase of unit cost</w:t>
      </w:r>
      <w:r w:rsidR="000C6215">
        <w:rPr>
          <w:lang w:val="en-AU"/>
        </w:rPr>
        <w:t>, the reduction in overall budget available to C1,</w:t>
      </w:r>
      <w:r w:rsidRPr="00851EC7">
        <w:rPr>
          <w:lang w:val="en-AU"/>
        </w:rPr>
        <w:t xml:space="preserve"> and the restricted ability of districts to nominate new school sites, i.e. it becomes increasingly difficult for (target) districts to identify new school sites year-on-year and as the number of ‘obvious’ sites are depleted. In addition, it might also be the case that the greater stringency applied during the selection process has ‘screened out’ applicants that might have been endorsed in earlier cycles</w:t>
      </w:r>
      <w:r w:rsidRPr="00851EC7">
        <w:rPr>
          <w:rStyle w:val="FootnoteReference"/>
          <w:lang w:val="en-AU"/>
        </w:rPr>
        <w:footnoteReference w:id="8"/>
      </w:r>
      <w:r w:rsidRPr="00851EC7">
        <w:rPr>
          <w:lang w:val="en-AU"/>
        </w:rPr>
        <w:t xml:space="preserve">. </w:t>
      </w:r>
      <w:bookmarkStart w:id="23" w:name="_Ref379640536"/>
    </w:p>
    <w:p w:rsidR="00B33BC8" w:rsidRPr="00851EC7" w:rsidRDefault="004D3EF0" w:rsidP="004D3EF0">
      <w:pPr>
        <w:pStyle w:val="Caption"/>
        <w:keepNext/>
        <w:rPr>
          <w:lang w:val="en-AU"/>
        </w:rPr>
      </w:pPr>
      <w:bookmarkStart w:id="24" w:name="_Toc412534574"/>
      <w:r>
        <w:t xml:space="preserve">Table </w:t>
      </w:r>
      <w:r>
        <w:fldChar w:fldCharType="begin"/>
      </w:r>
      <w:r>
        <w:instrText xml:space="preserve"> SEQ Table \* ARABIC </w:instrText>
      </w:r>
      <w:r>
        <w:fldChar w:fldCharType="separate"/>
      </w:r>
      <w:r w:rsidR="004A0A8F">
        <w:rPr>
          <w:noProof/>
        </w:rPr>
        <w:t>2</w:t>
      </w:r>
      <w:r>
        <w:fldChar w:fldCharType="end"/>
      </w:r>
      <w:bookmarkEnd w:id="23"/>
      <w:r w:rsidR="00B33BC8" w:rsidRPr="00851EC7">
        <w:rPr>
          <w:lang w:val="en-AU"/>
        </w:rPr>
        <w:t>: School construction per cycle (as of December 2014)</w:t>
      </w:r>
      <w:bookmarkEnd w:id="24"/>
    </w:p>
    <w:tbl>
      <w:tblPr>
        <w:tblW w:w="0" w:type="auto"/>
        <w:jc w:val="center"/>
        <w:tblCellMar>
          <w:left w:w="0" w:type="dxa"/>
          <w:right w:w="0" w:type="dxa"/>
        </w:tblCellMar>
        <w:tblLook w:val="04A0" w:firstRow="1" w:lastRow="0" w:firstColumn="1" w:lastColumn="0" w:noHBand="0" w:noVBand="1"/>
      </w:tblPr>
      <w:tblGrid>
        <w:gridCol w:w="1603"/>
        <w:gridCol w:w="1555"/>
        <w:gridCol w:w="1555"/>
        <w:gridCol w:w="1555"/>
        <w:gridCol w:w="1555"/>
      </w:tblGrid>
      <w:tr w:rsidR="00B33BC8" w:rsidRPr="00851EC7" w:rsidTr="00B33BC8">
        <w:trPr>
          <w:trHeight w:val="434"/>
          <w:jc w:val="center"/>
        </w:trPr>
        <w:tc>
          <w:tcPr>
            <w:tcW w:w="1603" w:type="dxa"/>
            <w:tcBorders>
              <w:top w:val="nil"/>
              <w:left w:val="single" w:sz="8" w:space="0" w:color="auto"/>
              <w:bottom w:val="single" w:sz="4" w:space="0" w:color="auto"/>
              <w:right w:val="single" w:sz="8" w:space="0" w:color="auto"/>
            </w:tcBorders>
            <w:shd w:val="clear" w:color="auto" w:fill="1F497D" w:themeFill="text2"/>
            <w:tcMar>
              <w:top w:w="0" w:type="dxa"/>
              <w:left w:w="108" w:type="dxa"/>
              <w:bottom w:w="0" w:type="dxa"/>
              <w:right w:w="108" w:type="dxa"/>
            </w:tcMar>
            <w:vAlign w:val="center"/>
          </w:tcPr>
          <w:p w:rsidR="00B33BC8" w:rsidRPr="00851EC7" w:rsidRDefault="00B33BC8" w:rsidP="00B33BC8">
            <w:pPr>
              <w:spacing w:before="60" w:after="60"/>
              <w:jc w:val="center"/>
              <w:rPr>
                <w:b/>
                <w:bCs/>
                <w:color w:val="FFFFFF" w:themeColor="background1"/>
                <w:lang w:val="en-AU"/>
              </w:rPr>
            </w:pPr>
            <w:r w:rsidRPr="00851EC7">
              <w:rPr>
                <w:b/>
                <w:bCs/>
                <w:color w:val="FFFFFF" w:themeColor="background1"/>
                <w:lang w:val="en-AU"/>
              </w:rPr>
              <w:t>Cycle</w:t>
            </w:r>
          </w:p>
        </w:tc>
        <w:tc>
          <w:tcPr>
            <w:tcW w:w="1555" w:type="dxa"/>
            <w:tcBorders>
              <w:top w:val="nil"/>
              <w:left w:val="nil"/>
              <w:bottom w:val="single" w:sz="4" w:space="0" w:color="auto"/>
              <w:right w:val="single" w:sz="8" w:space="0" w:color="auto"/>
            </w:tcBorders>
            <w:shd w:val="clear" w:color="auto" w:fill="1F497D" w:themeFill="text2"/>
            <w:tcMar>
              <w:top w:w="0" w:type="dxa"/>
              <w:left w:w="108" w:type="dxa"/>
              <w:bottom w:w="0" w:type="dxa"/>
              <w:right w:w="108" w:type="dxa"/>
            </w:tcMar>
            <w:vAlign w:val="center"/>
          </w:tcPr>
          <w:p w:rsidR="00B33BC8" w:rsidRPr="00851EC7" w:rsidRDefault="00B33BC8" w:rsidP="00B33BC8">
            <w:pPr>
              <w:spacing w:before="60" w:after="60"/>
              <w:jc w:val="center"/>
              <w:rPr>
                <w:color w:val="FFFFFF" w:themeColor="background1"/>
                <w:lang w:val="en-AU"/>
              </w:rPr>
            </w:pPr>
            <w:r w:rsidRPr="00851EC7">
              <w:rPr>
                <w:b/>
                <w:bCs/>
                <w:color w:val="FFFFFF" w:themeColor="background1"/>
                <w:lang w:val="en-AU"/>
              </w:rPr>
              <w:t>SATAP</w:t>
            </w:r>
          </w:p>
        </w:tc>
        <w:tc>
          <w:tcPr>
            <w:tcW w:w="1555" w:type="dxa"/>
            <w:tcBorders>
              <w:top w:val="nil"/>
              <w:left w:val="nil"/>
              <w:bottom w:val="single" w:sz="4" w:space="0" w:color="auto"/>
              <w:right w:val="single" w:sz="8" w:space="0" w:color="auto"/>
            </w:tcBorders>
            <w:shd w:val="clear" w:color="auto" w:fill="1F497D" w:themeFill="text2"/>
            <w:vAlign w:val="center"/>
          </w:tcPr>
          <w:p w:rsidR="00B33BC8" w:rsidRPr="00851EC7" w:rsidRDefault="00B33BC8" w:rsidP="00B33BC8">
            <w:pPr>
              <w:spacing w:before="60" w:after="60"/>
              <w:jc w:val="center"/>
              <w:rPr>
                <w:b/>
                <w:bCs/>
                <w:color w:val="FFFFFF" w:themeColor="background1"/>
                <w:lang w:val="en-AU"/>
              </w:rPr>
            </w:pPr>
            <w:r w:rsidRPr="00851EC7">
              <w:rPr>
                <w:b/>
                <w:bCs/>
                <w:color w:val="FFFFFF" w:themeColor="background1"/>
                <w:lang w:val="en-AU"/>
              </w:rPr>
              <w:t>USB</w:t>
            </w:r>
          </w:p>
        </w:tc>
        <w:tc>
          <w:tcPr>
            <w:tcW w:w="1555" w:type="dxa"/>
            <w:tcBorders>
              <w:top w:val="nil"/>
              <w:left w:val="nil"/>
              <w:bottom w:val="single" w:sz="4" w:space="0" w:color="auto"/>
              <w:right w:val="single" w:sz="4" w:space="0" w:color="auto"/>
            </w:tcBorders>
            <w:shd w:val="clear" w:color="auto" w:fill="1F497D" w:themeFill="text2"/>
            <w:vAlign w:val="center"/>
          </w:tcPr>
          <w:p w:rsidR="00B33BC8" w:rsidRPr="00851EC7" w:rsidRDefault="00B33BC8" w:rsidP="00B33BC8">
            <w:pPr>
              <w:spacing w:before="60" w:after="60"/>
              <w:jc w:val="center"/>
              <w:rPr>
                <w:b/>
                <w:bCs/>
                <w:color w:val="FFFFFF" w:themeColor="background1"/>
                <w:lang w:val="en-AU"/>
              </w:rPr>
            </w:pPr>
            <w:r w:rsidRPr="00851EC7">
              <w:rPr>
                <w:b/>
                <w:bCs/>
                <w:color w:val="FFFFFF" w:themeColor="background1"/>
                <w:lang w:val="en-AU"/>
              </w:rPr>
              <w:t>Total</w:t>
            </w:r>
          </w:p>
        </w:tc>
        <w:tc>
          <w:tcPr>
            <w:tcW w:w="155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B33BC8" w:rsidRPr="00851EC7" w:rsidRDefault="00B33BC8" w:rsidP="00B33BC8">
            <w:pPr>
              <w:spacing w:before="60" w:after="60"/>
              <w:jc w:val="center"/>
              <w:rPr>
                <w:b/>
                <w:bCs/>
                <w:color w:val="FFFFFF" w:themeColor="background1"/>
                <w:lang w:val="en-AU"/>
              </w:rPr>
            </w:pPr>
            <w:r w:rsidRPr="00851EC7">
              <w:rPr>
                <w:b/>
                <w:bCs/>
                <w:color w:val="FFFFFF" w:themeColor="background1"/>
                <w:lang w:val="en-AU"/>
              </w:rPr>
              <w:t>Incomplete Schools</w:t>
            </w:r>
          </w:p>
        </w:tc>
      </w:tr>
      <w:tr w:rsidR="00B33BC8" w:rsidRPr="00851EC7" w:rsidTr="00B33BC8">
        <w:trPr>
          <w:trHeight w:val="434"/>
          <w:jc w:val="center"/>
        </w:trPr>
        <w:tc>
          <w:tcPr>
            <w:tcW w:w="160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3BC8" w:rsidRPr="00851EC7" w:rsidRDefault="00B33BC8" w:rsidP="00B33BC8">
            <w:pPr>
              <w:spacing w:before="60" w:after="60"/>
              <w:jc w:val="center"/>
              <w:rPr>
                <w:rFonts w:eastAsiaTheme="minorHAnsi"/>
                <w:b/>
                <w:bCs/>
                <w:lang w:val="en-AU"/>
              </w:rPr>
            </w:pPr>
            <w:r w:rsidRPr="00851EC7">
              <w:rPr>
                <w:b/>
                <w:bCs/>
                <w:lang w:val="en-AU"/>
              </w:rPr>
              <w:t>1</w:t>
            </w:r>
          </w:p>
        </w:tc>
        <w:tc>
          <w:tcPr>
            <w:tcW w:w="155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33BC8" w:rsidRPr="00851EC7" w:rsidRDefault="00722CAD" w:rsidP="00465A2A">
            <w:pPr>
              <w:spacing w:before="60" w:after="60"/>
              <w:jc w:val="center"/>
              <w:rPr>
                <w:rFonts w:eastAsiaTheme="minorHAnsi"/>
                <w:sz w:val="18"/>
                <w:lang w:val="en-AU"/>
              </w:rPr>
            </w:pPr>
            <w:r>
              <w:rPr>
                <w:sz w:val="18"/>
                <w:lang w:val="en-AU"/>
              </w:rPr>
              <w:t>3</w:t>
            </w:r>
            <w:r w:rsidR="00465A2A">
              <w:rPr>
                <w:sz w:val="18"/>
                <w:lang w:val="en-AU"/>
              </w:rPr>
              <w:t>3</w:t>
            </w:r>
            <w:r>
              <w:rPr>
                <w:sz w:val="18"/>
                <w:lang w:val="en-AU"/>
              </w:rPr>
              <w:t>6</w:t>
            </w:r>
          </w:p>
        </w:tc>
        <w:tc>
          <w:tcPr>
            <w:tcW w:w="1555" w:type="dxa"/>
            <w:tcBorders>
              <w:top w:val="single" w:sz="4" w:space="0" w:color="auto"/>
              <w:left w:val="nil"/>
              <w:bottom w:val="single" w:sz="8" w:space="0" w:color="auto"/>
              <w:right w:val="single" w:sz="8" w:space="0" w:color="auto"/>
            </w:tcBorders>
            <w:vAlign w:val="center"/>
          </w:tcPr>
          <w:p w:rsidR="00B33BC8" w:rsidRPr="00851EC7" w:rsidRDefault="00722CAD" w:rsidP="00B33BC8">
            <w:pPr>
              <w:spacing w:before="60" w:after="60"/>
              <w:jc w:val="center"/>
              <w:rPr>
                <w:sz w:val="18"/>
                <w:lang w:val="en-AU"/>
              </w:rPr>
            </w:pPr>
            <w:r>
              <w:rPr>
                <w:sz w:val="18"/>
                <w:lang w:val="en-AU"/>
              </w:rPr>
              <w:t>115</w:t>
            </w:r>
          </w:p>
        </w:tc>
        <w:tc>
          <w:tcPr>
            <w:tcW w:w="1555" w:type="dxa"/>
            <w:tcBorders>
              <w:top w:val="single" w:sz="4" w:space="0" w:color="auto"/>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451</w:t>
            </w:r>
          </w:p>
        </w:tc>
        <w:tc>
          <w:tcPr>
            <w:tcW w:w="1555" w:type="dxa"/>
            <w:tcBorders>
              <w:top w:val="single" w:sz="4" w:space="0" w:color="auto"/>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2 USB</w:t>
            </w:r>
          </w:p>
        </w:tc>
      </w:tr>
      <w:tr w:rsidR="00B33BC8" w:rsidRPr="00851EC7" w:rsidTr="00B33BC8">
        <w:trPr>
          <w:trHeight w:val="447"/>
          <w:jc w:val="center"/>
        </w:trPr>
        <w:tc>
          <w:tcPr>
            <w:tcW w:w="16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3BC8" w:rsidRPr="00851EC7" w:rsidRDefault="00B33BC8" w:rsidP="00B33BC8">
            <w:pPr>
              <w:spacing w:before="60" w:after="60"/>
              <w:jc w:val="center"/>
              <w:rPr>
                <w:rFonts w:eastAsiaTheme="minorHAnsi"/>
                <w:b/>
                <w:bCs/>
                <w:lang w:val="en-AU"/>
              </w:rPr>
            </w:pPr>
            <w:r w:rsidRPr="00851EC7">
              <w:rPr>
                <w:b/>
                <w:bCs/>
                <w:lang w:val="en-AU"/>
              </w:rPr>
              <w:t>2</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3BC8" w:rsidRPr="00851EC7" w:rsidRDefault="00B33BC8" w:rsidP="00B33BC8">
            <w:pPr>
              <w:spacing w:before="60" w:after="60"/>
              <w:jc w:val="center"/>
              <w:rPr>
                <w:rFonts w:eastAsiaTheme="minorHAnsi"/>
                <w:sz w:val="18"/>
                <w:lang w:val="en-AU"/>
              </w:rPr>
            </w:pPr>
            <w:r w:rsidRPr="00851EC7">
              <w:rPr>
                <w:sz w:val="18"/>
                <w:lang w:val="en-AU"/>
              </w:rPr>
              <w:t>150</w:t>
            </w:r>
          </w:p>
        </w:tc>
        <w:tc>
          <w:tcPr>
            <w:tcW w:w="1555" w:type="dxa"/>
            <w:tcBorders>
              <w:top w:val="nil"/>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166</w:t>
            </w:r>
          </w:p>
        </w:tc>
        <w:tc>
          <w:tcPr>
            <w:tcW w:w="1555" w:type="dxa"/>
            <w:tcBorders>
              <w:top w:val="nil"/>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316</w:t>
            </w:r>
          </w:p>
        </w:tc>
        <w:tc>
          <w:tcPr>
            <w:tcW w:w="1555" w:type="dxa"/>
            <w:tcBorders>
              <w:top w:val="nil"/>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1 SATAP</w:t>
            </w:r>
          </w:p>
        </w:tc>
      </w:tr>
      <w:tr w:rsidR="00B33BC8" w:rsidRPr="00851EC7" w:rsidTr="00B33BC8">
        <w:trPr>
          <w:trHeight w:val="447"/>
          <w:jc w:val="center"/>
        </w:trPr>
        <w:tc>
          <w:tcPr>
            <w:tcW w:w="16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33BC8" w:rsidRPr="00851EC7" w:rsidRDefault="00B33BC8" w:rsidP="00B33BC8">
            <w:pPr>
              <w:spacing w:before="60" w:after="60"/>
              <w:jc w:val="center"/>
              <w:rPr>
                <w:b/>
                <w:bCs/>
                <w:lang w:val="en-AU"/>
              </w:rPr>
            </w:pPr>
            <w:r w:rsidRPr="00851EC7">
              <w:rPr>
                <w:b/>
                <w:bCs/>
                <w:lang w:val="en-AU"/>
              </w:rPr>
              <w:t>3</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rsidR="00B33BC8" w:rsidRPr="00851EC7" w:rsidRDefault="00B33BC8" w:rsidP="00B33BC8">
            <w:pPr>
              <w:spacing w:before="60" w:after="60"/>
              <w:jc w:val="center"/>
              <w:rPr>
                <w:sz w:val="18"/>
                <w:lang w:val="en-AU"/>
              </w:rPr>
            </w:pPr>
            <w:r w:rsidRPr="00851EC7">
              <w:rPr>
                <w:sz w:val="18"/>
                <w:lang w:val="en-AU"/>
              </w:rPr>
              <w:t>107</w:t>
            </w:r>
          </w:p>
        </w:tc>
        <w:tc>
          <w:tcPr>
            <w:tcW w:w="1555" w:type="dxa"/>
            <w:tcBorders>
              <w:top w:val="nil"/>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131</w:t>
            </w:r>
          </w:p>
        </w:tc>
        <w:tc>
          <w:tcPr>
            <w:tcW w:w="1555" w:type="dxa"/>
            <w:tcBorders>
              <w:top w:val="nil"/>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238</w:t>
            </w:r>
          </w:p>
        </w:tc>
        <w:tc>
          <w:tcPr>
            <w:tcW w:w="1555" w:type="dxa"/>
            <w:tcBorders>
              <w:top w:val="nil"/>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n/a</w:t>
            </w:r>
          </w:p>
        </w:tc>
      </w:tr>
      <w:tr w:rsidR="00B33BC8" w:rsidRPr="00851EC7" w:rsidTr="00B33BC8">
        <w:trPr>
          <w:trHeight w:val="447"/>
          <w:jc w:val="center"/>
        </w:trPr>
        <w:tc>
          <w:tcPr>
            <w:tcW w:w="16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3BC8" w:rsidRPr="00851EC7" w:rsidRDefault="00B33BC8" w:rsidP="00B33BC8">
            <w:pPr>
              <w:spacing w:before="60" w:after="60"/>
              <w:jc w:val="center"/>
              <w:rPr>
                <w:rFonts w:eastAsiaTheme="minorHAnsi"/>
                <w:b/>
                <w:bCs/>
                <w:lang w:val="en-AU"/>
              </w:rPr>
            </w:pPr>
            <w:r w:rsidRPr="00851EC7">
              <w:rPr>
                <w:b/>
                <w:bCs/>
                <w:lang w:val="en-AU"/>
              </w:rPr>
              <w:t>TOTAL</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3BC8" w:rsidRPr="00851EC7" w:rsidRDefault="00465A2A" w:rsidP="00465A2A">
            <w:pPr>
              <w:spacing w:before="60" w:after="60"/>
              <w:jc w:val="center"/>
              <w:rPr>
                <w:rFonts w:eastAsiaTheme="minorHAnsi"/>
                <w:sz w:val="18"/>
                <w:lang w:val="en-AU"/>
              </w:rPr>
            </w:pPr>
            <w:r>
              <w:rPr>
                <w:sz w:val="18"/>
                <w:lang w:val="en-AU"/>
              </w:rPr>
              <w:t>593</w:t>
            </w:r>
          </w:p>
        </w:tc>
        <w:tc>
          <w:tcPr>
            <w:tcW w:w="1555" w:type="dxa"/>
            <w:tcBorders>
              <w:top w:val="nil"/>
              <w:left w:val="nil"/>
              <w:bottom w:val="single" w:sz="8" w:space="0" w:color="auto"/>
              <w:right w:val="single" w:sz="8" w:space="0" w:color="auto"/>
            </w:tcBorders>
            <w:vAlign w:val="center"/>
          </w:tcPr>
          <w:p w:rsidR="00B33BC8" w:rsidRPr="00851EC7" w:rsidRDefault="00722CAD" w:rsidP="00B33BC8">
            <w:pPr>
              <w:spacing w:before="60" w:after="60"/>
              <w:jc w:val="center"/>
              <w:rPr>
                <w:sz w:val="18"/>
                <w:lang w:val="en-AU"/>
              </w:rPr>
            </w:pPr>
            <w:r>
              <w:rPr>
                <w:sz w:val="18"/>
                <w:lang w:val="en-AU"/>
              </w:rPr>
              <w:t>412</w:t>
            </w:r>
          </w:p>
        </w:tc>
        <w:tc>
          <w:tcPr>
            <w:tcW w:w="1555" w:type="dxa"/>
            <w:tcBorders>
              <w:top w:val="nil"/>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1,005</w:t>
            </w:r>
          </w:p>
        </w:tc>
        <w:tc>
          <w:tcPr>
            <w:tcW w:w="1555" w:type="dxa"/>
            <w:tcBorders>
              <w:top w:val="nil"/>
              <w:left w:val="nil"/>
              <w:bottom w:val="single" w:sz="8"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3 schools</w:t>
            </w:r>
          </w:p>
        </w:tc>
      </w:tr>
    </w:tbl>
    <w:p w:rsidR="00B33BC8" w:rsidRPr="00851EC7" w:rsidRDefault="00B33BC8" w:rsidP="00A943BB">
      <w:pPr>
        <w:pStyle w:val="Source"/>
        <w:rPr>
          <w:rFonts w:eastAsiaTheme="minorHAnsi"/>
          <w:lang w:val="en-AU"/>
        </w:rPr>
      </w:pPr>
      <w:r w:rsidRPr="00851EC7">
        <w:rPr>
          <w:lang w:val="en-AU"/>
        </w:rPr>
        <w:t>Source: SSQ Component 1 management team</w:t>
      </w:r>
    </w:p>
    <w:p w:rsidR="00B33BC8" w:rsidRPr="00851EC7" w:rsidRDefault="00B33BC8" w:rsidP="00B33BC8">
      <w:pPr>
        <w:spacing w:before="120" w:after="120"/>
        <w:jc w:val="both"/>
        <w:rPr>
          <w:rFonts w:asciiTheme="minorHAnsi" w:hAnsiTheme="minorHAnsi" w:cstheme="minorHAnsi"/>
          <w:lang w:val="en-AU"/>
        </w:rPr>
      </w:pPr>
    </w:p>
    <w:p w:rsidR="00B33BC8" w:rsidRPr="00851EC7" w:rsidRDefault="00B33BC8" w:rsidP="00B33BC8">
      <w:pPr>
        <w:spacing w:before="120" w:after="120" w:line="276" w:lineRule="auto"/>
        <w:jc w:val="both"/>
        <w:rPr>
          <w:lang w:val="en-AU"/>
        </w:rPr>
      </w:pPr>
      <w:r w:rsidRPr="00851EC7">
        <w:rPr>
          <w:lang w:val="en-AU"/>
        </w:rPr>
        <w:t>There is strong evidence to suggest that selection and construction of schools has become increasingly efficient, with noticeable improvements made to the management of the construction process. Since the start of the second cycle, SSQ has strengthened the monitoring and reporting of the school construction process by providing detailed information about the status of construction on a bi-weekly basis. Moreover, the mandate and role of field monitors has also evolved since initial implementation. This has resulted in greater direct observation and improved implementation of corrective actions, which when taken together have ensured better oversight of the construction process. Similarly, partners have made incremental improvements to the Complaints Handling System and the site selection process, which have resulted in better case management of any arising issues and more effective and compliant site selection. These improvements offer valuable lessons for the delivery of GoI-constructed infrastructure that could and should be disseminated to other interested parties.</w:t>
      </w:r>
    </w:p>
    <w:p w:rsidR="00DB29DB" w:rsidRDefault="00B33BC8" w:rsidP="00B33BC8">
      <w:pPr>
        <w:spacing w:before="120" w:after="120" w:line="276" w:lineRule="auto"/>
        <w:jc w:val="both"/>
        <w:rPr>
          <w:lang w:val="en-AU"/>
        </w:rPr>
      </w:pPr>
      <w:r w:rsidRPr="00851EC7">
        <w:rPr>
          <w:lang w:val="en-AU"/>
        </w:rPr>
        <w:t xml:space="preserve">From an audit perspective, the auditors reported that the financial statements relating to Cycles 1 and 2 were prepared in accordance with the financial reporting requirements of the Grant Agreements without qualification. A compliance review </w:t>
      </w:r>
      <w:r w:rsidR="0087649D">
        <w:rPr>
          <w:lang w:val="en-AU"/>
        </w:rPr>
        <w:t>that</w:t>
      </w:r>
      <w:r w:rsidR="0087649D" w:rsidRPr="00851EC7">
        <w:rPr>
          <w:lang w:val="en-AU"/>
        </w:rPr>
        <w:t xml:space="preserve"> </w:t>
      </w:r>
      <w:r w:rsidRPr="00851EC7">
        <w:rPr>
          <w:lang w:val="en-AU"/>
        </w:rPr>
        <w:t xml:space="preserve">sampled 63 out of the 316 schools built in Cycle 2 identified a number of non-compliance issues, but only one issue was classified as suspected fraud, which was duly reported to DFAT. The number of Suspected Fraud Reports issued for Cycle 2 was significantly down from Cycle 1 (see Table </w:t>
      </w:r>
      <w:r w:rsidR="00713BAD" w:rsidRPr="00851EC7">
        <w:rPr>
          <w:lang w:val="en-AU"/>
        </w:rPr>
        <w:t>3</w:t>
      </w:r>
      <w:r w:rsidRPr="00851EC7">
        <w:rPr>
          <w:lang w:val="en-AU"/>
        </w:rPr>
        <w:t xml:space="preserve">). </w:t>
      </w:r>
    </w:p>
    <w:p w:rsidR="00B33BC8" w:rsidRPr="00851EC7" w:rsidRDefault="00B33BC8" w:rsidP="00B33BC8">
      <w:pPr>
        <w:spacing w:before="120" w:after="120" w:line="276" w:lineRule="auto"/>
        <w:jc w:val="both"/>
        <w:rPr>
          <w:bCs/>
          <w:sz w:val="24"/>
          <w:szCs w:val="28"/>
          <w:lang w:val="en-AU"/>
        </w:rPr>
      </w:pPr>
      <w:r w:rsidRPr="00851EC7">
        <w:rPr>
          <w:lang w:val="en-AU"/>
        </w:rPr>
        <w:t xml:space="preserve">This apparent improvement in performance might reflect improved implementation processes and the timely and full actioning of recommendations outlined in earlier audit reports. </w:t>
      </w:r>
      <w:r w:rsidRPr="0049099B">
        <w:rPr>
          <w:lang w:val="en-AU"/>
        </w:rPr>
        <w:t>Where non-compliance occurs it likely reflects the low capacity of some SCC to e</w:t>
      </w:r>
      <w:r w:rsidRPr="00DB29DB">
        <w:rPr>
          <w:lang w:val="en-AU"/>
        </w:rPr>
        <w:t>ffectively interpret detailed procedures manuals</w:t>
      </w:r>
      <w:r w:rsidR="00DB29DB">
        <w:rPr>
          <w:rStyle w:val="EndnoteReference"/>
          <w:bCs/>
          <w:sz w:val="24"/>
          <w:szCs w:val="28"/>
          <w:lang w:val="en-AU"/>
        </w:rPr>
        <w:endnoteReference w:id="11"/>
      </w:r>
      <w:r w:rsidR="006029BE">
        <w:rPr>
          <w:bCs/>
          <w:sz w:val="24"/>
          <w:szCs w:val="28"/>
          <w:lang w:val="en-AU"/>
        </w:rPr>
        <w:t>.</w:t>
      </w:r>
    </w:p>
    <w:p w:rsidR="00B33BC8" w:rsidRPr="00851EC7" w:rsidRDefault="004D3EF0" w:rsidP="004D3EF0">
      <w:pPr>
        <w:pStyle w:val="Caption"/>
        <w:keepNext/>
        <w:rPr>
          <w:lang w:val="en-AU"/>
        </w:rPr>
      </w:pPr>
      <w:bookmarkStart w:id="25" w:name="_Toc412534575"/>
      <w:r>
        <w:t xml:space="preserve">Table </w:t>
      </w:r>
      <w:r>
        <w:fldChar w:fldCharType="begin"/>
      </w:r>
      <w:r>
        <w:instrText xml:space="preserve"> SEQ Table \* ARABIC </w:instrText>
      </w:r>
      <w:r>
        <w:fldChar w:fldCharType="separate"/>
      </w:r>
      <w:r w:rsidR="004A0A8F">
        <w:rPr>
          <w:noProof/>
        </w:rPr>
        <w:t>3</w:t>
      </w:r>
      <w:r>
        <w:fldChar w:fldCharType="end"/>
      </w:r>
      <w:r w:rsidR="00B33BC8" w:rsidRPr="00851EC7">
        <w:rPr>
          <w:lang w:val="en-AU"/>
        </w:rPr>
        <w:t>: Incidence of Suspected Fraud and Non-Compliance</w:t>
      </w:r>
      <w:bookmarkEnd w:id="25"/>
      <w:r w:rsidR="00B33BC8" w:rsidRPr="00851EC7">
        <w:rPr>
          <w:lang w:val="en-AU"/>
        </w:rPr>
        <w:t xml:space="preserve"> </w:t>
      </w:r>
    </w:p>
    <w:tbl>
      <w:tblPr>
        <w:tblW w:w="6483"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5"/>
        <w:gridCol w:w="2259"/>
        <w:gridCol w:w="2209"/>
      </w:tblGrid>
      <w:tr w:rsidR="00B33BC8" w:rsidRPr="00851EC7" w:rsidTr="00B33BC8">
        <w:trPr>
          <w:trHeight w:val="794"/>
          <w:tblHeader/>
          <w:jc w:val="center"/>
        </w:trPr>
        <w:tc>
          <w:tcPr>
            <w:tcW w:w="201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33BC8" w:rsidRPr="00851EC7" w:rsidRDefault="00B33BC8" w:rsidP="00B33BC8">
            <w:pPr>
              <w:jc w:val="center"/>
              <w:rPr>
                <w:rFonts w:eastAsia="Calibri" w:cs="Times New Roman"/>
                <w:b/>
                <w:color w:val="FFFFFF" w:themeColor="background1"/>
                <w:szCs w:val="24"/>
                <w:lang w:val="en-AU" w:eastAsia="en-AU"/>
              </w:rPr>
            </w:pPr>
            <w:r w:rsidRPr="00851EC7">
              <w:rPr>
                <w:rFonts w:eastAsia="Calibri" w:cs="Times New Roman"/>
                <w:b/>
                <w:color w:val="FFFFFF" w:themeColor="background1"/>
                <w:szCs w:val="24"/>
                <w:lang w:val="en-AU" w:eastAsia="en-AU"/>
              </w:rPr>
              <w:t xml:space="preserve">Risk </w:t>
            </w:r>
          </w:p>
        </w:tc>
        <w:tc>
          <w:tcPr>
            <w:tcW w:w="225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33BC8" w:rsidRPr="00851EC7" w:rsidRDefault="00B33BC8" w:rsidP="00B33BC8">
            <w:pPr>
              <w:jc w:val="center"/>
              <w:rPr>
                <w:rFonts w:eastAsia="Calibri" w:cs="Times New Roman"/>
                <w:b/>
                <w:color w:val="FFFFFF" w:themeColor="background1"/>
                <w:szCs w:val="24"/>
                <w:lang w:val="en-AU" w:eastAsia="en-AU"/>
              </w:rPr>
            </w:pPr>
            <w:r w:rsidRPr="00851EC7">
              <w:rPr>
                <w:rFonts w:eastAsia="Calibri" w:cs="Times New Roman"/>
                <w:b/>
                <w:color w:val="FFFFFF" w:themeColor="background1"/>
                <w:szCs w:val="24"/>
                <w:lang w:val="en-AU" w:eastAsia="en-AU"/>
              </w:rPr>
              <w:t>SCC Compliance Review for Cycle 1</w:t>
            </w:r>
          </w:p>
        </w:tc>
        <w:tc>
          <w:tcPr>
            <w:tcW w:w="220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33BC8" w:rsidRPr="00851EC7" w:rsidRDefault="00B33BC8" w:rsidP="00B33BC8">
            <w:pPr>
              <w:jc w:val="center"/>
              <w:rPr>
                <w:rFonts w:eastAsia="Calibri" w:cs="Times New Roman"/>
                <w:b/>
                <w:color w:val="FFFFFF" w:themeColor="background1"/>
                <w:szCs w:val="24"/>
                <w:lang w:val="en-AU" w:eastAsia="en-AU"/>
              </w:rPr>
            </w:pPr>
            <w:r w:rsidRPr="00851EC7">
              <w:rPr>
                <w:rFonts w:eastAsia="Calibri" w:cs="Times New Roman"/>
                <w:b/>
                <w:color w:val="FFFFFF" w:themeColor="background1"/>
                <w:szCs w:val="24"/>
                <w:lang w:val="en-AU" w:eastAsia="en-AU"/>
              </w:rPr>
              <w:t>SCC Compliance Review for Cycle 2</w:t>
            </w:r>
          </w:p>
        </w:tc>
      </w:tr>
      <w:tr w:rsidR="00B33BC8" w:rsidRPr="00851EC7" w:rsidTr="00B33BC8">
        <w:trPr>
          <w:trHeight w:val="454"/>
          <w:jc w:val="center"/>
        </w:trPr>
        <w:tc>
          <w:tcPr>
            <w:tcW w:w="2015" w:type="dxa"/>
            <w:tcBorders>
              <w:top w:val="single" w:sz="4" w:space="0" w:color="auto"/>
              <w:left w:val="single" w:sz="4" w:space="0" w:color="auto"/>
              <w:bottom w:val="single" w:sz="4" w:space="0" w:color="auto"/>
              <w:right w:val="nil"/>
            </w:tcBorders>
            <w:vAlign w:val="center"/>
            <w:hideMark/>
          </w:tcPr>
          <w:p w:rsidR="00B33BC8" w:rsidRPr="00851EC7" w:rsidRDefault="00B33BC8" w:rsidP="00B33BC8">
            <w:pPr>
              <w:spacing w:before="60" w:after="60"/>
              <w:rPr>
                <w:rFonts w:eastAsia="Calibri"/>
                <w:b/>
                <w:lang w:val="en-AU" w:eastAsia="en-AU"/>
              </w:rPr>
            </w:pPr>
            <w:r w:rsidRPr="00851EC7">
              <w:rPr>
                <w:rFonts w:eastAsia="Calibri"/>
                <w:b/>
                <w:lang w:val="en-AU" w:eastAsia="en-AU"/>
              </w:rPr>
              <w:t xml:space="preserve">Fraud </w:t>
            </w:r>
          </w:p>
        </w:tc>
        <w:tc>
          <w:tcPr>
            <w:tcW w:w="2259" w:type="dxa"/>
            <w:tcBorders>
              <w:top w:val="single" w:sz="4" w:space="0" w:color="auto"/>
              <w:left w:val="nil"/>
              <w:bottom w:val="single" w:sz="4" w:space="0" w:color="auto"/>
              <w:right w:val="nil"/>
            </w:tcBorders>
            <w:vAlign w:val="center"/>
          </w:tcPr>
          <w:p w:rsidR="00B33BC8" w:rsidRPr="00851EC7" w:rsidRDefault="00B33BC8" w:rsidP="00B33BC8">
            <w:pPr>
              <w:spacing w:before="60" w:after="60"/>
              <w:jc w:val="center"/>
              <w:rPr>
                <w:rFonts w:eastAsia="Calibri"/>
                <w:b/>
                <w:szCs w:val="24"/>
                <w:lang w:val="en-AU" w:eastAsia="en-AU"/>
              </w:rPr>
            </w:pPr>
          </w:p>
        </w:tc>
        <w:tc>
          <w:tcPr>
            <w:tcW w:w="2209" w:type="dxa"/>
            <w:tcBorders>
              <w:top w:val="single" w:sz="4" w:space="0" w:color="auto"/>
              <w:left w:val="nil"/>
              <w:bottom w:val="single" w:sz="4" w:space="0" w:color="auto"/>
              <w:right w:val="single" w:sz="4" w:space="0" w:color="auto"/>
            </w:tcBorders>
            <w:vAlign w:val="center"/>
          </w:tcPr>
          <w:p w:rsidR="00B33BC8" w:rsidRPr="00851EC7" w:rsidRDefault="00B33BC8" w:rsidP="00B33BC8">
            <w:pPr>
              <w:spacing w:before="60" w:after="60"/>
              <w:jc w:val="center"/>
              <w:rPr>
                <w:rFonts w:eastAsia="Calibri"/>
                <w:szCs w:val="24"/>
                <w:lang w:val="en-AU" w:eastAsia="en-AU"/>
              </w:rPr>
            </w:pPr>
          </w:p>
        </w:tc>
      </w:tr>
      <w:tr w:rsidR="00B33BC8" w:rsidRPr="00851EC7" w:rsidTr="00B33BC8">
        <w:trPr>
          <w:trHeight w:val="454"/>
          <w:jc w:val="center"/>
        </w:trPr>
        <w:tc>
          <w:tcPr>
            <w:tcW w:w="2015"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rPr>
                <w:rFonts w:eastAsia="Calibri"/>
                <w:sz w:val="18"/>
                <w:szCs w:val="18"/>
                <w:lang w:val="en-AU" w:eastAsia="en-AU"/>
              </w:rPr>
            </w:pPr>
            <w:r w:rsidRPr="00851EC7">
              <w:rPr>
                <w:rFonts w:eastAsia="Calibri"/>
                <w:sz w:val="18"/>
                <w:szCs w:val="18"/>
                <w:lang w:val="en-AU" w:eastAsia="en-AU"/>
              </w:rPr>
              <w:t xml:space="preserve">Fraud Issues </w:t>
            </w:r>
          </w:p>
        </w:tc>
        <w:tc>
          <w:tcPr>
            <w:tcW w:w="2259"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jc w:val="center"/>
              <w:rPr>
                <w:rFonts w:eastAsia="Calibri"/>
                <w:sz w:val="18"/>
                <w:szCs w:val="18"/>
                <w:lang w:val="en-AU" w:eastAsia="en-AU"/>
              </w:rPr>
            </w:pPr>
            <w:r w:rsidRPr="00851EC7">
              <w:rPr>
                <w:rFonts w:eastAsia="Calibri"/>
                <w:sz w:val="18"/>
                <w:szCs w:val="18"/>
                <w:lang w:val="en-AU" w:eastAsia="en-AU"/>
              </w:rPr>
              <w:t>9</w:t>
            </w:r>
          </w:p>
        </w:tc>
        <w:tc>
          <w:tcPr>
            <w:tcW w:w="2209"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jc w:val="center"/>
              <w:rPr>
                <w:rFonts w:eastAsia="Calibri"/>
                <w:sz w:val="18"/>
                <w:szCs w:val="18"/>
                <w:lang w:val="en-AU" w:eastAsia="en-AU"/>
              </w:rPr>
            </w:pPr>
            <w:r w:rsidRPr="00851EC7">
              <w:rPr>
                <w:rFonts w:eastAsia="Calibri"/>
                <w:sz w:val="18"/>
                <w:szCs w:val="18"/>
                <w:lang w:val="en-AU" w:eastAsia="en-AU"/>
              </w:rPr>
              <w:t>1</w:t>
            </w:r>
          </w:p>
        </w:tc>
      </w:tr>
      <w:tr w:rsidR="00B33BC8" w:rsidRPr="00851EC7" w:rsidTr="00B33BC8">
        <w:trPr>
          <w:trHeight w:val="454"/>
          <w:jc w:val="center"/>
        </w:trPr>
        <w:tc>
          <w:tcPr>
            <w:tcW w:w="6483" w:type="dxa"/>
            <w:gridSpan w:val="3"/>
            <w:tcBorders>
              <w:top w:val="single" w:sz="4" w:space="0" w:color="auto"/>
              <w:left w:val="single" w:sz="4" w:space="0" w:color="auto"/>
              <w:bottom w:val="single" w:sz="4" w:space="0" w:color="auto"/>
              <w:right w:val="single" w:sz="4" w:space="0" w:color="auto"/>
            </w:tcBorders>
            <w:vAlign w:val="center"/>
          </w:tcPr>
          <w:p w:rsidR="00B33BC8" w:rsidRPr="00851EC7" w:rsidRDefault="00B33BC8" w:rsidP="00B33BC8">
            <w:pPr>
              <w:spacing w:before="60" w:after="60"/>
              <w:rPr>
                <w:rFonts w:eastAsia="Calibri"/>
                <w:b/>
                <w:lang w:val="en-AU" w:eastAsia="en-AU"/>
              </w:rPr>
            </w:pPr>
            <w:r w:rsidRPr="00851EC7">
              <w:rPr>
                <w:rFonts w:eastAsia="Calibri"/>
                <w:b/>
                <w:lang w:val="en-AU" w:eastAsia="en-AU"/>
              </w:rPr>
              <w:t>Non-compliance</w:t>
            </w:r>
          </w:p>
        </w:tc>
      </w:tr>
      <w:tr w:rsidR="00B33BC8" w:rsidRPr="00851EC7" w:rsidTr="00B33BC8">
        <w:trPr>
          <w:trHeight w:val="454"/>
          <w:jc w:val="center"/>
        </w:trPr>
        <w:tc>
          <w:tcPr>
            <w:tcW w:w="2015"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rPr>
                <w:rFonts w:eastAsia="Calibri"/>
                <w:sz w:val="18"/>
                <w:szCs w:val="18"/>
                <w:lang w:val="en-AU" w:eastAsia="en-AU"/>
              </w:rPr>
            </w:pPr>
            <w:r w:rsidRPr="00851EC7">
              <w:rPr>
                <w:rFonts w:eastAsia="Calibri"/>
                <w:sz w:val="18"/>
                <w:szCs w:val="18"/>
                <w:lang w:val="en-AU" w:eastAsia="en-AU"/>
              </w:rPr>
              <w:t>Procurement and Inventory</w:t>
            </w:r>
            <w:r w:rsidR="00537938">
              <w:rPr>
                <w:rFonts w:eastAsia="Calibri"/>
                <w:sz w:val="18"/>
                <w:szCs w:val="18"/>
                <w:lang w:val="en-AU" w:eastAsia="en-AU"/>
              </w:rPr>
              <w:t xml:space="preserve"> </w:t>
            </w:r>
            <w:r w:rsidRPr="00851EC7">
              <w:rPr>
                <w:rFonts w:eastAsia="Calibri"/>
                <w:sz w:val="18"/>
                <w:szCs w:val="18"/>
                <w:lang w:val="en-AU" w:eastAsia="en-AU"/>
              </w:rPr>
              <w:t>Related Issues</w:t>
            </w:r>
          </w:p>
        </w:tc>
        <w:tc>
          <w:tcPr>
            <w:tcW w:w="2259"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jc w:val="center"/>
              <w:rPr>
                <w:rFonts w:eastAsia="Calibri"/>
                <w:sz w:val="18"/>
                <w:szCs w:val="18"/>
                <w:lang w:val="en-AU" w:eastAsia="en-AU"/>
              </w:rPr>
            </w:pPr>
            <w:r w:rsidRPr="00851EC7">
              <w:rPr>
                <w:rFonts w:eastAsia="Calibri"/>
                <w:sz w:val="18"/>
                <w:szCs w:val="18"/>
                <w:lang w:val="en-AU" w:eastAsia="en-AU"/>
              </w:rPr>
              <w:t>12</w:t>
            </w:r>
          </w:p>
        </w:tc>
        <w:tc>
          <w:tcPr>
            <w:tcW w:w="2209"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jc w:val="center"/>
              <w:rPr>
                <w:rFonts w:eastAsia="Calibri"/>
                <w:sz w:val="18"/>
                <w:szCs w:val="18"/>
                <w:lang w:val="en-AU" w:eastAsia="en-AU"/>
              </w:rPr>
            </w:pPr>
            <w:r w:rsidRPr="00851EC7">
              <w:rPr>
                <w:rFonts w:eastAsia="Calibri"/>
                <w:sz w:val="18"/>
                <w:szCs w:val="18"/>
                <w:lang w:val="en-AU" w:eastAsia="en-AU"/>
              </w:rPr>
              <w:t>8</w:t>
            </w:r>
          </w:p>
        </w:tc>
      </w:tr>
      <w:tr w:rsidR="00B33BC8" w:rsidRPr="00851EC7" w:rsidTr="00B33BC8">
        <w:trPr>
          <w:trHeight w:val="454"/>
          <w:jc w:val="center"/>
        </w:trPr>
        <w:tc>
          <w:tcPr>
            <w:tcW w:w="2015"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rPr>
                <w:rFonts w:eastAsia="Calibri"/>
                <w:sz w:val="18"/>
                <w:szCs w:val="18"/>
                <w:lang w:val="en-AU" w:eastAsia="en-AU"/>
              </w:rPr>
            </w:pPr>
            <w:r w:rsidRPr="00851EC7">
              <w:rPr>
                <w:rFonts w:eastAsia="Calibri"/>
                <w:sz w:val="18"/>
                <w:szCs w:val="18"/>
                <w:lang w:val="en-AU" w:eastAsia="en-AU"/>
              </w:rPr>
              <w:t>Financial Related Issues</w:t>
            </w:r>
          </w:p>
        </w:tc>
        <w:tc>
          <w:tcPr>
            <w:tcW w:w="2259"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jc w:val="center"/>
              <w:rPr>
                <w:rFonts w:eastAsia="Calibri"/>
                <w:sz w:val="18"/>
                <w:szCs w:val="18"/>
                <w:lang w:val="en-AU" w:eastAsia="en-AU"/>
              </w:rPr>
            </w:pPr>
            <w:r w:rsidRPr="00851EC7">
              <w:rPr>
                <w:rFonts w:eastAsia="Calibri"/>
                <w:sz w:val="18"/>
                <w:szCs w:val="18"/>
                <w:lang w:val="en-AU" w:eastAsia="en-AU"/>
              </w:rPr>
              <w:t>27</w:t>
            </w:r>
          </w:p>
        </w:tc>
        <w:tc>
          <w:tcPr>
            <w:tcW w:w="2209"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jc w:val="center"/>
              <w:rPr>
                <w:rFonts w:eastAsia="Calibri"/>
                <w:sz w:val="18"/>
                <w:szCs w:val="18"/>
                <w:lang w:val="en-AU" w:eastAsia="en-AU"/>
              </w:rPr>
            </w:pPr>
            <w:r w:rsidRPr="00851EC7">
              <w:rPr>
                <w:rFonts w:eastAsia="Calibri"/>
                <w:sz w:val="18"/>
                <w:szCs w:val="18"/>
                <w:lang w:val="en-AU" w:eastAsia="en-AU"/>
              </w:rPr>
              <w:t>12</w:t>
            </w:r>
          </w:p>
        </w:tc>
      </w:tr>
      <w:tr w:rsidR="00B33BC8" w:rsidRPr="00851EC7" w:rsidTr="00B33BC8">
        <w:trPr>
          <w:trHeight w:val="454"/>
          <w:jc w:val="center"/>
        </w:trPr>
        <w:tc>
          <w:tcPr>
            <w:tcW w:w="2015"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rPr>
                <w:rFonts w:eastAsia="Calibri"/>
                <w:sz w:val="18"/>
                <w:szCs w:val="18"/>
                <w:lang w:val="en-AU" w:eastAsia="en-AU"/>
              </w:rPr>
            </w:pPr>
            <w:r w:rsidRPr="00851EC7">
              <w:rPr>
                <w:rFonts w:eastAsia="Calibri"/>
                <w:sz w:val="18"/>
                <w:szCs w:val="18"/>
                <w:lang w:val="en-AU" w:eastAsia="en-AU"/>
              </w:rPr>
              <w:t>Reporting Related Issues</w:t>
            </w:r>
          </w:p>
        </w:tc>
        <w:tc>
          <w:tcPr>
            <w:tcW w:w="2259"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jc w:val="center"/>
              <w:rPr>
                <w:rFonts w:eastAsia="Calibri"/>
                <w:sz w:val="18"/>
                <w:szCs w:val="18"/>
                <w:lang w:val="en-AU" w:eastAsia="en-AU"/>
              </w:rPr>
            </w:pPr>
            <w:r w:rsidRPr="00851EC7">
              <w:rPr>
                <w:rFonts w:eastAsia="Calibri"/>
                <w:sz w:val="18"/>
                <w:szCs w:val="18"/>
                <w:lang w:val="en-AU" w:eastAsia="en-AU"/>
              </w:rPr>
              <w:t>4</w:t>
            </w:r>
          </w:p>
        </w:tc>
        <w:tc>
          <w:tcPr>
            <w:tcW w:w="2209" w:type="dxa"/>
            <w:tcBorders>
              <w:top w:val="single" w:sz="4" w:space="0" w:color="auto"/>
              <w:left w:val="single" w:sz="4" w:space="0" w:color="auto"/>
              <w:bottom w:val="single" w:sz="4" w:space="0" w:color="auto"/>
              <w:right w:val="single" w:sz="4" w:space="0" w:color="auto"/>
            </w:tcBorders>
            <w:vAlign w:val="center"/>
            <w:hideMark/>
          </w:tcPr>
          <w:p w:rsidR="00B33BC8" w:rsidRPr="00851EC7" w:rsidRDefault="00B33BC8" w:rsidP="00B33BC8">
            <w:pPr>
              <w:spacing w:before="60" w:after="60"/>
              <w:jc w:val="center"/>
              <w:rPr>
                <w:rFonts w:eastAsia="Calibri"/>
                <w:sz w:val="18"/>
                <w:szCs w:val="18"/>
                <w:lang w:val="en-AU" w:eastAsia="en-AU"/>
              </w:rPr>
            </w:pPr>
            <w:r w:rsidRPr="00851EC7">
              <w:rPr>
                <w:rFonts w:eastAsia="Calibri"/>
                <w:sz w:val="18"/>
                <w:szCs w:val="18"/>
                <w:lang w:val="en-AU" w:eastAsia="en-AU"/>
              </w:rPr>
              <w:t>5</w:t>
            </w:r>
          </w:p>
        </w:tc>
      </w:tr>
    </w:tbl>
    <w:p w:rsidR="00B33BC8" w:rsidRPr="00851EC7" w:rsidRDefault="00B33BC8" w:rsidP="00A943BB">
      <w:pPr>
        <w:pStyle w:val="Source"/>
        <w:rPr>
          <w:lang w:val="en-AU"/>
        </w:rPr>
      </w:pPr>
      <w:r w:rsidRPr="00851EC7">
        <w:rPr>
          <w:lang w:val="en-AU"/>
        </w:rPr>
        <w:t>Source: SCC Financial Compliance Review Report 2012 and 2013</w:t>
      </w:r>
    </w:p>
    <w:p w:rsidR="00B33BC8" w:rsidRPr="00851EC7" w:rsidRDefault="00B33BC8" w:rsidP="00215A8F">
      <w:pPr>
        <w:keepNext/>
        <w:numPr>
          <w:ilvl w:val="2"/>
          <w:numId w:val="7"/>
        </w:numPr>
        <w:spacing w:line="276" w:lineRule="auto"/>
        <w:ind w:left="720"/>
        <w:outlineLvl w:val="2"/>
        <w:rPr>
          <w:bCs/>
          <w:color w:val="003880"/>
          <w:sz w:val="24"/>
          <w:szCs w:val="28"/>
          <w:lang w:val="en-AU"/>
        </w:rPr>
      </w:pPr>
      <w:r w:rsidRPr="00851EC7">
        <w:rPr>
          <w:bCs/>
          <w:color w:val="003880"/>
          <w:sz w:val="24"/>
          <w:szCs w:val="28"/>
          <w:lang w:val="en-AU"/>
        </w:rPr>
        <w:t>Effectiveness</w:t>
      </w:r>
    </w:p>
    <w:p w:rsidR="00B33BC8" w:rsidRDefault="00B33BC8" w:rsidP="00B33BC8">
      <w:pPr>
        <w:spacing w:before="120" w:after="120" w:line="276" w:lineRule="auto"/>
        <w:jc w:val="both"/>
        <w:rPr>
          <w:lang w:val="en-AU"/>
        </w:rPr>
      </w:pPr>
      <w:r w:rsidRPr="00851EC7">
        <w:rPr>
          <w:lang w:val="en-AU"/>
        </w:rPr>
        <w:t xml:space="preserve">It is noteworthy that in 2014 C1 provided additional resources to support targeted districts to draft and submit proposals to MoEC. C1 has also made a conscious effort to strengthen the verification of proposals submitted by districts to ensure better compliance of proposals with agreed criteria. POM believes that these efforts have enhanced the prospects of the component achieving its EOPO. </w:t>
      </w:r>
    </w:p>
    <w:p w:rsidR="00723825" w:rsidRDefault="004E10FA" w:rsidP="00B33BC8">
      <w:pPr>
        <w:spacing w:before="120" w:after="120" w:line="276" w:lineRule="auto"/>
        <w:jc w:val="both"/>
        <w:rPr>
          <w:lang w:val="en-AU"/>
        </w:rPr>
      </w:pPr>
      <w:r w:rsidRPr="009E4D89">
        <w:rPr>
          <w:lang w:val="en-AU"/>
        </w:rPr>
        <w:lastRenderedPageBreak/>
        <w:t>At least 15,239 students are currently enrolled in EP schools</w:t>
      </w:r>
      <w:r w:rsidRPr="009E4D89">
        <w:rPr>
          <w:rStyle w:val="FootnoteReference"/>
          <w:rFonts w:asciiTheme="minorHAnsi" w:hAnsiTheme="minorHAnsi"/>
        </w:rPr>
        <w:footnoteReference w:id="9"/>
      </w:r>
      <w:r w:rsidR="00391B0B" w:rsidRPr="009E4D89">
        <w:rPr>
          <w:rFonts w:asciiTheme="minorHAnsi" w:hAnsiTheme="minorHAnsi"/>
          <w:lang w:val="en-AU"/>
        </w:rPr>
        <w:t xml:space="preserve"> </w:t>
      </w:r>
      <w:r w:rsidRPr="009E4D89">
        <w:rPr>
          <w:rStyle w:val="FootnoteReference"/>
          <w:rFonts w:asciiTheme="minorHAnsi" w:hAnsiTheme="minorHAnsi"/>
        </w:rPr>
        <w:endnoteReference w:id="12"/>
      </w:r>
      <w:r w:rsidRPr="009E4D89">
        <w:rPr>
          <w:lang w:val="en-AU"/>
        </w:rPr>
        <w:t>, surpassing the PMF annual milestone for 2013</w:t>
      </w:r>
      <w:r w:rsidRPr="00A3750B">
        <w:rPr>
          <w:lang w:val="en-AU"/>
        </w:rPr>
        <w:t xml:space="preserve"> of 9,600 students</w:t>
      </w:r>
      <w:r w:rsidRPr="00A3750B">
        <w:rPr>
          <w:rStyle w:val="FootnoteReference"/>
          <w:lang w:val="en-AU"/>
        </w:rPr>
        <w:footnoteReference w:id="10"/>
      </w:r>
      <w:r w:rsidR="0041024C" w:rsidRPr="00A3750B">
        <w:rPr>
          <w:lang w:val="en-AU"/>
        </w:rPr>
        <w:t xml:space="preserve">. </w:t>
      </w:r>
      <w:r w:rsidR="00B33BC8" w:rsidRPr="00752CCC">
        <w:rPr>
          <w:lang w:val="en-AU"/>
        </w:rPr>
        <w:t xml:space="preserve">This significant over-achievement arises </w:t>
      </w:r>
      <w:r w:rsidR="006029BE" w:rsidRPr="00752CCC">
        <w:rPr>
          <w:lang w:val="en-AU"/>
        </w:rPr>
        <w:t xml:space="preserve">partially </w:t>
      </w:r>
      <w:r w:rsidR="00B33BC8" w:rsidRPr="00752CCC">
        <w:rPr>
          <w:lang w:val="en-AU"/>
        </w:rPr>
        <w:t>from the discrepancy between the assumption</w:t>
      </w:r>
      <w:r w:rsidR="006029BE" w:rsidRPr="00752CCC">
        <w:rPr>
          <w:lang w:val="en-AU"/>
        </w:rPr>
        <w:t>s</w:t>
      </w:r>
      <w:r w:rsidR="00B33BC8" w:rsidRPr="0041024C">
        <w:rPr>
          <w:lang w:val="en-AU"/>
        </w:rPr>
        <w:t xml:space="preserve"> made in </w:t>
      </w:r>
      <w:r w:rsidR="006029BE" w:rsidRPr="0041024C">
        <w:rPr>
          <w:lang w:val="en-AU"/>
        </w:rPr>
        <w:t xml:space="preserve">calculating </w:t>
      </w:r>
      <w:r w:rsidR="00B33BC8" w:rsidRPr="0041024C">
        <w:rPr>
          <w:lang w:val="en-AU"/>
        </w:rPr>
        <w:t xml:space="preserve">the PMF </w:t>
      </w:r>
      <w:r w:rsidR="006029BE" w:rsidRPr="0041024C">
        <w:rPr>
          <w:lang w:val="en-AU"/>
        </w:rPr>
        <w:t>targets</w:t>
      </w:r>
      <w:r w:rsidR="0041024C" w:rsidRPr="0041024C">
        <w:rPr>
          <w:lang w:val="en-AU"/>
        </w:rPr>
        <w:t xml:space="preserve"> and/or milestones</w:t>
      </w:r>
      <w:r w:rsidR="006029BE" w:rsidRPr="0041024C">
        <w:rPr>
          <w:lang w:val="en-AU"/>
        </w:rPr>
        <w:t xml:space="preserve"> </w:t>
      </w:r>
      <w:r w:rsidR="00B33BC8" w:rsidRPr="0041024C">
        <w:rPr>
          <w:lang w:val="en-AU"/>
        </w:rPr>
        <w:t>and realities in the field. The</w:t>
      </w:r>
      <w:r w:rsidR="00B33BC8" w:rsidRPr="00851EC7">
        <w:rPr>
          <w:lang w:val="en-AU"/>
        </w:rPr>
        <w:t xml:space="preserve"> PMF assumed that schools would only enrol students after the completion of school construction. However, this is not always the case: some schools, mostly SATAPs, enrol students before the construction is completed</w:t>
      </w:r>
      <w:r w:rsidR="00B33BC8" w:rsidRPr="00851EC7">
        <w:rPr>
          <w:rStyle w:val="FootnoteReference"/>
          <w:lang w:val="en-AU"/>
        </w:rPr>
        <w:footnoteReference w:id="11"/>
      </w:r>
      <w:r w:rsidR="00B33BC8" w:rsidRPr="00851EC7">
        <w:rPr>
          <w:lang w:val="en-AU"/>
        </w:rPr>
        <w:t xml:space="preserve">. </w:t>
      </w:r>
    </w:p>
    <w:p w:rsidR="00B33BC8" w:rsidRPr="00851EC7" w:rsidRDefault="00B33BC8" w:rsidP="00B33BC8">
      <w:pPr>
        <w:spacing w:before="120" w:after="120" w:line="276" w:lineRule="auto"/>
        <w:jc w:val="both"/>
        <w:rPr>
          <w:lang w:val="en-AU"/>
        </w:rPr>
      </w:pPr>
      <w:r w:rsidRPr="00851EC7">
        <w:rPr>
          <w:lang w:val="en-AU"/>
        </w:rPr>
        <w:t>The total number of enrolees in EP schools is expected to increase in the coming 2-3 years because:</w:t>
      </w:r>
    </w:p>
    <w:p w:rsidR="00B33BC8" w:rsidRPr="00851EC7" w:rsidRDefault="00B33BC8" w:rsidP="00215A8F">
      <w:pPr>
        <w:pStyle w:val="ListParagraph"/>
        <w:numPr>
          <w:ilvl w:val="0"/>
          <w:numId w:val="10"/>
        </w:numPr>
        <w:spacing w:before="120" w:after="120"/>
        <w:rPr>
          <w:lang w:val="en-AU"/>
        </w:rPr>
      </w:pPr>
      <w:r w:rsidRPr="00851EC7">
        <w:rPr>
          <w:lang w:val="en-AU"/>
        </w:rPr>
        <w:t>existing students in the earlier grades should remain enrolled as they advance, while new enrolees will continue to enter the school; and</w:t>
      </w:r>
    </w:p>
    <w:p w:rsidR="00B33BC8" w:rsidRPr="00851EC7" w:rsidRDefault="00B33BC8" w:rsidP="00215A8F">
      <w:pPr>
        <w:pStyle w:val="ListParagraph"/>
        <w:numPr>
          <w:ilvl w:val="0"/>
          <w:numId w:val="10"/>
        </w:numPr>
        <w:spacing w:before="120" w:after="120"/>
        <w:rPr>
          <w:lang w:val="en-AU"/>
        </w:rPr>
      </w:pPr>
      <w:r w:rsidRPr="00851EC7">
        <w:rPr>
          <w:lang w:val="en-AU"/>
        </w:rPr>
        <w:t>schools constructed under Cycles 2, 3 and 4 will accept students as they are completed.</w:t>
      </w:r>
    </w:p>
    <w:p w:rsidR="00B33BC8" w:rsidRPr="00851EC7" w:rsidRDefault="00723825" w:rsidP="00B33BC8">
      <w:pPr>
        <w:spacing w:before="120" w:after="120" w:line="276" w:lineRule="auto"/>
        <w:jc w:val="both"/>
        <w:rPr>
          <w:rFonts w:asciiTheme="minorHAnsi" w:hAnsiTheme="minorHAnsi" w:cstheme="minorHAnsi"/>
          <w:lang w:val="en-AU"/>
        </w:rPr>
      </w:pPr>
      <w:r>
        <w:rPr>
          <w:lang w:val="en-AU"/>
        </w:rPr>
        <w:t>However, w</w:t>
      </w:r>
      <w:r w:rsidR="00B33BC8" w:rsidRPr="00851EC7">
        <w:rPr>
          <w:lang w:val="en-AU"/>
        </w:rPr>
        <w:t xml:space="preserve">hilst the enrolment data </w:t>
      </w:r>
      <w:r>
        <w:rPr>
          <w:lang w:val="en-AU"/>
        </w:rPr>
        <w:t>are</w:t>
      </w:r>
      <w:r w:rsidRPr="00851EC7">
        <w:rPr>
          <w:lang w:val="en-AU"/>
        </w:rPr>
        <w:t xml:space="preserve"> </w:t>
      </w:r>
      <w:r w:rsidR="00B33BC8" w:rsidRPr="00851EC7">
        <w:rPr>
          <w:lang w:val="en-AU"/>
        </w:rPr>
        <w:t>encouraging, it is important to note that there remains limited opportunity to track and verify the attainment of the EOPO. Complete enrolment figures may only be known by 2019, i.e. once all schools have been operating for a full three years and therefore once all SMP grades have been populated. In addition, the number of ‘new enrolees’</w:t>
      </w:r>
      <w:r w:rsidR="00B33BC8" w:rsidRPr="00851EC7">
        <w:rPr>
          <w:rStyle w:val="FootnoteReference"/>
          <w:rFonts w:cstheme="minorHAnsi"/>
          <w:lang w:val="en-AU"/>
        </w:rPr>
        <w:footnoteReference w:id="12"/>
      </w:r>
      <w:r w:rsidR="00B33BC8" w:rsidRPr="00851EC7">
        <w:rPr>
          <w:rFonts w:asciiTheme="minorHAnsi" w:hAnsiTheme="minorHAnsi" w:cstheme="minorHAnsi"/>
          <w:lang w:val="en-AU"/>
        </w:rPr>
        <w:t xml:space="preserve"> </w:t>
      </w:r>
      <w:r w:rsidR="00B33BC8" w:rsidRPr="00A3750B">
        <w:rPr>
          <w:i/>
          <w:lang w:val="en-AU"/>
        </w:rPr>
        <w:t>vis-à-vis</w:t>
      </w:r>
      <w:r w:rsidR="00B33BC8" w:rsidRPr="00851EC7">
        <w:rPr>
          <w:lang w:val="en-AU"/>
        </w:rPr>
        <w:t xml:space="preserve"> ‘transferees’</w:t>
      </w:r>
      <w:r w:rsidR="00B33BC8" w:rsidRPr="00851EC7">
        <w:rPr>
          <w:rStyle w:val="FootnoteReference"/>
          <w:rFonts w:cstheme="minorHAnsi"/>
          <w:lang w:val="en-AU"/>
        </w:rPr>
        <w:footnoteReference w:id="13"/>
      </w:r>
      <w:r w:rsidR="00B33BC8" w:rsidRPr="00851EC7">
        <w:rPr>
          <w:rFonts w:asciiTheme="minorHAnsi" w:hAnsiTheme="minorHAnsi" w:cstheme="minorHAnsi"/>
          <w:lang w:val="en-AU"/>
        </w:rPr>
        <w:t xml:space="preserve">, </w:t>
      </w:r>
      <w:r w:rsidR="00B33BC8" w:rsidRPr="00851EC7">
        <w:rPr>
          <w:lang w:val="en-AU"/>
        </w:rPr>
        <w:t xml:space="preserve">which necessarily influences changes to </w:t>
      </w:r>
      <w:r>
        <w:rPr>
          <w:lang w:val="en-AU"/>
        </w:rPr>
        <w:t>d</w:t>
      </w:r>
      <w:r w:rsidR="00B33BC8" w:rsidRPr="00851EC7">
        <w:rPr>
          <w:lang w:val="en-AU"/>
        </w:rPr>
        <w:t>istrict GER rates, is and will largely remain unknown</w:t>
      </w:r>
      <w:r w:rsidR="00B33BC8" w:rsidRPr="00851EC7">
        <w:rPr>
          <w:rStyle w:val="FootnoteReference"/>
          <w:rFonts w:cstheme="minorHAnsi"/>
          <w:lang w:val="en-AU"/>
        </w:rPr>
        <w:footnoteReference w:id="14"/>
      </w:r>
      <w:r w:rsidR="00B33BC8" w:rsidRPr="00851EC7">
        <w:rPr>
          <w:rFonts w:asciiTheme="minorHAnsi" w:hAnsiTheme="minorHAnsi" w:cstheme="minorHAnsi"/>
          <w:lang w:val="en-AU"/>
        </w:rPr>
        <w:t>.</w:t>
      </w:r>
    </w:p>
    <w:p w:rsidR="00B33BC8" w:rsidRPr="00851EC7" w:rsidRDefault="00B33BC8" w:rsidP="00215A8F">
      <w:pPr>
        <w:keepNext/>
        <w:numPr>
          <w:ilvl w:val="2"/>
          <w:numId w:val="7"/>
        </w:numPr>
        <w:spacing w:line="276" w:lineRule="auto"/>
        <w:ind w:left="720"/>
        <w:outlineLvl w:val="2"/>
        <w:rPr>
          <w:rFonts w:asciiTheme="minorHAnsi" w:hAnsiTheme="minorHAnsi"/>
          <w:bCs/>
          <w:color w:val="003880"/>
          <w:sz w:val="24"/>
          <w:szCs w:val="28"/>
          <w:lang w:val="en-AU"/>
        </w:rPr>
      </w:pPr>
      <w:r w:rsidRPr="00851EC7">
        <w:rPr>
          <w:bCs/>
          <w:color w:val="003880"/>
          <w:sz w:val="24"/>
          <w:szCs w:val="28"/>
          <w:lang w:val="en-AU"/>
        </w:rPr>
        <w:t>Impact</w:t>
      </w:r>
    </w:p>
    <w:p w:rsidR="00B33BC8" w:rsidRPr="00851EC7" w:rsidRDefault="00B33BC8" w:rsidP="00B33BC8">
      <w:pPr>
        <w:spacing w:before="120" w:after="120" w:line="276" w:lineRule="auto"/>
        <w:jc w:val="both"/>
        <w:rPr>
          <w:lang w:val="en-AU"/>
        </w:rPr>
      </w:pPr>
      <w:r w:rsidRPr="00851EC7">
        <w:rPr>
          <w:lang w:val="en-AU"/>
        </w:rPr>
        <w:t>The impact of the Component 1 investment can be considered on two levels. At school-level, the prospects for long-term benefits are evident. EP-funded facilities are regarded as being of a high construction standard</w:t>
      </w:r>
      <w:r w:rsidR="00723825">
        <w:rPr>
          <w:lang w:val="en-AU"/>
        </w:rPr>
        <w:t>;</w:t>
      </w:r>
      <w:r w:rsidR="00BF364A">
        <w:rPr>
          <w:lang w:val="en-AU"/>
        </w:rPr>
        <w:t xml:space="preserve"> a </w:t>
      </w:r>
      <w:r w:rsidR="003D20EC">
        <w:rPr>
          <w:lang w:val="en-AU"/>
        </w:rPr>
        <w:t xml:space="preserve">status </w:t>
      </w:r>
      <w:r w:rsidR="00BF364A">
        <w:rPr>
          <w:lang w:val="en-AU"/>
        </w:rPr>
        <w:t>con</w:t>
      </w:r>
      <w:r w:rsidR="003D20EC">
        <w:rPr>
          <w:lang w:val="en-AU"/>
        </w:rPr>
        <w:t>firmed through both internal and external evaluations</w:t>
      </w:r>
      <w:r w:rsidR="003D20EC">
        <w:rPr>
          <w:rStyle w:val="EndnoteReference"/>
          <w:lang w:val="en-AU"/>
        </w:rPr>
        <w:endnoteReference w:id="13"/>
      </w:r>
      <w:r w:rsidR="003D20EC">
        <w:rPr>
          <w:lang w:val="en-AU"/>
        </w:rPr>
        <w:t xml:space="preserve"> </w:t>
      </w:r>
      <w:r w:rsidRPr="00851EC7">
        <w:rPr>
          <w:rStyle w:val="EndnoteReference"/>
          <w:lang w:val="en-AU"/>
        </w:rPr>
        <w:endnoteReference w:id="14"/>
      </w:r>
      <w:r w:rsidR="003D20EC">
        <w:rPr>
          <w:lang w:val="en-AU"/>
        </w:rPr>
        <w:t>. T</w:t>
      </w:r>
      <w:r w:rsidRPr="00851EC7">
        <w:rPr>
          <w:lang w:val="en-AU"/>
        </w:rPr>
        <w:t>his should ensure that the buildings realise their expected lifetime</w:t>
      </w:r>
      <w:r w:rsidRPr="00851EC7">
        <w:rPr>
          <w:rStyle w:val="FootnoteReference"/>
          <w:rFonts w:cstheme="minorHAnsi"/>
          <w:lang w:val="en-AU"/>
        </w:rPr>
        <w:footnoteReference w:id="15"/>
      </w:r>
      <w:r w:rsidRPr="00851EC7">
        <w:rPr>
          <w:rStyle w:val="FootnoteReference"/>
          <w:rFonts w:cstheme="minorHAnsi"/>
          <w:lang w:val="en-AU"/>
        </w:rPr>
        <w:t xml:space="preserve"> </w:t>
      </w:r>
      <w:r w:rsidRPr="00851EC7">
        <w:rPr>
          <w:lang w:val="en-AU"/>
        </w:rPr>
        <w:t xml:space="preserve">and without </w:t>
      </w:r>
      <w:r w:rsidR="003D20EC">
        <w:rPr>
          <w:lang w:val="en-AU"/>
        </w:rPr>
        <w:t xml:space="preserve">placing </w:t>
      </w:r>
      <w:r w:rsidRPr="00851EC7">
        <w:rPr>
          <w:lang w:val="en-AU"/>
        </w:rPr>
        <w:t xml:space="preserve">excessive maintenance burdens on the school and district government. </w:t>
      </w:r>
    </w:p>
    <w:p w:rsidR="00B33BC8" w:rsidRDefault="00B33BC8" w:rsidP="00B33BC8">
      <w:pPr>
        <w:spacing w:before="120" w:after="120" w:line="276" w:lineRule="auto"/>
        <w:jc w:val="both"/>
        <w:rPr>
          <w:lang w:val="en-AU"/>
        </w:rPr>
      </w:pPr>
      <w:r w:rsidRPr="00851EC7">
        <w:rPr>
          <w:lang w:val="en-AU"/>
        </w:rPr>
        <w:t xml:space="preserve">At a systemic level, however, the prospects for long-term benefits are less clear, in particular with respect to the future resourcing of the new schools. </w:t>
      </w:r>
      <w:r w:rsidR="00723825">
        <w:rPr>
          <w:lang w:val="en-AU"/>
        </w:rPr>
        <w:t xml:space="preserve">Should one use </w:t>
      </w:r>
      <w:r w:rsidRPr="00851EC7">
        <w:rPr>
          <w:lang w:val="en-AU"/>
        </w:rPr>
        <w:t xml:space="preserve">data collected from a survey of principals undergoing NSIP training (see Table </w:t>
      </w:r>
      <w:r w:rsidR="00650F75">
        <w:rPr>
          <w:lang w:val="en-AU"/>
        </w:rPr>
        <w:t>4</w:t>
      </w:r>
      <w:r w:rsidRPr="00851EC7">
        <w:rPr>
          <w:lang w:val="en-AU"/>
        </w:rPr>
        <w:t xml:space="preserve"> below), </w:t>
      </w:r>
      <w:r w:rsidR="00723825">
        <w:rPr>
          <w:lang w:val="en-AU"/>
        </w:rPr>
        <w:t xml:space="preserve">there is cause for </w:t>
      </w:r>
      <w:r w:rsidRPr="00851EC7">
        <w:rPr>
          <w:lang w:val="en-AU"/>
        </w:rPr>
        <w:t>concern</w:t>
      </w:r>
      <w:r w:rsidR="00723825">
        <w:rPr>
          <w:lang w:val="en-AU"/>
        </w:rPr>
        <w:t xml:space="preserve"> </w:t>
      </w:r>
      <w:r w:rsidRPr="00851EC7">
        <w:rPr>
          <w:lang w:val="en-AU"/>
        </w:rPr>
        <w:t xml:space="preserve">about the ability of the education system, particularly at district level, to adequately resource the newly constructed schools. With an average of only </w:t>
      </w:r>
      <w:r w:rsidR="00723825">
        <w:rPr>
          <w:lang w:val="en-AU"/>
        </w:rPr>
        <w:t>three</w:t>
      </w:r>
      <w:r w:rsidRPr="00851EC7">
        <w:rPr>
          <w:lang w:val="en-AU"/>
        </w:rPr>
        <w:t xml:space="preserve"> teachers per school, the challenges </w:t>
      </w:r>
      <w:r w:rsidR="00713BAD" w:rsidRPr="00851EC7">
        <w:rPr>
          <w:lang w:val="en-AU"/>
        </w:rPr>
        <w:t>to</w:t>
      </w:r>
      <w:r w:rsidRPr="00851EC7">
        <w:rPr>
          <w:lang w:val="en-AU"/>
        </w:rPr>
        <w:t xml:space="preserve"> adequately staff new schools may compromise the contribution of Component 1 to the attainment of Goal 2, i.e. to the </w:t>
      </w:r>
      <w:r w:rsidRPr="00851EC7">
        <w:rPr>
          <w:lang w:val="en-AU"/>
        </w:rPr>
        <w:lastRenderedPageBreak/>
        <w:t>improvement of education quality.</w:t>
      </w:r>
      <w:r w:rsidR="00723825">
        <w:rPr>
          <w:lang w:val="en-AU"/>
        </w:rPr>
        <w:t xml:space="preserve"> </w:t>
      </w:r>
      <w:r w:rsidRPr="00851EC7">
        <w:rPr>
          <w:lang w:val="en-AU"/>
        </w:rPr>
        <w:t xml:space="preserve">However, </w:t>
      </w:r>
      <w:r w:rsidR="00723825">
        <w:rPr>
          <w:lang w:val="en-AU"/>
        </w:rPr>
        <w:t>should one use GoI data</w:t>
      </w:r>
      <w:r w:rsidRPr="00851EC7">
        <w:rPr>
          <w:lang w:val="en-AU"/>
        </w:rPr>
        <w:t>, the numbers tell a very different story</w:t>
      </w:r>
      <w:r w:rsidRPr="00851EC7">
        <w:rPr>
          <w:rStyle w:val="FootnoteReference"/>
          <w:lang w:val="en-AU"/>
        </w:rPr>
        <w:footnoteReference w:id="16"/>
      </w:r>
      <w:r w:rsidR="00723825">
        <w:rPr>
          <w:lang w:val="en-AU"/>
        </w:rPr>
        <w:t xml:space="preserve">; a story that suggests that </w:t>
      </w:r>
      <w:r w:rsidRPr="00851EC7">
        <w:rPr>
          <w:lang w:val="en-AU"/>
        </w:rPr>
        <w:t>the new schools built in Cycle 1 are very well staffed</w:t>
      </w:r>
      <w:r w:rsidRPr="00851EC7">
        <w:rPr>
          <w:rStyle w:val="FootnoteReference"/>
          <w:lang w:val="en-AU"/>
        </w:rPr>
        <w:footnoteReference w:id="17"/>
      </w:r>
      <w:r w:rsidRPr="00851EC7">
        <w:rPr>
          <w:lang w:val="en-AU"/>
        </w:rPr>
        <w:t xml:space="preserve"> and classrooms are well populated. </w:t>
      </w:r>
    </w:p>
    <w:p w:rsidR="00B33BC8" w:rsidRPr="00851EC7" w:rsidRDefault="004D3EF0" w:rsidP="004D3EF0">
      <w:pPr>
        <w:pStyle w:val="Caption"/>
        <w:keepNext/>
        <w:rPr>
          <w:lang w:val="en-AU"/>
        </w:rPr>
      </w:pPr>
      <w:bookmarkStart w:id="26" w:name="_Toc412534576"/>
      <w:r>
        <w:t xml:space="preserve">Table </w:t>
      </w:r>
      <w:r>
        <w:fldChar w:fldCharType="begin"/>
      </w:r>
      <w:r>
        <w:instrText xml:space="preserve"> SEQ Table \* ARABIC </w:instrText>
      </w:r>
      <w:r>
        <w:fldChar w:fldCharType="separate"/>
      </w:r>
      <w:r w:rsidR="004A0A8F">
        <w:rPr>
          <w:noProof/>
        </w:rPr>
        <w:t>4</w:t>
      </w:r>
      <w:r>
        <w:fldChar w:fldCharType="end"/>
      </w:r>
      <w:r w:rsidR="00B33BC8" w:rsidRPr="00851EC7">
        <w:rPr>
          <w:lang w:val="en-AU"/>
        </w:rPr>
        <w:t>: Enrolment and Resourcing</w:t>
      </w:r>
      <w:r w:rsidR="001F50EB">
        <w:rPr>
          <w:lang w:val="en-AU"/>
        </w:rPr>
        <w:t xml:space="preserve"> in Cycle 1 Schools</w:t>
      </w:r>
      <w:bookmarkEnd w:id="26"/>
    </w:p>
    <w:tbl>
      <w:tblPr>
        <w:tblW w:w="0" w:type="auto"/>
        <w:jc w:val="center"/>
        <w:tblCellMar>
          <w:left w:w="0" w:type="dxa"/>
          <w:right w:w="0" w:type="dxa"/>
        </w:tblCellMar>
        <w:tblLook w:val="04A0" w:firstRow="1" w:lastRow="0" w:firstColumn="1" w:lastColumn="0" w:noHBand="0" w:noVBand="1"/>
      </w:tblPr>
      <w:tblGrid>
        <w:gridCol w:w="1737"/>
        <w:gridCol w:w="1555"/>
        <w:gridCol w:w="1417"/>
        <w:gridCol w:w="1693"/>
        <w:gridCol w:w="1555"/>
      </w:tblGrid>
      <w:tr w:rsidR="00B33BC8" w:rsidRPr="00851EC7" w:rsidTr="00B33BC8">
        <w:trPr>
          <w:trHeight w:val="434"/>
          <w:jc w:val="center"/>
        </w:trPr>
        <w:tc>
          <w:tcPr>
            <w:tcW w:w="1737" w:type="dxa"/>
            <w:tcBorders>
              <w:top w:val="nil"/>
              <w:left w:val="single" w:sz="8" w:space="0" w:color="auto"/>
              <w:bottom w:val="single" w:sz="4" w:space="0" w:color="auto"/>
              <w:right w:val="single" w:sz="8" w:space="0" w:color="auto"/>
            </w:tcBorders>
            <w:shd w:val="clear" w:color="auto" w:fill="1F497D" w:themeFill="text2"/>
            <w:tcMar>
              <w:top w:w="0" w:type="dxa"/>
              <w:left w:w="108" w:type="dxa"/>
              <w:bottom w:w="0" w:type="dxa"/>
              <w:right w:w="108" w:type="dxa"/>
            </w:tcMar>
            <w:vAlign w:val="center"/>
          </w:tcPr>
          <w:p w:rsidR="00B33BC8" w:rsidRPr="00851EC7" w:rsidRDefault="00B33BC8" w:rsidP="00B33BC8">
            <w:pPr>
              <w:spacing w:before="60" w:after="60"/>
              <w:jc w:val="center"/>
              <w:rPr>
                <w:b/>
                <w:bCs/>
                <w:color w:val="FFFFFF" w:themeColor="background1"/>
                <w:lang w:val="en-AU"/>
              </w:rPr>
            </w:pPr>
            <w:r w:rsidRPr="00851EC7">
              <w:rPr>
                <w:b/>
                <w:bCs/>
                <w:color w:val="FFFFFF" w:themeColor="background1"/>
                <w:lang w:val="en-AU"/>
              </w:rPr>
              <w:t>Data Source</w:t>
            </w:r>
          </w:p>
        </w:tc>
        <w:tc>
          <w:tcPr>
            <w:tcW w:w="1555" w:type="dxa"/>
            <w:tcBorders>
              <w:top w:val="nil"/>
              <w:left w:val="nil"/>
              <w:bottom w:val="single" w:sz="4" w:space="0" w:color="auto"/>
              <w:right w:val="single" w:sz="8" w:space="0" w:color="auto"/>
            </w:tcBorders>
            <w:shd w:val="clear" w:color="auto" w:fill="1F497D" w:themeFill="text2"/>
            <w:tcMar>
              <w:top w:w="0" w:type="dxa"/>
              <w:left w:w="108" w:type="dxa"/>
              <w:bottom w:w="0" w:type="dxa"/>
              <w:right w:w="108" w:type="dxa"/>
            </w:tcMar>
            <w:vAlign w:val="center"/>
          </w:tcPr>
          <w:p w:rsidR="00B33BC8" w:rsidRPr="00851EC7" w:rsidRDefault="00B33BC8" w:rsidP="00B33BC8">
            <w:pPr>
              <w:spacing w:before="60" w:after="60"/>
              <w:jc w:val="center"/>
              <w:rPr>
                <w:color w:val="FFFFFF" w:themeColor="background1"/>
                <w:lang w:val="en-AU"/>
              </w:rPr>
            </w:pPr>
            <w:r w:rsidRPr="00851EC7">
              <w:rPr>
                <w:b/>
                <w:bCs/>
                <w:color w:val="FFFFFF" w:themeColor="background1"/>
                <w:lang w:val="en-AU"/>
              </w:rPr>
              <w:t xml:space="preserve">Schools Constructed </w:t>
            </w:r>
          </w:p>
        </w:tc>
        <w:tc>
          <w:tcPr>
            <w:tcW w:w="1417" w:type="dxa"/>
            <w:tcBorders>
              <w:top w:val="nil"/>
              <w:left w:val="nil"/>
              <w:bottom w:val="single" w:sz="4" w:space="0" w:color="auto"/>
              <w:right w:val="single" w:sz="8" w:space="0" w:color="auto"/>
            </w:tcBorders>
            <w:shd w:val="clear" w:color="auto" w:fill="1F497D" w:themeFill="text2"/>
            <w:vAlign w:val="center"/>
          </w:tcPr>
          <w:p w:rsidR="00B33BC8" w:rsidRPr="00851EC7" w:rsidRDefault="00B33BC8" w:rsidP="00B33BC8">
            <w:pPr>
              <w:spacing w:before="60" w:after="60"/>
              <w:jc w:val="center"/>
              <w:rPr>
                <w:b/>
                <w:bCs/>
                <w:color w:val="FFFFFF" w:themeColor="background1"/>
                <w:lang w:val="en-AU"/>
              </w:rPr>
            </w:pPr>
            <w:r w:rsidRPr="00851EC7">
              <w:rPr>
                <w:b/>
                <w:bCs/>
                <w:color w:val="FFFFFF" w:themeColor="background1"/>
                <w:lang w:val="en-AU"/>
              </w:rPr>
              <w:t>Schools Sampled</w:t>
            </w:r>
          </w:p>
        </w:tc>
        <w:tc>
          <w:tcPr>
            <w:tcW w:w="1693" w:type="dxa"/>
            <w:tcBorders>
              <w:top w:val="nil"/>
              <w:left w:val="nil"/>
              <w:bottom w:val="single" w:sz="4" w:space="0" w:color="auto"/>
              <w:right w:val="single" w:sz="4" w:space="0" w:color="auto"/>
            </w:tcBorders>
            <w:shd w:val="clear" w:color="auto" w:fill="1F497D" w:themeFill="text2"/>
            <w:vAlign w:val="center"/>
          </w:tcPr>
          <w:p w:rsidR="00B33BC8" w:rsidRPr="00851EC7" w:rsidRDefault="00B33BC8" w:rsidP="00B33BC8">
            <w:pPr>
              <w:spacing w:before="60" w:after="60"/>
              <w:jc w:val="center"/>
              <w:rPr>
                <w:b/>
                <w:bCs/>
                <w:color w:val="FFFFFF" w:themeColor="background1"/>
                <w:lang w:val="en-AU"/>
              </w:rPr>
            </w:pPr>
            <w:r w:rsidRPr="00851EC7">
              <w:rPr>
                <w:b/>
                <w:bCs/>
                <w:color w:val="FFFFFF" w:themeColor="background1"/>
                <w:lang w:val="en-AU"/>
              </w:rPr>
              <w:t>Number of Students</w:t>
            </w:r>
          </w:p>
        </w:tc>
        <w:tc>
          <w:tcPr>
            <w:tcW w:w="155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B33BC8" w:rsidRPr="00851EC7" w:rsidRDefault="00B33BC8" w:rsidP="00B33BC8">
            <w:pPr>
              <w:spacing w:before="60" w:after="60"/>
              <w:jc w:val="center"/>
              <w:rPr>
                <w:b/>
                <w:bCs/>
                <w:color w:val="FFFFFF" w:themeColor="background1"/>
                <w:lang w:val="en-AU"/>
              </w:rPr>
            </w:pPr>
            <w:r w:rsidRPr="00851EC7">
              <w:rPr>
                <w:b/>
                <w:bCs/>
                <w:color w:val="FFFFFF" w:themeColor="background1"/>
                <w:lang w:val="en-AU"/>
              </w:rPr>
              <w:t>Number of Teachers</w:t>
            </w:r>
          </w:p>
        </w:tc>
      </w:tr>
      <w:tr w:rsidR="00B33BC8" w:rsidRPr="00851EC7" w:rsidTr="00B33BC8">
        <w:trPr>
          <w:trHeight w:val="434"/>
          <w:jc w:val="center"/>
        </w:trPr>
        <w:tc>
          <w:tcPr>
            <w:tcW w:w="1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33BC8" w:rsidRPr="00851EC7" w:rsidRDefault="00B33BC8" w:rsidP="00B33BC8">
            <w:pPr>
              <w:spacing w:before="60" w:after="60"/>
              <w:rPr>
                <w:rFonts w:eastAsiaTheme="minorHAnsi"/>
                <w:b/>
                <w:bCs/>
                <w:lang w:val="en-AU"/>
              </w:rPr>
            </w:pPr>
            <w:r w:rsidRPr="00851EC7">
              <w:rPr>
                <w:b/>
                <w:bCs/>
                <w:lang w:val="en-AU"/>
              </w:rPr>
              <w:t>Survey on NSIP*</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B33BC8" w:rsidRPr="00851EC7" w:rsidRDefault="00B33BC8" w:rsidP="00B33BC8">
            <w:pPr>
              <w:spacing w:before="60" w:after="60"/>
              <w:jc w:val="center"/>
              <w:rPr>
                <w:rFonts w:eastAsiaTheme="minorHAnsi"/>
                <w:sz w:val="18"/>
                <w:lang w:val="en-AU"/>
              </w:rPr>
            </w:pPr>
            <w:r w:rsidRPr="00851EC7">
              <w:rPr>
                <w:sz w:val="18"/>
                <w:lang w:val="en-AU"/>
              </w:rPr>
              <w:t>451</w:t>
            </w:r>
          </w:p>
        </w:tc>
        <w:tc>
          <w:tcPr>
            <w:tcW w:w="1417" w:type="dxa"/>
            <w:tcBorders>
              <w:top w:val="single" w:sz="4" w:space="0" w:color="auto"/>
              <w:left w:val="nil"/>
              <w:bottom w:val="single" w:sz="4"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227 (50%)</w:t>
            </w:r>
          </w:p>
        </w:tc>
        <w:tc>
          <w:tcPr>
            <w:tcW w:w="1693" w:type="dxa"/>
            <w:tcBorders>
              <w:top w:val="single" w:sz="4" w:space="0" w:color="auto"/>
              <w:left w:val="nil"/>
              <w:bottom w:val="single" w:sz="4"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15,239</w:t>
            </w:r>
          </w:p>
        </w:tc>
        <w:tc>
          <w:tcPr>
            <w:tcW w:w="1555" w:type="dxa"/>
            <w:tcBorders>
              <w:top w:val="single" w:sz="4" w:space="0" w:color="auto"/>
              <w:left w:val="nil"/>
              <w:bottom w:val="single" w:sz="4" w:space="0" w:color="auto"/>
              <w:right w:val="single" w:sz="8" w:space="0" w:color="auto"/>
            </w:tcBorders>
            <w:vAlign w:val="center"/>
          </w:tcPr>
          <w:p w:rsidR="00B33BC8" w:rsidRPr="00851EC7" w:rsidRDefault="00B33BC8" w:rsidP="00B33BC8">
            <w:pPr>
              <w:spacing w:before="60" w:after="60"/>
              <w:jc w:val="center"/>
              <w:rPr>
                <w:sz w:val="18"/>
                <w:lang w:val="en-AU"/>
              </w:rPr>
            </w:pPr>
            <w:r w:rsidRPr="00851EC7">
              <w:rPr>
                <w:sz w:val="18"/>
                <w:lang w:val="en-AU"/>
              </w:rPr>
              <w:t>739</w:t>
            </w:r>
          </w:p>
        </w:tc>
      </w:tr>
      <w:tr w:rsidR="00B33BC8" w:rsidRPr="00851EC7" w:rsidTr="00B33BC8">
        <w:trPr>
          <w:trHeight w:val="434"/>
          <w:jc w:val="center"/>
        </w:trPr>
        <w:tc>
          <w:tcPr>
            <w:tcW w:w="173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B33BC8" w:rsidRPr="00851EC7" w:rsidRDefault="00B33BC8" w:rsidP="00B33BC8">
            <w:pPr>
              <w:spacing w:before="60" w:after="60"/>
              <w:jc w:val="center"/>
              <w:rPr>
                <w:b/>
                <w:bCs/>
                <w:lang w:val="en-AU"/>
              </w:rPr>
            </w:pPr>
          </w:p>
        </w:tc>
        <w:tc>
          <w:tcPr>
            <w:tcW w:w="155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B33BC8" w:rsidRPr="00851EC7" w:rsidRDefault="00B33BC8" w:rsidP="00B33BC8">
            <w:pPr>
              <w:spacing w:before="60" w:after="60"/>
              <w:jc w:val="center"/>
              <w:rPr>
                <w:sz w:val="18"/>
                <w:lang w:val="en-AU"/>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b/>
                <w:sz w:val="18"/>
                <w:lang w:val="en-AU"/>
              </w:rPr>
            </w:pPr>
            <w:r w:rsidRPr="00851EC7">
              <w:rPr>
                <w:b/>
                <w:sz w:val="18"/>
                <w:lang w:val="en-AU"/>
              </w:rPr>
              <w:t>Average per School</w:t>
            </w:r>
          </w:p>
        </w:tc>
        <w:tc>
          <w:tcPr>
            <w:tcW w:w="1693"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sz w:val="18"/>
                <w:lang w:val="en-AU"/>
              </w:rPr>
            </w:pPr>
            <w:r w:rsidRPr="00851EC7">
              <w:rPr>
                <w:sz w:val="18"/>
                <w:lang w:val="en-AU"/>
              </w:rPr>
              <w:t>67 students</w:t>
            </w:r>
          </w:p>
        </w:tc>
        <w:tc>
          <w:tcPr>
            <w:tcW w:w="1555"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sz w:val="18"/>
                <w:lang w:val="en-AU"/>
              </w:rPr>
            </w:pPr>
            <w:r w:rsidRPr="00851EC7">
              <w:rPr>
                <w:sz w:val="18"/>
                <w:lang w:val="en-AU"/>
              </w:rPr>
              <w:t>3 teachers</w:t>
            </w:r>
          </w:p>
        </w:tc>
      </w:tr>
      <w:tr w:rsidR="00B33BC8" w:rsidRPr="00851EC7" w:rsidTr="00B33BC8">
        <w:trPr>
          <w:trHeight w:val="434"/>
          <w:jc w:val="center"/>
        </w:trPr>
        <w:tc>
          <w:tcPr>
            <w:tcW w:w="173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B33BC8" w:rsidRPr="00851EC7" w:rsidRDefault="00B33BC8" w:rsidP="00B33BC8">
            <w:pPr>
              <w:spacing w:before="60" w:after="60"/>
              <w:jc w:val="center"/>
              <w:rPr>
                <w:b/>
                <w:bCs/>
                <w:lang w:val="en-AU"/>
              </w:rPr>
            </w:pPr>
            <w:r w:rsidRPr="00851EC7">
              <w:rPr>
                <w:b/>
                <w:bCs/>
                <w:lang w:val="en-AU"/>
              </w:rPr>
              <w:t>DAPODIK**</w:t>
            </w:r>
          </w:p>
        </w:tc>
        <w:tc>
          <w:tcPr>
            <w:tcW w:w="155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B33BC8" w:rsidRPr="00851EC7" w:rsidRDefault="00B33BC8" w:rsidP="00B33BC8">
            <w:pPr>
              <w:spacing w:before="60" w:after="60"/>
              <w:jc w:val="center"/>
              <w:rPr>
                <w:sz w:val="18"/>
                <w:lang w:val="en-AU"/>
              </w:rPr>
            </w:pPr>
            <w:r w:rsidRPr="00851EC7">
              <w:rPr>
                <w:sz w:val="18"/>
                <w:lang w:val="en-AU"/>
              </w:rPr>
              <w:t>451</w:t>
            </w:r>
          </w:p>
        </w:tc>
        <w:tc>
          <w:tcPr>
            <w:tcW w:w="1417"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sz w:val="18"/>
                <w:lang w:val="en-AU"/>
              </w:rPr>
            </w:pPr>
            <w:r w:rsidRPr="00851EC7">
              <w:rPr>
                <w:sz w:val="18"/>
                <w:lang w:val="en-AU"/>
              </w:rPr>
              <w:t>359 (80%)</w:t>
            </w:r>
          </w:p>
        </w:tc>
        <w:tc>
          <w:tcPr>
            <w:tcW w:w="1693"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sz w:val="18"/>
                <w:lang w:val="en-AU"/>
              </w:rPr>
            </w:pPr>
            <w:r w:rsidRPr="00851EC7">
              <w:rPr>
                <w:sz w:val="18"/>
                <w:lang w:val="en-AU"/>
              </w:rPr>
              <w:t>37,321</w:t>
            </w:r>
          </w:p>
        </w:tc>
        <w:tc>
          <w:tcPr>
            <w:tcW w:w="1555"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sz w:val="18"/>
                <w:lang w:val="en-AU"/>
              </w:rPr>
            </w:pPr>
            <w:r w:rsidRPr="00851EC7">
              <w:rPr>
                <w:sz w:val="18"/>
                <w:lang w:val="en-AU"/>
              </w:rPr>
              <w:t>4,347</w:t>
            </w:r>
          </w:p>
        </w:tc>
      </w:tr>
      <w:tr w:rsidR="00B33BC8" w:rsidRPr="00851EC7" w:rsidTr="00B33BC8">
        <w:trPr>
          <w:trHeight w:val="434"/>
          <w:jc w:val="center"/>
        </w:trPr>
        <w:tc>
          <w:tcPr>
            <w:tcW w:w="173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B33BC8" w:rsidRPr="00851EC7" w:rsidRDefault="00B33BC8" w:rsidP="00B33BC8">
            <w:pPr>
              <w:spacing w:before="60" w:after="60"/>
              <w:jc w:val="center"/>
              <w:rPr>
                <w:b/>
                <w:bCs/>
                <w:lang w:val="en-AU"/>
              </w:rPr>
            </w:pPr>
          </w:p>
        </w:tc>
        <w:tc>
          <w:tcPr>
            <w:tcW w:w="155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B33BC8" w:rsidRPr="00851EC7" w:rsidRDefault="00B33BC8" w:rsidP="00B33BC8">
            <w:pPr>
              <w:spacing w:before="60" w:after="60"/>
              <w:jc w:val="center"/>
              <w:rPr>
                <w:sz w:val="18"/>
                <w:lang w:val="en-AU"/>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b/>
                <w:sz w:val="18"/>
                <w:lang w:val="en-AU"/>
              </w:rPr>
            </w:pPr>
            <w:r w:rsidRPr="00851EC7">
              <w:rPr>
                <w:b/>
                <w:sz w:val="18"/>
                <w:lang w:val="en-AU"/>
              </w:rPr>
              <w:t>Average per School</w:t>
            </w:r>
          </w:p>
        </w:tc>
        <w:tc>
          <w:tcPr>
            <w:tcW w:w="1693"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sz w:val="18"/>
                <w:lang w:val="en-AU"/>
              </w:rPr>
            </w:pPr>
            <w:r w:rsidRPr="00851EC7">
              <w:rPr>
                <w:sz w:val="18"/>
                <w:lang w:val="en-AU"/>
              </w:rPr>
              <w:t>104 students</w:t>
            </w:r>
          </w:p>
        </w:tc>
        <w:tc>
          <w:tcPr>
            <w:tcW w:w="1555" w:type="dxa"/>
            <w:tcBorders>
              <w:top w:val="single" w:sz="4" w:space="0" w:color="auto"/>
              <w:left w:val="nil"/>
              <w:bottom w:val="single" w:sz="4" w:space="0" w:color="auto"/>
              <w:right w:val="single" w:sz="8" w:space="0" w:color="auto"/>
            </w:tcBorders>
            <w:shd w:val="clear" w:color="auto" w:fill="auto"/>
            <w:vAlign w:val="center"/>
          </w:tcPr>
          <w:p w:rsidR="00B33BC8" w:rsidRPr="00851EC7" w:rsidRDefault="00B33BC8" w:rsidP="00B33BC8">
            <w:pPr>
              <w:spacing w:before="60" w:after="60"/>
              <w:jc w:val="center"/>
              <w:rPr>
                <w:sz w:val="18"/>
                <w:lang w:val="en-AU"/>
              </w:rPr>
            </w:pPr>
            <w:r w:rsidRPr="00851EC7">
              <w:rPr>
                <w:sz w:val="18"/>
                <w:lang w:val="en-AU"/>
              </w:rPr>
              <w:t>12 teachers</w:t>
            </w:r>
          </w:p>
        </w:tc>
      </w:tr>
    </w:tbl>
    <w:p w:rsidR="00B33BC8" w:rsidRPr="00851EC7" w:rsidRDefault="00B33BC8" w:rsidP="00A943BB">
      <w:pPr>
        <w:pStyle w:val="Source"/>
        <w:rPr>
          <w:lang w:val="en-AU"/>
        </w:rPr>
      </w:pPr>
      <w:r w:rsidRPr="00851EC7">
        <w:rPr>
          <w:lang w:val="en-AU"/>
        </w:rPr>
        <w:t xml:space="preserve">*Source: NSIP Survey as presented in SSQ Mid-year Progress Report </w:t>
      </w:r>
      <w:r w:rsidRPr="00851EC7">
        <w:rPr>
          <w:lang w:val="en-AU"/>
        </w:rPr>
        <w:br/>
        <w:t>**Source: http://dapo.dikdas.kemdikbud.go.id/exreport/w/000000</w:t>
      </w:r>
    </w:p>
    <w:p w:rsidR="00752CCC" w:rsidRDefault="00752CCC" w:rsidP="00B33BC8">
      <w:pPr>
        <w:spacing w:before="120" w:after="120" w:line="276" w:lineRule="auto"/>
        <w:jc w:val="both"/>
        <w:rPr>
          <w:lang w:val="en-AU"/>
        </w:rPr>
      </w:pPr>
    </w:p>
    <w:p w:rsidR="00723D72" w:rsidRDefault="00723D72" w:rsidP="00B33BC8">
      <w:pPr>
        <w:spacing w:before="120" w:after="120" w:line="276" w:lineRule="auto"/>
        <w:jc w:val="both"/>
        <w:rPr>
          <w:lang w:val="en-AU"/>
        </w:rPr>
      </w:pPr>
      <w:r>
        <w:rPr>
          <w:lang w:val="en-AU"/>
        </w:rPr>
        <w:t xml:space="preserve">The seemingly conflicting </w:t>
      </w:r>
      <w:r w:rsidR="00E76FCD">
        <w:rPr>
          <w:lang w:val="en-AU"/>
        </w:rPr>
        <w:t>story</w:t>
      </w:r>
      <w:r>
        <w:rPr>
          <w:lang w:val="en-AU"/>
        </w:rPr>
        <w:t xml:space="preserve"> could be </w:t>
      </w:r>
      <w:r w:rsidR="00E76FCD">
        <w:rPr>
          <w:lang w:val="en-AU"/>
        </w:rPr>
        <w:t>explained by a number of factors</w:t>
      </w:r>
      <w:r>
        <w:rPr>
          <w:lang w:val="en-AU"/>
        </w:rPr>
        <w:t>:</w:t>
      </w:r>
    </w:p>
    <w:p w:rsidR="00723D72" w:rsidRDefault="00723D72" w:rsidP="00A3750B">
      <w:pPr>
        <w:pStyle w:val="ListParagraph"/>
        <w:numPr>
          <w:ilvl w:val="0"/>
          <w:numId w:val="10"/>
        </w:numPr>
        <w:spacing w:before="120" w:after="120"/>
        <w:jc w:val="both"/>
        <w:rPr>
          <w:lang w:val="en-AU"/>
        </w:rPr>
      </w:pPr>
      <w:r>
        <w:rPr>
          <w:lang w:val="en-AU"/>
        </w:rPr>
        <w:t xml:space="preserve">NSIP </w:t>
      </w:r>
      <w:r w:rsidR="00E76FCD">
        <w:rPr>
          <w:lang w:val="en-AU"/>
        </w:rPr>
        <w:t xml:space="preserve">survey </w:t>
      </w:r>
      <w:r>
        <w:rPr>
          <w:lang w:val="en-AU"/>
        </w:rPr>
        <w:t xml:space="preserve">data </w:t>
      </w:r>
      <w:r w:rsidR="00E76FCD">
        <w:rPr>
          <w:lang w:val="en-AU"/>
        </w:rPr>
        <w:t>were</w:t>
      </w:r>
      <w:r>
        <w:rPr>
          <w:lang w:val="en-AU"/>
        </w:rPr>
        <w:t xml:space="preserve"> collected during the NSIP training that </w:t>
      </w:r>
      <w:r w:rsidR="00E76FCD">
        <w:rPr>
          <w:lang w:val="en-AU"/>
        </w:rPr>
        <w:t>took place from S</w:t>
      </w:r>
      <w:r>
        <w:rPr>
          <w:lang w:val="en-AU"/>
        </w:rPr>
        <w:t>eptember 2013 to June 2014</w:t>
      </w:r>
      <w:r>
        <w:rPr>
          <w:rStyle w:val="EndnoteReference"/>
          <w:lang w:val="en-AU"/>
        </w:rPr>
        <w:endnoteReference w:id="15"/>
      </w:r>
      <w:r w:rsidR="00E76FCD">
        <w:rPr>
          <w:lang w:val="en-AU"/>
        </w:rPr>
        <w:t>. S</w:t>
      </w:r>
      <w:r>
        <w:rPr>
          <w:lang w:val="en-AU"/>
        </w:rPr>
        <w:t>ome school</w:t>
      </w:r>
      <w:r w:rsidR="00E76FCD">
        <w:rPr>
          <w:lang w:val="en-AU"/>
        </w:rPr>
        <w:t>s</w:t>
      </w:r>
      <w:r>
        <w:rPr>
          <w:lang w:val="en-AU"/>
        </w:rPr>
        <w:t xml:space="preserve"> </w:t>
      </w:r>
      <w:r w:rsidR="00E76FCD">
        <w:rPr>
          <w:lang w:val="en-AU"/>
        </w:rPr>
        <w:t xml:space="preserve">had only </w:t>
      </w:r>
      <w:r w:rsidR="00780049">
        <w:rPr>
          <w:lang w:val="en-AU"/>
        </w:rPr>
        <w:t>be</w:t>
      </w:r>
      <w:r w:rsidR="00E76FCD">
        <w:rPr>
          <w:lang w:val="en-AU"/>
        </w:rPr>
        <w:t>en</w:t>
      </w:r>
      <w:r>
        <w:rPr>
          <w:lang w:val="en-AU"/>
        </w:rPr>
        <w:t xml:space="preserve"> operational for three </w:t>
      </w:r>
      <w:r w:rsidR="00A77632">
        <w:rPr>
          <w:lang w:val="en-AU"/>
        </w:rPr>
        <w:t>months.</w:t>
      </w:r>
    </w:p>
    <w:p w:rsidR="00723D72" w:rsidRDefault="00723D72" w:rsidP="00A3750B">
      <w:pPr>
        <w:pStyle w:val="ListParagraph"/>
        <w:numPr>
          <w:ilvl w:val="0"/>
          <w:numId w:val="10"/>
        </w:numPr>
        <w:spacing w:before="120" w:after="120"/>
        <w:jc w:val="both"/>
        <w:rPr>
          <w:lang w:val="en-AU"/>
        </w:rPr>
      </w:pPr>
      <w:r>
        <w:rPr>
          <w:lang w:val="en-AU"/>
        </w:rPr>
        <w:t xml:space="preserve">DAPODIK data </w:t>
      </w:r>
      <w:r w:rsidR="001F50EB">
        <w:rPr>
          <w:lang w:val="en-AU"/>
        </w:rPr>
        <w:t>were</w:t>
      </w:r>
      <w:r>
        <w:rPr>
          <w:lang w:val="en-AU"/>
        </w:rPr>
        <w:t xml:space="preserve"> collected </w:t>
      </w:r>
      <w:r w:rsidR="001F50EB">
        <w:rPr>
          <w:lang w:val="en-AU"/>
        </w:rPr>
        <w:t>during</w:t>
      </w:r>
      <w:r>
        <w:rPr>
          <w:lang w:val="en-AU"/>
        </w:rPr>
        <w:t xml:space="preserve"> the first semester of </w:t>
      </w:r>
      <w:r w:rsidR="001F50EB">
        <w:rPr>
          <w:lang w:val="en-AU"/>
        </w:rPr>
        <w:t xml:space="preserve">the </w:t>
      </w:r>
      <w:r>
        <w:rPr>
          <w:lang w:val="en-AU"/>
        </w:rPr>
        <w:t xml:space="preserve">2014/2015 academic year, </w:t>
      </w:r>
      <w:r w:rsidR="001F50EB">
        <w:rPr>
          <w:lang w:val="en-AU"/>
        </w:rPr>
        <w:t xml:space="preserve">by which time </w:t>
      </w:r>
      <w:r>
        <w:rPr>
          <w:lang w:val="en-AU"/>
        </w:rPr>
        <w:t>school</w:t>
      </w:r>
      <w:r w:rsidR="00E76FCD">
        <w:rPr>
          <w:lang w:val="en-AU"/>
        </w:rPr>
        <w:t>s</w:t>
      </w:r>
      <w:r>
        <w:rPr>
          <w:lang w:val="en-AU"/>
        </w:rPr>
        <w:t xml:space="preserve"> </w:t>
      </w:r>
      <w:r w:rsidR="00E76FCD">
        <w:rPr>
          <w:lang w:val="en-AU"/>
        </w:rPr>
        <w:t xml:space="preserve">had been </w:t>
      </w:r>
      <w:r>
        <w:rPr>
          <w:lang w:val="en-AU"/>
        </w:rPr>
        <w:t>fully operational for</w:t>
      </w:r>
      <w:r w:rsidR="00780049">
        <w:rPr>
          <w:lang w:val="en-AU"/>
        </w:rPr>
        <w:t xml:space="preserve"> one</w:t>
      </w:r>
      <w:r>
        <w:rPr>
          <w:lang w:val="en-AU"/>
        </w:rPr>
        <w:t xml:space="preserve"> full academic year</w:t>
      </w:r>
      <w:r w:rsidR="001F50EB">
        <w:rPr>
          <w:lang w:val="en-AU"/>
        </w:rPr>
        <w:t>.</w:t>
      </w:r>
    </w:p>
    <w:p w:rsidR="00723D72" w:rsidRPr="00723D72" w:rsidRDefault="00601C21" w:rsidP="00A3750B">
      <w:pPr>
        <w:pStyle w:val="ListParagraph"/>
        <w:numPr>
          <w:ilvl w:val="0"/>
          <w:numId w:val="10"/>
        </w:numPr>
        <w:spacing w:before="120" w:after="120"/>
        <w:jc w:val="both"/>
        <w:rPr>
          <w:lang w:val="en-AU"/>
        </w:rPr>
      </w:pPr>
      <w:r>
        <w:rPr>
          <w:lang w:val="en-AU"/>
        </w:rPr>
        <w:t xml:space="preserve">Frequently, </w:t>
      </w:r>
      <w:r w:rsidR="00E77272">
        <w:rPr>
          <w:lang w:val="en-AU"/>
        </w:rPr>
        <w:t>public school</w:t>
      </w:r>
      <w:r>
        <w:rPr>
          <w:lang w:val="en-AU"/>
        </w:rPr>
        <w:t>s</w:t>
      </w:r>
      <w:r w:rsidR="00E77272">
        <w:rPr>
          <w:lang w:val="en-AU"/>
        </w:rPr>
        <w:t xml:space="preserve"> only report their civil servant teacher</w:t>
      </w:r>
      <w:r>
        <w:rPr>
          <w:lang w:val="en-AU"/>
        </w:rPr>
        <w:t xml:space="preserve"> numbers</w:t>
      </w:r>
      <w:r w:rsidR="00E77272">
        <w:rPr>
          <w:lang w:val="en-AU"/>
        </w:rPr>
        <w:t xml:space="preserve"> and omit contract teachers where</w:t>
      </w:r>
      <w:r>
        <w:rPr>
          <w:lang w:val="en-AU"/>
        </w:rPr>
        <w:t>as</w:t>
      </w:r>
      <w:r w:rsidR="00E77272">
        <w:rPr>
          <w:lang w:val="en-AU"/>
        </w:rPr>
        <w:t xml:space="preserve"> DAPODIK will re</w:t>
      </w:r>
      <w:r>
        <w:rPr>
          <w:lang w:val="en-AU"/>
        </w:rPr>
        <w:t>port</w:t>
      </w:r>
      <w:r w:rsidR="00E77272">
        <w:rPr>
          <w:lang w:val="en-AU"/>
        </w:rPr>
        <w:t xml:space="preserve"> all teachers, </w:t>
      </w:r>
      <w:r>
        <w:rPr>
          <w:lang w:val="en-AU"/>
        </w:rPr>
        <w:t>resulting in higher teacher numbers</w:t>
      </w:r>
      <w:r w:rsidR="00E77272">
        <w:rPr>
          <w:lang w:val="en-AU"/>
        </w:rPr>
        <w:t>.</w:t>
      </w:r>
    </w:p>
    <w:p w:rsidR="00B33BC8" w:rsidRDefault="001F50EB" w:rsidP="00B33BC8">
      <w:pPr>
        <w:spacing w:before="120" w:after="120" w:line="276" w:lineRule="auto"/>
        <w:jc w:val="both"/>
        <w:rPr>
          <w:lang w:val="en-AU"/>
        </w:rPr>
      </w:pPr>
      <w:r>
        <w:rPr>
          <w:lang w:val="en-AU"/>
        </w:rPr>
        <w:t xml:space="preserve">Clearly, there is ongoing need for </w:t>
      </w:r>
      <w:r w:rsidR="00B33BC8" w:rsidRPr="00851EC7">
        <w:rPr>
          <w:lang w:val="en-AU"/>
        </w:rPr>
        <w:t>accurate data</w:t>
      </w:r>
      <w:r>
        <w:rPr>
          <w:lang w:val="en-AU"/>
        </w:rPr>
        <w:t xml:space="preserve">. Only then will the impact of the </w:t>
      </w:r>
      <w:r w:rsidR="00B33BC8" w:rsidRPr="00851EC7">
        <w:rPr>
          <w:lang w:val="en-AU"/>
        </w:rPr>
        <w:t>constructed schools</w:t>
      </w:r>
      <w:r>
        <w:rPr>
          <w:lang w:val="en-AU"/>
        </w:rPr>
        <w:t xml:space="preserve"> become apparent. However, it is noteworthy that </w:t>
      </w:r>
      <w:r w:rsidR="00B33BC8" w:rsidRPr="00851EC7">
        <w:rPr>
          <w:lang w:val="en-AU"/>
        </w:rPr>
        <w:t>there are inevitable risks associated with the construction of schools in remote areas with low population densities. Specifically, POM remains concerned that the EP may be contributing to a proliferation of small schools, which could lead to inefficiencies in the allocation of teaching and management resources and an associated effect on student/teacher ratios and/or the quality of services provided.</w:t>
      </w:r>
    </w:p>
    <w:p w:rsidR="00812052" w:rsidRDefault="001F50EB" w:rsidP="00812052">
      <w:pPr>
        <w:spacing w:before="120" w:after="120" w:line="276" w:lineRule="auto"/>
        <w:jc w:val="both"/>
        <w:rPr>
          <w:lang w:val="en-AU"/>
        </w:rPr>
      </w:pPr>
      <w:r>
        <w:rPr>
          <w:lang w:val="en-AU"/>
        </w:rPr>
        <w:t>Ninety-four percent</w:t>
      </w:r>
      <w:r w:rsidR="00812052">
        <w:rPr>
          <w:lang w:val="en-AU"/>
        </w:rPr>
        <w:t xml:space="preserve"> </w:t>
      </w:r>
      <w:r w:rsidR="00752CCC">
        <w:rPr>
          <w:lang w:val="en-AU"/>
        </w:rPr>
        <w:t xml:space="preserve">of </w:t>
      </w:r>
      <w:r w:rsidR="00812052">
        <w:rPr>
          <w:lang w:val="en-AU"/>
        </w:rPr>
        <w:t>Cycle 1 and Cycle 2</w:t>
      </w:r>
      <w:r>
        <w:rPr>
          <w:lang w:val="en-AU"/>
        </w:rPr>
        <w:t xml:space="preserve"> schools</w:t>
      </w:r>
      <w:r w:rsidR="00812052">
        <w:rPr>
          <w:rStyle w:val="FootnoteReference"/>
          <w:lang w:val="en-AU"/>
        </w:rPr>
        <w:footnoteReference w:id="18"/>
      </w:r>
      <w:r w:rsidR="00812052">
        <w:rPr>
          <w:lang w:val="en-AU"/>
        </w:rPr>
        <w:t xml:space="preserve"> have a </w:t>
      </w:r>
      <w:r w:rsidR="0000550E">
        <w:rPr>
          <w:lang w:val="en-AU"/>
        </w:rPr>
        <w:t>s</w:t>
      </w:r>
      <w:r w:rsidR="00812052">
        <w:rPr>
          <w:lang w:val="en-AU"/>
        </w:rPr>
        <w:t>tudent</w:t>
      </w:r>
      <w:r w:rsidR="0000550E">
        <w:rPr>
          <w:lang w:val="en-AU"/>
        </w:rPr>
        <w:t>/t</w:t>
      </w:r>
      <w:r w:rsidR="00812052">
        <w:rPr>
          <w:lang w:val="en-AU"/>
        </w:rPr>
        <w:t xml:space="preserve">eacher </w:t>
      </w:r>
      <w:r w:rsidR="0000550E">
        <w:rPr>
          <w:lang w:val="en-AU"/>
        </w:rPr>
        <w:t>r</w:t>
      </w:r>
      <w:r w:rsidR="00812052">
        <w:rPr>
          <w:lang w:val="en-AU"/>
        </w:rPr>
        <w:t>atio below the national average of 18.6 students per teacher</w:t>
      </w:r>
      <w:r>
        <w:rPr>
          <w:lang w:val="en-AU"/>
        </w:rPr>
        <w:t xml:space="preserve"> (see Figure 2, below)</w:t>
      </w:r>
      <w:r w:rsidR="00812052">
        <w:rPr>
          <w:lang w:val="en-AU"/>
        </w:rPr>
        <w:t xml:space="preserve">. </w:t>
      </w:r>
      <w:r w:rsidR="0000550E">
        <w:rPr>
          <w:lang w:val="en-AU"/>
        </w:rPr>
        <w:t>Disagg</w:t>
      </w:r>
      <w:r w:rsidR="00812052">
        <w:rPr>
          <w:lang w:val="en-AU"/>
        </w:rPr>
        <w:t>regat</w:t>
      </w:r>
      <w:r w:rsidR="0000550E">
        <w:rPr>
          <w:lang w:val="en-AU"/>
        </w:rPr>
        <w:t>ing</w:t>
      </w:r>
      <w:r w:rsidR="00812052">
        <w:rPr>
          <w:lang w:val="en-AU"/>
        </w:rPr>
        <w:t xml:space="preserve"> by SATAP and USB, almost all SATAP (99%) were under the national average, with 73.5% </w:t>
      </w:r>
      <w:r w:rsidR="0000550E">
        <w:rPr>
          <w:lang w:val="en-AU"/>
        </w:rPr>
        <w:t>below</w:t>
      </w:r>
      <w:r w:rsidR="00812052">
        <w:rPr>
          <w:lang w:val="en-AU"/>
        </w:rPr>
        <w:t xml:space="preserve"> </w:t>
      </w:r>
      <w:r w:rsidR="00812052" w:rsidRPr="00A3750B">
        <w:rPr>
          <w:lang w:val="en-AU"/>
        </w:rPr>
        <w:t>half</w:t>
      </w:r>
      <w:r w:rsidR="00812052">
        <w:rPr>
          <w:lang w:val="en-AU"/>
        </w:rPr>
        <w:t xml:space="preserve"> the national average. For USB the </w:t>
      </w:r>
      <w:r w:rsidR="0000550E">
        <w:rPr>
          <w:lang w:val="en-AU"/>
        </w:rPr>
        <w:t xml:space="preserve">situation </w:t>
      </w:r>
      <w:r w:rsidR="00812052">
        <w:rPr>
          <w:lang w:val="en-AU"/>
        </w:rPr>
        <w:t>is slightly better, with 90% and 4</w:t>
      </w:r>
      <w:r w:rsidR="0000550E">
        <w:rPr>
          <w:lang w:val="en-AU"/>
        </w:rPr>
        <w:t>9</w:t>
      </w:r>
      <w:r w:rsidR="00812052">
        <w:rPr>
          <w:lang w:val="en-AU"/>
        </w:rPr>
        <w:t xml:space="preserve">% of schools </w:t>
      </w:r>
      <w:r w:rsidR="0000550E">
        <w:rPr>
          <w:lang w:val="en-AU"/>
        </w:rPr>
        <w:t>respectively</w:t>
      </w:r>
      <w:r w:rsidR="00812052">
        <w:rPr>
          <w:lang w:val="en-AU"/>
        </w:rPr>
        <w:t xml:space="preserve">. </w:t>
      </w:r>
    </w:p>
    <w:p w:rsidR="00812052" w:rsidRDefault="00812052" w:rsidP="00812052">
      <w:pPr>
        <w:spacing w:before="120" w:after="120" w:line="276" w:lineRule="auto"/>
        <w:jc w:val="both"/>
        <w:rPr>
          <w:lang w:val="en-AU"/>
        </w:rPr>
      </w:pPr>
    </w:p>
    <w:p w:rsidR="00812052" w:rsidRDefault="00812052" w:rsidP="00B33BC8">
      <w:pPr>
        <w:spacing w:before="120" w:after="120" w:line="276" w:lineRule="auto"/>
        <w:jc w:val="both"/>
        <w:rPr>
          <w:lang w:val="en-AU"/>
        </w:rPr>
      </w:pPr>
    </w:p>
    <w:p w:rsidR="000C6215" w:rsidRDefault="009E4D89" w:rsidP="009E4D89">
      <w:pPr>
        <w:pStyle w:val="Caption"/>
        <w:rPr>
          <w:lang w:val="en-AU"/>
        </w:rPr>
      </w:pPr>
      <w:bookmarkStart w:id="27" w:name="_Toc412534762"/>
      <w:r>
        <w:t xml:space="preserve">Figure </w:t>
      </w:r>
      <w:r>
        <w:fldChar w:fldCharType="begin"/>
      </w:r>
      <w:r>
        <w:instrText xml:space="preserve"> SEQ Figure \* ARABIC </w:instrText>
      </w:r>
      <w:r>
        <w:fldChar w:fldCharType="separate"/>
      </w:r>
      <w:r w:rsidR="004A0A8F">
        <w:rPr>
          <w:noProof/>
        </w:rPr>
        <w:t>2</w:t>
      </w:r>
      <w:r>
        <w:fldChar w:fldCharType="end"/>
      </w:r>
      <w:r w:rsidR="00BB602E" w:rsidRPr="00851EC7">
        <w:rPr>
          <w:lang w:val="en-AU"/>
        </w:rPr>
        <w:t xml:space="preserve">: </w:t>
      </w:r>
      <w:r w:rsidR="000C6215">
        <w:rPr>
          <w:lang w:val="en-AU"/>
        </w:rPr>
        <w:t>Student Teacher Ratio at</w:t>
      </w:r>
      <w:r w:rsidR="001F50EB">
        <w:rPr>
          <w:lang w:val="en-AU"/>
        </w:rPr>
        <w:t xml:space="preserve"> a Sample of</w:t>
      </w:r>
      <w:r w:rsidR="000C6215">
        <w:rPr>
          <w:lang w:val="en-AU"/>
        </w:rPr>
        <w:t xml:space="preserve"> </w:t>
      </w:r>
      <w:r w:rsidR="001F50EB">
        <w:rPr>
          <w:lang w:val="en-AU"/>
        </w:rPr>
        <w:t>Cycle 1 and Cycle 2 Schools</w:t>
      </w:r>
      <w:bookmarkEnd w:id="27"/>
      <w:r w:rsidR="001F50EB">
        <w:rPr>
          <w:lang w:val="en-AU"/>
        </w:rPr>
        <w:t xml:space="preserve"> </w:t>
      </w:r>
    </w:p>
    <w:p w:rsidR="00B33BC8" w:rsidRDefault="00395326" w:rsidP="00A3750B">
      <w:pPr>
        <w:pStyle w:val="Caption"/>
        <w:keepNext/>
        <w:rPr>
          <w:lang w:val="en-AU"/>
        </w:rPr>
      </w:pPr>
      <w:r>
        <w:rPr>
          <w:noProof/>
          <w:lang w:val="en-AU" w:eastAsia="en-AU"/>
        </w:rPr>
        <w:drawing>
          <wp:inline distT="0" distB="0" distL="0" distR="0" wp14:anchorId="78F5DBCA" wp14:editId="0AFDC681">
            <wp:extent cx="2536166" cy="3034800"/>
            <wp:effectExtent l="0" t="0" r="17145"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val="en-AU" w:eastAsia="en-AU"/>
        </w:rPr>
        <w:drawing>
          <wp:inline distT="0" distB="0" distL="0" distR="0" wp14:anchorId="44B4F6F0" wp14:editId="6D72383E">
            <wp:extent cx="2544793" cy="3036498"/>
            <wp:effectExtent l="0" t="0" r="27305"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602E" w:rsidRPr="00851EC7" w:rsidRDefault="00BB602E" w:rsidP="009E4D89">
      <w:pPr>
        <w:pStyle w:val="Source"/>
        <w:rPr>
          <w:lang w:val="en-AU"/>
        </w:rPr>
      </w:pPr>
      <w:r w:rsidRPr="00851EC7">
        <w:rPr>
          <w:lang w:val="en-AU"/>
        </w:rPr>
        <w:t>Source: http://dapo.dikdas.kemdikbud.go.id/exreport/w/000000</w:t>
      </w:r>
    </w:p>
    <w:p w:rsidR="00AF0A97" w:rsidRDefault="00AF0A97" w:rsidP="00A3750B">
      <w:pPr>
        <w:rPr>
          <w:lang w:val="en-AU"/>
        </w:rPr>
      </w:pPr>
    </w:p>
    <w:p w:rsidR="00B33BC8" w:rsidRPr="00851EC7" w:rsidRDefault="00B33BC8" w:rsidP="00215A8F">
      <w:pPr>
        <w:keepNext/>
        <w:numPr>
          <w:ilvl w:val="2"/>
          <w:numId w:val="7"/>
        </w:numPr>
        <w:spacing w:line="276" w:lineRule="auto"/>
        <w:ind w:left="720"/>
        <w:outlineLvl w:val="2"/>
        <w:rPr>
          <w:bCs/>
          <w:color w:val="003880"/>
          <w:sz w:val="24"/>
          <w:szCs w:val="28"/>
          <w:lang w:val="en-AU"/>
        </w:rPr>
      </w:pPr>
      <w:r w:rsidRPr="00851EC7">
        <w:rPr>
          <w:bCs/>
          <w:color w:val="003880"/>
          <w:sz w:val="24"/>
          <w:szCs w:val="28"/>
          <w:lang w:val="en-AU"/>
        </w:rPr>
        <w:t>Sustainability</w:t>
      </w:r>
    </w:p>
    <w:p w:rsidR="00B33BC8" w:rsidRPr="00851EC7" w:rsidRDefault="00B33BC8" w:rsidP="00B33BC8">
      <w:pPr>
        <w:spacing w:before="120" w:after="120" w:line="276" w:lineRule="auto"/>
        <w:jc w:val="both"/>
        <w:rPr>
          <w:lang w:val="en-AU"/>
        </w:rPr>
      </w:pPr>
      <w:r w:rsidRPr="00851EC7">
        <w:rPr>
          <w:lang w:val="en-AU"/>
        </w:rPr>
        <w:t>The sustainability of school</w:t>
      </w:r>
      <w:r w:rsidRPr="00851EC7" w:rsidDel="001842B0">
        <w:rPr>
          <w:lang w:val="en-AU"/>
        </w:rPr>
        <w:t xml:space="preserve"> </w:t>
      </w:r>
      <w:r w:rsidRPr="00851EC7">
        <w:rPr>
          <w:lang w:val="en-AU"/>
        </w:rPr>
        <w:t>construction, operations and maintenance, as well as increases in GER depend on a range of factors, some of which the EP has control over (e.g. appropriate site selection) and others where EP has limited control (e.g. the willingness and capacity of districts to support the school). There is a strong likelihood that EP schools will provide sustained benefits</w:t>
      </w:r>
      <w:r w:rsidR="001F50EB">
        <w:rPr>
          <w:lang w:val="en-AU"/>
        </w:rPr>
        <w:t>,</w:t>
      </w:r>
      <w:r w:rsidRPr="00851EC7">
        <w:rPr>
          <w:lang w:val="en-AU"/>
        </w:rPr>
        <w:t xml:space="preserve"> not least given the quality of the infrastructure provided. </w:t>
      </w:r>
    </w:p>
    <w:p w:rsidR="00B33BC8" w:rsidRPr="00851EC7" w:rsidRDefault="00B33BC8" w:rsidP="00B33BC8">
      <w:pPr>
        <w:spacing w:after="160" w:line="276" w:lineRule="auto"/>
        <w:jc w:val="both"/>
        <w:rPr>
          <w:lang w:val="en-AU"/>
        </w:rPr>
      </w:pPr>
      <w:r w:rsidRPr="00851EC7">
        <w:rPr>
          <w:lang w:val="en-AU"/>
        </w:rPr>
        <w:t xml:space="preserve">From a systems perspective, the likelihood of specific processes and systems being sustained in </w:t>
      </w:r>
      <w:r w:rsidR="006D4DD4">
        <w:rPr>
          <w:lang w:val="en-AU"/>
        </w:rPr>
        <w:t>MoEC</w:t>
      </w:r>
      <w:r w:rsidRPr="00851EC7">
        <w:rPr>
          <w:lang w:val="en-AU"/>
        </w:rPr>
        <w:t xml:space="preserve"> is variable and much depends on their being institutional appetite and incentive to take things forward. For example, POM understands:</w:t>
      </w:r>
    </w:p>
    <w:p w:rsidR="00B33BC8" w:rsidRPr="00851EC7" w:rsidRDefault="00B33BC8" w:rsidP="00215A8F">
      <w:pPr>
        <w:pStyle w:val="ListParagraph"/>
        <w:numPr>
          <w:ilvl w:val="0"/>
          <w:numId w:val="10"/>
        </w:numPr>
        <w:spacing w:before="120" w:after="120"/>
        <w:rPr>
          <w:lang w:val="en-AU"/>
        </w:rPr>
      </w:pPr>
      <w:r w:rsidRPr="00851EC7">
        <w:rPr>
          <w:lang w:val="en-AU"/>
        </w:rPr>
        <w:t xml:space="preserve">The current utilisation of field monitors (FM) is unlikely to continue after the EP finishes because they are </w:t>
      </w:r>
      <w:r w:rsidR="00A704D3">
        <w:rPr>
          <w:lang w:val="en-AU"/>
        </w:rPr>
        <w:t xml:space="preserve">not </w:t>
      </w:r>
      <w:r w:rsidRPr="00851EC7">
        <w:rPr>
          <w:lang w:val="en-AU"/>
        </w:rPr>
        <w:t>part of the current Indonesian construction process (as defined by Ministry of Public Works decree 45/2007</w:t>
      </w:r>
      <w:r w:rsidRPr="00851EC7">
        <w:rPr>
          <w:lang w:val="en-AU"/>
        </w:rPr>
        <w:footnoteReference w:id="19"/>
      </w:r>
      <w:r w:rsidRPr="00851EC7">
        <w:rPr>
          <w:lang w:val="en-AU"/>
        </w:rPr>
        <w:t>). Should there be a desire to retain the FM mechanism, it may be advisable to attach the function to another sub-directorate</w:t>
      </w:r>
      <w:r w:rsidRPr="00851EC7">
        <w:rPr>
          <w:rStyle w:val="EndnoteReference"/>
          <w:lang w:val="en-AU"/>
        </w:rPr>
        <w:endnoteReference w:id="16"/>
      </w:r>
      <w:r w:rsidRPr="00851EC7">
        <w:rPr>
          <w:lang w:val="en-AU"/>
        </w:rPr>
        <w:t xml:space="preserve">, thus broadening its scope to all activities of the directorate. </w:t>
      </w:r>
    </w:p>
    <w:p w:rsidR="00B33BC8" w:rsidRPr="00851EC7" w:rsidRDefault="00B33BC8" w:rsidP="00215A8F">
      <w:pPr>
        <w:pStyle w:val="ListParagraph"/>
        <w:numPr>
          <w:ilvl w:val="0"/>
          <w:numId w:val="10"/>
        </w:numPr>
        <w:spacing w:before="120" w:after="120"/>
        <w:rPr>
          <w:lang w:val="en-AU"/>
        </w:rPr>
      </w:pPr>
      <w:r w:rsidRPr="00851EC7">
        <w:rPr>
          <w:lang w:val="en-AU"/>
        </w:rPr>
        <w:t xml:space="preserve">The use of </w:t>
      </w:r>
      <w:r w:rsidR="00713BAD" w:rsidRPr="00851EC7">
        <w:rPr>
          <w:lang w:val="en-AU"/>
        </w:rPr>
        <w:t xml:space="preserve">the </w:t>
      </w:r>
      <w:r w:rsidRPr="00851EC7">
        <w:rPr>
          <w:lang w:val="en-AU"/>
        </w:rPr>
        <w:t>Complaint</w:t>
      </w:r>
      <w:r w:rsidR="00713BAD" w:rsidRPr="00851EC7">
        <w:rPr>
          <w:lang w:val="en-AU"/>
        </w:rPr>
        <w:t>s</w:t>
      </w:r>
      <w:r w:rsidRPr="00851EC7">
        <w:rPr>
          <w:lang w:val="en-AU"/>
        </w:rPr>
        <w:t xml:space="preserve"> Handling System is likely to continue albeit its scope and utilisation may evolve over time</w:t>
      </w:r>
      <w:r w:rsidR="001F50EB">
        <w:rPr>
          <w:lang w:val="en-AU"/>
        </w:rPr>
        <w:t>.</w:t>
      </w:r>
    </w:p>
    <w:p w:rsidR="00B33BC8" w:rsidRPr="00851EC7" w:rsidRDefault="00B33BC8" w:rsidP="00215A8F">
      <w:pPr>
        <w:pStyle w:val="ListParagraph"/>
        <w:numPr>
          <w:ilvl w:val="0"/>
          <w:numId w:val="10"/>
        </w:numPr>
        <w:spacing w:before="120" w:after="120"/>
        <w:rPr>
          <w:lang w:val="en-AU"/>
        </w:rPr>
      </w:pPr>
      <w:r w:rsidRPr="00851EC7">
        <w:rPr>
          <w:lang w:val="en-AU"/>
        </w:rPr>
        <w:t>The current construction manuals, guidelines and training modules/aids (including training methods) developed under the EP will be adopted or adapted by MoEC.</w:t>
      </w:r>
    </w:p>
    <w:p w:rsidR="00B33BC8" w:rsidRPr="00851EC7" w:rsidRDefault="00B33BC8" w:rsidP="00215A8F">
      <w:pPr>
        <w:pStyle w:val="ListParagraph"/>
        <w:numPr>
          <w:ilvl w:val="0"/>
          <w:numId w:val="10"/>
        </w:numPr>
        <w:spacing w:before="120" w:after="120"/>
        <w:rPr>
          <w:lang w:val="en-AU"/>
        </w:rPr>
      </w:pPr>
      <w:r w:rsidRPr="00851EC7">
        <w:rPr>
          <w:lang w:val="en-AU"/>
        </w:rPr>
        <w:lastRenderedPageBreak/>
        <w:t>The site selection unit and associated procedures may continue</w:t>
      </w:r>
      <w:r w:rsidR="00D0773F">
        <w:rPr>
          <w:lang w:val="en-AU"/>
        </w:rPr>
        <w:t>, not least if</w:t>
      </w:r>
      <w:r w:rsidRPr="00851EC7">
        <w:rPr>
          <w:lang w:val="en-AU"/>
        </w:rPr>
        <w:t xml:space="preserve"> a specific manual were to be formalised and bundled with the existing implementation guidelines (re: e.g. earthquake resistance, use of non-toxic materials, etc.)</w:t>
      </w:r>
      <w:r w:rsidR="00D0773F">
        <w:rPr>
          <w:lang w:val="en-AU"/>
        </w:rPr>
        <w:t>.</w:t>
      </w:r>
    </w:p>
    <w:p w:rsidR="00B33BC8" w:rsidRPr="00851EC7" w:rsidRDefault="00B33BC8" w:rsidP="00B33BC8">
      <w:pPr>
        <w:pStyle w:val="ListParagraph"/>
        <w:spacing w:before="120" w:after="120"/>
        <w:rPr>
          <w:lang w:val="en-AU"/>
        </w:rPr>
      </w:pPr>
    </w:p>
    <w:p w:rsidR="00B33BC8" w:rsidRPr="00851EC7" w:rsidRDefault="009F3B13" w:rsidP="00215A8F">
      <w:pPr>
        <w:keepNext/>
        <w:numPr>
          <w:ilvl w:val="1"/>
          <w:numId w:val="7"/>
        </w:numPr>
        <w:spacing w:before="120" w:after="120" w:line="276" w:lineRule="auto"/>
        <w:ind w:hanging="720"/>
        <w:outlineLvl w:val="1"/>
        <w:rPr>
          <w:b/>
          <w:bCs/>
          <w:iCs/>
          <w:color w:val="003880"/>
          <w:sz w:val="24"/>
          <w:szCs w:val="24"/>
          <w:lang w:val="en-AU"/>
        </w:rPr>
      </w:pPr>
      <w:r>
        <w:rPr>
          <w:b/>
          <w:bCs/>
          <w:iCs/>
          <w:color w:val="003880"/>
          <w:sz w:val="24"/>
          <w:szCs w:val="24"/>
          <w:lang w:val="en-AU"/>
        </w:rPr>
        <w:t>Summary and recommendations</w:t>
      </w:r>
      <w:r w:rsidR="00B33BC8" w:rsidRPr="00851EC7">
        <w:rPr>
          <w:b/>
          <w:bCs/>
          <w:iCs/>
          <w:color w:val="003880"/>
          <w:sz w:val="24"/>
          <w:szCs w:val="24"/>
          <w:lang w:val="en-AU"/>
        </w:rPr>
        <w:t xml:space="preserve"> </w:t>
      </w:r>
    </w:p>
    <w:p w:rsidR="00B33BC8" w:rsidRPr="00851EC7" w:rsidRDefault="00B33BC8" w:rsidP="00B33BC8">
      <w:pPr>
        <w:spacing w:before="120" w:after="120" w:line="276" w:lineRule="auto"/>
        <w:jc w:val="both"/>
        <w:rPr>
          <w:lang w:val="en-AU"/>
        </w:rPr>
      </w:pPr>
      <w:r w:rsidRPr="00851EC7">
        <w:rPr>
          <w:lang w:val="en-AU"/>
        </w:rPr>
        <w:t>A summary table of component performance by DAC criteria is presented in</w:t>
      </w:r>
      <w:r w:rsidR="0000550E">
        <w:rPr>
          <w:lang w:val="en-AU"/>
        </w:rPr>
        <w:t xml:space="preserve"> Table </w:t>
      </w:r>
      <w:r w:rsidR="00650F75">
        <w:rPr>
          <w:lang w:val="en-AU"/>
        </w:rPr>
        <w:t>5</w:t>
      </w:r>
      <w:r w:rsidRPr="00851EC7">
        <w:rPr>
          <w:lang w:val="en-AU"/>
        </w:rPr>
        <w:t xml:space="preserve">. The rating scale used with the previous DFAT Quality Reporting System (QRS) and the upcoming Aid Quality Checks (AQC) system has been adopted. Recommendations for improvement and, in particular, on increasing the likelihood of achieving EOPO 1 are made in Table </w:t>
      </w:r>
      <w:r w:rsidR="00650F75">
        <w:rPr>
          <w:lang w:val="en-AU"/>
        </w:rPr>
        <w:t>6</w:t>
      </w:r>
      <w:r w:rsidRPr="00851EC7">
        <w:rPr>
          <w:lang w:val="en-AU"/>
        </w:rPr>
        <w:t xml:space="preserve"> below.</w:t>
      </w:r>
    </w:p>
    <w:p w:rsidR="00B33BC8" w:rsidRPr="00851EC7" w:rsidRDefault="00B33BC8" w:rsidP="00B33BC8">
      <w:pPr>
        <w:spacing w:before="120" w:after="120" w:line="276" w:lineRule="auto"/>
        <w:jc w:val="both"/>
        <w:rPr>
          <w:lang w:val="en-AU"/>
        </w:rPr>
      </w:pPr>
    </w:p>
    <w:p w:rsidR="00B33BC8" w:rsidRPr="00851EC7" w:rsidRDefault="00B33BC8" w:rsidP="00B33BC8">
      <w:pPr>
        <w:spacing w:before="120" w:after="120" w:line="276" w:lineRule="auto"/>
        <w:jc w:val="both"/>
        <w:rPr>
          <w:lang w:val="en-AU"/>
        </w:rPr>
        <w:sectPr w:rsidR="00B33BC8" w:rsidRPr="00851EC7" w:rsidSect="00B33BC8">
          <w:headerReference w:type="default" r:id="rId31"/>
          <w:endnotePr>
            <w:numRestart w:val="eachSect"/>
          </w:endnotePr>
          <w:type w:val="oddPage"/>
          <w:pgSz w:w="11909" w:h="16834" w:code="9"/>
          <w:pgMar w:top="1440" w:right="1440" w:bottom="1440" w:left="1440" w:header="432" w:footer="720" w:gutter="0"/>
          <w:cols w:space="720"/>
          <w:noEndnote/>
          <w:docGrid w:linePitch="360"/>
        </w:sectPr>
      </w:pPr>
    </w:p>
    <w:p w:rsidR="00B33BC8" w:rsidRPr="00851EC7" w:rsidRDefault="004D3EF0" w:rsidP="004D3EF0">
      <w:pPr>
        <w:pStyle w:val="Caption"/>
        <w:keepNext/>
        <w:rPr>
          <w:lang w:val="en-AU"/>
        </w:rPr>
      </w:pPr>
      <w:bookmarkStart w:id="28" w:name="_Toc412534577"/>
      <w:r>
        <w:lastRenderedPageBreak/>
        <w:t xml:space="preserve">Table </w:t>
      </w:r>
      <w:r>
        <w:fldChar w:fldCharType="begin"/>
      </w:r>
      <w:r>
        <w:instrText xml:space="preserve"> SEQ Table \* ARABIC </w:instrText>
      </w:r>
      <w:r>
        <w:fldChar w:fldCharType="separate"/>
      </w:r>
      <w:r w:rsidR="004A0A8F">
        <w:rPr>
          <w:noProof/>
        </w:rPr>
        <w:t>5</w:t>
      </w:r>
      <w:r>
        <w:fldChar w:fldCharType="end"/>
      </w:r>
      <w:r w:rsidR="00B33BC8" w:rsidRPr="00851EC7">
        <w:rPr>
          <w:lang w:val="en-AU"/>
        </w:rPr>
        <w:t>: Component 1 scorecard</w:t>
      </w:r>
      <w:bookmarkEnd w:id="28"/>
    </w:p>
    <w:tbl>
      <w:tblPr>
        <w:tblStyle w:val="TableGrid15"/>
        <w:tblW w:w="0" w:type="auto"/>
        <w:jc w:val="center"/>
        <w:tblInd w:w="-5228" w:type="dxa"/>
        <w:tblLook w:val="04A0" w:firstRow="1" w:lastRow="0" w:firstColumn="1" w:lastColumn="0" w:noHBand="0" w:noVBand="1"/>
      </w:tblPr>
      <w:tblGrid>
        <w:gridCol w:w="1486"/>
        <w:gridCol w:w="1276"/>
        <w:gridCol w:w="1276"/>
        <w:gridCol w:w="5864"/>
        <w:gridCol w:w="3726"/>
      </w:tblGrid>
      <w:tr w:rsidR="00B33BC8" w:rsidRPr="00851EC7" w:rsidTr="00B33BC8">
        <w:trPr>
          <w:trHeight w:val="434"/>
          <w:jc w:val="center"/>
        </w:trPr>
        <w:tc>
          <w:tcPr>
            <w:tcW w:w="1486" w:type="dxa"/>
            <w:shd w:val="clear" w:color="auto" w:fill="244061" w:themeFill="accent1" w:themeFillShade="80"/>
            <w:vAlign w:val="center"/>
          </w:tcPr>
          <w:p w:rsidR="00B33BC8" w:rsidRPr="00851EC7" w:rsidRDefault="00B33BC8" w:rsidP="00B33BC8">
            <w:pPr>
              <w:jc w:val="center"/>
              <w:rPr>
                <w:rFonts w:asciiTheme="minorHAnsi" w:hAnsiTheme="minorHAnsi"/>
                <w:sz w:val="20"/>
                <w:szCs w:val="20"/>
                <w:lang w:val="en-AU"/>
              </w:rPr>
            </w:pPr>
            <w:r w:rsidRPr="00851EC7">
              <w:rPr>
                <w:rFonts w:asciiTheme="minorHAnsi" w:hAnsiTheme="minorHAnsi"/>
                <w:b/>
                <w:sz w:val="20"/>
                <w:szCs w:val="20"/>
                <w:lang w:val="en-AU"/>
              </w:rPr>
              <w:t>DAC Criterion</w:t>
            </w:r>
          </w:p>
        </w:tc>
        <w:tc>
          <w:tcPr>
            <w:tcW w:w="1276" w:type="dxa"/>
            <w:shd w:val="clear" w:color="auto" w:fill="244061" w:themeFill="accent1" w:themeFillShade="80"/>
            <w:vAlign w:val="center"/>
          </w:tcPr>
          <w:p w:rsidR="00B33BC8" w:rsidRPr="00851EC7" w:rsidRDefault="00B33BC8" w:rsidP="00B33BC8">
            <w:pPr>
              <w:jc w:val="center"/>
              <w:rPr>
                <w:rFonts w:asciiTheme="minorHAnsi" w:hAnsiTheme="minorHAnsi"/>
                <w:b/>
                <w:sz w:val="20"/>
                <w:szCs w:val="20"/>
                <w:lang w:val="en-AU"/>
              </w:rPr>
            </w:pPr>
            <w:r w:rsidRPr="00851EC7">
              <w:rPr>
                <w:rFonts w:asciiTheme="minorHAnsi" w:hAnsiTheme="minorHAnsi"/>
                <w:b/>
                <w:sz w:val="20"/>
                <w:szCs w:val="20"/>
                <w:lang w:val="en-AU"/>
              </w:rPr>
              <w:t>Score 2013</w:t>
            </w:r>
          </w:p>
        </w:tc>
        <w:tc>
          <w:tcPr>
            <w:tcW w:w="1276" w:type="dxa"/>
            <w:tcBorders>
              <w:bottom w:val="single" w:sz="4" w:space="0" w:color="auto"/>
            </w:tcBorders>
            <w:shd w:val="clear" w:color="auto" w:fill="244061" w:themeFill="accent1" w:themeFillShade="80"/>
            <w:vAlign w:val="center"/>
          </w:tcPr>
          <w:p w:rsidR="00B33BC8" w:rsidRPr="00851EC7" w:rsidRDefault="00B33BC8" w:rsidP="00B33BC8">
            <w:pPr>
              <w:jc w:val="center"/>
              <w:rPr>
                <w:rFonts w:asciiTheme="minorHAnsi" w:hAnsiTheme="minorHAnsi"/>
                <w:b/>
                <w:sz w:val="20"/>
                <w:szCs w:val="20"/>
                <w:lang w:val="en-AU"/>
              </w:rPr>
            </w:pPr>
            <w:r w:rsidRPr="00851EC7">
              <w:rPr>
                <w:rFonts w:asciiTheme="minorHAnsi" w:hAnsiTheme="minorHAnsi"/>
                <w:b/>
                <w:sz w:val="20"/>
                <w:szCs w:val="20"/>
                <w:lang w:val="en-AU"/>
              </w:rPr>
              <w:t>Score 2014</w:t>
            </w:r>
          </w:p>
        </w:tc>
        <w:tc>
          <w:tcPr>
            <w:tcW w:w="5864" w:type="dxa"/>
            <w:shd w:val="clear" w:color="auto" w:fill="244061" w:themeFill="accent1" w:themeFillShade="80"/>
            <w:vAlign w:val="center"/>
          </w:tcPr>
          <w:p w:rsidR="00B33BC8" w:rsidRPr="00851EC7" w:rsidRDefault="00B33BC8" w:rsidP="00B33BC8">
            <w:pPr>
              <w:jc w:val="center"/>
              <w:rPr>
                <w:rFonts w:asciiTheme="minorHAnsi" w:hAnsiTheme="minorHAnsi"/>
                <w:b/>
                <w:sz w:val="20"/>
                <w:szCs w:val="20"/>
                <w:lang w:val="en-AU"/>
              </w:rPr>
            </w:pPr>
            <w:r w:rsidRPr="00851EC7">
              <w:rPr>
                <w:rFonts w:asciiTheme="minorHAnsi" w:hAnsiTheme="minorHAnsi"/>
                <w:b/>
                <w:sz w:val="20"/>
                <w:szCs w:val="20"/>
                <w:lang w:val="en-AU"/>
              </w:rPr>
              <w:t>Justification</w:t>
            </w:r>
          </w:p>
        </w:tc>
        <w:tc>
          <w:tcPr>
            <w:tcW w:w="3726" w:type="dxa"/>
            <w:shd w:val="clear" w:color="auto" w:fill="244061" w:themeFill="accent1" w:themeFillShade="80"/>
            <w:vAlign w:val="center"/>
          </w:tcPr>
          <w:p w:rsidR="00B33BC8" w:rsidRPr="00851EC7" w:rsidRDefault="00B33BC8" w:rsidP="00B33BC8">
            <w:pPr>
              <w:jc w:val="center"/>
              <w:rPr>
                <w:rFonts w:asciiTheme="minorHAnsi" w:hAnsiTheme="minorHAnsi"/>
                <w:b/>
                <w:sz w:val="20"/>
                <w:szCs w:val="20"/>
                <w:lang w:val="en-AU"/>
              </w:rPr>
            </w:pPr>
            <w:r w:rsidRPr="00851EC7">
              <w:rPr>
                <w:rFonts w:asciiTheme="minorHAnsi" w:hAnsiTheme="minorHAnsi"/>
                <w:b/>
                <w:sz w:val="20"/>
                <w:szCs w:val="20"/>
                <w:lang w:val="en-AU"/>
              </w:rPr>
              <w:t>Comments</w:t>
            </w:r>
          </w:p>
        </w:tc>
      </w:tr>
      <w:tr w:rsidR="00B33BC8" w:rsidRPr="00851EC7" w:rsidTr="00B33BC8">
        <w:trPr>
          <w:trHeight w:val="447"/>
          <w:jc w:val="center"/>
        </w:trPr>
        <w:tc>
          <w:tcPr>
            <w:tcW w:w="1486" w:type="dxa"/>
            <w:vAlign w:val="center"/>
          </w:tcPr>
          <w:p w:rsidR="00B33BC8" w:rsidRPr="00851EC7" w:rsidRDefault="00B33BC8" w:rsidP="00B33BC8">
            <w:pPr>
              <w:spacing w:before="60" w:after="60"/>
              <w:rPr>
                <w:rFonts w:asciiTheme="minorHAnsi" w:hAnsiTheme="minorHAnsi"/>
                <w:b/>
                <w:sz w:val="20"/>
                <w:szCs w:val="20"/>
                <w:lang w:val="en-AU"/>
              </w:rPr>
            </w:pPr>
            <w:r w:rsidRPr="00851EC7">
              <w:rPr>
                <w:rFonts w:asciiTheme="minorHAnsi" w:hAnsiTheme="minorHAnsi"/>
                <w:b/>
                <w:sz w:val="20"/>
                <w:szCs w:val="20"/>
                <w:lang w:val="en-AU"/>
              </w:rPr>
              <w:t>Relevance</w:t>
            </w:r>
          </w:p>
        </w:tc>
        <w:tc>
          <w:tcPr>
            <w:tcW w:w="1276" w:type="dxa"/>
            <w:tcBorders>
              <w:bottom w:val="single" w:sz="4" w:space="0" w:color="auto"/>
            </w:tcBorders>
            <w:shd w:val="clear" w:color="auto" w:fill="FFFF0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4</w:t>
            </w:r>
          </w:p>
        </w:tc>
        <w:tc>
          <w:tcPr>
            <w:tcW w:w="1276" w:type="dxa"/>
            <w:tcBorders>
              <w:bottom w:val="single" w:sz="4" w:space="0" w:color="auto"/>
            </w:tcBorders>
            <w:shd w:val="clear" w:color="auto" w:fill="FFCC0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3</w:t>
            </w:r>
          </w:p>
        </w:tc>
        <w:tc>
          <w:tcPr>
            <w:tcW w:w="5864" w:type="dxa"/>
            <w:shd w:val="clear" w:color="auto" w:fill="FFFFFF" w:themeFill="background1"/>
            <w:vAlign w:val="center"/>
          </w:tcPr>
          <w:p w:rsidR="00B33BC8" w:rsidRPr="00465A2A"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 xml:space="preserve">Whilst school </w:t>
            </w:r>
            <w:r w:rsidRPr="00391B0B">
              <w:rPr>
                <w:rFonts w:asciiTheme="minorHAnsi" w:hAnsiTheme="minorHAnsi"/>
                <w:sz w:val="20"/>
                <w:szCs w:val="20"/>
                <w:lang w:val="en-AU"/>
              </w:rPr>
              <w:t xml:space="preserve">construction remains relevant to MoEC’s strategic planning access targets, </w:t>
            </w:r>
            <w:r w:rsidR="00D0773F" w:rsidRPr="00A3750B">
              <w:rPr>
                <w:sz w:val="20"/>
                <w:szCs w:val="20"/>
              </w:rPr>
              <w:t>DFAT’s education priorities have shifted towards education quality and there will be an associated reduction of support to Indonesia’s access agenda post-EP</w:t>
            </w:r>
            <w:r w:rsidRPr="00465A2A">
              <w:rPr>
                <w:rFonts w:asciiTheme="minorHAnsi" w:hAnsiTheme="minorHAnsi"/>
                <w:sz w:val="20"/>
                <w:szCs w:val="20"/>
                <w:lang w:val="en-AU"/>
              </w:rPr>
              <w:t>.</w:t>
            </w:r>
          </w:p>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 xml:space="preserve">POM remains circumspect about the internal relevance of Component 1, believing the menu of options on offer to be unnecessarily restrictive. </w:t>
            </w:r>
          </w:p>
        </w:tc>
        <w:tc>
          <w:tcPr>
            <w:tcW w:w="3726" w:type="dxa"/>
            <w:shd w:val="clear" w:color="auto" w:fill="FFFFFF" w:themeFill="background1"/>
            <w:vAlign w:val="center"/>
          </w:tcPr>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The decrease in score is associated with the change in DFAT’s priorities.</w:t>
            </w:r>
          </w:p>
        </w:tc>
      </w:tr>
      <w:tr w:rsidR="00B33BC8" w:rsidRPr="00851EC7" w:rsidTr="00B33BC8">
        <w:trPr>
          <w:trHeight w:val="434"/>
          <w:jc w:val="center"/>
        </w:trPr>
        <w:tc>
          <w:tcPr>
            <w:tcW w:w="1486" w:type="dxa"/>
            <w:vAlign w:val="center"/>
          </w:tcPr>
          <w:p w:rsidR="00B33BC8" w:rsidRPr="00851EC7" w:rsidRDefault="00B33BC8" w:rsidP="00B33BC8">
            <w:pPr>
              <w:spacing w:before="60" w:after="60"/>
              <w:rPr>
                <w:rFonts w:asciiTheme="minorHAnsi" w:hAnsiTheme="minorHAnsi"/>
                <w:b/>
                <w:sz w:val="20"/>
                <w:szCs w:val="20"/>
                <w:lang w:val="en-AU"/>
              </w:rPr>
            </w:pPr>
            <w:r w:rsidRPr="00851EC7">
              <w:rPr>
                <w:rFonts w:asciiTheme="minorHAnsi" w:hAnsiTheme="minorHAnsi"/>
                <w:b/>
                <w:sz w:val="20"/>
                <w:szCs w:val="20"/>
                <w:lang w:val="en-AU"/>
              </w:rPr>
              <w:t>Efficiency</w:t>
            </w:r>
          </w:p>
        </w:tc>
        <w:tc>
          <w:tcPr>
            <w:tcW w:w="1276" w:type="dxa"/>
            <w:shd w:val="clear" w:color="auto" w:fill="92D05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5</w:t>
            </w:r>
          </w:p>
        </w:tc>
        <w:tc>
          <w:tcPr>
            <w:tcW w:w="1276" w:type="dxa"/>
            <w:tcBorders>
              <w:bottom w:val="single" w:sz="4" w:space="0" w:color="auto"/>
            </w:tcBorders>
            <w:shd w:val="clear" w:color="auto" w:fill="00B05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6</w:t>
            </w:r>
          </w:p>
        </w:tc>
        <w:tc>
          <w:tcPr>
            <w:tcW w:w="5864" w:type="dxa"/>
            <w:tcBorders>
              <w:bottom w:val="single" w:sz="4" w:space="0" w:color="auto"/>
            </w:tcBorders>
            <w:shd w:val="clear" w:color="auto" w:fill="FFFFFF" w:themeFill="background1"/>
            <w:vAlign w:val="center"/>
          </w:tcPr>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 xml:space="preserve">Almost all targeted schools in Cycle 1 and 2 (763 of 767) are complete and operational. </w:t>
            </w:r>
          </w:p>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Preparation and verification of site selection has improved considerably.</w:t>
            </w:r>
          </w:p>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 xml:space="preserve">The CHS and construction monitoring processes have been strengthened </w:t>
            </w:r>
          </w:p>
        </w:tc>
        <w:tc>
          <w:tcPr>
            <w:tcW w:w="3726" w:type="dxa"/>
            <w:tcBorders>
              <w:bottom w:val="single" w:sz="4" w:space="0" w:color="auto"/>
            </w:tcBorders>
            <w:shd w:val="clear" w:color="auto" w:fill="FFFFFF" w:themeFill="background1"/>
            <w:vAlign w:val="center"/>
          </w:tcPr>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The increase in score reflects the incremental improvements made to selection and construction management processes, coupled with the timely delivery of expected construction targets.</w:t>
            </w:r>
          </w:p>
        </w:tc>
      </w:tr>
      <w:tr w:rsidR="00B33BC8" w:rsidRPr="00851EC7" w:rsidTr="00B33BC8">
        <w:trPr>
          <w:trHeight w:val="447"/>
          <w:jc w:val="center"/>
        </w:trPr>
        <w:tc>
          <w:tcPr>
            <w:tcW w:w="1486" w:type="dxa"/>
            <w:vAlign w:val="center"/>
          </w:tcPr>
          <w:p w:rsidR="00B33BC8" w:rsidRPr="00851EC7" w:rsidRDefault="00B33BC8" w:rsidP="00B33BC8">
            <w:pPr>
              <w:spacing w:before="60" w:after="60"/>
              <w:rPr>
                <w:rFonts w:asciiTheme="minorHAnsi" w:hAnsiTheme="minorHAnsi"/>
                <w:b/>
                <w:sz w:val="20"/>
                <w:szCs w:val="20"/>
                <w:lang w:val="en-AU"/>
              </w:rPr>
            </w:pPr>
            <w:r w:rsidRPr="00851EC7">
              <w:rPr>
                <w:rFonts w:asciiTheme="minorHAnsi" w:hAnsiTheme="minorHAnsi"/>
                <w:b/>
                <w:sz w:val="20"/>
                <w:szCs w:val="20"/>
                <w:lang w:val="en-AU"/>
              </w:rPr>
              <w:t>Effectiveness</w:t>
            </w:r>
          </w:p>
        </w:tc>
        <w:tc>
          <w:tcPr>
            <w:tcW w:w="1276" w:type="dxa"/>
            <w:shd w:val="clear" w:color="auto" w:fill="FFC00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3</w:t>
            </w:r>
          </w:p>
        </w:tc>
        <w:tc>
          <w:tcPr>
            <w:tcW w:w="1276" w:type="dxa"/>
            <w:tcBorders>
              <w:bottom w:val="single" w:sz="4" w:space="0" w:color="auto"/>
            </w:tcBorders>
            <w:shd w:val="clear" w:color="auto" w:fill="FFFF0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4</w:t>
            </w:r>
          </w:p>
        </w:tc>
        <w:tc>
          <w:tcPr>
            <w:tcW w:w="5864" w:type="dxa"/>
            <w:shd w:val="clear" w:color="auto" w:fill="FFFFFF" w:themeFill="background1"/>
            <w:vAlign w:val="center"/>
          </w:tcPr>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 xml:space="preserve">C1 will probably achieve the EOCO, i.e. an “increase in availability of places in JSE”. </w:t>
            </w:r>
          </w:p>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The likelihood of C1 achieving the EOPO has been strengthened by the enhancement of the site selection process but the number of new enrolees (vis-à-vis transferees from existing schools) will not likely be known by the end of the EP (besides for cycle 1 that is covered by the POM evaluation)</w:t>
            </w:r>
          </w:p>
        </w:tc>
        <w:tc>
          <w:tcPr>
            <w:tcW w:w="3726" w:type="dxa"/>
            <w:shd w:val="clear" w:color="auto" w:fill="FFFFFF" w:themeFill="background1"/>
            <w:vAlign w:val="center"/>
          </w:tcPr>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The increase in score reflects the improved prospects of the EOPO being achieved.</w:t>
            </w:r>
          </w:p>
        </w:tc>
      </w:tr>
      <w:tr w:rsidR="00B33BC8" w:rsidRPr="00851EC7" w:rsidTr="00B33BC8">
        <w:trPr>
          <w:trHeight w:val="447"/>
          <w:jc w:val="center"/>
        </w:trPr>
        <w:tc>
          <w:tcPr>
            <w:tcW w:w="1486" w:type="dxa"/>
            <w:vAlign w:val="center"/>
          </w:tcPr>
          <w:p w:rsidR="00B33BC8" w:rsidRPr="00851EC7" w:rsidRDefault="00B33BC8" w:rsidP="00B33BC8">
            <w:pPr>
              <w:spacing w:before="60" w:after="60"/>
              <w:rPr>
                <w:rFonts w:asciiTheme="minorHAnsi" w:hAnsiTheme="minorHAnsi"/>
                <w:b/>
                <w:sz w:val="20"/>
                <w:szCs w:val="20"/>
                <w:lang w:val="en-AU"/>
              </w:rPr>
            </w:pPr>
            <w:r w:rsidRPr="00851EC7">
              <w:rPr>
                <w:rFonts w:asciiTheme="minorHAnsi" w:hAnsiTheme="minorHAnsi"/>
                <w:b/>
                <w:sz w:val="20"/>
                <w:szCs w:val="20"/>
                <w:lang w:val="en-AU"/>
              </w:rPr>
              <w:t>Impact</w:t>
            </w:r>
          </w:p>
        </w:tc>
        <w:tc>
          <w:tcPr>
            <w:tcW w:w="1276" w:type="dxa"/>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TE</w:t>
            </w:r>
          </w:p>
        </w:tc>
        <w:tc>
          <w:tcPr>
            <w:tcW w:w="1276" w:type="dxa"/>
            <w:tcBorders>
              <w:bottom w:val="single" w:sz="4" w:space="0" w:color="auto"/>
            </w:tcBorders>
            <w:shd w:val="clear" w:color="auto" w:fill="FFFF0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4</w:t>
            </w:r>
          </w:p>
        </w:tc>
        <w:tc>
          <w:tcPr>
            <w:tcW w:w="5864" w:type="dxa"/>
            <w:shd w:val="clear" w:color="auto" w:fill="FFFFFF" w:themeFill="background1"/>
            <w:vAlign w:val="center"/>
          </w:tcPr>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The prospect for school-level impact is positive: the quality of EP-funded facilities is high, which should ensure a full lifetime with reduced maintenance costs.</w:t>
            </w:r>
          </w:p>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The prospect for impact at an aggregate level (i.e. at district and national levels) is unconfirmed as there are uncertainties around long-term resourcing of constructed schools.</w:t>
            </w:r>
          </w:p>
        </w:tc>
        <w:tc>
          <w:tcPr>
            <w:tcW w:w="3726" w:type="dxa"/>
            <w:shd w:val="clear" w:color="auto" w:fill="FFFFFF" w:themeFill="background1"/>
            <w:vAlign w:val="center"/>
          </w:tcPr>
          <w:p w:rsidR="00B33BC8" w:rsidRPr="00851EC7" w:rsidRDefault="00B33BC8" w:rsidP="00215A8F">
            <w:pPr>
              <w:pStyle w:val="ListParagraph"/>
              <w:numPr>
                <w:ilvl w:val="0"/>
                <w:numId w:val="21"/>
              </w:numPr>
              <w:spacing w:before="60" w:after="60"/>
              <w:ind w:left="357"/>
              <w:rPr>
                <w:rFonts w:asciiTheme="minorHAnsi" w:hAnsiTheme="minorHAnsi"/>
                <w:sz w:val="20"/>
                <w:szCs w:val="20"/>
                <w:lang w:val="en-AU"/>
              </w:rPr>
            </w:pPr>
            <w:r w:rsidRPr="00851EC7">
              <w:rPr>
                <w:rFonts w:asciiTheme="minorHAnsi" w:hAnsiTheme="minorHAnsi"/>
                <w:sz w:val="20"/>
                <w:szCs w:val="20"/>
                <w:lang w:val="en-AU"/>
              </w:rPr>
              <w:t xml:space="preserve">The impact score reflects positive school-level impact and assumes only very limited concerns about future resourcing of schools. </w:t>
            </w:r>
          </w:p>
        </w:tc>
      </w:tr>
      <w:tr w:rsidR="00B33BC8" w:rsidRPr="00851EC7" w:rsidTr="00B33BC8">
        <w:trPr>
          <w:trHeight w:val="1212"/>
          <w:jc w:val="center"/>
        </w:trPr>
        <w:tc>
          <w:tcPr>
            <w:tcW w:w="1486" w:type="dxa"/>
            <w:vAlign w:val="center"/>
          </w:tcPr>
          <w:p w:rsidR="00B33BC8" w:rsidRPr="00851EC7" w:rsidRDefault="00B33BC8" w:rsidP="00B33BC8">
            <w:pPr>
              <w:spacing w:before="60" w:after="60"/>
              <w:rPr>
                <w:rFonts w:asciiTheme="minorHAnsi" w:hAnsiTheme="minorHAnsi"/>
                <w:b/>
                <w:sz w:val="20"/>
                <w:szCs w:val="20"/>
                <w:lang w:val="en-AU"/>
              </w:rPr>
            </w:pPr>
            <w:r w:rsidRPr="00851EC7">
              <w:rPr>
                <w:rFonts w:asciiTheme="minorHAnsi" w:hAnsiTheme="minorHAnsi"/>
                <w:b/>
                <w:sz w:val="20"/>
                <w:szCs w:val="20"/>
                <w:lang w:val="en-AU"/>
              </w:rPr>
              <w:lastRenderedPageBreak/>
              <w:t>Sustainability</w:t>
            </w:r>
          </w:p>
        </w:tc>
        <w:tc>
          <w:tcPr>
            <w:tcW w:w="1276" w:type="dxa"/>
            <w:shd w:val="clear" w:color="auto" w:fill="FFFF0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4</w:t>
            </w:r>
          </w:p>
        </w:tc>
        <w:tc>
          <w:tcPr>
            <w:tcW w:w="1276" w:type="dxa"/>
            <w:shd w:val="clear" w:color="auto" w:fill="FFFF00"/>
            <w:vAlign w:val="center"/>
          </w:tcPr>
          <w:p w:rsidR="00B33BC8" w:rsidRPr="00851EC7" w:rsidRDefault="00B33BC8" w:rsidP="00B33BC8">
            <w:pPr>
              <w:spacing w:before="60" w:after="60"/>
              <w:jc w:val="center"/>
              <w:rPr>
                <w:rFonts w:asciiTheme="minorHAnsi" w:hAnsiTheme="minorHAnsi"/>
                <w:sz w:val="20"/>
                <w:szCs w:val="20"/>
                <w:lang w:val="en-AU"/>
              </w:rPr>
            </w:pPr>
            <w:r w:rsidRPr="00851EC7">
              <w:rPr>
                <w:rFonts w:asciiTheme="minorHAnsi" w:hAnsiTheme="minorHAnsi"/>
                <w:sz w:val="20"/>
                <w:szCs w:val="20"/>
                <w:lang w:val="en-AU"/>
              </w:rPr>
              <w:t>4</w:t>
            </w:r>
          </w:p>
        </w:tc>
        <w:tc>
          <w:tcPr>
            <w:tcW w:w="5864" w:type="dxa"/>
            <w:shd w:val="clear" w:color="auto" w:fill="FFFFFF" w:themeFill="background1"/>
            <w:vAlign w:val="center"/>
          </w:tcPr>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At a systemic level, the likelihood that Component 1 processes and systems will be sustained is variable: some aspects (e.g. CHS, training guidelines and manuals) will likely be used post-EP, other are less likely (e.g. field monitors, site selection process)</w:t>
            </w:r>
          </w:p>
        </w:tc>
        <w:tc>
          <w:tcPr>
            <w:tcW w:w="3726" w:type="dxa"/>
            <w:shd w:val="clear" w:color="auto" w:fill="FFFFFF" w:themeFill="background1"/>
            <w:vAlign w:val="center"/>
          </w:tcPr>
          <w:p w:rsidR="00B33BC8" w:rsidRPr="00851EC7" w:rsidRDefault="00B33BC8" w:rsidP="00215A8F">
            <w:pPr>
              <w:pStyle w:val="ListParagraph"/>
              <w:numPr>
                <w:ilvl w:val="0"/>
                <w:numId w:val="21"/>
              </w:numPr>
              <w:spacing w:before="60" w:after="60"/>
              <w:ind w:left="417"/>
              <w:rPr>
                <w:rFonts w:asciiTheme="minorHAnsi" w:hAnsiTheme="minorHAnsi"/>
                <w:sz w:val="20"/>
                <w:szCs w:val="20"/>
                <w:lang w:val="en-AU"/>
              </w:rPr>
            </w:pPr>
            <w:r w:rsidRPr="00851EC7">
              <w:rPr>
                <w:rFonts w:asciiTheme="minorHAnsi" w:hAnsiTheme="minorHAnsi"/>
                <w:sz w:val="20"/>
                <w:szCs w:val="20"/>
                <w:lang w:val="en-AU"/>
              </w:rPr>
              <w:t>There is no guarantee that C1 management processes, however efficient, will be sustained.</w:t>
            </w:r>
          </w:p>
        </w:tc>
      </w:tr>
    </w:tbl>
    <w:p w:rsidR="00B33BC8" w:rsidRPr="00851EC7" w:rsidRDefault="00B33BC8" w:rsidP="00B33BC8">
      <w:pPr>
        <w:rPr>
          <w:b/>
          <w:lang w:val="en-AU"/>
        </w:rPr>
      </w:pPr>
      <w:r w:rsidRPr="00851EC7">
        <w:rPr>
          <w:lang w:val="en-AU"/>
        </w:rPr>
        <w:br w:type="page"/>
      </w:r>
    </w:p>
    <w:p w:rsidR="00B33BC8" w:rsidRPr="00851EC7" w:rsidRDefault="004D3EF0" w:rsidP="004D3EF0">
      <w:pPr>
        <w:pStyle w:val="Caption"/>
        <w:keepNext/>
        <w:rPr>
          <w:rStyle w:val="Strong"/>
          <w:b/>
          <w:bCs w:val="0"/>
          <w:lang w:val="en-AU"/>
        </w:rPr>
      </w:pPr>
      <w:bookmarkStart w:id="29" w:name="_Toc412534578"/>
      <w:r>
        <w:lastRenderedPageBreak/>
        <w:t xml:space="preserve">Table </w:t>
      </w:r>
      <w:r>
        <w:fldChar w:fldCharType="begin"/>
      </w:r>
      <w:r>
        <w:instrText xml:space="preserve"> SEQ Table \* ARABIC </w:instrText>
      </w:r>
      <w:r>
        <w:fldChar w:fldCharType="separate"/>
      </w:r>
      <w:r w:rsidR="004A0A8F">
        <w:rPr>
          <w:noProof/>
        </w:rPr>
        <w:t>6</w:t>
      </w:r>
      <w:r>
        <w:fldChar w:fldCharType="end"/>
      </w:r>
      <w:r w:rsidR="00B33BC8" w:rsidRPr="00851EC7">
        <w:rPr>
          <w:lang w:val="en-AU"/>
        </w:rPr>
        <w:t>: Component 1 key findings and recommendations</w:t>
      </w:r>
      <w:bookmarkEnd w:id="29"/>
    </w:p>
    <w:p w:rsidR="004B1032" w:rsidRPr="002637D1" w:rsidRDefault="004B1032" w:rsidP="004B1032">
      <w:pPr>
        <w:rPr>
          <w:lang w:val="en-AU"/>
        </w:rPr>
      </w:pPr>
    </w:p>
    <w:tbl>
      <w:tblPr>
        <w:tblStyle w:val="TableGrid31"/>
        <w:tblW w:w="5000" w:type="pct"/>
        <w:tblCellMar>
          <w:top w:w="108" w:type="dxa"/>
          <w:bottom w:w="108" w:type="dxa"/>
        </w:tblCellMar>
        <w:tblLook w:val="04A0" w:firstRow="1" w:lastRow="0" w:firstColumn="1" w:lastColumn="0" w:noHBand="0" w:noVBand="1"/>
      </w:tblPr>
      <w:tblGrid>
        <w:gridCol w:w="4285"/>
        <w:gridCol w:w="5481"/>
        <w:gridCol w:w="958"/>
        <w:gridCol w:w="3446"/>
      </w:tblGrid>
      <w:tr w:rsidR="004B1032" w:rsidRPr="00DC41F6" w:rsidTr="004B1032">
        <w:trPr>
          <w:trHeight w:val="567"/>
          <w:tblHeader/>
        </w:trPr>
        <w:tc>
          <w:tcPr>
            <w:tcW w:w="1512" w:type="pct"/>
            <w:tcBorders>
              <w:bottom w:val="single" w:sz="4" w:space="0" w:color="auto"/>
            </w:tcBorders>
            <w:shd w:val="clear" w:color="auto" w:fill="244061" w:themeFill="accent1" w:themeFillShade="80"/>
            <w:vAlign w:val="center"/>
          </w:tcPr>
          <w:p w:rsidR="004B1032" w:rsidRPr="00DC41F6" w:rsidRDefault="004B1032" w:rsidP="004B1032">
            <w:pPr>
              <w:jc w:val="center"/>
              <w:rPr>
                <w:rFonts w:asciiTheme="minorHAnsi" w:hAnsiTheme="minorHAnsi" w:cstheme="minorHAnsi"/>
                <w:b/>
                <w:color w:val="FFFFFF" w:themeColor="background1"/>
                <w:sz w:val="20"/>
                <w:szCs w:val="20"/>
                <w:lang w:val="en-AU"/>
              </w:rPr>
            </w:pPr>
            <w:r w:rsidRPr="00DC41F6">
              <w:rPr>
                <w:rFonts w:asciiTheme="minorHAnsi" w:hAnsiTheme="minorHAnsi" w:cstheme="minorHAnsi"/>
                <w:b/>
                <w:color w:val="FFFFFF" w:themeColor="background1"/>
                <w:sz w:val="20"/>
                <w:szCs w:val="20"/>
                <w:lang w:val="en-AU"/>
              </w:rPr>
              <w:t>Findings</w:t>
            </w:r>
          </w:p>
        </w:tc>
        <w:tc>
          <w:tcPr>
            <w:tcW w:w="1934" w:type="pct"/>
            <w:tcBorders>
              <w:bottom w:val="single" w:sz="4" w:space="0" w:color="auto"/>
            </w:tcBorders>
            <w:shd w:val="clear" w:color="auto" w:fill="244061" w:themeFill="accent1" w:themeFillShade="80"/>
            <w:vAlign w:val="center"/>
          </w:tcPr>
          <w:p w:rsidR="004B1032" w:rsidRPr="00DC41F6" w:rsidRDefault="004B1032" w:rsidP="004B1032">
            <w:pPr>
              <w:jc w:val="center"/>
              <w:rPr>
                <w:rFonts w:asciiTheme="minorHAnsi" w:hAnsiTheme="minorHAnsi" w:cstheme="minorHAnsi"/>
                <w:b/>
                <w:color w:val="FFFFFF" w:themeColor="background1"/>
                <w:sz w:val="20"/>
                <w:szCs w:val="20"/>
                <w:lang w:val="en-AU"/>
              </w:rPr>
            </w:pPr>
            <w:r w:rsidRPr="00DC41F6">
              <w:rPr>
                <w:rFonts w:asciiTheme="minorHAnsi" w:hAnsiTheme="minorHAnsi" w:cstheme="minorHAnsi"/>
                <w:b/>
                <w:color w:val="FFFFFF" w:themeColor="background1"/>
                <w:sz w:val="20"/>
                <w:szCs w:val="20"/>
                <w:lang w:val="en-AU"/>
              </w:rPr>
              <w:t>Recommendations</w:t>
            </w:r>
          </w:p>
        </w:tc>
        <w:tc>
          <w:tcPr>
            <w:tcW w:w="338" w:type="pct"/>
            <w:tcBorders>
              <w:bottom w:val="single" w:sz="4" w:space="0" w:color="auto"/>
            </w:tcBorders>
            <w:shd w:val="clear" w:color="auto" w:fill="244061" w:themeFill="accent1" w:themeFillShade="80"/>
            <w:vAlign w:val="center"/>
          </w:tcPr>
          <w:p w:rsidR="004B1032" w:rsidRPr="00DC41F6" w:rsidRDefault="004B1032" w:rsidP="004B1032">
            <w:pPr>
              <w:jc w:val="center"/>
              <w:rPr>
                <w:rFonts w:asciiTheme="minorHAnsi" w:hAnsiTheme="minorHAnsi" w:cstheme="minorHAnsi"/>
                <w:b/>
                <w:color w:val="FFFFFF" w:themeColor="background1"/>
                <w:sz w:val="20"/>
                <w:szCs w:val="20"/>
                <w:lang w:val="en-AU"/>
              </w:rPr>
            </w:pPr>
            <w:r w:rsidRPr="00DC41F6">
              <w:rPr>
                <w:rFonts w:asciiTheme="minorHAnsi" w:hAnsiTheme="minorHAnsi" w:cstheme="minorHAnsi"/>
                <w:b/>
                <w:color w:val="FFFFFF" w:themeColor="background1"/>
                <w:sz w:val="20"/>
                <w:szCs w:val="20"/>
                <w:lang w:val="en-AU"/>
              </w:rPr>
              <w:t>Level of urgency</w:t>
            </w:r>
          </w:p>
        </w:tc>
        <w:tc>
          <w:tcPr>
            <w:tcW w:w="1216" w:type="pct"/>
            <w:tcBorders>
              <w:bottom w:val="single" w:sz="4" w:space="0" w:color="auto"/>
            </w:tcBorders>
            <w:shd w:val="clear" w:color="auto" w:fill="244061" w:themeFill="accent1" w:themeFillShade="80"/>
            <w:vAlign w:val="center"/>
          </w:tcPr>
          <w:p w:rsidR="004B1032" w:rsidRPr="00DC41F6" w:rsidRDefault="004B1032" w:rsidP="004B1032">
            <w:pPr>
              <w:jc w:val="center"/>
              <w:rPr>
                <w:rFonts w:asciiTheme="minorHAnsi" w:hAnsiTheme="minorHAnsi" w:cstheme="minorHAnsi"/>
                <w:b/>
                <w:color w:val="FFFFFF" w:themeColor="background1"/>
                <w:sz w:val="20"/>
                <w:szCs w:val="20"/>
                <w:lang w:val="en-AU"/>
              </w:rPr>
            </w:pPr>
            <w:r w:rsidRPr="00DC41F6">
              <w:rPr>
                <w:rFonts w:asciiTheme="minorHAnsi" w:hAnsiTheme="minorHAnsi" w:cstheme="minorHAnsi"/>
                <w:b/>
                <w:color w:val="FFFFFF" w:themeColor="background1"/>
                <w:sz w:val="20"/>
                <w:szCs w:val="20"/>
                <w:lang w:val="en-AU"/>
              </w:rPr>
              <w:t>Prime Responsibility</w:t>
            </w:r>
          </w:p>
        </w:tc>
      </w:tr>
      <w:tr w:rsidR="004B1032" w:rsidRPr="00DC41F6" w:rsidTr="004B1032">
        <w:trPr>
          <w:trHeight w:val="719"/>
        </w:trPr>
        <w:tc>
          <w:tcPr>
            <w:tcW w:w="1512" w:type="pct"/>
            <w:vMerge w:val="restart"/>
            <w:shd w:val="clear" w:color="auto" w:fill="FFFFFF" w:themeFill="background1"/>
            <w:vAlign w:val="center"/>
          </w:tcPr>
          <w:p w:rsidR="004B1032" w:rsidRPr="00DC41F6" w:rsidRDefault="004B1032" w:rsidP="004B1032">
            <w:pPr>
              <w:rPr>
                <w:rFonts w:asciiTheme="minorHAnsi" w:hAnsiTheme="minorHAnsi"/>
                <w:sz w:val="20"/>
                <w:szCs w:val="20"/>
                <w:lang w:val="en-AU"/>
              </w:rPr>
            </w:pPr>
            <w:r w:rsidRPr="00DC41F6">
              <w:rPr>
                <w:rFonts w:asciiTheme="minorHAnsi" w:hAnsiTheme="minorHAnsi"/>
                <w:sz w:val="20"/>
                <w:szCs w:val="20"/>
                <w:lang w:val="en-AU"/>
              </w:rPr>
              <w:t>C1 has made notable year-on-year improvements to the efficiency of the delivery of school construction. These are directly attributable to the prevalence of enhanced management processes and systems. There is a clear opportunity to institutionalise those enhancements</w:t>
            </w:r>
            <w:r>
              <w:rPr>
                <w:rFonts w:asciiTheme="minorHAnsi" w:hAnsiTheme="minorHAnsi"/>
                <w:sz w:val="20"/>
                <w:szCs w:val="20"/>
                <w:lang w:val="en-AU"/>
              </w:rPr>
              <w:t xml:space="preserve"> </w:t>
            </w:r>
            <w:r w:rsidRPr="00F63F9D">
              <w:rPr>
                <w:sz w:val="20"/>
                <w:szCs w:val="20"/>
                <w:lang w:val="en-AU"/>
              </w:rPr>
              <w:t>(see §</w:t>
            </w:r>
            <w:r>
              <w:rPr>
                <w:sz w:val="20"/>
                <w:szCs w:val="20"/>
                <w:lang w:val="en-AU"/>
              </w:rPr>
              <w:t>2.4.2</w:t>
            </w:r>
            <w:r w:rsidRPr="00F63F9D">
              <w:rPr>
                <w:sz w:val="20"/>
                <w:szCs w:val="20"/>
                <w:lang w:val="en-AU"/>
              </w:rPr>
              <w:t>)</w:t>
            </w:r>
            <w:r w:rsidRPr="00DC41F6">
              <w:rPr>
                <w:rFonts w:asciiTheme="minorHAnsi" w:hAnsiTheme="minorHAnsi"/>
                <w:sz w:val="20"/>
                <w:szCs w:val="20"/>
                <w:lang w:val="en-AU"/>
              </w:rPr>
              <w:t>.</w:t>
            </w:r>
          </w:p>
        </w:tc>
        <w:tc>
          <w:tcPr>
            <w:tcW w:w="1934" w:type="pct"/>
            <w:shd w:val="clear" w:color="auto" w:fill="FFFFFF" w:themeFill="background1"/>
            <w:vAlign w:val="center"/>
          </w:tcPr>
          <w:p w:rsidR="004B1032" w:rsidRPr="00DC41F6" w:rsidRDefault="004B1032" w:rsidP="004B1032">
            <w:pPr>
              <w:spacing w:before="120" w:after="120"/>
              <w:ind w:left="459" w:hanging="450"/>
              <w:rPr>
                <w:rFonts w:asciiTheme="minorHAnsi" w:hAnsiTheme="minorHAnsi"/>
                <w:sz w:val="20"/>
                <w:szCs w:val="20"/>
                <w:lang w:val="en-AU"/>
              </w:rPr>
            </w:pPr>
            <w:r>
              <w:rPr>
                <w:rFonts w:asciiTheme="minorHAnsi" w:hAnsiTheme="minorHAnsi"/>
                <w:sz w:val="20"/>
                <w:szCs w:val="20"/>
                <w:lang w:val="en-AU"/>
              </w:rPr>
              <w:t>R1:</w:t>
            </w:r>
            <w:r>
              <w:rPr>
                <w:rFonts w:asciiTheme="minorHAnsi" w:hAnsiTheme="minorHAnsi"/>
                <w:sz w:val="20"/>
                <w:szCs w:val="20"/>
                <w:lang w:val="en-AU"/>
              </w:rPr>
              <w:tab/>
            </w:r>
            <w:r w:rsidRPr="00DC41F6">
              <w:rPr>
                <w:rFonts w:asciiTheme="minorHAnsi" w:hAnsiTheme="minorHAnsi"/>
                <w:sz w:val="20"/>
                <w:szCs w:val="20"/>
                <w:lang w:val="en-AU"/>
              </w:rPr>
              <w:t xml:space="preserve">Institutional partners, </w:t>
            </w:r>
            <w:r w:rsidRPr="00F7434E">
              <w:rPr>
                <w:sz w:val="20"/>
                <w:szCs w:val="20"/>
                <w:lang w:val="en-AU"/>
              </w:rPr>
              <w:t>with</w:t>
            </w:r>
            <w:r w:rsidRPr="00DC41F6">
              <w:rPr>
                <w:rFonts w:asciiTheme="minorHAnsi" w:hAnsiTheme="minorHAnsi"/>
                <w:sz w:val="20"/>
                <w:szCs w:val="20"/>
                <w:lang w:val="en-AU"/>
              </w:rPr>
              <w:t xml:space="preserve"> the support of SSQ, should identify which C1 systems and processes have the greatest potential to be sustained (adopted ‘as is’ or adapted to fit). </w:t>
            </w:r>
          </w:p>
        </w:tc>
        <w:tc>
          <w:tcPr>
            <w:tcW w:w="338" w:type="pct"/>
            <w:tcBorders>
              <w:bottom w:val="single" w:sz="4" w:space="0" w:color="auto"/>
            </w:tcBorders>
            <w:shd w:val="clear" w:color="auto" w:fill="FF0000"/>
            <w:vAlign w:val="center"/>
          </w:tcPr>
          <w:p w:rsidR="004B1032" w:rsidRPr="00DC41F6" w:rsidRDefault="004B1032" w:rsidP="004B1032">
            <w:pPr>
              <w:jc w:val="center"/>
              <w:rPr>
                <w:rFonts w:asciiTheme="minorHAnsi" w:hAnsiTheme="minorHAnsi"/>
                <w:sz w:val="20"/>
                <w:szCs w:val="20"/>
                <w:lang w:val="en-AU"/>
              </w:rPr>
            </w:pPr>
            <w:r w:rsidRPr="00DC41F6">
              <w:rPr>
                <w:rFonts w:asciiTheme="minorHAnsi" w:hAnsiTheme="minorHAnsi"/>
                <w:i/>
                <w:sz w:val="20"/>
                <w:szCs w:val="20"/>
                <w:lang w:val="en-AU"/>
              </w:rPr>
              <w:t>***</w:t>
            </w:r>
          </w:p>
        </w:tc>
        <w:tc>
          <w:tcPr>
            <w:tcW w:w="1216" w:type="pct"/>
            <w:vAlign w:val="center"/>
          </w:tcPr>
          <w:p w:rsidR="004B1032" w:rsidRPr="00DC41F6" w:rsidRDefault="004B1032" w:rsidP="004B1032">
            <w:pPr>
              <w:ind w:left="371" w:hanging="362"/>
              <w:rPr>
                <w:rFonts w:asciiTheme="minorHAnsi" w:hAnsiTheme="minorHAnsi"/>
                <w:sz w:val="20"/>
                <w:szCs w:val="20"/>
                <w:lang w:val="en-AU"/>
              </w:rPr>
            </w:pPr>
            <w:r w:rsidRPr="00DC41F6">
              <w:rPr>
                <w:rFonts w:asciiTheme="minorHAnsi" w:hAnsiTheme="minorHAnsi"/>
                <w:sz w:val="20"/>
                <w:szCs w:val="20"/>
                <w:lang w:val="en-AU"/>
              </w:rPr>
              <w:t>MoEC (with SSQ support)</w:t>
            </w:r>
          </w:p>
        </w:tc>
      </w:tr>
      <w:tr w:rsidR="004B1032" w:rsidRPr="00DC41F6" w:rsidTr="004B1032">
        <w:trPr>
          <w:trHeight w:val="987"/>
        </w:trPr>
        <w:tc>
          <w:tcPr>
            <w:tcW w:w="1512" w:type="pct"/>
            <w:vMerge/>
            <w:shd w:val="clear" w:color="auto" w:fill="FFFFFF" w:themeFill="background1"/>
            <w:vAlign w:val="center"/>
          </w:tcPr>
          <w:p w:rsidR="004B1032" w:rsidRPr="00DC41F6" w:rsidRDefault="004B1032" w:rsidP="004B1032">
            <w:pPr>
              <w:rPr>
                <w:rFonts w:asciiTheme="minorHAnsi" w:hAnsiTheme="minorHAnsi"/>
                <w:sz w:val="20"/>
                <w:szCs w:val="20"/>
                <w:lang w:val="en-AU"/>
              </w:rPr>
            </w:pPr>
          </w:p>
        </w:tc>
        <w:tc>
          <w:tcPr>
            <w:tcW w:w="1934" w:type="pct"/>
            <w:shd w:val="clear" w:color="auto" w:fill="FFFFFF" w:themeFill="background1"/>
            <w:vAlign w:val="center"/>
          </w:tcPr>
          <w:p w:rsidR="004B1032" w:rsidRPr="00DC41F6" w:rsidRDefault="004B1032" w:rsidP="004B1032">
            <w:pPr>
              <w:spacing w:before="120" w:after="120"/>
              <w:ind w:left="459" w:hanging="450"/>
              <w:rPr>
                <w:rFonts w:asciiTheme="minorHAnsi" w:hAnsiTheme="minorHAnsi"/>
                <w:sz w:val="20"/>
                <w:szCs w:val="20"/>
                <w:lang w:val="en-AU"/>
              </w:rPr>
            </w:pPr>
            <w:r>
              <w:rPr>
                <w:rFonts w:asciiTheme="minorHAnsi" w:hAnsiTheme="minorHAnsi"/>
                <w:sz w:val="20"/>
                <w:szCs w:val="20"/>
                <w:lang w:val="en-AU"/>
              </w:rPr>
              <w:t>R2:</w:t>
            </w:r>
            <w:r>
              <w:rPr>
                <w:rFonts w:asciiTheme="minorHAnsi" w:hAnsiTheme="minorHAnsi"/>
                <w:sz w:val="20"/>
                <w:szCs w:val="20"/>
                <w:lang w:val="en-AU"/>
              </w:rPr>
              <w:tab/>
            </w:r>
            <w:r w:rsidRPr="00DC41F6">
              <w:rPr>
                <w:rFonts w:asciiTheme="minorHAnsi" w:hAnsiTheme="minorHAnsi"/>
                <w:sz w:val="20"/>
                <w:szCs w:val="20"/>
                <w:lang w:val="en-AU"/>
              </w:rPr>
              <w:t>Institutional partners should consider the commissioning of supplementary analyses of the key success factors for sustainability, including appraisal of approaches to and lessons learned during the implementation of similar activities.</w:t>
            </w:r>
          </w:p>
        </w:tc>
        <w:tc>
          <w:tcPr>
            <w:tcW w:w="338" w:type="pct"/>
            <w:tcBorders>
              <w:bottom w:val="single" w:sz="4" w:space="0" w:color="auto"/>
            </w:tcBorders>
            <w:shd w:val="clear" w:color="auto" w:fill="FFC000"/>
            <w:vAlign w:val="center"/>
          </w:tcPr>
          <w:p w:rsidR="004B1032" w:rsidRPr="00DC41F6" w:rsidRDefault="004B1032" w:rsidP="004B1032">
            <w:pPr>
              <w:jc w:val="center"/>
              <w:rPr>
                <w:rFonts w:asciiTheme="minorHAnsi" w:hAnsiTheme="minorHAnsi"/>
                <w:sz w:val="20"/>
                <w:szCs w:val="20"/>
                <w:lang w:val="en-AU"/>
              </w:rPr>
            </w:pPr>
            <w:r w:rsidRPr="00DC41F6">
              <w:rPr>
                <w:rFonts w:asciiTheme="minorHAnsi" w:hAnsiTheme="minorHAnsi"/>
                <w:i/>
                <w:sz w:val="20"/>
                <w:szCs w:val="20"/>
                <w:lang w:val="en-AU"/>
              </w:rPr>
              <w:t>**</w:t>
            </w:r>
          </w:p>
        </w:tc>
        <w:tc>
          <w:tcPr>
            <w:tcW w:w="1216" w:type="pct"/>
            <w:vAlign w:val="center"/>
          </w:tcPr>
          <w:p w:rsidR="004B1032" w:rsidRPr="00DC41F6" w:rsidRDefault="004B1032" w:rsidP="004B1032">
            <w:pPr>
              <w:ind w:left="69" w:hanging="60"/>
              <w:rPr>
                <w:rFonts w:asciiTheme="minorHAnsi" w:hAnsiTheme="minorHAnsi"/>
                <w:sz w:val="20"/>
                <w:szCs w:val="20"/>
                <w:lang w:val="en-AU"/>
              </w:rPr>
            </w:pPr>
            <w:r w:rsidRPr="00DC41F6">
              <w:rPr>
                <w:rFonts w:asciiTheme="minorHAnsi" w:hAnsiTheme="minorHAnsi"/>
                <w:sz w:val="20"/>
                <w:szCs w:val="20"/>
                <w:lang w:val="en-AU"/>
              </w:rPr>
              <w:t>MoEC (with SSQ support)</w:t>
            </w:r>
          </w:p>
        </w:tc>
      </w:tr>
      <w:tr w:rsidR="004B1032" w:rsidRPr="00DC41F6" w:rsidTr="004B1032">
        <w:trPr>
          <w:trHeight w:val="656"/>
        </w:trPr>
        <w:tc>
          <w:tcPr>
            <w:tcW w:w="1512" w:type="pct"/>
            <w:vMerge w:val="restart"/>
            <w:shd w:val="clear" w:color="auto" w:fill="FFFFFF" w:themeFill="background1"/>
            <w:vAlign w:val="center"/>
          </w:tcPr>
          <w:p w:rsidR="004B1032" w:rsidRPr="00DC41F6" w:rsidRDefault="004B1032" w:rsidP="004B1032">
            <w:pPr>
              <w:rPr>
                <w:rFonts w:asciiTheme="minorHAnsi" w:hAnsiTheme="minorHAnsi"/>
                <w:sz w:val="20"/>
                <w:szCs w:val="20"/>
                <w:lang w:val="en-AU"/>
              </w:rPr>
            </w:pPr>
            <w:r w:rsidRPr="00DC41F6">
              <w:rPr>
                <w:rFonts w:asciiTheme="minorHAnsi" w:hAnsiTheme="minorHAnsi"/>
                <w:sz w:val="20"/>
                <w:szCs w:val="20"/>
                <w:lang w:val="en-AU"/>
              </w:rPr>
              <w:t>Prospects for attainment of the EOPO have been enhanced by improvements to the site selection process and the delivery of the NSIP. The headline enrolment figures are encouraging but i) they do not necessarily reflect additional enrolment and ii) the extent to which EP is making a contribution to additional enrolment (vs. transferees) is unknown</w:t>
            </w:r>
            <w:r>
              <w:rPr>
                <w:rFonts w:asciiTheme="minorHAnsi" w:hAnsiTheme="minorHAnsi"/>
                <w:sz w:val="20"/>
                <w:szCs w:val="20"/>
                <w:lang w:val="en-AU"/>
              </w:rPr>
              <w:t xml:space="preserve"> </w:t>
            </w:r>
            <w:r w:rsidRPr="00F63F9D">
              <w:rPr>
                <w:sz w:val="20"/>
                <w:szCs w:val="20"/>
                <w:lang w:val="en-AU"/>
              </w:rPr>
              <w:t>(see §</w:t>
            </w:r>
            <w:r>
              <w:rPr>
                <w:sz w:val="20"/>
                <w:szCs w:val="20"/>
                <w:lang w:val="en-AU"/>
              </w:rPr>
              <w:t>2.4.3</w:t>
            </w:r>
            <w:r w:rsidRPr="00F63F9D">
              <w:rPr>
                <w:sz w:val="20"/>
                <w:szCs w:val="20"/>
                <w:lang w:val="en-AU"/>
              </w:rPr>
              <w:t>)</w:t>
            </w:r>
            <w:r w:rsidRPr="00DC41F6">
              <w:rPr>
                <w:rFonts w:asciiTheme="minorHAnsi" w:hAnsiTheme="minorHAnsi"/>
                <w:sz w:val="20"/>
                <w:szCs w:val="20"/>
                <w:lang w:val="en-AU"/>
              </w:rPr>
              <w:t>.</w:t>
            </w:r>
          </w:p>
        </w:tc>
        <w:tc>
          <w:tcPr>
            <w:tcW w:w="1934" w:type="pct"/>
            <w:shd w:val="clear" w:color="auto" w:fill="FFFFFF" w:themeFill="background1"/>
            <w:vAlign w:val="center"/>
          </w:tcPr>
          <w:p w:rsidR="004B1032" w:rsidRPr="00DC41F6" w:rsidRDefault="004B1032" w:rsidP="004B1032">
            <w:pPr>
              <w:spacing w:before="120" w:after="120"/>
              <w:ind w:left="459" w:hanging="450"/>
              <w:rPr>
                <w:rFonts w:asciiTheme="minorHAnsi" w:hAnsiTheme="minorHAnsi"/>
                <w:sz w:val="20"/>
                <w:szCs w:val="20"/>
                <w:lang w:val="en-AU"/>
              </w:rPr>
            </w:pPr>
            <w:r>
              <w:rPr>
                <w:rFonts w:asciiTheme="minorHAnsi" w:hAnsiTheme="minorHAnsi"/>
                <w:sz w:val="20"/>
                <w:szCs w:val="20"/>
                <w:lang w:val="en-AU"/>
              </w:rPr>
              <w:t>R3:</w:t>
            </w:r>
            <w:r>
              <w:rPr>
                <w:rFonts w:asciiTheme="minorHAnsi" w:hAnsiTheme="minorHAnsi"/>
                <w:sz w:val="20"/>
                <w:szCs w:val="20"/>
                <w:lang w:val="en-AU"/>
              </w:rPr>
              <w:tab/>
            </w:r>
            <w:r w:rsidRPr="00DC41F6">
              <w:rPr>
                <w:rFonts w:asciiTheme="minorHAnsi" w:hAnsiTheme="minorHAnsi"/>
                <w:sz w:val="20"/>
                <w:szCs w:val="20"/>
                <w:lang w:val="en-AU"/>
              </w:rPr>
              <w:t>Accurate enrolment figures of all newly built schools should be systematically and comprehensively reported.</w:t>
            </w:r>
          </w:p>
        </w:tc>
        <w:tc>
          <w:tcPr>
            <w:tcW w:w="338" w:type="pct"/>
            <w:shd w:val="clear" w:color="auto" w:fill="FFC000"/>
            <w:vAlign w:val="center"/>
          </w:tcPr>
          <w:p w:rsidR="004B1032" w:rsidRPr="00DC41F6" w:rsidRDefault="004B1032" w:rsidP="004B1032">
            <w:pPr>
              <w:jc w:val="center"/>
              <w:rPr>
                <w:rFonts w:asciiTheme="minorHAnsi" w:hAnsiTheme="minorHAnsi"/>
                <w:sz w:val="20"/>
                <w:szCs w:val="20"/>
                <w:lang w:val="en-AU"/>
              </w:rPr>
            </w:pPr>
            <w:r w:rsidRPr="00DC41F6">
              <w:rPr>
                <w:rFonts w:asciiTheme="minorHAnsi" w:hAnsiTheme="minorHAnsi"/>
                <w:i/>
                <w:sz w:val="20"/>
                <w:szCs w:val="20"/>
                <w:lang w:val="en-AU"/>
              </w:rPr>
              <w:t>**</w:t>
            </w:r>
          </w:p>
        </w:tc>
        <w:tc>
          <w:tcPr>
            <w:tcW w:w="1216" w:type="pct"/>
            <w:vAlign w:val="center"/>
          </w:tcPr>
          <w:p w:rsidR="004B1032" w:rsidRPr="00DC41F6" w:rsidRDefault="004B1032" w:rsidP="004B1032">
            <w:pPr>
              <w:ind w:left="371" w:hanging="362"/>
              <w:rPr>
                <w:rFonts w:asciiTheme="minorHAnsi" w:hAnsiTheme="minorHAnsi"/>
                <w:sz w:val="20"/>
                <w:szCs w:val="20"/>
                <w:lang w:val="en-AU"/>
              </w:rPr>
            </w:pPr>
            <w:r w:rsidRPr="00DC41F6">
              <w:rPr>
                <w:rFonts w:asciiTheme="minorHAnsi" w:hAnsiTheme="minorHAnsi"/>
                <w:sz w:val="20"/>
                <w:szCs w:val="20"/>
                <w:lang w:val="en-AU"/>
              </w:rPr>
              <w:t>MoEC (with SSQ support)</w:t>
            </w:r>
          </w:p>
        </w:tc>
      </w:tr>
      <w:tr w:rsidR="004B1032" w:rsidRPr="00DC41F6" w:rsidTr="004B1032">
        <w:trPr>
          <w:trHeight w:val="910"/>
        </w:trPr>
        <w:tc>
          <w:tcPr>
            <w:tcW w:w="1512" w:type="pct"/>
            <w:vMerge/>
            <w:shd w:val="clear" w:color="auto" w:fill="FFFFFF" w:themeFill="background1"/>
            <w:vAlign w:val="center"/>
          </w:tcPr>
          <w:p w:rsidR="004B1032" w:rsidRPr="00DC41F6" w:rsidRDefault="004B1032" w:rsidP="004B1032">
            <w:pPr>
              <w:rPr>
                <w:rFonts w:asciiTheme="minorHAnsi" w:hAnsiTheme="minorHAnsi"/>
                <w:sz w:val="20"/>
                <w:szCs w:val="20"/>
                <w:lang w:val="en-AU"/>
              </w:rPr>
            </w:pPr>
          </w:p>
        </w:tc>
        <w:tc>
          <w:tcPr>
            <w:tcW w:w="1934" w:type="pct"/>
            <w:shd w:val="clear" w:color="auto" w:fill="FFFFFF" w:themeFill="background1"/>
            <w:vAlign w:val="center"/>
          </w:tcPr>
          <w:p w:rsidR="004B1032" w:rsidRPr="00DC41F6" w:rsidRDefault="004B1032" w:rsidP="004B1032">
            <w:pPr>
              <w:spacing w:before="120" w:after="120"/>
              <w:ind w:left="459" w:hanging="450"/>
              <w:rPr>
                <w:rFonts w:asciiTheme="minorHAnsi" w:hAnsiTheme="minorHAnsi"/>
                <w:sz w:val="20"/>
                <w:szCs w:val="20"/>
                <w:lang w:val="en-AU"/>
              </w:rPr>
            </w:pPr>
            <w:r>
              <w:rPr>
                <w:rFonts w:asciiTheme="minorHAnsi" w:hAnsiTheme="minorHAnsi"/>
                <w:sz w:val="20"/>
                <w:szCs w:val="20"/>
                <w:lang w:val="en-AU"/>
              </w:rPr>
              <w:t>R4:</w:t>
            </w:r>
            <w:r>
              <w:rPr>
                <w:rFonts w:asciiTheme="minorHAnsi" w:hAnsiTheme="minorHAnsi"/>
                <w:sz w:val="20"/>
                <w:szCs w:val="20"/>
                <w:lang w:val="en-AU"/>
              </w:rPr>
              <w:tab/>
            </w:r>
            <w:r w:rsidRPr="00DC41F6">
              <w:rPr>
                <w:rFonts w:asciiTheme="minorHAnsi" w:hAnsiTheme="minorHAnsi"/>
                <w:sz w:val="20"/>
                <w:szCs w:val="20"/>
                <w:lang w:val="en-AU"/>
              </w:rPr>
              <w:t>A survey instrument should be proposed in POM’s EOPO 1 Evaluation Study endline in 2015 to disaggregate between new enrolees</w:t>
            </w:r>
            <w:r w:rsidRPr="00DC41F6">
              <w:rPr>
                <w:rFonts w:asciiTheme="minorHAnsi" w:hAnsiTheme="minorHAnsi"/>
                <w:sz w:val="20"/>
                <w:szCs w:val="20"/>
              </w:rPr>
              <w:t xml:space="preserve"> and transferees. </w:t>
            </w:r>
          </w:p>
        </w:tc>
        <w:tc>
          <w:tcPr>
            <w:tcW w:w="338" w:type="pct"/>
            <w:shd w:val="clear" w:color="auto" w:fill="FFC000"/>
            <w:vAlign w:val="center"/>
          </w:tcPr>
          <w:p w:rsidR="004B1032" w:rsidRPr="00DC41F6" w:rsidRDefault="004B1032" w:rsidP="004B1032">
            <w:pPr>
              <w:jc w:val="center"/>
              <w:rPr>
                <w:rFonts w:asciiTheme="minorHAnsi" w:hAnsiTheme="minorHAnsi"/>
                <w:i/>
                <w:sz w:val="20"/>
                <w:szCs w:val="20"/>
                <w:lang w:val="en-AU"/>
              </w:rPr>
            </w:pPr>
            <w:r w:rsidRPr="00DC41F6">
              <w:rPr>
                <w:rFonts w:asciiTheme="minorHAnsi" w:hAnsiTheme="minorHAnsi"/>
                <w:i/>
                <w:sz w:val="20"/>
                <w:szCs w:val="20"/>
                <w:lang w:val="en-AU"/>
              </w:rPr>
              <w:t>**</w:t>
            </w:r>
          </w:p>
        </w:tc>
        <w:tc>
          <w:tcPr>
            <w:tcW w:w="1216" w:type="pct"/>
            <w:shd w:val="clear" w:color="auto" w:fill="FFFFFF" w:themeFill="background1"/>
            <w:vAlign w:val="center"/>
          </w:tcPr>
          <w:p w:rsidR="004B1032" w:rsidRPr="00DC41F6" w:rsidRDefault="004B1032" w:rsidP="004B1032">
            <w:pPr>
              <w:ind w:left="371" w:hanging="362"/>
              <w:rPr>
                <w:rFonts w:asciiTheme="minorHAnsi" w:hAnsiTheme="minorHAnsi"/>
                <w:sz w:val="20"/>
                <w:szCs w:val="20"/>
                <w:lang w:val="en-AU"/>
              </w:rPr>
            </w:pPr>
            <w:r w:rsidRPr="00DC41F6">
              <w:rPr>
                <w:rFonts w:asciiTheme="minorHAnsi" w:hAnsiTheme="minorHAnsi"/>
                <w:sz w:val="20"/>
                <w:szCs w:val="20"/>
                <w:lang w:val="en-AU"/>
              </w:rPr>
              <w:t>POM and DFAT</w:t>
            </w:r>
          </w:p>
        </w:tc>
      </w:tr>
      <w:tr w:rsidR="004B1032" w:rsidRPr="00DC41F6" w:rsidTr="004B1032">
        <w:trPr>
          <w:trHeight w:val="923"/>
        </w:trPr>
        <w:tc>
          <w:tcPr>
            <w:tcW w:w="1512" w:type="pct"/>
            <w:vMerge/>
            <w:shd w:val="clear" w:color="auto" w:fill="FFFFFF" w:themeFill="background1"/>
            <w:vAlign w:val="center"/>
          </w:tcPr>
          <w:p w:rsidR="004B1032" w:rsidRPr="00DC41F6" w:rsidRDefault="004B1032" w:rsidP="004B1032">
            <w:pPr>
              <w:rPr>
                <w:rFonts w:asciiTheme="minorHAnsi" w:hAnsiTheme="minorHAnsi"/>
                <w:sz w:val="20"/>
                <w:szCs w:val="20"/>
                <w:lang w:val="en-AU"/>
              </w:rPr>
            </w:pPr>
          </w:p>
        </w:tc>
        <w:tc>
          <w:tcPr>
            <w:tcW w:w="1934" w:type="pct"/>
            <w:shd w:val="clear" w:color="auto" w:fill="FFFFFF" w:themeFill="background1"/>
            <w:vAlign w:val="center"/>
          </w:tcPr>
          <w:p w:rsidR="004B1032" w:rsidRPr="00DC41F6" w:rsidRDefault="004B1032" w:rsidP="004B1032">
            <w:pPr>
              <w:spacing w:before="120" w:after="120"/>
              <w:ind w:left="459" w:hanging="450"/>
              <w:rPr>
                <w:rFonts w:asciiTheme="minorHAnsi" w:hAnsiTheme="minorHAnsi"/>
                <w:sz w:val="20"/>
                <w:szCs w:val="20"/>
                <w:lang w:val="en-AU"/>
              </w:rPr>
            </w:pPr>
            <w:r>
              <w:rPr>
                <w:rFonts w:asciiTheme="minorHAnsi" w:hAnsiTheme="minorHAnsi"/>
                <w:sz w:val="20"/>
                <w:szCs w:val="20"/>
                <w:lang w:val="en-AU"/>
              </w:rPr>
              <w:t>R5:</w:t>
            </w:r>
            <w:r>
              <w:rPr>
                <w:rFonts w:asciiTheme="minorHAnsi" w:hAnsiTheme="minorHAnsi"/>
                <w:sz w:val="20"/>
                <w:szCs w:val="20"/>
                <w:lang w:val="en-AU"/>
              </w:rPr>
              <w:tab/>
            </w:r>
            <w:r w:rsidRPr="00DC41F6">
              <w:rPr>
                <w:rFonts w:asciiTheme="minorHAnsi" w:hAnsiTheme="minorHAnsi"/>
                <w:sz w:val="20"/>
                <w:szCs w:val="20"/>
                <w:lang w:val="en-AU"/>
              </w:rPr>
              <w:t>The impact of the NSIP and enhanced site selection process should be analysed and documented (possibly through an evaluation study).</w:t>
            </w:r>
          </w:p>
        </w:tc>
        <w:tc>
          <w:tcPr>
            <w:tcW w:w="338" w:type="pct"/>
            <w:shd w:val="clear" w:color="auto" w:fill="00B050"/>
            <w:vAlign w:val="center"/>
          </w:tcPr>
          <w:p w:rsidR="004B1032" w:rsidRPr="00DC41F6" w:rsidRDefault="004B1032" w:rsidP="004B1032">
            <w:pPr>
              <w:jc w:val="center"/>
              <w:rPr>
                <w:rFonts w:asciiTheme="minorHAnsi" w:hAnsiTheme="minorHAnsi"/>
                <w:i/>
                <w:sz w:val="20"/>
                <w:szCs w:val="20"/>
                <w:lang w:val="en-AU"/>
              </w:rPr>
            </w:pPr>
            <w:r w:rsidRPr="00DC41F6">
              <w:rPr>
                <w:rFonts w:asciiTheme="minorHAnsi" w:hAnsiTheme="minorHAnsi"/>
                <w:i/>
                <w:sz w:val="20"/>
                <w:szCs w:val="20"/>
                <w:lang w:val="en-AU"/>
              </w:rPr>
              <w:t>*</w:t>
            </w:r>
          </w:p>
        </w:tc>
        <w:tc>
          <w:tcPr>
            <w:tcW w:w="1216" w:type="pct"/>
            <w:vAlign w:val="center"/>
          </w:tcPr>
          <w:p w:rsidR="004B1032" w:rsidRPr="00DC41F6" w:rsidRDefault="004B1032" w:rsidP="004B1032">
            <w:pPr>
              <w:ind w:left="371" w:hanging="362"/>
              <w:rPr>
                <w:rFonts w:asciiTheme="minorHAnsi" w:hAnsiTheme="minorHAnsi"/>
                <w:sz w:val="20"/>
                <w:szCs w:val="20"/>
                <w:lang w:val="en-AU"/>
              </w:rPr>
            </w:pPr>
            <w:r w:rsidRPr="00DC41F6">
              <w:rPr>
                <w:rFonts w:asciiTheme="minorHAnsi" w:hAnsiTheme="minorHAnsi"/>
                <w:sz w:val="20"/>
                <w:szCs w:val="20"/>
                <w:lang w:val="en-AU"/>
              </w:rPr>
              <w:t>MoEC (with SSQ support)</w:t>
            </w:r>
          </w:p>
        </w:tc>
      </w:tr>
    </w:tbl>
    <w:p w:rsidR="004B1032" w:rsidRDefault="004B1032" w:rsidP="004B1032">
      <w:pPr>
        <w:rPr>
          <w:i/>
          <w:lang w:val="en-AU"/>
        </w:rPr>
      </w:pPr>
    </w:p>
    <w:p w:rsidR="00B33BC8" w:rsidRPr="00851EC7" w:rsidRDefault="00B33BC8" w:rsidP="00B33BC8">
      <w:pPr>
        <w:rPr>
          <w:i/>
          <w:lang w:val="en-AU"/>
        </w:rPr>
      </w:pPr>
      <w:r w:rsidRPr="00851EC7">
        <w:rPr>
          <w:i/>
          <w:lang w:val="en-AU"/>
        </w:rPr>
        <w:t>NB: Red (***) - high urgency; orange (**) - medium urgency; green (*) - low urgency</w:t>
      </w:r>
    </w:p>
    <w:p w:rsidR="00A42AA1" w:rsidRPr="00851EC7" w:rsidRDefault="00A42AA1">
      <w:pPr>
        <w:rPr>
          <w:lang w:val="en-AU"/>
        </w:rPr>
        <w:sectPr w:rsidR="00A42AA1" w:rsidRPr="00851EC7" w:rsidSect="00A42AA1">
          <w:headerReference w:type="default" r:id="rId32"/>
          <w:footnotePr>
            <w:numRestart w:val="eachSect"/>
          </w:footnotePr>
          <w:endnotePr>
            <w:numRestart w:val="eachSect"/>
          </w:endnotePr>
          <w:pgSz w:w="16834" w:h="11909" w:orient="landscape" w:code="9"/>
          <w:pgMar w:top="1440" w:right="1440" w:bottom="1440" w:left="1440" w:header="432" w:footer="720" w:gutter="0"/>
          <w:cols w:space="720"/>
          <w:noEndnote/>
          <w:docGrid w:linePitch="360"/>
        </w:sectPr>
      </w:pPr>
    </w:p>
    <w:p w:rsidR="00D20962" w:rsidRPr="009E4D89" w:rsidRDefault="00D20962" w:rsidP="009E4D89">
      <w:pPr>
        <w:pStyle w:val="Heading1"/>
        <w:ind w:hanging="720"/>
      </w:pPr>
      <w:bookmarkStart w:id="30" w:name="_Toc407779882"/>
      <w:r w:rsidRPr="009E4D89">
        <w:lastRenderedPageBreak/>
        <w:t>Component 2: School and District Management</w:t>
      </w:r>
      <w:bookmarkEnd w:id="30"/>
    </w:p>
    <w:p w:rsidR="00D20962" w:rsidRPr="00D20962" w:rsidRDefault="00D20962" w:rsidP="009E4D89">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 xml:space="preserve">Introduction </w:t>
      </w:r>
    </w:p>
    <w:p w:rsidR="00D20962" w:rsidRPr="00D20962" w:rsidRDefault="00D20962" w:rsidP="00D20962">
      <w:pPr>
        <w:keepNext/>
        <w:numPr>
          <w:ilvl w:val="2"/>
          <w:numId w:val="7"/>
        </w:numPr>
        <w:tabs>
          <w:tab w:val="num" w:pos="360"/>
        </w:tabs>
        <w:spacing w:before="120" w:after="120"/>
        <w:ind w:left="709" w:hanging="709"/>
        <w:outlineLvl w:val="2"/>
        <w:rPr>
          <w:bCs/>
          <w:color w:val="003880"/>
          <w:sz w:val="24"/>
          <w:szCs w:val="28"/>
          <w:lang w:val="en-AU"/>
        </w:rPr>
      </w:pPr>
      <w:r w:rsidRPr="00D20962">
        <w:rPr>
          <w:bCs/>
          <w:color w:val="003880"/>
          <w:sz w:val="24"/>
          <w:szCs w:val="28"/>
          <w:lang w:val="en-AU"/>
        </w:rPr>
        <w:t xml:space="preserve">The EP investment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Component 2 seeks to improve the management of schools and madrasah in participating districts</w:t>
      </w:r>
      <w:r w:rsidRPr="00D20962">
        <w:rPr>
          <w:rFonts w:asciiTheme="minorHAnsi" w:hAnsiTheme="minorHAnsi" w:cstheme="minorHAnsi"/>
          <w:vertAlign w:val="superscript"/>
          <w:lang w:val="en-AU"/>
        </w:rPr>
        <w:t xml:space="preserve"> </w:t>
      </w:r>
      <w:r w:rsidRPr="00D20962">
        <w:rPr>
          <w:rFonts w:asciiTheme="minorHAnsi" w:hAnsiTheme="minorHAnsi" w:cstheme="minorHAnsi"/>
          <w:lang w:val="en-AU"/>
        </w:rPr>
        <w:t>(EOPO) through the application of improved professional competencies of principals (EOCO)</w:t>
      </w:r>
      <w:r w:rsidRPr="00D20962">
        <w:rPr>
          <w:rFonts w:asciiTheme="minorHAnsi" w:hAnsiTheme="minorHAnsi" w:cstheme="minorHAnsi"/>
          <w:vertAlign w:val="superscript"/>
          <w:lang w:val="en-AU"/>
        </w:rPr>
        <w:endnoteReference w:id="17"/>
      </w:r>
      <w:r w:rsidRPr="00D20962">
        <w:rPr>
          <w:rFonts w:asciiTheme="minorHAnsi" w:hAnsiTheme="minorHAnsi" w:cstheme="minorHAnsi"/>
          <w:lang w:val="en-AU"/>
        </w:rPr>
        <w:t xml:space="preserve">. With the Continuous Professional Development (CPD) for principals at its core, the EP-supported Professional Development for Education Personnel Program (ProDEP) also consists of Supervisor Professional Development (SPD), Human Resource Management and Development (HRMD), Strategic Planning and Financial Management (SP&amp;FM), and the Principal Preparation Program (PPP). ProDEP is implemented in 250 districts (approximately one-half of Indonesia’s total number of districts) and involves the participation of the two different ministries responsible for basic education, MoEC and MoRA. </w:t>
      </w:r>
    </w:p>
    <w:p w:rsidR="00D20962" w:rsidRPr="00D20962" w:rsidRDefault="00D20962" w:rsidP="00D20962">
      <w:pPr>
        <w:spacing w:before="120" w:after="120" w:line="276" w:lineRule="auto"/>
        <w:jc w:val="both"/>
        <w:rPr>
          <w:bCs/>
          <w:iCs/>
          <w:lang w:val="en-AU"/>
        </w:rPr>
      </w:pPr>
      <w:r w:rsidRPr="00D20962">
        <w:rPr>
          <w:rFonts w:asciiTheme="minorHAnsi" w:hAnsiTheme="minorHAnsi" w:cstheme="minorHAnsi"/>
          <w:lang w:val="en-AU"/>
        </w:rPr>
        <w:t>Component 2, in coordination with Component 1, also implements the New School Induction Program (NSIP) that is designed to support effective school-based management in newly constructed schools. In addition, Component 2 is piloting the Principal Performance Improvement Program (PPIP) which seeks to meet the special development needs of individual principals with unsatisfactory performance during appraisal.</w:t>
      </w:r>
      <w:r w:rsidRPr="00D20962">
        <w:rPr>
          <w:bCs/>
          <w:iCs/>
          <w:lang w:val="en-AU"/>
        </w:rPr>
        <w:t xml:space="preserve"> </w:t>
      </w:r>
    </w:p>
    <w:p w:rsidR="00D20962" w:rsidRPr="00D20962" w:rsidRDefault="00D20962" w:rsidP="00D20962">
      <w:pPr>
        <w:spacing w:before="120" w:after="120" w:line="276" w:lineRule="auto"/>
        <w:jc w:val="both"/>
        <w:rPr>
          <w:bCs/>
          <w:iCs/>
          <w:lang w:val="en-AU"/>
        </w:rPr>
      </w:pPr>
      <w:r w:rsidRPr="00D20962">
        <w:rPr>
          <w:bCs/>
          <w:iCs/>
          <w:lang w:val="en-AU"/>
        </w:rPr>
        <w:t>The role of Component 2 has shifted over the years from an initial focus on designing, developing and piloting professional development programs, to assisting MoEC in ProDEP implementation</w:t>
      </w:r>
      <w:r w:rsidRPr="00D20962">
        <w:rPr>
          <w:bCs/>
          <w:iCs/>
          <w:vertAlign w:val="superscript"/>
          <w:lang w:val="en-AU"/>
        </w:rPr>
        <w:endnoteReference w:id="18"/>
      </w:r>
      <w:r w:rsidRPr="00D20962">
        <w:rPr>
          <w:bCs/>
          <w:iCs/>
          <w:lang w:val="en-AU"/>
        </w:rPr>
        <w:t xml:space="preserve">, monitoring and evaluation, and quality assurance. </w:t>
      </w:r>
    </w:p>
    <w:p w:rsidR="00D20962" w:rsidRPr="00D20962" w:rsidRDefault="00D20962" w:rsidP="00D20962">
      <w:pPr>
        <w:spacing w:before="120" w:after="120" w:line="276" w:lineRule="auto"/>
        <w:jc w:val="both"/>
        <w:rPr>
          <w:bCs/>
          <w:iCs/>
          <w:lang w:val="en-AU"/>
        </w:rPr>
      </w:pPr>
      <w:r w:rsidRPr="00D20962">
        <w:rPr>
          <w:bCs/>
          <w:iCs/>
          <w:lang w:val="en-AU"/>
        </w:rPr>
        <w:t xml:space="preserve">ProDEP is largely financed by the Government of Australia (GoA) through a Grant Agreement with the Government of Indonesia with a budget of up to AUD 110m. The Government of Indonesia finances, </w:t>
      </w:r>
      <w:r w:rsidRPr="00D20962">
        <w:rPr>
          <w:bCs/>
          <w:i/>
          <w:iCs/>
          <w:lang w:val="en-AU"/>
        </w:rPr>
        <w:t>inter alia</w:t>
      </w:r>
      <w:r w:rsidRPr="00D20962">
        <w:rPr>
          <w:bCs/>
          <w:iCs/>
          <w:lang w:val="en-AU"/>
        </w:rPr>
        <w:t>, staff salaries, allowances and honoraria, and office space and office equipment</w:t>
      </w:r>
      <w:r w:rsidRPr="00D20962">
        <w:rPr>
          <w:bCs/>
          <w:iCs/>
          <w:vertAlign w:val="superscript"/>
          <w:lang w:val="en-AU"/>
        </w:rPr>
        <w:endnoteReference w:id="19"/>
      </w:r>
      <w:r w:rsidRPr="00D20962">
        <w:rPr>
          <w:bCs/>
          <w:iCs/>
          <w:lang w:val="en-AU"/>
        </w:rPr>
        <w:t xml:space="preserve">. Grant Agreement funds are in addition to GoA funds for Component 2 managed activities including NSIP, the quality assurance of C2 programs and the provision of ongoing technical assistance to MoEC and MoRA. </w:t>
      </w:r>
    </w:p>
    <w:p w:rsidR="00D20962" w:rsidRPr="00D20962" w:rsidRDefault="00D20962" w:rsidP="00D20962">
      <w:pPr>
        <w:spacing w:before="120" w:after="120" w:line="276" w:lineRule="auto"/>
        <w:jc w:val="both"/>
        <w:rPr>
          <w:bCs/>
          <w:iCs/>
          <w:lang w:val="en-AU"/>
        </w:rPr>
      </w:pPr>
      <w:r w:rsidRPr="00D20962">
        <w:rPr>
          <w:bCs/>
          <w:iCs/>
          <w:lang w:val="en-AU"/>
        </w:rPr>
        <w:t>POM acknowledges that the NSIP accounted for a significant part of the budget managed by SSQ Component 2 in 2014</w:t>
      </w:r>
      <w:r w:rsidRPr="00D20962">
        <w:rPr>
          <w:rFonts w:ascii="Times New Roman" w:hAnsi="Times New Roman"/>
          <w:bCs/>
          <w:iCs/>
          <w:vertAlign w:val="superscript"/>
          <w:lang w:val="en-AU"/>
        </w:rPr>
        <w:footnoteReference w:id="20"/>
      </w:r>
      <w:r w:rsidRPr="00D20962">
        <w:rPr>
          <w:bCs/>
          <w:iCs/>
          <w:vertAlign w:val="superscript"/>
          <w:lang w:val="en-AU"/>
        </w:rPr>
        <w:endnoteReference w:id="20"/>
      </w:r>
      <w:r w:rsidRPr="00D20962">
        <w:rPr>
          <w:bCs/>
          <w:iCs/>
          <w:lang w:val="en-AU"/>
        </w:rPr>
        <w:t xml:space="preserve"> and the assessment of the performance of C2 during 2014 considers both ProDEP and NSIP. </w:t>
      </w:r>
    </w:p>
    <w:p w:rsidR="00D20962" w:rsidRPr="00D20962" w:rsidRDefault="00D20962" w:rsidP="00D20962">
      <w:pPr>
        <w:keepNext/>
        <w:numPr>
          <w:ilvl w:val="2"/>
          <w:numId w:val="7"/>
        </w:numPr>
        <w:tabs>
          <w:tab w:val="num" w:pos="360"/>
        </w:tabs>
        <w:spacing w:before="120" w:after="120"/>
        <w:ind w:left="709" w:hanging="709"/>
        <w:outlineLvl w:val="2"/>
        <w:rPr>
          <w:bCs/>
          <w:color w:val="003880"/>
          <w:sz w:val="24"/>
          <w:szCs w:val="28"/>
          <w:lang w:val="en-AU"/>
        </w:rPr>
      </w:pPr>
      <w:r w:rsidRPr="00D20962">
        <w:rPr>
          <w:bCs/>
          <w:color w:val="003880"/>
          <w:sz w:val="24"/>
          <w:szCs w:val="28"/>
          <w:lang w:val="en-AU"/>
        </w:rPr>
        <w:t xml:space="preserve">The delivery mechanisms and support provided by the EP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ProDEP is implemented by a number of Eligible Entities.</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At the national level, ProDEP is implemented through </w:t>
      </w:r>
      <w:r w:rsidRPr="00D20962">
        <w:rPr>
          <w:rFonts w:eastAsia="Calibri"/>
          <w:bCs/>
          <w:i/>
          <w:iCs/>
          <w:lang w:val="en-AU"/>
        </w:rPr>
        <w:t>Pusbangtendik</w:t>
      </w:r>
      <w:r w:rsidRPr="00D20962">
        <w:rPr>
          <w:rFonts w:eastAsia="Calibri"/>
          <w:bCs/>
          <w:iCs/>
          <w:lang w:val="en-AU"/>
        </w:rPr>
        <w:t xml:space="preserve"> under the Board of Development for Human Resource Education and Culture and Education Quality Assurance (Badan PSDMPK &amp; PMP) of MoEC. It has overall responsibility for ProDEP coordination.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At the subnational level, ProDEP is implemented by the Board of Education Quality Assurance (LPMP), the Centre for Development and Empowerment of Teachers and Education Personnel (P4TK), and the Board of School Principal Development and Empowerment (LPPKS) (see Table 7)</w:t>
      </w:r>
      <w:r w:rsidRPr="00D20962">
        <w:rPr>
          <w:rFonts w:eastAsia="Calibri"/>
          <w:bCs/>
          <w:iCs/>
          <w:vertAlign w:val="superscript"/>
          <w:lang w:val="en-AU"/>
        </w:rPr>
        <w:endnoteReference w:id="21"/>
      </w:r>
      <w:r w:rsidRPr="00D20962">
        <w:rPr>
          <w:rFonts w:eastAsia="Calibri"/>
          <w:bCs/>
          <w:iCs/>
          <w:lang w:val="en-AU"/>
        </w:rPr>
        <w:t>.</w:t>
      </w:r>
    </w:p>
    <w:p w:rsidR="00D20962" w:rsidRPr="00D20962" w:rsidRDefault="00D20962" w:rsidP="00D20962">
      <w:pPr>
        <w:keepNext/>
        <w:spacing w:before="120" w:after="120"/>
        <w:ind w:left="86" w:right="43"/>
        <w:jc w:val="center"/>
        <w:rPr>
          <w:b/>
          <w:lang w:val="en-AU"/>
        </w:rPr>
      </w:pPr>
      <w:bookmarkStart w:id="31" w:name="_Toc412534579"/>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7</w:t>
      </w:r>
      <w:r w:rsidRPr="00D20962">
        <w:rPr>
          <w:b/>
          <w:lang w:val="en-GB"/>
        </w:rPr>
        <w:fldChar w:fldCharType="end"/>
      </w:r>
      <w:r w:rsidRPr="00D20962">
        <w:rPr>
          <w:b/>
          <w:lang w:val="en-AU"/>
        </w:rPr>
        <w:t>: Roles and responsibilities of Eligible Entities</w:t>
      </w:r>
      <w:bookmarkEnd w:id="31"/>
    </w:p>
    <w:tbl>
      <w:tblPr>
        <w:tblStyle w:val="TableGrid19"/>
        <w:tblW w:w="0" w:type="auto"/>
        <w:tblInd w:w="720" w:type="dxa"/>
        <w:tblLook w:val="04A0" w:firstRow="1" w:lastRow="0" w:firstColumn="1" w:lastColumn="0" w:noHBand="0" w:noVBand="1"/>
      </w:tblPr>
      <w:tblGrid>
        <w:gridCol w:w="980"/>
        <w:gridCol w:w="2500"/>
        <w:gridCol w:w="1565"/>
        <w:gridCol w:w="1566"/>
        <w:gridCol w:w="1566"/>
      </w:tblGrid>
      <w:tr w:rsidR="00D20962" w:rsidRPr="00D20962" w:rsidTr="00D20962">
        <w:trPr>
          <w:trHeight w:val="490"/>
          <w:tblHeader/>
        </w:trPr>
        <w:tc>
          <w:tcPr>
            <w:tcW w:w="3480" w:type="dxa"/>
            <w:gridSpan w:val="2"/>
            <w:vMerge w:val="restart"/>
            <w:shd w:val="clear" w:color="auto" w:fill="365F91" w:themeFill="accent1" w:themeFillShade="BF"/>
            <w:vAlign w:val="center"/>
          </w:tcPr>
          <w:p w:rsidR="00D20962" w:rsidRPr="00D20962" w:rsidRDefault="00D20962" w:rsidP="00D20962">
            <w:pPr>
              <w:spacing w:after="200" w:line="276" w:lineRule="auto"/>
              <w:contextualSpacing/>
              <w:jc w:val="center"/>
              <w:outlineLvl w:val="2"/>
              <w:rPr>
                <w:rFonts w:eastAsia="Calibri"/>
                <w:b/>
                <w:bCs/>
                <w:iCs/>
                <w:color w:val="FFFFFF" w:themeColor="background1"/>
                <w:lang w:val="en-AU"/>
              </w:rPr>
            </w:pPr>
            <w:r w:rsidRPr="00D20962">
              <w:rPr>
                <w:rFonts w:eastAsia="Calibri"/>
                <w:b/>
                <w:bCs/>
                <w:iCs/>
                <w:color w:val="FFFFFF" w:themeColor="background1"/>
                <w:lang w:val="en-AU"/>
              </w:rPr>
              <w:t>ProDEP components</w:t>
            </w:r>
          </w:p>
        </w:tc>
        <w:tc>
          <w:tcPr>
            <w:tcW w:w="4697" w:type="dxa"/>
            <w:gridSpan w:val="3"/>
            <w:shd w:val="clear" w:color="auto" w:fill="365F91" w:themeFill="accent1" w:themeFillShade="BF"/>
            <w:vAlign w:val="center"/>
          </w:tcPr>
          <w:p w:rsidR="00D20962" w:rsidRPr="00D20962" w:rsidRDefault="00D20962" w:rsidP="00D20962">
            <w:pPr>
              <w:spacing w:after="200" w:line="276" w:lineRule="auto"/>
              <w:contextualSpacing/>
              <w:jc w:val="center"/>
              <w:outlineLvl w:val="2"/>
              <w:rPr>
                <w:rFonts w:eastAsia="Calibri"/>
                <w:b/>
                <w:bCs/>
                <w:iCs/>
                <w:color w:val="FFFFFF" w:themeColor="background1"/>
                <w:lang w:val="en-AU"/>
              </w:rPr>
            </w:pPr>
            <w:r w:rsidRPr="00D20962">
              <w:rPr>
                <w:rFonts w:eastAsia="Calibri"/>
                <w:b/>
                <w:bCs/>
                <w:iCs/>
                <w:color w:val="FFFFFF" w:themeColor="background1"/>
                <w:lang w:val="en-AU"/>
              </w:rPr>
              <w:t>Eligible Entities</w:t>
            </w:r>
          </w:p>
        </w:tc>
      </w:tr>
      <w:tr w:rsidR="00D20962" w:rsidRPr="00D20962" w:rsidTr="00D20962">
        <w:trPr>
          <w:trHeight w:val="490"/>
          <w:tblHeader/>
        </w:trPr>
        <w:tc>
          <w:tcPr>
            <w:tcW w:w="3480" w:type="dxa"/>
            <w:gridSpan w:val="2"/>
            <w:vMerge/>
            <w:shd w:val="clear" w:color="auto" w:fill="365F91" w:themeFill="accent1" w:themeFillShade="BF"/>
          </w:tcPr>
          <w:p w:rsidR="00D20962" w:rsidRPr="00D20962" w:rsidRDefault="00D20962" w:rsidP="00D20962">
            <w:pPr>
              <w:spacing w:after="200" w:line="276" w:lineRule="auto"/>
              <w:contextualSpacing/>
              <w:jc w:val="both"/>
              <w:outlineLvl w:val="2"/>
              <w:rPr>
                <w:rFonts w:eastAsia="Calibri"/>
                <w:b/>
                <w:bCs/>
                <w:iCs/>
                <w:color w:val="FFFFFF" w:themeColor="background1"/>
                <w:lang w:val="en-AU"/>
              </w:rPr>
            </w:pPr>
          </w:p>
        </w:tc>
        <w:tc>
          <w:tcPr>
            <w:tcW w:w="1565" w:type="dxa"/>
            <w:shd w:val="clear" w:color="auto" w:fill="365F91" w:themeFill="accent1" w:themeFillShade="BF"/>
            <w:vAlign w:val="center"/>
          </w:tcPr>
          <w:p w:rsidR="00D20962" w:rsidRPr="00D20962" w:rsidRDefault="00D20962" w:rsidP="00D20962">
            <w:pPr>
              <w:spacing w:after="200" w:line="276" w:lineRule="auto"/>
              <w:contextualSpacing/>
              <w:jc w:val="center"/>
              <w:outlineLvl w:val="2"/>
              <w:rPr>
                <w:rFonts w:eastAsia="Calibri"/>
                <w:b/>
                <w:bCs/>
                <w:iCs/>
                <w:color w:val="FFFFFF" w:themeColor="background1"/>
                <w:lang w:val="en-AU"/>
              </w:rPr>
            </w:pPr>
            <w:r w:rsidRPr="00D20962">
              <w:rPr>
                <w:rFonts w:eastAsia="Calibri"/>
                <w:b/>
                <w:bCs/>
                <w:iCs/>
                <w:color w:val="FFFFFF" w:themeColor="background1"/>
                <w:lang w:val="en-AU"/>
              </w:rPr>
              <w:t>LPMP</w:t>
            </w:r>
          </w:p>
        </w:tc>
        <w:tc>
          <w:tcPr>
            <w:tcW w:w="1566" w:type="dxa"/>
            <w:shd w:val="clear" w:color="auto" w:fill="365F91" w:themeFill="accent1" w:themeFillShade="BF"/>
            <w:vAlign w:val="center"/>
          </w:tcPr>
          <w:p w:rsidR="00D20962" w:rsidRPr="00D20962" w:rsidRDefault="00D20962" w:rsidP="00D20962">
            <w:pPr>
              <w:spacing w:after="200" w:line="276" w:lineRule="auto"/>
              <w:contextualSpacing/>
              <w:jc w:val="center"/>
              <w:outlineLvl w:val="2"/>
              <w:rPr>
                <w:rFonts w:eastAsia="Calibri"/>
                <w:b/>
                <w:bCs/>
                <w:iCs/>
                <w:color w:val="FFFFFF" w:themeColor="background1"/>
                <w:lang w:val="en-AU"/>
              </w:rPr>
            </w:pPr>
            <w:r w:rsidRPr="00D20962">
              <w:rPr>
                <w:rFonts w:eastAsia="Calibri"/>
                <w:b/>
                <w:bCs/>
                <w:iCs/>
                <w:color w:val="FFFFFF" w:themeColor="background1"/>
                <w:lang w:val="en-AU"/>
              </w:rPr>
              <w:t>P4TK</w:t>
            </w:r>
          </w:p>
        </w:tc>
        <w:tc>
          <w:tcPr>
            <w:tcW w:w="1566" w:type="dxa"/>
            <w:shd w:val="clear" w:color="auto" w:fill="365F91" w:themeFill="accent1" w:themeFillShade="BF"/>
            <w:vAlign w:val="center"/>
          </w:tcPr>
          <w:p w:rsidR="00D20962" w:rsidRPr="00D20962" w:rsidRDefault="00D20962" w:rsidP="00D20962">
            <w:pPr>
              <w:spacing w:after="200" w:line="276" w:lineRule="auto"/>
              <w:contextualSpacing/>
              <w:jc w:val="center"/>
              <w:outlineLvl w:val="2"/>
              <w:rPr>
                <w:rFonts w:eastAsia="Calibri"/>
                <w:b/>
                <w:bCs/>
                <w:iCs/>
                <w:color w:val="FFFFFF" w:themeColor="background1"/>
                <w:lang w:val="en-AU"/>
              </w:rPr>
            </w:pPr>
            <w:r w:rsidRPr="00D20962">
              <w:rPr>
                <w:rFonts w:eastAsia="Calibri"/>
                <w:b/>
                <w:bCs/>
                <w:iCs/>
                <w:color w:val="FFFFFF" w:themeColor="background1"/>
                <w:lang w:val="en-AU"/>
              </w:rPr>
              <w:t>LPPKS</w:t>
            </w:r>
          </w:p>
        </w:tc>
      </w:tr>
      <w:tr w:rsidR="00D20962" w:rsidRPr="00D20962" w:rsidTr="00D20962">
        <w:trPr>
          <w:trHeight w:val="382"/>
        </w:trPr>
        <w:tc>
          <w:tcPr>
            <w:tcW w:w="980" w:type="dxa"/>
            <w:vMerge w:val="restart"/>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CPD</w:t>
            </w:r>
          </w:p>
        </w:tc>
        <w:tc>
          <w:tcPr>
            <w:tcW w:w="2500" w:type="dxa"/>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Primary school</w:t>
            </w:r>
          </w:p>
        </w:tc>
        <w:tc>
          <w:tcPr>
            <w:tcW w:w="1565"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c>
          <w:tcPr>
            <w:tcW w:w="1566" w:type="dxa"/>
            <w:vAlign w:val="center"/>
          </w:tcPr>
          <w:p w:rsidR="00D20962" w:rsidRPr="00D20962" w:rsidRDefault="00D20962" w:rsidP="00D20962">
            <w:pPr>
              <w:contextualSpacing/>
              <w:jc w:val="center"/>
              <w:outlineLvl w:val="2"/>
              <w:rPr>
                <w:rFonts w:eastAsia="Calibri"/>
                <w:bCs/>
                <w:iCs/>
                <w:lang w:val="en-AU"/>
              </w:rPr>
            </w:pPr>
          </w:p>
        </w:tc>
        <w:tc>
          <w:tcPr>
            <w:tcW w:w="1566"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r>
      <w:tr w:rsidR="00D20962" w:rsidRPr="00D20962" w:rsidTr="00D20962">
        <w:trPr>
          <w:trHeight w:val="382"/>
        </w:trPr>
        <w:tc>
          <w:tcPr>
            <w:tcW w:w="980" w:type="dxa"/>
            <w:vMerge/>
            <w:vAlign w:val="center"/>
          </w:tcPr>
          <w:p w:rsidR="00D20962" w:rsidRPr="00D20962" w:rsidRDefault="00D20962" w:rsidP="00D20962">
            <w:pPr>
              <w:spacing w:line="276" w:lineRule="auto"/>
              <w:contextualSpacing/>
              <w:outlineLvl w:val="2"/>
              <w:rPr>
                <w:rFonts w:eastAsia="Calibri"/>
                <w:bCs/>
                <w:iCs/>
                <w:lang w:val="en-AU"/>
              </w:rPr>
            </w:pPr>
          </w:p>
        </w:tc>
        <w:tc>
          <w:tcPr>
            <w:tcW w:w="2500" w:type="dxa"/>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Junior secondary school</w:t>
            </w:r>
          </w:p>
        </w:tc>
        <w:tc>
          <w:tcPr>
            <w:tcW w:w="1565" w:type="dxa"/>
            <w:vAlign w:val="center"/>
          </w:tcPr>
          <w:p w:rsidR="00D20962" w:rsidRPr="00D20962" w:rsidRDefault="00D20962" w:rsidP="00D20962">
            <w:pPr>
              <w:contextualSpacing/>
              <w:jc w:val="center"/>
              <w:outlineLvl w:val="2"/>
              <w:rPr>
                <w:rFonts w:eastAsia="Calibri"/>
                <w:bCs/>
                <w:iCs/>
                <w:lang w:val="en-AU"/>
              </w:rPr>
            </w:pPr>
          </w:p>
        </w:tc>
        <w:tc>
          <w:tcPr>
            <w:tcW w:w="1566"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c>
          <w:tcPr>
            <w:tcW w:w="1566" w:type="dxa"/>
            <w:vAlign w:val="center"/>
          </w:tcPr>
          <w:p w:rsidR="00D20962" w:rsidRPr="00D20962" w:rsidRDefault="00D20962" w:rsidP="00D20962">
            <w:pPr>
              <w:contextualSpacing/>
              <w:jc w:val="center"/>
              <w:outlineLvl w:val="2"/>
              <w:rPr>
                <w:rFonts w:eastAsia="Calibri"/>
                <w:bCs/>
                <w:iCs/>
                <w:lang w:val="en-AU"/>
              </w:rPr>
            </w:pPr>
          </w:p>
        </w:tc>
      </w:tr>
      <w:tr w:rsidR="00D20962" w:rsidRPr="00D20962" w:rsidTr="00D20962">
        <w:trPr>
          <w:trHeight w:val="382"/>
        </w:trPr>
        <w:tc>
          <w:tcPr>
            <w:tcW w:w="980" w:type="dxa"/>
            <w:vMerge/>
            <w:vAlign w:val="center"/>
          </w:tcPr>
          <w:p w:rsidR="00D20962" w:rsidRPr="00D20962" w:rsidRDefault="00D20962" w:rsidP="00D20962">
            <w:pPr>
              <w:spacing w:line="276" w:lineRule="auto"/>
              <w:contextualSpacing/>
              <w:outlineLvl w:val="2"/>
              <w:rPr>
                <w:rFonts w:eastAsia="Calibri"/>
                <w:bCs/>
                <w:iCs/>
                <w:lang w:val="en-AU"/>
              </w:rPr>
            </w:pPr>
          </w:p>
        </w:tc>
        <w:tc>
          <w:tcPr>
            <w:tcW w:w="2500" w:type="dxa"/>
            <w:shd w:val="clear" w:color="auto" w:fill="FFFFFF" w:themeFill="background1"/>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On line</w:t>
            </w:r>
          </w:p>
        </w:tc>
        <w:tc>
          <w:tcPr>
            <w:tcW w:w="1565" w:type="dxa"/>
            <w:vAlign w:val="center"/>
          </w:tcPr>
          <w:p w:rsidR="00D20962" w:rsidRPr="00D20962" w:rsidRDefault="00D20962" w:rsidP="00D20962">
            <w:pPr>
              <w:contextualSpacing/>
              <w:jc w:val="center"/>
              <w:outlineLvl w:val="2"/>
              <w:rPr>
                <w:rFonts w:eastAsia="Calibri"/>
                <w:bCs/>
                <w:iCs/>
                <w:lang w:val="en-AU"/>
              </w:rPr>
            </w:pPr>
          </w:p>
        </w:tc>
        <w:tc>
          <w:tcPr>
            <w:tcW w:w="1566"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c>
          <w:tcPr>
            <w:tcW w:w="1566" w:type="dxa"/>
            <w:vAlign w:val="center"/>
          </w:tcPr>
          <w:p w:rsidR="00D20962" w:rsidRPr="00D20962" w:rsidRDefault="00D20962" w:rsidP="00D20962">
            <w:pPr>
              <w:contextualSpacing/>
              <w:jc w:val="center"/>
              <w:outlineLvl w:val="2"/>
              <w:rPr>
                <w:rFonts w:eastAsia="Calibri"/>
                <w:bCs/>
                <w:iCs/>
                <w:lang w:val="en-AU"/>
              </w:rPr>
            </w:pPr>
          </w:p>
        </w:tc>
      </w:tr>
      <w:tr w:rsidR="00D20962" w:rsidRPr="00D20962" w:rsidTr="00D20962">
        <w:trPr>
          <w:trHeight w:val="382"/>
        </w:trPr>
        <w:tc>
          <w:tcPr>
            <w:tcW w:w="980" w:type="dxa"/>
            <w:vMerge w:val="restart"/>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SPD</w:t>
            </w:r>
          </w:p>
        </w:tc>
        <w:tc>
          <w:tcPr>
            <w:tcW w:w="2500" w:type="dxa"/>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Primary school</w:t>
            </w:r>
          </w:p>
        </w:tc>
        <w:tc>
          <w:tcPr>
            <w:tcW w:w="1565"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c>
          <w:tcPr>
            <w:tcW w:w="1566" w:type="dxa"/>
            <w:vAlign w:val="center"/>
          </w:tcPr>
          <w:p w:rsidR="00D20962" w:rsidRPr="00D20962" w:rsidRDefault="00D20962" w:rsidP="00D20962">
            <w:pPr>
              <w:contextualSpacing/>
              <w:jc w:val="center"/>
              <w:outlineLvl w:val="2"/>
              <w:rPr>
                <w:rFonts w:eastAsia="Calibri"/>
                <w:bCs/>
                <w:iCs/>
                <w:lang w:val="en-AU"/>
              </w:rPr>
            </w:pPr>
          </w:p>
        </w:tc>
        <w:tc>
          <w:tcPr>
            <w:tcW w:w="1566"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r>
      <w:tr w:rsidR="00D20962" w:rsidRPr="00D20962" w:rsidTr="00D20962">
        <w:trPr>
          <w:trHeight w:val="382"/>
        </w:trPr>
        <w:tc>
          <w:tcPr>
            <w:tcW w:w="980" w:type="dxa"/>
            <w:vMerge/>
            <w:vAlign w:val="center"/>
          </w:tcPr>
          <w:p w:rsidR="00D20962" w:rsidRPr="00D20962" w:rsidRDefault="00D20962" w:rsidP="00D20962">
            <w:pPr>
              <w:spacing w:line="276" w:lineRule="auto"/>
              <w:contextualSpacing/>
              <w:outlineLvl w:val="2"/>
              <w:rPr>
                <w:rFonts w:eastAsia="Calibri"/>
                <w:bCs/>
                <w:iCs/>
                <w:lang w:val="en-AU"/>
              </w:rPr>
            </w:pPr>
          </w:p>
        </w:tc>
        <w:tc>
          <w:tcPr>
            <w:tcW w:w="2500" w:type="dxa"/>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Junior secondary school</w:t>
            </w:r>
          </w:p>
        </w:tc>
        <w:tc>
          <w:tcPr>
            <w:tcW w:w="1565" w:type="dxa"/>
            <w:vAlign w:val="center"/>
          </w:tcPr>
          <w:p w:rsidR="00D20962" w:rsidRPr="00D20962" w:rsidRDefault="00D20962" w:rsidP="00D20962">
            <w:pPr>
              <w:contextualSpacing/>
              <w:jc w:val="center"/>
              <w:outlineLvl w:val="2"/>
              <w:rPr>
                <w:rFonts w:eastAsia="Calibri"/>
                <w:bCs/>
                <w:iCs/>
                <w:lang w:val="en-AU"/>
              </w:rPr>
            </w:pPr>
          </w:p>
        </w:tc>
        <w:tc>
          <w:tcPr>
            <w:tcW w:w="1566"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c>
          <w:tcPr>
            <w:tcW w:w="1566" w:type="dxa"/>
            <w:vAlign w:val="center"/>
          </w:tcPr>
          <w:p w:rsidR="00D20962" w:rsidRPr="00D20962" w:rsidRDefault="00D20962" w:rsidP="00D20962">
            <w:pPr>
              <w:contextualSpacing/>
              <w:jc w:val="center"/>
              <w:outlineLvl w:val="2"/>
              <w:rPr>
                <w:rFonts w:eastAsia="Calibri"/>
                <w:bCs/>
                <w:iCs/>
                <w:lang w:val="en-AU"/>
              </w:rPr>
            </w:pPr>
          </w:p>
        </w:tc>
      </w:tr>
      <w:tr w:rsidR="00D20962" w:rsidRPr="00D20962" w:rsidTr="00D20962">
        <w:trPr>
          <w:trHeight w:val="382"/>
        </w:trPr>
        <w:tc>
          <w:tcPr>
            <w:tcW w:w="980" w:type="dxa"/>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HRMD</w:t>
            </w:r>
          </w:p>
        </w:tc>
        <w:tc>
          <w:tcPr>
            <w:tcW w:w="2500" w:type="dxa"/>
            <w:vAlign w:val="center"/>
          </w:tcPr>
          <w:p w:rsidR="00D20962" w:rsidRPr="00D20962" w:rsidRDefault="00D20962" w:rsidP="00D20962">
            <w:pPr>
              <w:spacing w:line="276" w:lineRule="auto"/>
              <w:contextualSpacing/>
              <w:outlineLvl w:val="2"/>
              <w:rPr>
                <w:rFonts w:eastAsia="Calibri"/>
                <w:bCs/>
                <w:iCs/>
                <w:lang w:val="en-AU"/>
              </w:rPr>
            </w:pPr>
          </w:p>
        </w:tc>
        <w:tc>
          <w:tcPr>
            <w:tcW w:w="1565"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c>
          <w:tcPr>
            <w:tcW w:w="1566" w:type="dxa"/>
            <w:vAlign w:val="center"/>
          </w:tcPr>
          <w:p w:rsidR="00D20962" w:rsidRPr="00D20962" w:rsidRDefault="00D20962" w:rsidP="00D20962">
            <w:pPr>
              <w:contextualSpacing/>
              <w:jc w:val="center"/>
              <w:outlineLvl w:val="2"/>
              <w:rPr>
                <w:rFonts w:eastAsia="Calibri"/>
                <w:bCs/>
                <w:iCs/>
                <w:lang w:val="en-AU"/>
              </w:rPr>
            </w:pPr>
          </w:p>
        </w:tc>
        <w:tc>
          <w:tcPr>
            <w:tcW w:w="1566" w:type="dxa"/>
            <w:vAlign w:val="center"/>
          </w:tcPr>
          <w:p w:rsidR="00D20962" w:rsidRPr="00D20962" w:rsidRDefault="00D20962" w:rsidP="00D20962">
            <w:pPr>
              <w:contextualSpacing/>
              <w:jc w:val="center"/>
              <w:outlineLvl w:val="2"/>
              <w:rPr>
                <w:rFonts w:eastAsia="Calibri"/>
                <w:bCs/>
                <w:iCs/>
                <w:lang w:val="en-AU"/>
              </w:rPr>
            </w:pPr>
          </w:p>
        </w:tc>
      </w:tr>
      <w:tr w:rsidR="00D20962" w:rsidRPr="00D20962" w:rsidTr="00D20962">
        <w:trPr>
          <w:trHeight w:val="382"/>
        </w:trPr>
        <w:tc>
          <w:tcPr>
            <w:tcW w:w="980" w:type="dxa"/>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SP&amp;FM</w:t>
            </w:r>
          </w:p>
        </w:tc>
        <w:tc>
          <w:tcPr>
            <w:tcW w:w="2500" w:type="dxa"/>
            <w:vAlign w:val="center"/>
          </w:tcPr>
          <w:p w:rsidR="00D20962" w:rsidRPr="00D20962" w:rsidRDefault="00D20962" w:rsidP="00D20962">
            <w:pPr>
              <w:spacing w:line="276" w:lineRule="auto"/>
              <w:contextualSpacing/>
              <w:outlineLvl w:val="2"/>
              <w:rPr>
                <w:rFonts w:eastAsia="Calibri"/>
                <w:bCs/>
                <w:iCs/>
                <w:lang w:val="en-AU"/>
              </w:rPr>
            </w:pPr>
          </w:p>
        </w:tc>
        <w:tc>
          <w:tcPr>
            <w:tcW w:w="1565"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c>
          <w:tcPr>
            <w:tcW w:w="1566" w:type="dxa"/>
            <w:vAlign w:val="center"/>
          </w:tcPr>
          <w:p w:rsidR="00D20962" w:rsidRPr="00D20962" w:rsidRDefault="00D20962" w:rsidP="00D20962">
            <w:pPr>
              <w:contextualSpacing/>
              <w:jc w:val="center"/>
              <w:outlineLvl w:val="2"/>
              <w:rPr>
                <w:rFonts w:eastAsia="Calibri"/>
                <w:bCs/>
                <w:iCs/>
                <w:lang w:val="en-AU"/>
              </w:rPr>
            </w:pPr>
          </w:p>
        </w:tc>
        <w:tc>
          <w:tcPr>
            <w:tcW w:w="1566" w:type="dxa"/>
            <w:vAlign w:val="center"/>
          </w:tcPr>
          <w:p w:rsidR="00D20962" w:rsidRPr="00D20962" w:rsidRDefault="00D20962" w:rsidP="00D20962">
            <w:pPr>
              <w:contextualSpacing/>
              <w:jc w:val="center"/>
              <w:outlineLvl w:val="2"/>
              <w:rPr>
                <w:rFonts w:eastAsia="Calibri"/>
                <w:bCs/>
                <w:iCs/>
                <w:lang w:val="en-AU"/>
              </w:rPr>
            </w:pPr>
          </w:p>
        </w:tc>
      </w:tr>
      <w:tr w:rsidR="00D20962" w:rsidRPr="00D20962" w:rsidTr="00D20962">
        <w:trPr>
          <w:trHeight w:val="382"/>
        </w:trPr>
        <w:tc>
          <w:tcPr>
            <w:tcW w:w="980" w:type="dxa"/>
            <w:vAlign w:val="center"/>
          </w:tcPr>
          <w:p w:rsidR="00D20962" w:rsidRPr="00D20962" w:rsidRDefault="00D20962" w:rsidP="00D20962">
            <w:pPr>
              <w:spacing w:line="276" w:lineRule="auto"/>
              <w:contextualSpacing/>
              <w:outlineLvl w:val="2"/>
              <w:rPr>
                <w:rFonts w:eastAsia="Calibri"/>
                <w:bCs/>
                <w:iCs/>
                <w:lang w:val="en-AU"/>
              </w:rPr>
            </w:pPr>
            <w:r w:rsidRPr="00D20962">
              <w:rPr>
                <w:rFonts w:eastAsia="Calibri"/>
                <w:bCs/>
                <w:iCs/>
                <w:lang w:val="en-AU"/>
              </w:rPr>
              <w:t>PPP</w:t>
            </w:r>
          </w:p>
        </w:tc>
        <w:tc>
          <w:tcPr>
            <w:tcW w:w="2500" w:type="dxa"/>
            <w:vAlign w:val="center"/>
          </w:tcPr>
          <w:p w:rsidR="00D20962" w:rsidRPr="00D20962" w:rsidRDefault="00D20962" w:rsidP="00D20962">
            <w:pPr>
              <w:spacing w:line="276" w:lineRule="auto"/>
              <w:contextualSpacing/>
              <w:outlineLvl w:val="2"/>
              <w:rPr>
                <w:rFonts w:eastAsia="Calibri"/>
                <w:bCs/>
                <w:iCs/>
                <w:lang w:val="en-AU"/>
              </w:rPr>
            </w:pPr>
          </w:p>
        </w:tc>
        <w:tc>
          <w:tcPr>
            <w:tcW w:w="1565"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c>
          <w:tcPr>
            <w:tcW w:w="1566" w:type="dxa"/>
            <w:vAlign w:val="center"/>
          </w:tcPr>
          <w:p w:rsidR="00D20962" w:rsidRPr="00D20962" w:rsidRDefault="00D20962" w:rsidP="00D20962">
            <w:pPr>
              <w:contextualSpacing/>
              <w:jc w:val="center"/>
              <w:outlineLvl w:val="2"/>
              <w:rPr>
                <w:rFonts w:eastAsia="Calibri"/>
                <w:bCs/>
                <w:iCs/>
                <w:lang w:val="en-AU"/>
              </w:rPr>
            </w:pPr>
          </w:p>
        </w:tc>
        <w:tc>
          <w:tcPr>
            <w:tcW w:w="1566" w:type="dxa"/>
            <w:vAlign w:val="center"/>
          </w:tcPr>
          <w:p w:rsidR="00D20962" w:rsidRPr="00D20962" w:rsidRDefault="00D20962" w:rsidP="00D20962">
            <w:pPr>
              <w:contextualSpacing/>
              <w:jc w:val="center"/>
              <w:outlineLvl w:val="2"/>
              <w:rPr>
                <w:rFonts w:eastAsia="Calibri"/>
                <w:bCs/>
                <w:iCs/>
                <w:lang w:val="en-AU"/>
              </w:rPr>
            </w:pPr>
            <w:r w:rsidRPr="00D20962">
              <w:rPr>
                <w:rFonts w:eastAsia="Calibri"/>
                <w:bCs/>
                <w:iCs/>
                <w:lang w:val="en-AU"/>
              </w:rPr>
              <w:sym w:font="Wingdings" w:char="F0FC"/>
            </w:r>
          </w:p>
        </w:tc>
      </w:tr>
    </w:tbl>
    <w:p w:rsidR="00D20962" w:rsidRPr="00D20962" w:rsidRDefault="00D20962" w:rsidP="00D20962">
      <w:pPr>
        <w:spacing w:after="200" w:line="276" w:lineRule="auto"/>
        <w:ind w:left="720"/>
        <w:contextualSpacing/>
        <w:jc w:val="both"/>
        <w:outlineLvl w:val="2"/>
        <w:rPr>
          <w:rFonts w:eastAsia="Calibri"/>
          <w:bCs/>
          <w:iCs/>
          <w:lang w:val="en-AU"/>
        </w:rPr>
      </w:pPr>
    </w:p>
    <w:p w:rsidR="00D20962" w:rsidRPr="00D20962" w:rsidRDefault="00D20962" w:rsidP="00D20962">
      <w:pPr>
        <w:spacing w:after="200" w:line="276" w:lineRule="auto"/>
        <w:contextualSpacing/>
        <w:jc w:val="both"/>
        <w:outlineLvl w:val="2"/>
        <w:rPr>
          <w:rFonts w:eastAsia="Calibri"/>
          <w:bCs/>
          <w:iCs/>
          <w:lang w:val="en-AU"/>
        </w:rPr>
      </w:pPr>
    </w:p>
    <w:p w:rsidR="00D20962" w:rsidRPr="00D20962" w:rsidRDefault="00D20962" w:rsidP="00D20962">
      <w:pPr>
        <w:spacing w:after="200" w:line="276" w:lineRule="auto"/>
        <w:contextualSpacing/>
        <w:jc w:val="both"/>
        <w:outlineLvl w:val="2"/>
        <w:rPr>
          <w:rFonts w:eastAsia="Calibri"/>
          <w:bCs/>
          <w:iCs/>
          <w:lang w:val="en-AU"/>
        </w:rPr>
      </w:pPr>
      <w:r w:rsidRPr="00D20962">
        <w:rPr>
          <w:rFonts w:eastAsia="Calibri"/>
          <w:bCs/>
          <w:iCs/>
          <w:lang w:val="en-AU"/>
        </w:rPr>
        <w:t>NSIP is implemented directly by Component 2 through the engagement of trained facilitators from LPMP and P4TK</w:t>
      </w:r>
      <w:r w:rsidRPr="00D20962">
        <w:rPr>
          <w:rFonts w:eastAsia="Calibri"/>
          <w:bCs/>
          <w:iCs/>
          <w:vertAlign w:val="superscript"/>
          <w:lang w:val="en-AU"/>
        </w:rPr>
        <w:endnoteReference w:id="22"/>
      </w:r>
      <w:r w:rsidRPr="00D20962">
        <w:rPr>
          <w:rFonts w:eastAsia="Calibri"/>
          <w:bCs/>
          <w:iCs/>
          <w:lang w:val="en-AU"/>
        </w:rPr>
        <w:t>, while C2 work on PPIP</w:t>
      </w:r>
      <w:r w:rsidRPr="00D20962">
        <w:rPr>
          <w:rFonts w:eastAsia="Calibri"/>
          <w:bCs/>
          <w:iCs/>
          <w:vertAlign w:val="superscript"/>
          <w:lang w:val="en-AU"/>
        </w:rPr>
        <w:endnoteReference w:id="23"/>
      </w:r>
      <w:r w:rsidRPr="00D20962">
        <w:rPr>
          <w:rFonts w:eastAsia="Calibri"/>
          <w:bCs/>
          <w:iCs/>
          <w:lang w:val="en-AU"/>
        </w:rPr>
        <w:t xml:space="preserve"> concentrated on the design, the development of guidelines, and the subsequent piloting.</w:t>
      </w:r>
    </w:p>
    <w:p w:rsidR="00D20962" w:rsidRPr="00D20962" w:rsidRDefault="00D20962" w:rsidP="00D20962">
      <w:pPr>
        <w:spacing w:after="200" w:line="276" w:lineRule="auto"/>
        <w:ind w:left="720"/>
        <w:contextualSpacing/>
        <w:jc w:val="both"/>
        <w:outlineLvl w:val="2"/>
        <w:rPr>
          <w:rFonts w:eastAsia="Calibri"/>
          <w:bCs/>
          <w:iCs/>
          <w:lang w:val="en-AU"/>
        </w:rPr>
      </w:pPr>
    </w:p>
    <w:p w:rsidR="00D20962" w:rsidRPr="00D20962" w:rsidRDefault="00D20962" w:rsidP="00D20962">
      <w:pPr>
        <w:spacing w:before="120" w:after="120"/>
        <w:outlineLvl w:val="1"/>
        <w:rPr>
          <w:b/>
          <w:bCs/>
          <w:iCs/>
          <w:color w:val="003880"/>
          <w:sz w:val="24"/>
          <w:szCs w:val="24"/>
          <w:lang w:val="en-AU"/>
        </w:rPr>
      </w:pPr>
      <w:r w:rsidRPr="00D20962">
        <w:rPr>
          <w:b/>
          <w:bCs/>
          <w:iCs/>
          <w:color w:val="003880"/>
          <w:sz w:val="24"/>
          <w:szCs w:val="24"/>
          <w:lang w:val="en-AU"/>
        </w:rPr>
        <w:t>3.2</w:t>
      </w:r>
      <w:r w:rsidRPr="00D20962">
        <w:rPr>
          <w:b/>
          <w:bCs/>
          <w:iCs/>
          <w:color w:val="003880"/>
          <w:sz w:val="24"/>
          <w:szCs w:val="24"/>
          <w:lang w:val="en-AU"/>
        </w:rPr>
        <w:tab/>
        <w:t>Context</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Implementation of ProDEP in 2014 was hampered by the demands of the implementation of Curriculum 2013 - a key priority for the previous Government of Indonesia. Whilst commitment to Curriculum 2013 has declined sharply with the installation of the new government, education quality is still high on the priority list. Referring to trends in past PISA</w:t>
      </w:r>
      <w:r w:rsidRPr="00D20962">
        <w:rPr>
          <w:rFonts w:asciiTheme="minorHAnsi" w:hAnsiTheme="minorHAnsi" w:cstheme="minorHAnsi"/>
          <w:vertAlign w:val="superscript"/>
          <w:lang w:val="en-AU"/>
        </w:rPr>
        <w:footnoteReference w:id="21"/>
      </w:r>
      <w:r w:rsidRPr="00D20962">
        <w:rPr>
          <w:rFonts w:asciiTheme="minorHAnsi" w:hAnsiTheme="minorHAnsi" w:cstheme="minorHAnsi"/>
          <w:lang w:val="en-AU"/>
        </w:rPr>
        <w:t xml:space="preserve"> results, the new</w:t>
      </w:r>
      <w:r w:rsidRPr="00D20962">
        <w:rPr>
          <w:lang w:val="en-AU"/>
        </w:rPr>
        <w:t xml:space="preserve"> </w:t>
      </w:r>
      <w:r w:rsidRPr="00D20962">
        <w:rPr>
          <w:rFonts w:asciiTheme="minorHAnsi" w:hAnsiTheme="minorHAnsi" w:cstheme="minorHAnsi"/>
          <w:lang w:val="en-AU"/>
        </w:rPr>
        <w:t>Minister of Culture and Primary and Secondary Education, Anies Baswedan, stated recently that Indonesia’s education is in a “state of emergency”</w:t>
      </w:r>
      <w:r w:rsidRPr="00D20962">
        <w:rPr>
          <w:rFonts w:asciiTheme="minorHAnsi" w:hAnsiTheme="minorHAnsi" w:cstheme="minorHAnsi"/>
          <w:vertAlign w:val="superscript"/>
          <w:lang w:val="en-AU"/>
        </w:rPr>
        <w:footnoteReference w:id="22"/>
      </w:r>
      <w:r w:rsidRPr="00D20962">
        <w:rPr>
          <w:rFonts w:asciiTheme="minorHAnsi" w:hAnsiTheme="minorHAnsi" w:cstheme="minorHAnsi"/>
          <w:lang w:val="en-AU"/>
        </w:rPr>
        <w:t>. He expects Indonesia’s leaders at provincial and district levels to play a role in improving education</w:t>
      </w:r>
      <w:r w:rsidRPr="00D20962">
        <w:rPr>
          <w:rFonts w:asciiTheme="minorHAnsi" w:hAnsiTheme="minorHAnsi" w:cstheme="minorHAnsi"/>
          <w:vertAlign w:val="superscript"/>
          <w:lang w:val="en-AU"/>
        </w:rPr>
        <w:endnoteReference w:id="24"/>
      </w:r>
      <w:r w:rsidRPr="00D20962">
        <w:rPr>
          <w:rFonts w:asciiTheme="minorHAnsi" w:hAnsiTheme="minorHAnsi" w:cstheme="minorHAnsi"/>
          <w:lang w:val="en-AU"/>
        </w:rPr>
        <w:t>. A similar statement on education quality for madrasah was made by the Minister of Religious Affairs, Lukman Hakim Saifuddin, who indicated that madrasah have long been perceived as “backward and static” and should nowadays become a symbol of education progress</w:t>
      </w:r>
      <w:r w:rsidRPr="00D20962">
        <w:rPr>
          <w:rFonts w:asciiTheme="minorHAnsi" w:hAnsiTheme="minorHAnsi" w:cstheme="minorHAnsi"/>
          <w:vertAlign w:val="superscript"/>
          <w:lang w:val="en-AU"/>
        </w:rPr>
        <w:endnoteReference w:id="25"/>
      </w:r>
      <w:r w:rsidRPr="00D20962">
        <w:rPr>
          <w:rFonts w:asciiTheme="minorHAnsi" w:hAnsiTheme="minorHAnsi" w:cstheme="minorHAnsi"/>
          <w:lang w:val="en-AU"/>
        </w:rPr>
        <w:t xml:space="preserve">.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Changes to the policy and political landscape are being mirrored by changes to the organisational environment. This may include an upcoming restructuring of the MoEC as well as the Badan</w:t>
      </w:r>
      <w:r w:rsidRPr="00D20962">
        <w:rPr>
          <w:rFonts w:asciiTheme="minorHAnsi" w:hAnsiTheme="minorHAnsi" w:cstheme="minorHAnsi"/>
          <w:vertAlign w:val="superscript"/>
          <w:lang w:val="en-AU"/>
        </w:rPr>
        <w:footnoteReference w:id="23"/>
      </w:r>
      <w:r w:rsidRPr="00D20962">
        <w:rPr>
          <w:rFonts w:asciiTheme="minorHAnsi" w:hAnsiTheme="minorHAnsi" w:cstheme="minorHAnsi"/>
          <w:lang w:val="en-AU"/>
        </w:rPr>
        <w:t xml:space="preserve"> and, therefore, of </w:t>
      </w:r>
      <w:r w:rsidRPr="00D20962">
        <w:rPr>
          <w:rFonts w:asciiTheme="minorHAnsi" w:hAnsiTheme="minorHAnsi" w:cstheme="minorHAnsi"/>
          <w:i/>
          <w:lang w:val="en-AU"/>
        </w:rPr>
        <w:t>Pusbangtendik</w:t>
      </w:r>
      <w:r w:rsidRPr="00D20962">
        <w:rPr>
          <w:rFonts w:asciiTheme="minorHAnsi" w:hAnsiTheme="minorHAnsi" w:cstheme="minorHAnsi"/>
          <w:lang w:val="en-AU"/>
        </w:rPr>
        <w:t>. From an operational perspective, the new regulation from the Ministry of State Apparatus and Bureaucratic Reform that limits the use of hotels by ministries (thereby potentially constraining the delivery of ProDEP training by Eligible Entities) might be a challenge to ProDEP implementation. However, given that in 2015 all Eligible Entities will be required to use government facilities to implement ProDEP this should not be a significant factor in 2015.</w:t>
      </w:r>
    </w:p>
    <w:p w:rsidR="00D20962" w:rsidRPr="00D20962" w:rsidRDefault="00D20962" w:rsidP="00D20962">
      <w:pPr>
        <w:spacing w:before="120" w:after="120" w:line="276" w:lineRule="auto"/>
        <w:jc w:val="both"/>
        <w:rPr>
          <w:rFonts w:asciiTheme="minorHAnsi" w:hAnsiTheme="minorHAnsi" w:cstheme="minorHAnsi"/>
          <w:lang w:val="en-AU"/>
        </w:rPr>
      </w:pPr>
    </w:p>
    <w:p w:rsidR="00D20962" w:rsidRPr="00D20962" w:rsidRDefault="00D20962" w:rsidP="00D20962">
      <w:pPr>
        <w:spacing w:before="120" w:after="120" w:line="276" w:lineRule="auto"/>
        <w:jc w:val="both"/>
        <w:rPr>
          <w:b/>
          <w:bCs/>
          <w:iCs/>
          <w:color w:val="003880"/>
          <w:sz w:val="24"/>
          <w:szCs w:val="24"/>
          <w:lang w:val="en-AU"/>
        </w:rPr>
      </w:pPr>
      <w:r w:rsidRPr="00D20962">
        <w:rPr>
          <w:b/>
          <w:bCs/>
          <w:iCs/>
          <w:color w:val="003880"/>
          <w:sz w:val="24"/>
          <w:szCs w:val="24"/>
          <w:lang w:val="en-AU"/>
        </w:rPr>
        <w:t>3.3</w:t>
      </w:r>
      <w:r w:rsidRPr="00D20962">
        <w:rPr>
          <w:b/>
          <w:bCs/>
          <w:iCs/>
          <w:color w:val="003880"/>
          <w:sz w:val="24"/>
          <w:szCs w:val="24"/>
          <w:lang w:val="en-AU"/>
        </w:rPr>
        <w:tab/>
        <w:t>Achievements</w:t>
      </w:r>
    </w:p>
    <w:p w:rsidR="00D20962" w:rsidRPr="00D20962" w:rsidRDefault="00D20962" w:rsidP="00D20962">
      <w:pPr>
        <w:spacing w:before="120" w:after="120" w:line="276" w:lineRule="auto"/>
        <w:jc w:val="both"/>
        <w:rPr>
          <w:bCs/>
          <w:iCs/>
          <w:lang w:val="en-AU"/>
        </w:rPr>
      </w:pPr>
      <w:r w:rsidRPr="00D20962">
        <w:rPr>
          <w:bCs/>
          <w:iCs/>
          <w:lang w:val="en-AU"/>
        </w:rPr>
        <w:t>Component 2 recorded a number of notable achievements in 2014, the most important being the commencement of ProDEP implementation in July 2014</w:t>
      </w:r>
      <w:r w:rsidRPr="00D20962">
        <w:rPr>
          <w:rFonts w:asciiTheme="minorHAnsi" w:hAnsiTheme="minorHAnsi"/>
          <w:vertAlign w:val="superscript"/>
          <w:lang w:val="en-AU"/>
        </w:rPr>
        <w:endnoteReference w:id="26"/>
      </w:r>
      <w:r w:rsidRPr="00D20962">
        <w:rPr>
          <w:bCs/>
          <w:iCs/>
          <w:lang w:val="en-AU"/>
        </w:rPr>
        <w:t xml:space="preserve">. A range of stakeholders have now been trained within the GoI-led ProDEP, as summarised in Table 8 over page. </w:t>
      </w:r>
    </w:p>
    <w:p w:rsidR="00D20962" w:rsidRPr="00D20962" w:rsidRDefault="00D20962" w:rsidP="00D20962">
      <w:pPr>
        <w:spacing w:before="120" w:after="120" w:line="276" w:lineRule="auto"/>
        <w:jc w:val="both"/>
        <w:rPr>
          <w:bCs/>
          <w:iCs/>
          <w:lang w:val="en-AU"/>
        </w:rPr>
      </w:pPr>
      <w:r w:rsidRPr="00D20962">
        <w:rPr>
          <w:bCs/>
          <w:iCs/>
          <w:lang w:val="en-AU"/>
        </w:rPr>
        <w:t>Further notable achievements include:</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CPD: All Units of Learnings (UoLs) have been designed, including six new generic UoLs on Mentoring, Coaching, Scientific Publication, Innovative Products, Child Protection, and Inclusive Education. In addition, Component 2 has developed a basic ICT module for supervisors and principals who will participate in ProDEP through an online learning modality. The first four of the six generic UoLs mentioned above have been handed over with the expectation that they will be implemented by </w:t>
      </w:r>
      <w:r w:rsidRPr="00D20962">
        <w:rPr>
          <w:rFonts w:eastAsia="Calibri"/>
          <w:bCs/>
          <w:i/>
          <w:iCs/>
          <w:lang w:val="en-AU"/>
        </w:rPr>
        <w:t>Pusbangtendik</w:t>
      </w:r>
      <w:r w:rsidRPr="00D20962">
        <w:rPr>
          <w:rFonts w:eastAsia="Calibri"/>
          <w:bCs/>
          <w:iCs/>
          <w:lang w:val="en-AU"/>
        </w:rPr>
        <w:t>, with the other two ready to be implemented in 2015. For 2014, CPD was delivered through face-to-face training, though pilots have been conducted to test opportunities for online delivery during 2015</w:t>
      </w:r>
      <w:r w:rsidRPr="00D20962">
        <w:rPr>
          <w:rFonts w:eastAsia="Calibri"/>
          <w:bCs/>
          <w:iCs/>
          <w:vertAlign w:val="superscript"/>
          <w:lang w:val="en-AU"/>
        </w:rPr>
        <w:endnoteReference w:id="27"/>
      </w:r>
      <w:r w:rsidRPr="00D20962">
        <w:rPr>
          <w:rFonts w:eastAsia="Calibri"/>
          <w:bCs/>
          <w:iCs/>
          <w:lang w:val="en-AU"/>
        </w:rPr>
        <w:t>. In addition, SSQ C2 has supported MoEC to align its performance management system with the new GoI requirements for appraisal of civil servants due for implementation in 2015 (which has the potential to make CPD more relevant to principals’ career advancement</w:t>
      </w:r>
      <w:r w:rsidRPr="00D20962">
        <w:rPr>
          <w:rFonts w:eastAsia="Calibri"/>
          <w:bCs/>
          <w:iCs/>
          <w:vertAlign w:val="superscript"/>
          <w:lang w:val="en-AU"/>
        </w:rPr>
        <w:endnoteReference w:id="28"/>
      </w:r>
      <w:r w:rsidRPr="00D20962">
        <w:rPr>
          <w:rFonts w:eastAsia="Calibri"/>
          <w:bCs/>
          <w:iCs/>
          <w:lang w:val="en-AU"/>
        </w:rPr>
        <w:t>).</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SPD: Learning modules were handed over to </w:t>
      </w:r>
      <w:r w:rsidRPr="00D20962">
        <w:rPr>
          <w:rFonts w:eastAsia="Calibri"/>
          <w:bCs/>
          <w:i/>
          <w:iCs/>
          <w:lang w:val="en-AU"/>
        </w:rPr>
        <w:t>Pusbangtendik</w:t>
      </w:r>
      <w:r w:rsidRPr="00D20962">
        <w:rPr>
          <w:rFonts w:eastAsia="Calibri"/>
          <w:bCs/>
          <w:iCs/>
          <w:lang w:val="en-AU"/>
        </w:rPr>
        <w:t xml:space="preserve"> with training commencing in August 2014. Training of trainers (ToT) for three batches of supervisors was completed. SSQ C2 assisted </w:t>
      </w:r>
      <w:r w:rsidRPr="00D20962">
        <w:rPr>
          <w:rFonts w:eastAsia="Calibri"/>
          <w:bCs/>
          <w:i/>
          <w:iCs/>
          <w:lang w:val="en-AU"/>
        </w:rPr>
        <w:t>Pusbangtendik</w:t>
      </w:r>
      <w:r w:rsidRPr="00D20962">
        <w:rPr>
          <w:rFonts w:eastAsia="Calibri"/>
          <w:bCs/>
          <w:iCs/>
          <w:lang w:val="en-AU"/>
        </w:rPr>
        <w:t xml:space="preserve"> to develop the new regulations for the recruitment, training, selection and CPD of Supervisors</w:t>
      </w:r>
      <w:r w:rsidRPr="00D20962">
        <w:rPr>
          <w:rFonts w:eastAsia="Calibri"/>
          <w:bCs/>
          <w:iCs/>
          <w:vertAlign w:val="superscript"/>
          <w:lang w:val="en-AU"/>
        </w:rPr>
        <w:endnoteReference w:id="29"/>
      </w:r>
      <w:r w:rsidRPr="00D20962">
        <w:rPr>
          <w:rFonts w:eastAsia="Calibri"/>
          <w:bCs/>
          <w:iCs/>
          <w:lang w:val="en-AU"/>
        </w:rPr>
        <w:t xml:space="preserve">. Once issued, the new regulation has the potential to improve the effectiveness of ProDEP through the better selection of supervisors.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DEO/PEO: All modules for HRMD and SP&amp;FM were designed and handed over to </w:t>
      </w:r>
      <w:r w:rsidRPr="00D20962">
        <w:rPr>
          <w:rFonts w:eastAsia="Calibri"/>
          <w:bCs/>
          <w:i/>
          <w:iCs/>
          <w:lang w:val="en-AU"/>
        </w:rPr>
        <w:t>Pusbangtendik</w:t>
      </w:r>
      <w:r w:rsidRPr="00D20962">
        <w:rPr>
          <w:rFonts w:eastAsia="Calibri"/>
          <w:bCs/>
          <w:iCs/>
          <w:lang w:val="en-AU"/>
        </w:rPr>
        <w:t xml:space="preserve">.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PPP: The roll out of the PPP by Component 2 was completed and future PPP activities will be carried out by GoI through LPPKS.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PPIP: After delays due to competing priorities within MoEC, work on the preparation for the PPIP started and a pilot is currently being implemented.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NSIP: Component 2 delivered NSIP training workshops for 443 schools constructed under the EP construction Cycle 1 and training for Cycle 2 schools commenced in September 2014.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Satisfaction level: The percentage of participants enrolled in ProDEP modules undertaken to date and who are “satisfied” by the training stands at over 90% i.e. significantly above the 80% requirement in the PAF. </w:t>
      </w:r>
    </w:p>
    <w:p w:rsidR="00D20962" w:rsidRPr="00D20962" w:rsidRDefault="00D20962" w:rsidP="00D20962">
      <w:pPr>
        <w:spacing w:before="120" w:after="120"/>
        <w:jc w:val="both"/>
        <w:outlineLvl w:val="1"/>
        <w:rPr>
          <w:bCs/>
          <w:iCs/>
          <w:lang w:val="en-AU"/>
        </w:rPr>
      </w:pPr>
    </w:p>
    <w:p w:rsidR="00D20962" w:rsidRDefault="00D20962" w:rsidP="00D20962">
      <w:pPr>
        <w:spacing w:before="120" w:after="120"/>
        <w:jc w:val="both"/>
        <w:outlineLvl w:val="1"/>
        <w:rPr>
          <w:bCs/>
          <w:iCs/>
          <w:lang w:val="en-AU"/>
        </w:rPr>
      </w:pPr>
    </w:p>
    <w:p w:rsidR="00A3750B" w:rsidRPr="00D20962" w:rsidRDefault="00A3750B" w:rsidP="00D20962">
      <w:pPr>
        <w:spacing w:before="120" w:after="120"/>
        <w:jc w:val="both"/>
        <w:outlineLvl w:val="1"/>
        <w:rPr>
          <w:bCs/>
          <w:iCs/>
          <w:lang w:val="en-AU"/>
        </w:rPr>
      </w:pPr>
    </w:p>
    <w:p w:rsidR="00D20962" w:rsidRPr="00D20962" w:rsidRDefault="00D20962" w:rsidP="00D20962">
      <w:pPr>
        <w:keepNext/>
        <w:spacing w:before="120" w:after="120"/>
        <w:ind w:left="86" w:right="43"/>
        <w:jc w:val="center"/>
        <w:rPr>
          <w:b/>
          <w:lang w:val="en-AU"/>
        </w:rPr>
      </w:pPr>
      <w:bookmarkStart w:id="32" w:name="_Toc412534580"/>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8</w:t>
      </w:r>
      <w:r w:rsidRPr="00D20962">
        <w:rPr>
          <w:b/>
          <w:lang w:val="en-GB"/>
        </w:rPr>
        <w:fldChar w:fldCharType="end"/>
      </w:r>
      <w:r w:rsidRPr="00D20962">
        <w:rPr>
          <w:b/>
          <w:lang w:val="en-AU"/>
        </w:rPr>
        <w:t>: Persons trained by ProDEP</w:t>
      </w:r>
      <w:bookmarkEnd w:id="32"/>
      <w:r w:rsidRPr="00D20962">
        <w:rPr>
          <w:b/>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99"/>
        <w:gridCol w:w="960"/>
        <w:gridCol w:w="881"/>
        <w:gridCol w:w="831"/>
        <w:gridCol w:w="955"/>
        <w:gridCol w:w="979"/>
        <w:gridCol w:w="835"/>
        <w:gridCol w:w="977"/>
        <w:gridCol w:w="1125"/>
      </w:tblGrid>
      <w:tr w:rsidR="00D20962" w:rsidRPr="00D20962" w:rsidTr="00D20962">
        <w:trPr>
          <w:trHeight w:val="624"/>
          <w:tblHeader/>
          <w:jc w:val="center"/>
        </w:trPr>
        <w:tc>
          <w:tcPr>
            <w:tcW w:w="1699" w:type="dxa"/>
            <w:vMerge w:val="restart"/>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 xml:space="preserve"> Theme</w:t>
            </w:r>
          </w:p>
        </w:tc>
        <w:tc>
          <w:tcPr>
            <w:tcW w:w="5441" w:type="dxa"/>
            <w:gridSpan w:val="6"/>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vertAlign w:val="superscript"/>
                <w:lang w:val="en-AU"/>
              </w:rPr>
            </w:pPr>
            <w:r w:rsidRPr="00D20962">
              <w:rPr>
                <w:rFonts w:asciiTheme="minorHAnsi" w:hAnsiTheme="minorHAnsi"/>
                <w:b/>
                <w:lang w:val="en-AU"/>
              </w:rPr>
              <w:t>Persons trained in 2014</w:t>
            </w:r>
            <w:r w:rsidRPr="00D20962">
              <w:rPr>
                <w:rFonts w:asciiTheme="minorHAnsi" w:hAnsiTheme="minorHAnsi"/>
                <w:b/>
                <w:vertAlign w:val="superscript"/>
                <w:lang w:val="en-AU"/>
              </w:rPr>
              <w:t>(a)</w:t>
            </w:r>
          </w:p>
        </w:tc>
        <w:tc>
          <w:tcPr>
            <w:tcW w:w="977" w:type="dxa"/>
            <w:vMerge w:val="restart"/>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Annual Total</w:t>
            </w:r>
          </w:p>
        </w:tc>
        <w:tc>
          <w:tcPr>
            <w:tcW w:w="1125" w:type="dxa"/>
            <w:vMerge w:val="restart"/>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 xml:space="preserve">Annual milestone </w:t>
            </w:r>
            <w:r w:rsidRPr="00D20962">
              <w:rPr>
                <w:rFonts w:asciiTheme="minorHAnsi" w:hAnsiTheme="minorHAnsi"/>
                <w:b/>
                <w:vertAlign w:val="superscript"/>
                <w:lang w:val="en-AU"/>
              </w:rPr>
              <w:t>(f)</w:t>
            </w:r>
          </w:p>
        </w:tc>
      </w:tr>
      <w:tr w:rsidR="00D20962" w:rsidRPr="00D20962" w:rsidTr="00D20962">
        <w:trPr>
          <w:trHeight w:val="434"/>
          <w:tblHeader/>
          <w:jc w:val="center"/>
        </w:trPr>
        <w:tc>
          <w:tcPr>
            <w:tcW w:w="1699" w:type="dxa"/>
            <w:vMerge/>
            <w:shd w:val="clear" w:color="auto" w:fill="244061" w:themeFill="accent1" w:themeFillShade="80"/>
          </w:tcPr>
          <w:p w:rsidR="00D20962" w:rsidRPr="00D20962" w:rsidRDefault="00D20962" w:rsidP="00D20962">
            <w:pPr>
              <w:spacing w:before="60" w:after="60"/>
              <w:jc w:val="both"/>
              <w:rPr>
                <w:rFonts w:asciiTheme="minorHAnsi" w:hAnsiTheme="minorHAnsi"/>
                <w:lang w:val="en-AU"/>
              </w:rPr>
            </w:pPr>
          </w:p>
        </w:tc>
        <w:tc>
          <w:tcPr>
            <w:tcW w:w="2672" w:type="dxa"/>
            <w:gridSpan w:val="3"/>
            <w:shd w:val="clear" w:color="auto" w:fill="8DB3E2" w:themeFill="text2" w:themeFillTint="66"/>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MoEC</w:t>
            </w:r>
          </w:p>
        </w:tc>
        <w:tc>
          <w:tcPr>
            <w:tcW w:w="2769" w:type="dxa"/>
            <w:gridSpan w:val="3"/>
            <w:shd w:val="clear" w:color="auto" w:fill="8DB3E2" w:themeFill="text2" w:themeFillTint="66"/>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MoRA</w:t>
            </w:r>
          </w:p>
        </w:tc>
        <w:tc>
          <w:tcPr>
            <w:tcW w:w="977" w:type="dxa"/>
            <w:vMerge/>
            <w:shd w:val="clear" w:color="auto" w:fill="244061" w:themeFill="accent1" w:themeFillShade="80"/>
            <w:vAlign w:val="center"/>
          </w:tcPr>
          <w:p w:rsidR="00D20962" w:rsidRPr="00D20962" w:rsidRDefault="00D20962" w:rsidP="00D20962">
            <w:pPr>
              <w:spacing w:before="60" w:after="60"/>
              <w:jc w:val="center"/>
              <w:rPr>
                <w:rFonts w:asciiTheme="minorHAnsi" w:hAnsiTheme="minorHAnsi"/>
                <w:lang w:val="en-AU"/>
              </w:rPr>
            </w:pPr>
          </w:p>
        </w:tc>
        <w:tc>
          <w:tcPr>
            <w:tcW w:w="1125" w:type="dxa"/>
            <w:vMerge/>
            <w:shd w:val="clear" w:color="auto" w:fill="244061" w:themeFill="accent1" w:themeFillShade="80"/>
            <w:vAlign w:val="center"/>
          </w:tcPr>
          <w:p w:rsidR="00D20962" w:rsidRPr="00D20962" w:rsidRDefault="00D20962" w:rsidP="00D20962">
            <w:pPr>
              <w:spacing w:before="60" w:after="60"/>
              <w:jc w:val="center"/>
              <w:rPr>
                <w:rFonts w:asciiTheme="minorHAnsi" w:hAnsiTheme="minorHAnsi"/>
                <w:lang w:val="en-AU"/>
              </w:rPr>
            </w:pPr>
          </w:p>
        </w:tc>
      </w:tr>
      <w:tr w:rsidR="00D20962" w:rsidRPr="00D20962" w:rsidTr="00D20962">
        <w:trPr>
          <w:trHeight w:val="434"/>
          <w:tblHeader/>
          <w:jc w:val="center"/>
        </w:trPr>
        <w:tc>
          <w:tcPr>
            <w:tcW w:w="1699" w:type="dxa"/>
            <w:vMerge/>
            <w:shd w:val="clear" w:color="auto" w:fill="244061" w:themeFill="accent1" w:themeFillShade="80"/>
          </w:tcPr>
          <w:p w:rsidR="00D20962" w:rsidRPr="00D20962" w:rsidRDefault="00D20962" w:rsidP="00D20962">
            <w:pPr>
              <w:spacing w:before="60" w:after="60"/>
              <w:jc w:val="both"/>
              <w:rPr>
                <w:rFonts w:asciiTheme="minorHAnsi" w:hAnsiTheme="minorHAnsi"/>
                <w:lang w:val="en-AU"/>
              </w:rPr>
            </w:pPr>
          </w:p>
        </w:tc>
        <w:tc>
          <w:tcPr>
            <w:tcW w:w="960" w:type="dxa"/>
            <w:shd w:val="clear" w:color="auto" w:fill="8DB3E2" w:themeFill="text2" w:themeFillTint="66"/>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Male</w:t>
            </w:r>
          </w:p>
        </w:tc>
        <w:tc>
          <w:tcPr>
            <w:tcW w:w="881" w:type="dxa"/>
            <w:shd w:val="clear" w:color="auto" w:fill="8DB3E2" w:themeFill="text2" w:themeFillTint="66"/>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Female</w:t>
            </w:r>
          </w:p>
        </w:tc>
        <w:tc>
          <w:tcPr>
            <w:tcW w:w="831" w:type="dxa"/>
            <w:shd w:val="clear" w:color="auto" w:fill="8DB3E2" w:themeFill="text2" w:themeFillTint="66"/>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Total</w:t>
            </w:r>
          </w:p>
        </w:tc>
        <w:tc>
          <w:tcPr>
            <w:tcW w:w="955" w:type="dxa"/>
            <w:shd w:val="clear" w:color="auto" w:fill="8DB3E2" w:themeFill="text2" w:themeFillTint="66"/>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Male</w:t>
            </w:r>
          </w:p>
        </w:tc>
        <w:tc>
          <w:tcPr>
            <w:tcW w:w="979" w:type="dxa"/>
            <w:shd w:val="clear" w:color="auto" w:fill="8DB3E2" w:themeFill="text2" w:themeFillTint="66"/>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Female</w:t>
            </w:r>
          </w:p>
        </w:tc>
        <w:tc>
          <w:tcPr>
            <w:tcW w:w="835" w:type="dxa"/>
            <w:shd w:val="clear" w:color="auto" w:fill="8DB3E2" w:themeFill="text2" w:themeFillTint="66"/>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Total</w:t>
            </w:r>
          </w:p>
        </w:tc>
        <w:tc>
          <w:tcPr>
            <w:tcW w:w="977" w:type="dxa"/>
            <w:vMerge/>
            <w:shd w:val="clear" w:color="auto" w:fill="244061" w:themeFill="accent1" w:themeFillShade="80"/>
            <w:vAlign w:val="center"/>
          </w:tcPr>
          <w:p w:rsidR="00D20962" w:rsidRPr="00D20962" w:rsidRDefault="00D20962" w:rsidP="00D20962">
            <w:pPr>
              <w:spacing w:before="60" w:after="60"/>
              <w:jc w:val="center"/>
              <w:rPr>
                <w:rFonts w:asciiTheme="minorHAnsi" w:hAnsiTheme="minorHAnsi"/>
                <w:lang w:val="en-AU"/>
              </w:rPr>
            </w:pPr>
          </w:p>
        </w:tc>
        <w:tc>
          <w:tcPr>
            <w:tcW w:w="1125" w:type="dxa"/>
            <w:vMerge/>
            <w:shd w:val="clear" w:color="auto" w:fill="244061" w:themeFill="accent1" w:themeFillShade="80"/>
            <w:vAlign w:val="center"/>
          </w:tcPr>
          <w:p w:rsidR="00D20962" w:rsidRPr="00D20962" w:rsidRDefault="00D20962" w:rsidP="00D20962">
            <w:pPr>
              <w:spacing w:before="60" w:after="60"/>
              <w:jc w:val="center"/>
              <w:rPr>
                <w:rFonts w:asciiTheme="minorHAnsi" w:hAnsiTheme="minorHAnsi"/>
                <w:lang w:val="en-AU"/>
              </w:rPr>
            </w:pPr>
          </w:p>
        </w:tc>
      </w:tr>
      <w:tr w:rsidR="00D20962" w:rsidRPr="00D20962" w:rsidTr="00D20962">
        <w:trPr>
          <w:trHeight w:val="510"/>
          <w:jc w:val="center"/>
        </w:trPr>
        <w:tc>
          <w:tcPr>
            <w:tcW w:w="1699" w:type="dxa"/>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CPD</w:t>
            </w:r>
          </w:p>
        </w:tc>
        <w:tc>
          <w:tcPr>
            <w:tcW w:w="960" w:type="dxa"/>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9,856</w:t>
            </w:r>
          </w:p>
        </w:tc>
        <w:tc>
          <w:tcPr>
            <w:tcW w:w="88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4,799</w:t>
            </w:r>
          </w:p>
        </w:tc>
        <w:tc>
          <w:tcPr>
            <w:tcW w:w="83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14,655</w:t>
            </w:r>
          </w:p>
        </w:tc>
        <w:tc>
          <w:tcPr>
            <w:tcW w:w="95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1,291</w:t>
            </w:r>
          </w:p>
        </w:tc>
        <w:tc>
          <w:tcPr>
            <w:tcW w:w="979"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488</w:t>
            </w:r>
          </w:p>
        </w:tc>
        <w:tc>
          <w:tcPr>
            <w:tcW w:w="83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1,779</w:t>
            </w:r>
          </w:p>
        </w:tc>
        <w:tc>
          <w:tcPr>
            <w:tcW w:w="977"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16,434</w:t>
            </w:r>
          </w:p>
        </w:tc>
        <w:tc>
          <w:tcPr>
            <w:tcW w:w="112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20,000</w:t>
            </w:r>
          </w:p>
        </w:tc>
      </w:tr>
      <w:tr w:rsidR="00D20962" w:rsidRPr="00D20962" w:rsidTr="00D20962">
        <w:trPr>
          <w:trHeight w:val="510"/>
          <w:jc w:val="center"/>
        </w:trPr>
        <w:tc>
          <w:tcPr>
            <w:tcW w:w="1699" w:type="dxa"/>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SPD</w:t>
            </w:r>
          </w:p>
        </w:tc>
        <w:tc>
          <w:tcPr>
            <w:tcW w:w="960" w:type="dxa"/>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2,512</w:t>
            </w:r>
          </w:p>
        </w:tc>
        <w:tc>
          <w:tcPr>
            <w:tcW w:w="88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665</w:t>
            </w:r>
          </w:p>
        </w:tc>
        <w:tc>
          <w:tcPr>
            <w:tcW w:w="83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3,177</w:t>
            </w:r>
          </w:p>
        </w:tc>
        <w:tc>
          <w:tcPr>
            <w:tcW w:w="95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280</w:t>
            </w:r>
          </w:p>
        </w:tc>
        <w:tc>
          <w:tcPr>
            <w:tcW w:w="979"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98</w:t>
            </w:r>
          </w:p>
        </w:tc>
        <w:tc>
          <w:tcPr>
            <w:tcW w:w="83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378</w:t>
            </w:r>
          </w:p>
        </w:tc>
        <w:tc>
          <w:tcPr>
            <w:tcW w:w="977"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 xml:space="preserve">3,555 </w:t>
            </w:r>
          </w:p>
        </w:tc>
        <w:tc>
          <w:tcPr>
            <w:tcW w:w="112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4,000</w:t>
            </w:r>
          </w:p>
        </w:tc>
      </w:tr>
      <w:tr w:rsidR="00D20962" w:rsidRPr="00D20962" w:rsidTr="00D20962">
        <w:trPr>
          <w:trHeight w:val="510"/>
          <w:jc w:val="center"/>
        </w:trPr>
        <w:tc>
          <w:tcPr>
            <w:tcW w:w="1699" w:type="dxa"/>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HRMD</w:t>
            </w:r>
          </w:p>
        </w:tc>
        <w:tc>
          <w:tcPr>
            <w:tcW w:w="960" w:type="dxa"/>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49</w:t>
            </w:r>
          </w:p>
        </w:tc>
        <w:tc>
          <w:tcPr>
            <w:tcW w:w="88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14</w:t>
            </w:r>
          </w:p>
        </w:tc>
        <w:tc>
          <w:tcPr>
            <w:tcW w:w="83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63</w:t>
            </w:r>
          </w:p>
        </w:tc>
        <w:tc>
          <w:tcPr>
            <w:tcW w:w="95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15</w:t>
            </w:r>
          </w:p>
        </w:tc>
        <w:tc>
          <w:tcPr>
            <w:tcW w:w="979"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0</w:t>
            </w:r>
          </w:p>
        </w:tc>
        <w:tc>
          <w:tcPr>
            <w:tcW w:w="83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15</w:t>
            </w:r>
          </w:p>
        </w:tc>
        <w:tc>
          <w:tcPr>
            <w:tcW w:w="977"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78</w:t>
            </w:r>
          </w:p>
        </w:tc>
        <w:tc>
          <w:tcPr>
            <w:tcW w:w="112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100</w:t>
            </w:r>
          </w:p>
        </w:tc>
      </w:tr>
      <w:tr w:rsidR="00D20962" w:rsidRPr="00D20962" w:rsidTr="00D20962">
        <w:trPr>
          <w:trHeight w:val="510"/>
          <w:jc w:val="center"/>
        </w:trPr>
        <w:tc>
          <w:tcPr>
            <w:tcW w:w="1699" w:type="dxa"/>
            <w:vAlign w:val="center"/>
          </w:tcPr>
          <w:p w:rsidR="00D20962" w:rsidRPr="00D20962" w:rsidRDefault="00D20962" w:rsidP="00D20962">
            <w:pPr>
              <w:spacing w:before="60" w:after="60"/>
              <w:rPr>
                <w:rFonts w:asciiTheme="minorHAnsi" w:hAnsiTheme="minorHAnsi"/>
                <w:b/>
                <w:vertAlign w:val="superscript"/>
                <w:lang w:val="en-AU"/>
              </w:rPr>
            </w:pPr>
            <w:r w:rsidRPr="00D20962">
              <w:rPr>
                <w:rFonts w:asciiTheme="minorHAnsi" w:hAnsiTheme="minorHAnsi"/>
                <w:b/>
                <w:lang w:val="en-AU"/>
              </w:rPr>
              <w:t xml:space="preserve">SP&amp;FM </w:t>
            </w:r>
            <w:r w:rsidRPr="00D20962">
              <w:rPr>
                <w:rFonts w:asciiTheme="minorHAnsi" w:hAnsiTheme="minorHAnsi"/>
                <w:b/>
                <w:vertAlign w:val="superscript"/>
                <w:lang w:val="en-AU"/>
              </w:rPr>
              <w:t>(b)</w:t>
            </w:r>
          </w:p>
        </w:tc>
        <w:tc>
          <w:tcPr>
            <w:tcW w:w="960"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776</w:t>
            </w:r>
          </w:p>
        </w:tc>
        <w:tc>
          <w:tcPr>
            <w:tcW w:w="88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141</w:t>
            </w:r>
          </w:p>
        </w:tc>
        <w:tc>
          <w:tcPr>
            <w:tcW w:w="83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917</w:t>
            </w:r>
          </w:p>
        </w:tc>
        <w:tc>
          <w:tcPr>
            <w:tcW w:w="95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196</w:t>
            </w:r>
          </w:p>
        </w:tc>
        <w:tc>
          <w:tcPr>
            <w:tcW w:w="979"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34</w:t>
            </w:r>
          </w:p>
        </w:tc>
        <w:tc>
          <w:tcPr>
            <w:tcW w:w="83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230</w:t>
            </w:r>
          </w:p>
        </w:tc>
        <w:tc>
          <w:tcPr>
            <w:tcW w:w="977"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1,147</w:t>
            </w:r>
          </w:p>
        </w:tc>
        <w:tc>
          <w:tcPr>
            <w:tcW w:w="112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1,250</w:t>
            </w:r>
          </w:p>
        </w:tc>
      </w:tr>
      <w:tr w:rsidR="00D20962" w:rsidRPr="00D20962" w:rsidTr="00D20962">
        <w:trPr>
          <w:trHeight w:val="510"/>
          <w:jc w:val="center"/>
        </w:trPr>
        <w:tc>
          <w:tcPr>
            <w:tcW w:w="1699" w:type="dxa"/>
            <w:vAlign w:val="center"/>
          </w:tcPr>
          <w:p w:rsidR="00D20962" w:rsidRPr="00D20962" w:rsidRDefault="00D20962" w:rsidP="00D20962">
            <w:pPr>
              <w:spacing w:before="60" w:after="60"/>
              <w:rPr>
                <w:rFonts w:asciiTheme="minorHAnsi" w:hAnsiTheme="minorHAnsi"/>
                <w:b/>
                <w:vertAlign w:val="superscript"/>
                <w:lang w:val="en-AU"/>
              </w:rPr>
            </w:pPr>
            <w:r w:rsidRPr="00D20962">
              <w:rPr>
                <w:rFonts w:asciiTheme="minorHAnsi" w:hAnsiTheme="minorHAnsi"/>
                <w:b/>
                <w:lang w:val="en-AU"/>
              </w:rPr>
              <w:t xml:space="preserve">PPP </w:t>
            </w:r>
            <w:r w:rsidRPr="00D20962">
              <w:rPr>
                <w:rFonts w:asciiTheme="minorHAnsi" w:hAnsiTheme="minorHAnsi"/>
                <w:b/>
                <w:vertAlign w:val="superscript"/>
                <w:lang w:val="en-AU"/>
              </w:rPr>
              <w:t>(c)</w:t>
            </w:r>
          </w:p>
        </w:tc>
        <w:tc>
          <w:tcPr>
            <w:tcW w:w="960" w:type="dxa"/>
            <w:shd w:val="clear" w:color="auto" w:fill="auto"/>
            <w:vAlign w:val="center"/>
          </w:tcPr>
          <w:p w:rsidR="00D20962" w:rsidRPr="00D20962" w:rsidRDefault="00D20962" w:rsidP="00D20962">
            <w:pPr>
              <w:spacing w:before="60" w:after="60"/>
              <w:jc w:val="right"/>
              <w:rPr>
                <w:rFonts w:asciiTheme="minorHAnsi" w:hAnsiTheme="minorHAnsi"/>
                <w:highlight w:val="yellow"/>
                <w:lang w:val="en-AU"/>
              </w:rPr>
            </w:pPr>
            <w:r w:rsidRPr="00D20962">
              <w:rPr>
                <w:rFonts w:asciiTheme="minorHAnsi" w:hAnsiTheme="minorHAnsi"/>
                <w:lang w:val="en-AU"/>
              </w:rPr>
              <w:t>865</w:t>
            </w:r>
          </w:p>
        </w:tc>
        <w:tc>
          <w:tcPr>
            <w:tcW w:w="881" w:type="dxa"/>
            <w:shd w:val="clear" w:color="auto" w:fill="auto"/>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870</w:t>
            </w:r>
          </w:p>
        </w:tc>
        <w:tc>
          <w:tcPr>
            <w:tcW w:w="831" w:type="dxa"/>
            <w:shd w:val="clear" w:color="auto" w:fill="auto"/>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1,735</w:t>
            </w:r>
          </w:p>
        </w:tc>
        <w:tc>
          <w:tcPr>
            <w:tcW w:w="955"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979"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835"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977"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1,735</w:t>
            </w:r>
          </w:p>
        </w:tc>
        <w:tc>
          <w:tcPr>
            <w:tcW w:w="112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1,840</w:t>
            </w:r>
          </w:p>
        </w:tc>
      </w:tr>
      <w:tr w:rsidR="00D20962" w:rsidRPr="00D20962" w:rsidTr="00D20962">
        <w:trPr>
          <w:trHeight w:val="510"/>
          <w:jc w:val="center"/>
        </w:trPr>
        <w:tc>
          <w:tcPr>
            <w:tcW w:w="1699" w:type="dxa"/>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PPIP</w:t>
            </w:r>
            <w:r w:rsidRPr="00D20962">
              <w:rPr>
                <w:rFonts w:asciiTheme="minorHAnsi" w:hAnsiTheme="minorHAnsi"/>
                <w:b/>
                <w:vertAlign w:val="superscript"/>
                <w:lang w:val="en-AU"/>
              </w:rPr>
              <w:t xml:space="preserve"> (d)</w:t>
            </w:r>
          </w:p>
        </w:tc>
        <w:tc>
          <w:tcPr>
            <w:tcW w:w="960"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881"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831"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955"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979"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835"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977"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112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0</w:t>
            </w:r>
          </w:p>
        </w:tc>
      </w:tr>
      <w:tr w:rsidR="00D20962" w:rsidRPr="00D20962" w:rsidTr="00D20962">
        <w:trPr>
          <w:trHeight w:val="510"/>
          <w:jc w:val="center"/>
        </w:trPr>
        <w:tc>
          <w:tcPr>
            <w:tcW w:w="1699" w:type="dxa"/>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 xml:space="preserve">NSIP </w:t>
            </w:r>
            <w:r w:rsidRPr="00D20962">
              <w:rPr>
                <w:rFonts w:asciiTheme="minorHAnsi" w:hAnsiTheme="minorHAnsi"/>
                <w:b/>
                <w:vertAlign w:val="superscript"/>
                <w:lang w:val="en-AU"/>
              </w:rPr>
              <w:t xml:space="preserve">(e) </w:t>
            </w:r>
          </w:p>
        </w:tc>
        <w:tc>
          <w:tcPr>
            <w:tcW w:w="960" w:type="dxa"/>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1,983</w:t>
            </w:r>
          </w:p>
        </w:tc>
        <w:tc>
          <w:tcPr>
            <w:tcW w:w="88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743</w:t>
            </w:r>
          </w:p>
        </w:tc>
        <w:tc>
          <w:tcPr>
            <w:tcW w:w="831"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2,726</w:t>
            </w:r>
          </w:p>
        </w:tc>
        <w:tc>
          <w:tcPr>
            <w:tcW w:w="955"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979"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835"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lang w:val="en-AU"/>
              </w:rPr>
            </w:pPr>
          </w:p>
        </w:tc>
        <w:tc>
          <w:tcPr>
            <w:tcW w:w="977"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2,726</w:t>
            </w:r>
          </w:p>
        </w:tc>
        <w:tc>
          <w:tcPr>
            <w:tcW w:w="1125" w:type="dxa"/>
            <w:shd w:val="clear" w:color="auto" w:fill="FFFFFF" w:themeFill="background1"/>
            <w:vAlign w:val="center"/>
          </w:tcPr>
          <w:p w:rsidR="00D20962" w:rsidRPr="00D20962" w:rsidRDefault="00D20962" w:rsidP="00D20962">
            <w:pPr>
              <w:spacing w:before="60" w:after="60"/>
              <w:jc w:val="right"/>
              <w:rPr>
                <w:rFonts w:asciiTheme="minorHAnsi" w:hAnsiTheme="minorHAnsi"/>
                <w:lang w:val="en-AU"/>
              </w:rPr>
            </w:pPr>
            <w:r w:rsidRPr="00D20962">
              <w:rPr>
                <w:rFonts w:asciiTheme="minorHAnsi" w:hAnsiTheme="minorHAnsi"/>
                <w:lang w:val="en-AU"/>
              </w:rPr>
              <w:t>546 schools</w:t>
            </w:r>
          </w:p>
        </w:tc>
      </w:tr>
      <w:tr w:rsidR="00D20962" w:rsidRPr="00D20962" w:rsidTr="00D20962">
        <w:trPr>
          <w:trHeight w:val="510"/>
          <w:jc w:val="center"/>
        </w:trPr>
        <w:tc>
          <w:tcPr>
            <w:tcW w:w="1699" w:type="dxa"/>
            <w:vAlign w:val="center"/>
          </w:tcPr>
          <w:p w:rsidR="00D20962" w:rsidRPr="00D20962" w:rsidRDefault="00D20962" w:rsidP="00D20962">
            <w:pPr>
              <w:spacing w:before="60" w:after="60"/>
              <w:rPr>
                <w:rFonts w:asciiTheme="minorHAnsi" w:hAnsiTheme="minorHAnsi"/>
                <w:vertAlign w:val="superscript"/>
                <w:lang w:val="en-AU"/>
              </w:rPr>
            </w:pPr>
            <w:r w:rsidRPr="00D20962">
              <w:rPr>
                <w:rFonts w:asciiTheme="minorHAnsi" w:hAnsiTheme="minorHAnsi"/>
                <w:b/>
                <w:lang w:val="en-AU"/>
              </w:rPr>
              <w:t>GRAND TOTAL</w:t>
            </w:r>
          </w:p>
        </w:tc>
        <w:tc>
          <w:tcPr>
            <w:tcW w:w="960" w:type="dxa"/>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16,041</w:t>
            </w:r>
          </w:p>
        </w:tc>
        <w:tc>
          <w:tcPr>
            <w:tcW w:w="881" w:type="dxa"/>
            <w:shd w:val="clear" w:color="auto" w:fill="FFFFFF" w:themeFill="background1"/>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7,232</w:t>
            </w:r>
          </w:p>
        </w:tc>
        <w:tc>
          <w:tcPr>
            <w:tcW w:w="831" w:type="dxa"/>
            <w:shd w:val="clear" w:color="auto" w:fill="FFFFFF" w:themeFill="background1"/>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23,273</w:t>
            </w:r>
          </w:p>
        </w:tc>
        <w:tc>
          <w:tcPr>
            <w:tcW w:w="955" w:type="dxa"/>
            <w:shd w:val="clear" w:color="auto" w:fill="FFFFFF" w:themeFill="background1"/>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1,782</w:t>
            </w:r>
          </w:p>
        </w:tc>
        <w:tc>
          <w:tcPr>
            <w:tcW w:w="979" w:type="dxa"/>
            <w:shd w:val="clear" w:color="auto" w:fill="FFFFFF" w:themeFill="background1"/>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620</w:t>
            </w:r>
          </w:p>
        </w:tc>
        <w:tc>
          <w:tcPr>
            <w:tcW w:w="835" w:type="dxa"/>
            <w:shd w:val="clear" w:color="auto" w:fill="FFFFFF" w:themeFill="background1"/>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2,402</w:t>
            </w:r>
          </w:p>
        </w:tc>
        <w:tc>
          <w:tcPr>
            <w:tcW w:w="977" w:type="dxa"/>
            <w:shd w:val="clear" w:color="auto" w:fill="BFBFBF" w:themeFill="background1" w:themeFillShade="BF"/>
            <w:vAlign w:val="center"/>
          </w:tcPr>
          <w:p w:rsidR="00D20962" w:rsidRPr="00D20962" w:rsidRDefault="00D20962" w:rsidP="00D20962">
            <w:pPr>
              <w:spacing w:before="60" w:after="60"/>
              <w:jc w:val="center"/>
              <w:rPr>
                <w:rFonts w:asciiTheme="minorHAnsi" w:hAnsiTheme="minorHAnsi"/>
                <w:b/>
                <w:lang w:val="en-AU"/>
              </w:rPr>
            </w:pPr>
          </w:p>
        </w:tc>
        <w:tc>
          <w:tcPr>
            <w:tcW w:w="1125" w:type="dxa"/>
            <w:shd w:val="clear" w:color="auto" w:fill="BFBFBF" w:themeFill="background1" w:themeFillShade="BF"/>
            <w:vAlign w:val="center"/>
          </w:tcPr>
          <w:p w:rsidR="00D20962" w:rsidRPr="00D20962" w:rsidRDefault="00D20962" w:rsidP="00D20962">
            <w:pPr>
              <w:spacing w:before="60" w:after="60"/>
              <w:jc w:val="right"/>
              <w:rPr>
                <w:rFonts w:asciiTheme="minorHAnsi" w:hAnsiTheme="minorHAnsi"/>
                <w:b/>
                <w:lang w:val="en-AU"/>
              </w:rPr>
            </w:pPr>
          </w:p>
        </w:tc>
      </w:tr>
    </w:tbl>
    <w:p w:rsidR="00D20962" w:rsidRPr="00D20962" w:rsidRDefault="00D20962" w:rsidP="00D20962">
      <w:pPr>
        <w:tabs>
          <w:tab w:val="left" w:pos="709"/>
        </w:tabs>
        <w:spacing w:line="276" w:lineRule="auto"/>
        <w:ind w:left="993" w:hanging="993"/>
        <w:outlineLvl w:val="1"/>
        <w:rPr>
          <w:bCs/>
          <w:iCs/>
          <w:sz w:val="18"/>
          <w:szCs w:val="18"/>
          <w:lang w:val="en-AU"/>
        </w:rPr>
      </w:pPr>
    </w:p>
    <w:p w:rsidR="00D20962" w:rsidRPr="00D20962" w:rsidRDefault="00D20962" w:rsidP="00D20962">
      <w:pPr>
        <w:tabs>
          <w:tab w:val="left" w:pos="709"/>
        </w:tabs>
        <w:spacing w:line="276" w:lineRule="auto"/>
        <w:ind w:left="993" w:hanging="993"/>
        <w:outlineLvl w:val="1"/>
        <w:rPr>
          <w:bCs/>
          <w:iCs/>
          <w:sz w:val="18"/>
          <w:szCs w:val="18"/>
          <w:lang w:val="en-AU"/>
        </w:rPr>
      </w:pPr>
      <w:r w:rsidRPr="00D20962">
        <w:rPr>
          <w:bCs/>
          <w:iCs/>
          <w:sz w:val="18"/>
          <w:szCs w:val="18"/>
          <w:lang w:val="en-AU"/>
        </w:rPr>
        <w:t>Notes:</w:t>
      </w:r>
      <w:r w:rsidRPr="00D20962">
        <w:rPr>
          <w:bCs/>
          <w:iCs/>
          <w:sz w:val="18"/>
          <w:szCs w:val="18"/>
          <w:lang w:val="en-AU"/>
        </w:rPr>
        <w:tab/>
        <w:t xml:space="preserve">(a) </w:t>
      </w:r>
      <w:r w:rsidRPr="00D20962">
        <w:rPr>
          <w:bCs/>
          <w:iCs/>
          <w:sz w:val="18"/>
          <w:szCs w:val="18"/>
          <w:lang w:val="en-AU"/>
        </w:rPr>
        <w:tab/>
        <w:t>ProDEP related data are accurate as at 31 December 2014; NSIP data are accurate as at 5 December 2014.</w:t>
      </w:r>
    </w:p>
    <w:p w:rsidR="00D20962" w:rsidRPr="00D20962" w:rsidRDefault="00D20962" w:rsidP="00D20962">
      <w:pPr>
        <w:tabs>
          <w:tab w:val="left" w:pos="709"/>
        </w:tabs>
        <w:spacing w:line="276" w:lineRule="auto"/>
        <w:ind w:left="993" w:hanging="284"/>
        <w:outlineLvl w:val="1"/>
        <w:rPr>
          <w:bCs/>
          <w:iCs/>
          <w:sz w:val="18"/>
          <w:szCs w:val="18"/>
          <w:lang w:val="en-AU"/>
        </w:rPr>
      </w:pPr>
      <w:r w:rsidRPr="00D20962">
        <w:rPr>
          <w:bCs/>
          <w:iCs/>
          <w:sz w:val="18"/>
          <w:szCs w:val="18"/>
          <w:lang w:val="en-AU"/>
        </w:rPr>
        <w:t xml:space="preserve">(b) </w:t>
      </w:r>
      <w:r w:rsidRPr="00D20962">
        <w:rPr>
          <w:bCs/>
          <w:iCs/>
          <w:sz w:val="18"/>
          <w:szCs w:val="18"/>
          <w:lang w:val="en-AU"/>
        </w:rPr>
        <w:tab/>
        <w:t xml:space="preserve">At the time of writing, a number of Eligible Entities have yet to disaggregate participants based on sex and ministry for SP&amp;FM. This leads to a mismatch between male and female participants and the total number. </w:t>
      </w:r>
    </w:p>
    <w:p w:rsidR="00D20962" w:rsidRPr="00D20962" w:rsidRDefault="00D20962" w:rsidP="00D20962">
      <w:pPr>
        <w:tabs>
          <w:tab w:val="left" w:pos="709"/>
        </w:tabs>
        <w:spacing w:line="276" w:lineRule="auto"/>
        <w:ind w:left="993" w:hanging="284"/>
        <w:outlineLvl w:val="1"/>
        <w:rPr>
          <w:bCs/>
          <w:iCs/>
          <w:sz w:val="18"/>
          <w:szCs w:val="18"/>
          <w:lang w:val="en-AU"/>
        </w:rPr>
      </w:pPr>
      <w:r w:rsidRPr="00D20962">
        <w:rPr>
          <w:bCs/>
          <w:iCs/>
          <w:sz w:val="18"/>
          <w:szCs w:val="18"/>
          <w:lang w:val="en-AU"/>
        </w:rPr>
        <w:t xml:space="preserve">(c) </w:t>
      </w:r>
      <w:r w:rsidRPr="00D20962">
        <w:rPr>
          <w:bCs/>
          <w:iCs/>
          <w:sz w:val="18"/>
          <w:szCs w:val="18"/>
          <w:lang w:val="en-AU"/>
        </w:rPr>
        <w:tab/>
        <w:t xml:space="preserve">The number includes participants who were directly financed by districts. </w:t>
      </w:r>
    </w:p>
    <w:p w:rsidR="00D20962" w:rsidRPr="00D20962" w:rsidRDefault="00D20962" w:rsidP="00D20962">
      <w:pPr>
        <w:tabs>
          <w:tab w:val="left" w:pos="709"/>
        </w:tabs>
        <w:spacing w:line="276" w:lineRule="auto"/>
        <w:ind w:left="993" w:hanging="284"/>
        <w:outlineLvl w:val="1"/>
        <w:rPr>
          <w:bCs/>
          <w:iCs/>
          <w:sz w:val="18"/>
          <w:szCs w:val="18"/>
          <w:lang w:val="en-AU"/>
        </w:rPr>
      </w:pPr>
      <w:r w:rsidRPr="00D20962">
        <w:rPr>
          <w:bCs/>
          <w:iCs/>
          <w:sz w:val="18"/>
          <w:szCs w:val="18"/>
          <w:lang w:val="en-AU"/>
        </w:rPr>
        <w:t xml:space="preserve">(d) </w:t>
      </w:r>
      <w:r w:rsidRPr="00D20962">
        <w:rPr>
          <w:bCs/>
          <w:iCs/>
          <w:sz w:val="18"/>
          <w:szCs w:val="18"/>
          <w:lang w:val="en-AU"/>
        </w:rPr>
        <w:tab/>
        <w:t>PPIP will only commence in 2015. The pilot commenced in 2014.</w:t>
      </w:r>
    </w:p>
    <w:p w:rsidR="00D20962" w:rsidRPr="00D20962" w:rsidRDefault="00D20962" w:rsidP="00D20962">
      <w:pPr>
        <w:tabs>
          <w:tab w:val="left" w:pos="709"/>
        </w:tabs>
        <w:spacing w:line="276" w:lineRule="auto"/>
        <w:ind w:left="993" w:hanging="284"/>
        <w:outlineLvl w:val="1"/>
        <w:rPr>
          <w:bCs/>
          <w:iCs/>
          <w:sz w:val="18"/>
          <w:szCs w:val="18"/>
          <w:lang w:val="en-AU"/>
        </w:rPr>
      </w:pPr>
      <w:r w:rsidRPr="00D20962">
        <w:rPr>
          <w:bCs/>
          <w:iCs/>
          <w:sz w:val="18"/>
          <w:szCs w:val="18"/>
          <w:lang w:val="en-AU"/>
        </w:rPr>
        <w:t xml:space="preserve">(e) </w:t>
      </w:r>
      <w:r w:rsidRPr="00D20962">
        <w:rPr>
          <w:bCs/>
          <w:iCs/>
          <w:sz w:val="18"/>
          <w:szCs w:val="18"/>
          <w:lang w:val="en-AU"/>
        </w:rPr>
        <w:tab/>
        <w:t xml:space="preserve">NSIP data include pilot activities in Bengkulu with 30 participants. NSIP is not conducted for madrasah. There is no NSIP participant target in the PAF and the PMF - it only provides the target for number of schools. </w:t>
      </w:r>
    </w:p>
    <w:p w:rsidR="00D20962" w:rsidRPr="00D20962" w:rsidRDefault="00D20962" w:rsidP="00D20962">
      <w:pPr>
        <w:tabs>
          <w:tab w:val="left" w:pos="709"/>
        </w:tabs>
        <w:spacing w:line="276" w:lineRule="auto"/>
        <w:ind w:left="993" w:hanging="284"/>
        <w:outlineLvl w:val="1"/>
        <w:rPr>
          <w:bCs/>
          <w:iCs/>
          <w:sz w:val="18"/>
          <w:szCs w:val="18"/>
          <w:lang w:val="en-AU"/>
        </w:rPr>
      </w:pPr>
      <w:r w:rsidRPr="00D20962">
        <w:rPr>
          <w:bCs/>
          <w:iCs/>
          <w:sz w:val="18"/>
          <w:szCs w:val="18"/>
          <w:lang w:val="en-AU"/>
        </w:rPr>
        <w:t xml:space="preserve">(f) </w:t>
      </w:r>
      <w:r w:rsidRPr="00D20962">
        <w:rPr>
          <w:bCs/>
          <w:iCs/>
          <w:sz w:val="18"/>
          <w:szCs w:val="18"/>
          <w:lang w:val="en-AU"/>
        </w:rPr>
        <w:tab/>
        <w:t>The annual milestone identified in this column refers to the annual PAF/PMF milestone for 2014.</w:t>
      </w:r>
    </w:p>
    <w:p w:rsidR="00D20962" w:rsidRPr="009E4D89" w:rsidRDefault="00D20962" w:rsidP="009E4D89">
      <w:pPr>
        <w:pStyle w:val="Source"/>
        <w:rPr>
          <w:lang w:val="en-AU"/>
        </w:rPr>
      </w:pPr>
      <w:r w:rsidRPr="009E4D89">
        <w:rPr>
          <w:lang w:val="en-AU"/>
        </w:rPr>
        <w:t>Source: Data from Component 2: NSIP data received on 9 December 2014, ProDEP (updated) data received on 30 January 2015, but reflect achievements from January – December 2014.</w:t>
      </w:r>
    </w:p>
    <w:p w:rsidR="00D20962" w:rsidRPr="00D20962" w:rsidRDefault="00D20962" w:rsidP="00D20962">
      <w:pPr>
        <w:spacing w:before="120" w:after="120"/>
        <w:jc w:val="both"/>
        <w:outlineLvl w:val="1"/>
        <w:rPr>
          <w:bCs/>
          <w:iCs/>
          <w:sz w:val="18"/>
          <w:szCs w:val="18"/>
          <w:lang w:val="en-AU"/>
        </w:rPr>
      </w:pPr>
    </w:p>
    <w:p w:rsidR="00D20962" w:rsidRPr="00D20962" w:rsidRDefault="00D20962" w:rsidP="00D20962">
      <w:pPr>
        <w:spacing w:before="120" w:after="120"/>
        <w:outlineLvl w:val="1"/>
        <w:rPr>
          <w:b/>
          <w:bCs/>
          <w:iCs/>
          <w:color w:val="003880"/>
          <w:sz w:val="24"/>
          <w:szCs w:val="24"/>
          <w:lang w:val="en-AU"/>
        </w:rPr>
      </w:pPr>
      <w:r w:rsidRPr="00D20962">
        <w:rPr>
          <w:b/>
          <w:bCs/>
          <w:iCs/>
          <w:color w:val="003880"/>
          <w:sz w:val="24"/>
          <w:szCs w:val="24"/>
          <w:lang w:val="en-AU"/>
        </w:rPr>
        <w:t>3.4</w:t>
      </w:r>
      <w:r w:rsidRPr="00D20962">
        <w:rPr>
          <w:b/>
          <w:bCs/>
          <w:iCs/>
          <w:color w:val="003880"/>
          <w:sz w:val="24"/>
          <w:szCs w:val="24"/>
          <w:lang w:val="en-AU"/>
        </w:rPr>
        <w:tab/>
        <w:t>Analysis</w:t>
      </w:r>
    </w:p>
    <w:p w:rsidR="00D20962" w:rsidRPr="00D20962" w:rsidRDefault="00D20962" w:rsidP="00D20962">
      <w:pPr>
        <w:spacing w:before="120" w:after="120"/>
        <w:outlineLvl w:val="1"/>
        <w:rPr>
          <w:bCs/>
          <w:color w:val="003880"/>
          <w:sz w:val="24"/>
          <w:szCs w:val="28"/>
          <w:lang w:val="en-AU"/>
        </w:rPr>
      </w:pPr>
      <w:r w:rsidRPr="00D20962">
        <w:rPr>
          <w:bCs/>
          <w:color w:val="003880"/>
          <w:sz w:val="24"/>
          <w:szCs w:val="28"/>
          <w:lang w:val="en-AU"/>
        </w:rPr>
        <w:t>3.4.1</w:t>
      </w:r>
      <w:r w:rsidRPr="00D20962">
        <w:rPr>
          <w:bCs/>
          <w:color w:val="003880"/>
          <w:sz w:val="24"/>
          <w:szCs w:val="28"/>
          <w:lang w:val="en-AU"/>
        </w:rPr>
        <w:tab/>
        <w:t>Relevance</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From a GoI perspective, a professional development system for principals and education officials remains relevant to government priorities. Interviews conducted with GoI officials</w:t>
      </w:r>
      <w:r w:rsidRPr="00D20962">
        <w:rPr>
          <w:rFonts w:asciiTheme="minorHAnsi" w:hAnsiTheme="minorHAnsi" w:cstheme="minorHAnsi"/>
          <w:vertAlign w:val="superscript"/>
          <w:lang w:val="en-AU"/>
        </w:rPr>
        <w:endnoteReference w:id="30"/>
      </w:r>
      <w:r w:rsidRPr="00D20962">
        <w:rPr>
          <w:rFonts w:asciiTheme="minorHAnsi" w:hAnsiTheme="minorHAnsi" w:cstheme="minorHAnsi"/>
          <w:lang w:val="en-AU"/>
        </w:rPr>
        <w:t xml:space="preserve"> revealed that ProDEP-related indicators have been included in MoEC’s draft </w:t>
      </w:r>
      <w:r w:rsidRPr="00D20962">
        <w:rPr>
          <w:rFonts w:asciiTheme="minorHAnsi" w:hAnsiTheme="minorHAnsi" w:cstheme="minorHAnsi"/>
          <w:i/>
          <w:lang w:val="en-AU"/>
        </w:rPr>
        <w:t>Renstra</w:t>
      </w:r>
      <w:r w:rsidRPr="00D20962">
        <w:rPr>
          <w:rFonts w:asciiTheme="minorHAnsi" w:hAnsiTheme="minorHAnsi" w:cstheme="minorHAnsi"/>
          <w:lang w:val="en-AU"/>
        </w:rPr>
        <w:t xml:space="preserve"> 2015-19</w:t>
      </w:r>
      <w:r w:rsidRPr="00D20962">
        <w:rPr>
          <w:rFonts w:asciiTheme="minorHAnsi" w:hAnsiTheme="minorHAnsi" w:cstheme="minorHAnsi"/>
          <w:vertAlign w:val="superscript"/>
          <w:lang w:val="en-AU"/>
        </w:rPr>
        <w:footnoteReference w:id="24"/>
      </w:r>
      <w:r w:rsidRPr="00D20962">
        <w:rPr>
          <w:rFonts w:asciiTheme="minorHAnsi" w:hAnsiTheme="minorHAnsi" w:cstheme="minorHAnsi"/>
          <w:lang w:val="en-AU"/>
        </w:rPr>
        <w:t>. Although still subject to approval, this inclusion is a firm indication that improved management of education services will remain a priority for GoI. Nevertheless, its relative importance to the new administration is still uncertain as recent statements made by the Minister of Culture and Primary and Secondary Education have placed a strong emphasis on the role of teachers</w:t>
      </w:r>
      <w:r w:rsidRPr="00D20962">
        <w:rPr>
          <w:rFonts w:asciiTheme="minorHAnsi" w:hAnsiTheme="minorHAnsi" w:cstheme="minorHAnsi"/>
          <w:vertAlign w:val="superscript"/>
          <w:lang w:val="en-AU"/>
        </w:rPr>
        <w:endnoteReference w:id="31"/>
      </w:r>
      <w:r w:rsidRPr="00D20962">
        <w:rPr>
          <w:rFonts w:asciiTheme="minorHAnsi" w:hAnsiTheme="minorHAnsi" w:cstheme="minorHAnsi"/>
          <w:lang w:val="en-AU"/>
        </w:rPr>
        <w:t xml:space="preserve">, with little </w:t>
      </w:r>
      <w:r w:rsidRPr="00D20962">
        <w:rPr>
          <w:rFonts w:asciiTheme="minorHAnsi" w:hAnsiTheme="minorHAnsi" w:cstheme="minorHAnsi"/>
          <w:lang w:val="en-AU"/>
        </w:rPr>
        <w:lastRenderedPageBreak/>
        <w:t xml:space="preserve">reference to the role of principals and education managers, leading to lack of clarity (at least to POM) on the administration’s vision for ProDEP.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From an Australian perspective, improvement in education quality and, by extension, improvement in education management, firmly remains a DFAT priority. It is likely to feature as a key outcome within DFAT’s upcoming Indonesia Aid Investment Plan (AIP).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From an internal relevance perspective, the ProDEP approach is fully consistent with the attainment of the EOCO. ProDEP is also broadly consistent with the EOPO. In time, to maintain relevance, it will be necessary to include new UoLs and to update existing UoLs to ensure consistency with any changes in government regulations and templates. It will also be necessary to utilise a wider range of delivery modalities, including online learning and cluster based modalities to facilitate efficient access of all principals to the training program.</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The NSIP is designed to “build a core school-based group including principal, teachers, and school committee / community members able to manage the new schools most effectively and to plan for the future”</w:t>
      </w:r>
      <w:r w:rsidRPr="00D20962">
        <w:rPr>
          <w:rFonts w:asciiTheme="minorHAnsi" w:hAnsiTheme="minorHAnsi" w:cstheme="minorHAnsi"/>
          <w:vertAlign w:val="superscript"/>
          <w:lang w:val="en-AU"/>
        </w:rPr>
        <w:endnoteReference w:id="32"/>
      </w:r>
      <w:r w:rsidRPr="00D20962">
        <w:rPr>
          <w:rFonts w:asciiTheme="minorHAnsi" w:hAnsiTheme="minorHAnsi" w:cstheme="minorHAnsi"/>
          <w:lang w:val="en-AU"/>
        </w:rPr>
        <w:t>. The NSIP has the potential to complement ProDEP which is designed to improve the capacity of individuals (e.g. principals), while the NSIP is designed to improve the capacity of key stakeholder groups</w:t>
      </w:r>
      <w:r w:rsidRPr="00D20962">
        <w:rPr>
          <w:rFonts w:asciiTheme="minorHAnsi" w:hAnsiTheme="minorHAnsi" w:cstheme="minorHAnsi"/>
          <w:vertAlign w:val="superscript"/>
          <w:lang w:val="en-AU"/>
        </w:rPr>
        <w:footnoteReference w:id="25"/>
      </w:r>
      <w:r w:rsidRPr="00D20962">
        <w:rPr>
          <w:rFonts w:asciiTheme="minorHAnsi" w:hAnsiTheme="minorHAnsi" w:cstheme="minorHAnsi"/>
          <w:lang w:val="en-AU"/>
        </w:rPr>
        <w:t>. The program includes asset management and maintenance, handling of BOS funds, school accounting practices, and working with the community</w:t>
      </w:r>
      <w:r w:rsidRPr="00D20962">
        <w:rPr>
          <w:rFonts w:asciiTheme="minorHAnsi" w:hAnsiTheme="minorHAnsi" w:cstheme="minorHAnsi"/>
          <w:vertAlign w:val="superscript"/>
          <w:lang w:val="en-AU"/>
        </w:rPr>
        <w:endnoteReference w:id="33"/>
      </w:r>
      <w:r w:rsidRPr="00D20962">
        <w:rPr>
          <w:rFonts w:asciiTheme="minorHAnsi" w:hAnsiTheme="minorHAnsi" w:cstheme="minorHAnsi"/>
          <w:lang w:val="en-AU"/>
        </w:rPr>
        <w:t xml:space="preserve">, i.e. competencies that contribute to effective school management. From a conceptual perspective, NSIP therefore appears to be relevant to the achievement of the EOCO and the EOPO. However, NSIP’s actual contribution can only be known if an evaluation of the program’s contribution to the EOCO and EOPO is conducted. </w:t>
      </w:r>
    </w:p>
    <w:p w:rsidR="00D20962" w:rsidRPr="00D20962" w:rsidRDefault="00D20962" w:rsidP="00D20962">
      <w:pPr>
        <w:spacing w:before="120" w:after="120"/>
        <w:outlineLvl w:val="1"/>
        <w:rPr>
          <w:bCs/>
          <w:color w:val="003880"/>
          <w:sz w:val="24"/>
          <w:szCs w:val="28"/>
          <w:lang w:val="en-AU"/>
        </w:rPr>
      </w:pPr>
      <w:r w:rsidRPr="00D20962">
        <w:rPr>
          <w:bCs/>
          <w:color w:val="003880"/>
          <w:sz w:val="24"/>
          <w:szCs w:val="28"/>
          <w:lang w:val="en-AU"/>
        </w:rPr>
        <w:t>3.4.2</w:t>
      </w:r>
      <w:r w:rsidRPr="00D20962">
        <w:rPr>
          <w:bCs/>
          <w:color w:val="003880"/>
          <w:sz w:val="24"/>
          <w:szCs w:val="28"/>
          <w:lang w:val="en-AU"/>
        </w:rPr>
        <w:tab/>
        <w:t>Efficiency</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ProDEP was initially envisaged to start in late 2013</w:t>
      </w:r>
      <w:r w:rsidRPr="00D20962">
        <w:rPr>
          <w:rFonts w:asciiTheme="minorHAnsi" w:hAnsiTheme="minorHAnsi" w:cstheme="minorHAnsi"/>
          <w:vertAlign w:val="superscript"/>
          <w:lang w:val="en-AU"/>
        </w:rPr>
        <w:endnoteReference w:id="34"/>
      </w:r>
      <w:r w:rsidRPr="00D20962">
        <w:rPr>
          <w:rFonts w:asciiTheme="minorHAnsi" w:hAnsiTheme="minorHAnsi" w:cstheme="minorHAnsi"/>
          <w:lang w:val="en-AU"/>
        </w:rPr>
        <w:t xml:space="preserve"> but its launch was delayed until July 2014 because of GoI’s commitment to roll out Curriculum 2013. This delay restricted C2 expenditure in the GoA fiscal year, July 2013 - June 2014</w:t>
      </w:r>
      <w:r w:rsidRPr="00D20962">
        <w:rPr>
          <w:rFonts w:asciiTheme="minorHAnsi" w:hAnsiTheme="minorHAnsi" w:cstheme="minorHAnsi"/>
          <w:vertAlign w:val="superscript"/>
          <w:lang w:val="en-AU"/>
        </w:rPr>
        <w:endnoteReference w:id="35"/>
      </w:r>
      <w:r w:rsidRPr="00D20962">
        <w:rPr>
          <w:rFonts w:asciiTheme="minorHAnsi" w:hAnsiTheme="minorHAnsi" w:cstheme="minorHAnsi"/>
          <w:lang w:val="en-AU"/>
        </w:rPr>
        <w:t>. Similarly, Eligible Entities were reported to have only spent, on average, 49%</w:t>
      </w:r>
      <w:r w:rsidRPr="00D20962">
        <w:rPr>
          <w:rFonts w:asciiTheme="minorHAnsi" w:hAnsiTheme="minorHAnsi" w:cstheme="minorHAnsi"/>
          <w:vertAlign w:val="superscript"/>
          <w:lang w:val="en-AU"/>
        </w:rPr>
        <w:endnoteReference w:id="36"/>
      </w:r>
      <w:r w:rsidRPr="00D20962">
        <w:rPr>
          <w:rFonts w:asciiTheme="minorHAnsi" w:hAnsiTheme="minorHAnsi" w:cstheme="minorHAnsi"/>
          <w:lang w:val="en-AU"/>
        </w:rPr>
        <w:t xml:space="preserve"> of their annual budget by November 2014. In some cases, the low reported spending was not caused by the lack of implementation of activities, but merely due to the limited capacity of eligible entities in reporting expenditures. For example, LPMP Kepri has a reported spending of 6%</w:t>
      </w:r>
      <w:r w:rsidRPr="00D20962">
        <w:rPr>
          <w:rFonts w:asciiTheme="minorHAnsi" w:hAnsiTheme="minorHAnsi" w:cstheme="minorHAnsi"/>
          <w:vertAlign w:val="superscript"/>
          <w:lang w:val="en-AU"/>
        </w:rPr>
        <w:endnoteReference w:id="37"/>
      </w:r>
      <w:r w:rsidRPr="00D20962">
        <w:rPr>
          <w:rFonts w:asciiTheme="minorHAnsi" w:hAnsiTheme="minorHAnsi" w:cstheme="minorHAnsi"/>
          <w:lang w:val="en-AU"/>
        </w:rPr>
        <w:t xml:space="preserve"> despite having completed all activities</w:t>
      </w:r>
      <w:r w:rsidRPr="00D20962">
        <w:rPr>
          <w:rFonts w:asciiTheme="minorHAnsi" w:hAnsiTheme="minorHAnsi" w:cstheme="minorHAnsi"/>
          <w:vertAlign w:val="superscript"/>
          <w:lang w:val="en-AU"/>
        </w:rPr>
        <w:endnoteReference w:id="38"/>
      </w:r>
      <w:r w:rsidRPr="00D20962">
        <w:rPr>
          <w:rFonts w:asciiTheme="minorHAnsi" w:hAnsiTheme="minorHAnsi" w:cstheme="minorHAnsi"/>
          <w:lang w:val="en-AU"/>
        </w:rPr>
        <w:t>.</w:t>
      </w:r>
      <w:r w:rsidR="00940C3D">
        <w:rPr>
          <w:rFonts w:asciiTheme="minorHAnsi" w:hAnsiTheme="minorHAnsi" w:cstheme="minorHAnsi"/>
          <w:lang w:val="en-AU"/>
        </w:rPr>
        <w:t xml:space="preserve">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The capacity of Eligible Entities to implement ProDEP is reported by SSQ to be varied. The capacity of the “least confident” trainers</w:t>
      </w:r>
      <w:r w:rsidRPr="00D20962">
        <w:rPr>
          <w:rFonts w:asciiTheme="minorHAnsi" w:hAnsiTheme="minorHAnsi" w:cstheme="minorHAnsi"/>
          <w:vertAlign w:val="superscript"/>
          <w:lang w:val="en-AU"/>
        </w:rPr>
        <w:endnoteReference w:id="39"/>
      </w:r>
      <w:r w:rsidRPr="00D20962">
        <w:rPr>
          <w:rFonts w:asciiTheme="minorHAnsi" w:hAnsiTheme="minorHAnsi" w:cstheme="minorHAnsi"/>
          <w:vertAlign w:val="superscript"/>
          <w:lang w:val="en-AU"/>
        </w:rPr>
        <w:t xml:space="preserve"> </w:t>
      </w:r>
      <w:r w:rsidRPr="00D20962">
        <w:rPr>
          <w:rFonts w:asciiTheme="minorHAnsi" w:hAnsiTheme="minorHAnsi" w:cstheme="minorHAnsi"/>
          <w:lang w:val="en-AU"/>
        </w:rPr>
        <w:t xml:space="preserve">(for example, those in LPMP West Papua and LPMP Papua) will need to be improved so that they can deliver the same level of quality as other Eligible Entities. Further ToT and ongoing capacity development for Eligible Entities’ personnel and systems will be carried out in 2015.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C2 has met the majority of the output-level ProDEP milestones for 2014. But timely reporting could be an area of improvement in the future. During the SDTOG on 30 October 2014 it was reported that only 30%</w:t>
      </w:r>
      <w:r w:rsidRPr="00D20962">
        <w:rPr>
          <w:rFonts w:asciiTheme="minorHAnsi" w:hAnsiTheme="minorHAnsi" w:cstheme="minorHAnsi"/>
          <w:vertAlign w:val="superscript"/>
          <w:lang w:val="en-AU"/>
        </w:rPr>
        <w:footnoteReference w:id="26"/>
      </w:r>
      <w:r w:rsidRPr="00D20962">
        <w:rPr>
          <w:rFonts w:asciiTheme="minorHAnsi" w:hAnsiTheme="minorHAnsi" w:cstheme="minorHAnsi"/>
          <w:lang w:val="en-AU"/>
        </w:rPr>
        <w:t xml:space="preserve"> of the PAF annual milestone for CPD had been achieved</w:t>
      </w:r>
      <w:r w:rsidRPr="00D20962">
        <w:rPr>
          <w:rFonts w:asciiTheme="minorHAnsi" w:hAnsiTheme="minorHAnsi" w:cstheme="minorHAnsi"/>
          <w:vertAlign w:val="superscript"/>
          <w:lang w:val="en-AU"/>
        </w:rPr>
        <w:endnoteReference w:id="40"/>
      </w:r>
      <w:r w:rsidRPr="00D20962">
        <w:rPr>
          <w:rFonts w:asciiTheme="minorHAnsi" w:hAnsiTheme="minorHAnsi" w:cstheme="minorHAnsi"/>
          <w:lang w:val="en-AU"/>
        </w:rPr>
        <w:t xml:space="preserve">. The low level of achievement </w:t>
      </w:r>
      <w:r w:rsidRPr="00D20962">
        <w:rPr>
          <w:rFonts w:asciiTheme="minorHAnsi" w:hAnsiTheme="minorHAnsi" w:cstheme="minorHAnsi"/>
          <w:lang w:val="en-AU"/>
        </w:rPr>
        <w:lastRenderedPageBreak/>
        <w:t>reported was not because a small percentage of participants had been trained, but rather because Eligible Entities had not entered the required data into the system (SIMDIKLAT) in time to be included in the report</w:t>
      </w:r>
      <w:r w:rsidRPr="00D20962">
        <w:rPr>
          <w:rFonts w:asciiTheme="minorHAnsi" w:hAnsiTheme="minorHAnsi" w:cstheme="minorHAnsi"/>
          <w:vertAlign w:val="superscript"/>
          <w:lang w:val="en-AU"/>
        </w:rPr>
        <w:endnoteReference w:id="41"/>
      </w:r>
      <w:r w:rsidRPr="00D20962">
        <w:rPr>
          <w:rFonts w:asciiTheme="minorHAnsi" w:hAnsiTheme="minorHAnsi" w:cstheme="minorHAnsi"/>
          <w:lang w:val="en-AU"/>
        </w:rPr>
        <w:t>. Based on updated data from C2, 82.2%</w:t>
      </w:r>
      <w:r w:rsidRPr="00D20962">
        <w:rPr>
          <w:rFonts w:asciiTheme="minorHAnsi" w:hAnsiTheme="minorHAnsi" w:cstheme="minorHAnsi"/>
          <w:vertAlign w:val="superscript"/>
          <w:lang w:val="en-AU"/>
        </w:rPr>
        <w:endnoteReference w:id="42"/>
      </w:r>
      <w:r w:rsidRPr="00D20962">
        <w:rPr>
          <w:rFonts w:asciiTheme="minorHAnsi" w:hAnsiTheme="minorHAnsi" w:cstheme="minorHAnsi"/>
          <w:lang w:val="en-AU"/>
        </w:rPr>
        <w:t xml:space="preserve"> of the CPD annual milestones were achieved by 31 December 2014. However, madrasah principals only account for 8.9% of the participants in CPD - below the target of 15%. It is worth noting that the participation of MoRA officials in SP&amp;FM training is reported to be at 20%</w:t>
      </w:r>
      <w:r w:rsidRPr="00D20962">
        <w:rPr>
          <w:rFonts w:asciiTheme="minorHAnsi" w:hAnsiTheme="minorHAnsi" w:cstheme="minorHAnsi"/>
          <w:vertAlign w:val="superscript"/>
          <w:lang w:val="en-AU"/>
        </w:rPr>
        <w:endnoteReference w:id="43"/>
      </w:r>
      <w:r w:rsidRPr="00D20962">
        <w:rPr>
          <w:rFonts w:asciiTheme="minorHAnsi" w:hAnsiTheme="minorHAnsi" w:cstheme="minorHAnsi"/>
          <w:lang w:val="en-AU"/>
        </w:rPr>
        <w:t>.</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Yet meeting the PAF quantitative targets within a shorter period of time could have</w:t>
      </w:r>
      <w:r w:rsidR="00940C3D">
        <w:rPr>
          <w:rFonts w:asciiTheme="minorHAnsi" w:hAnsiTheme="minorHAnsi" w:cstheme="minorHAnsi"/>
          <w:lang w:val="en-AU"/>
        </w:rPr>
        <w:t xml:space="preserve"> </w:t>
      </w:r>
      <w:r w:rsidRPr="00D20962">
        <w:rPr>
          <w:rFonts w:asciiTheme="minorHAnsi" w:hAnsiTheme="minorHAnsi" w:cstheme="minorHAnsi"/>
          <w:lang w:val="en-AU"/>
        </w:rPr>
        <w:t>consequences that might affect the quality and effectiveness of the training. It is understood that the On-the-Job Learning (OJL) phase of CPD had to be adapted in 2014 to cope with the late implementation of ProDEP: stakeholders agreed to reduce the OJL time available from three months to six weeks in 2014, albeit maintaining the expected 200 hours of OJL support</w:t>
      </w:r>
      <w:r w:rsidRPr="00D20962">
        <w:rPr>
          <w:rFonts w:asciiTheme="minorHAnsi" w:hAnsiTheme="minorHAnsi" w:cstheme="minorHAnsi"/>
          <w:vertAlign w:val="superscript"/>
          <w:lang w:val="en-AU"/>
        </w:rPr>
        <w:endnoteReference w:id="44"/>
      </w:r>
      <w:r w:rsidRPr="00D20962">
        <w:rPr>
          <w:rFonts w:asciiTheme="minorHAnsi" w:hAnsiTheme="minorHAnsi" w:cstheme="minorHAnsi"/>
          <w:lang w:val="en-AU"/>
        </w:rPr>
        <w:t>. Whilst it is possible to take two modules at the same time – as CPD is being implemented in 2014 – C2 provided advice to MoEC that this approach may create too heavy a workload for some principals</w:t>
      </w:r>
      <w:r w:rsidRPr="00D20962">
        <w:rPr>
          <w:rFonts w:asciiTheme="minorHAnsi" w:hAnsiTheme="minorHAnsi" w:cstheme="minorHAnsi"/>
          <w:vertAlign w:val="superscript"/>
          <w:lang w:val="en-AU"/>
        </w:rPr>
        <w:endnoteReference w:id="45"/>
      </w:r>
      <w:r w:rsidRPr="00D20962">
        <w:rPr>
          <w:rFonts w:asciiTheme="minorHAnsi" w:hAnsiTheme="minorHAnsi" w:cstheme="minorHAnsi"/>
          <w:lang w:val="en-AU"/>
        </w:rPr>
        <w:t xml:space="preserve">. Although these decisions are justified from an efficiency perspective, stakeholders must remain conscious of the possible adverse consequences on the component’s effectiveness. </w:t>
      </w:r>
    </w:p>
    <w:p w:rsidR="00D20962" w:rsidRPr="00D20962" w:rsidRDefault="00D20962" w:rsidP="00D20962">
      <w:pPr>
        <w:spacing w:before="120" w:after="120" w:line="276" w:lineRule="auto"/>
        <w:jc w:val="both"/>
        <w:outlineLvl w:val="1"/>
        <w:rPr>
          <w:b/>
          <w:bCs/>
          <w:lang w:val="en-AU"/>
        </w:rPr>
      </w:pPr>
      <w:r w:rsidRPr="00D20962">
        <w:rPr>
          <w:bCs/>
          <w:iCs/>
          <w:lang w:val="en-AU"/>
        </w:rPr>
        <w:t>NSIP was implemented with impressive efficiency in 2014. Of the 451 targeted schools in the PMF, almost 100%</w:t>
      </w:r>
      <w:r w:rsidRPr="00D20962">
        <w:rPr>
          <w:bCs/>
          <w:iCs/>
          <w:vertAlign w:val="superscript"/>
          <w:lang w:val="en-AU"/>
        </w:rPr>
        <w:endnoteReference w:id="46"/>
      </w:r>
      <w:r w:rsidRPr="00D20962">
        <w:rPr>
          <w:bCs/>
          <w:iCs/>
          <w:lang w:val="en-AU"/>
        </w:rPr>
        <w:t xml:space="preserve"> have participated in NSIP. In addition, the methodology used in NSIP workshops and the impact it has on participant learning has been acknowledged and praised by GoI</w:t>
      </w:r>
      <w:r w:rsidRPr="00D20962">
        <w:rPr>
          <w:bCs/>
          <w:iCs/>
          <w:vertAlign w:val="superscript"/>
          <w:lang w:val="en-AU"/>
        </w:rPr>
        <w:endnoteReference w:id="47"/>
      </w:r>
      <w:r w:rsidRPr="00D20962">
        <w:rPr>
          <w:bCs/>
          <w:iCs/>
          <w:lang w:val="en-AU"/>
        </w:rPr>
        <w:t>. Furthermore, a</w:t>
      </w:r>
      <w:r w:rsidRPr="00D20962">
        <w:rPr>
          <w:bCs/>
          <w:lang w:val="en-AU"/>
        </w:rPr>
        <w:t xml:space="preserve">ccording to SSQ’s own evaluation (see Table </w:t>
      </w:r>
      <w:r w:rsidR="009E4D89">
        <w:rPr>
          <w:bCs/>
          <w:lang w:val="en-AU"/>
        </w:rPr>
        <w:t>9</w:t>
      </w:r>
      <w:r w:rsidRPr="00D20962">
        <w:rPr>
          <w:bCs/>
          <w:lang w:val="en-AU"/>
        </w:rPr>
        <w:t>), NSIP has surpassed benchmarks set by the World Bank for the delivery of training in Indonesia</w:t>
      </w:r>
      <w:r w:rsidRPr="00D20962">
        <w:rPr>
          <w:rFonts w:ascii="Times New Roman" w:hAnsi="Times New Roman"/>
          <w:bCs/>
          <w:vertAlign w:val="superscript"/>
          <w:lang w:val="en-AU"/>
        </w:rPr>
        <w:footnoteReference w:id="27"/>
      </w:r>
      <w:r w:rsidRPr="00D20962">
        <w:rPr>
          <w:bCs/>
          <w:lang w:val="en-AU"/>
        </w:rPr>
        <w:t xml:space="preserve"> </w:t>
      </w:r>
      <w:r w:rsidRPr="00D20962">
        <w:rPr>
          <w:bCs/>
          <w:vertAlign w:val="superscript"/>
          <w:lang w:val="en-AU"/>
        </w:rPr>
        <w:endnoteReference w:id="48"/>
      </w:r>
      <w:r w:rsidRPr="00D20962">
        <w:rPr>
          <w:bCs/>
          <w:lang w:val="en-AU"/>
        </w:rPr>
        <w:t xml:space="preserve">. </w:t>
      </w:r>
    </w:p>
    <w:p w:rsidR="00D20962" w:rsidRPr="00D20962" w:rsidRDefault="00D20962" w:rsidP="00D20962">
      <w:pPr>
        <w:keepNext/>
        <w:spacing w:before="120" w:after="120"/>
        <w:ind w:left="86" w:right="43"/>
        <w:jc w:val="center"/>
        <w:rPr>
          <w:b/>
          <w:lang w:val="en-AU"/>
        </w:rPr>
      </w:pPr>
      <w:bookmarkStart w:id="33" w:name="_Toc412534581"/>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9</w:t>
      </w:r>
      <w:r w:rsidRPr="00D20962">
        <w:rPr>
          <w:b/>
          <w:lang w:val="en-GB"/>
        </w:rPr>
        <w:fldChar w:fldCharType="end"/>
      </w:r>
      <w:r w:rsidRPr="00D20962">
        <w:rPr>
          <w:b/>
          <w:lang w:val="en-AU"/>
        </w:rPr>
        <w:t>: NSIP training results</w:t>
      </w:r>
      <w:bookmarkEnd w:id="33"/>
    </w:p>
    <w:tbl>
      <w:tblPr>
        <w:tblStyle w:val="TableGrid19"/>
        <w:tblW w:w="0" w:type="auto"/>
        <w:tblLook w:val="04A0" w:firstRow="1" w:lastRow="0" w:firstColumn="1" w:lastColumn="0" w:noHBand="0" w:noVBand="1"/>
      </w:tblPr>
      <w:tblGrid>
        <w:gridCol w:w="3080"/>
        <w:gridCol w:w="3081"/>
        <w:gridCol w:w="3081"/>
      </w:tblGrid>
      <w:tr w:rsidR="00D20962" w:rsidRPr="00D20962" w:rsidTr="00D20962">
        <w:tc>
          <w:tcPr>
            <w:tcW w:w="3080" w:type="dxa"/>
            <w:shd w:val="clear" w:color="auto" w:fill="244061" w:themeFill="accent1" w:themeFillShade="80"/>
          </w:tcPr>
          <w:p w:rsidR="00D20962" w:rsidRPr="00D20962" w:rsidRDefault="00D20962" w:rsidP="00D20962">
            <w:pPr>
              <w:spacing w:before="120" w:after="120"/>
              <w:jc w:val="center"/>
              <w:outlineLvl w:val="1"/>
              <w:rPr>
                <w:b/>
                <w:bCs/>
                <w:color w:val="FFFFFF" w:themeColor="background1"/>
                <w:lang w:val="en-AU"/>
              </w:rPr>
            </w:pPr>
            <w:r w:rsidRPr="00D20962">
              <w:rPr>
                <w:b/>
                <w:bCs/>
                <w:color w:val="FFFFFF" w:themeColor="background1"/>
                <w:lang w:val="en-AU"/>
              </w:rPr>
              <w:t>Indicator</w:t>
            </w:r>
          </w:p>
        </w:tc>
        <w:tc>
          <w:tcPr>
            <w:tcW w:w="3081" w:type="dxa"/>
            <w:shd w:val="clear" w:color="auto" w:fill="244061" w:themeFill="accent1" w:themeFillShade="80"/>
          </w:tcPr>
          <w:p w:rsidR="00D20962" w:rsidRPr="00D20962" w:rsidRDefault="00D20962" w:rsidP="00D20962">
            <w:pPr>
              <w:spacing w:before="120" w:after="120"/>
              <w:jc w:val="center"/>
              <w:outlineLvl w:val="1"/>
              <w:rPr>
                <w:b/>
                <w:bCs/>
                <w:color w:val="FFFFFF" w:themeColor="background1"/>
                <w:lang w:val="en-AU"/>
              </w:rPr>
            </w:pPr>
            <w:r w:rsidRPr="00D20962">
              <w:rPr>
                <w:b/>
                <w:bCs/>
                <w:color w:val="FFFFFF" w:themeColor="background1"/>
                <w:lang w:val="en-AU"/>
              </w:rPr>
              <w:t>NSIP achievement</w:t>
            </w:r>
          </w:p>
        </w:tc>
        <w:tc>
          <w:tcPr>
            <w:tcW w:w="3081" w:type="dxa"/>
            <w:shd w:val="clear" w:color="auto" w:fill="244061" w:themeFill="accent1" w:themeFillShade="80"/>
          </w:tcPr>
          <w:p w:rsidR="00D20962" w:rsidRPr="00D20962" w:rsidRDefault="00D20962" w:rsidP="00D20962">
            <w:pPr>
              <w:spacing w:before="120" w:after="120"/>
              <w:jc w:val="center"/>
              <w:outlineLvl w:val="1"/>
              <w:rPr>
                <w:b/>
                <w:bCs/>
                <w:color w:val="FFFFFF" w:themeColor="background1"/>
                <w:lang w:val="en-AU"/>
              </w:rPr>
            </w:pPr>
            <w:r w:rsidRPr="00D20962">
              <w:rPr>
                <w:b/>
                <w:bCs/>
                <w:color w:val="FFFFFF" w:themeColor="background1"/>
                <w:lang w:val="en-AU"/>
              </w:rPr>
              <w:t>World Bank Benchmark</w:t>
            </w:r>
          </w:p>
        </w:tc>
      </w:tr>
      <w:tr w:rsidR="00D20962" w:rsidRPr="00D20962" w:rsidTr="00D20962">
        <w:tc>
          <w:tcPr>
            <w:tcW w:w="3080" w:type="dxa"/>
            <w:vAlign w:val="center"/>
          </w:tcPr>
          <w:p w:rsidR="00D20962" w:rsidRPr="00D20962" w:rsidRDefault="00D20962" w:rsidP="00D20962">
            <w:pPr>
              <w:spacing w:before="120" w:after="120"/>
              <w:jc w:val="center"/>
              <w:outlineLvl w:val="1"/>
              <w:rPr>
                <w:bCs/>
                <w:lang w:val="en-AU"/>
              </w:rPr>
            </w:pPr>
            <w:r w:rsidRPr="00D20962">
              <w:rPr>
                <w:bCs/>
                <w:lang w:val="en-AU"/>
              </w:rPr>
              <w:t>% of participants scored the effectiveness at least ‘above average’</w:t>
            </w:r>
          </w:p>
        </w:tc>
        <w:tc>
          <w:tcPr>
            <w:tcW w:w="3081" w:type="dxa"/>
            <w:vAlign w:val="center"/>
          </w:tcPr>
          <w:p w:rsidR="00D20962" w:rsidRPr="00D20962" w:rsidRDefault="00D20962" w:rsidP="00D20962">
            <w:pPr>
              <w:spacing w:before="120" w:after="120"/>
              <w:jc w:val="center"/>
              <w:outlineLvl w:val="1"/>
              <w:rPr>
                <w:bCs/>
                <w:lang w:val="en-AU"/>
              </w:rPr>
            </w:pPr>
            <w:r w:rsidRPr="00D20962">
              <w:rPr>
                <w:bCs/>
                <w:lang w:val="en-AU"/>
              </w:rPr>
              <w:t>94%</w:t>
            </w:r>
          </w:p>
        </w:tc>
        <w:tc>
          <w:tcPr>
            <w:tcW w:w="3081" w:type="dxa"/>
            <w:vAlign w:val="center"/>
          </w:tcPr>
          <w:p w:rsidR="00D20962" w:rsidRPr="00D20962" w:rsidRDefault="00D20962" w:rsidP="00D20962">
            <w:pPr>
              <w:spacing w:before="120" w:after="120"/>
              <w:jc w:val="center"/>
              <w:outlineLvl w:val="1"/>
              <w:rPr>
                <w:bCs/>
                <w:lang w:val="en-AU"/>
              </w:rPr>
            </w:pPr>
            <w:r w:rsidRPr="00D20962">
              <w:rPr>
                <w:bCs/>
                <w:lang w:val="en-AU"/>
              </w:rPr>
              <w:t>80%</w:t>
            </w:r>
          </w:p>
        </w:tc>
      </w:tr>
      <w:tr w:rsidR="00D20962" w:rsidRPr="00D20962" w:rsidTr="00D20962">
        <w:tc>
          <w:tcPr>
            <w:tcW w:w="3080" w:type="dxa"/>
            <w:vAlign w:val="center"/>
          </w:tcPr>
          <w:p w:rsidR="00D20962" w:rsidRPr="00D20962" w:rsidRDefault="00D20962" w:rsidP="00D20962">
            <w:pPr>
              <w:spacing w:before="120" w:after="120"/>
              <w:jc w:val="center"/>
              <w:outlineLvl w:val="1"/>
              <w:rPr>
                <w:bCs/>
                <w:lang w:val="en-AU"/>
              </w:rPr>
            </w:pPr>
            <w:r w:rsidRPr="00D20962">
              <w:rPr>
                <w:bCs/>
                <w:lang w:val="en-AU"/>
              </w:rPr>
              <w:t>% of participants scored the relevance as at least ‘above average’</w:t>
            </w:r>
          </w:p>
        </w:tc>
        <w:tc>
          <w:tcPr>
            <w:tcW w:w="3081" w:type="dxa"/>
            <w:vAlign w:val="center"/>
          </w:tcPr>
          <w:p w:rsidR="00D20962" w:rsidRPr="00D20962" w:rsidRDefault="00D20962" w:rsidP="00D20962">
            <w:pPr>
              <w:spacing w:before="120" w:after="120"/>
              <w:jc w:val="center"/>
              <w:outlineLvl w:val="1"/>
              <w:rPr>
                <w:bCs/>
                <w:lang w:val="en-AU"/>
              </w:rPr>
            </w:pPr>
            <w:r w:rsidRPr="00D20962">
              <w:rPr>
                <w:bCs/>
                <w:lang w:val="en-AU"/>
              </w:rPr>
              <w:t>97%</w:t>
            </w:r>
          </w:p>
        </w:tc>
        <w:tc>
          <w:tcPr>
            <w:tcW w:w="3081" w:type="dxa"/>
            <w:vAlign w:val="center"/>
          </w:tcPr>
          <w:p w:rsidR="00D20962" w:rsidRPr="00D20962" w:rsidRDefault="00D20962" w:rsidP="00D20962">
            <w:pPr>
              <w:spacing w:before="120" w:after="120"/>
              <w:jc w:val="center"/>
              <w:outlineLvl w:val="1"/>
              <w:rPr>
                <w:bCs/>
                <w:lang w:val="en-AU"/>
              </w:rPr>
            </w:pPr>
            <w:r w:rsidRPr="00D20962">
              <w:rPr>
                <w:bCs/>
                <w:lang w:val="en-AU"/>
              </w:rPr>
              <w:t>80%</w:t>
            </w:r>
          </w:p>
        </w:tc>
      </w:tr>
      <w:tr w:rsidR="00D20962" w:rsidRPr="00D20962" w:rsidTr="00D20962">
        <w:tc>
          <w:tcPr>
            <w:tcW w:w="3080" w:type="dxa"/>
            <w:vAlign w:val="center"/>
          </w:tcPr>
          <w:p w:rsidR="00D20962" w:rsidRPr="00D20962" w:rsidRDefault="00D20962" w:rsidP="00D20962">
            <w:pPr>
              <w:spacing w:before="120" w:after="120"/>
              <w:jc w:val="center"/>
              <w:outlineLvl w:val="1"/>
              <w:rPr>
                <w:bCs/>
                <w:lang w:val="en-AU"/>
              </w:rPr>
            </w:pPr>
            <w:r w:rsidRPr="00D20962">
              <w:rPr>
                <w:bCs/>
                <w:lang w:val="en-AU"/>
              </w:rPr>
              <w:t>% of courses demonstrated statistically significant learning</w:t>
            </w:r>
          </w:p>
        </w:tc>
        <w:tc>
          <w:tcPr>
            <w:tcW w:w="3081" w:type="dxa"/>
            <w:vAlign w:val="center"/>
          </w:tcPr>
          <w:p w:rsidR="00D20962" w:rsidRPr="00D20962" w:rsidRDefault="00D20962" w:rsidP="00D20962">
            <w:pPr>
              <w:spacing w:before="120" w:after="120"/>
              <w:jc w:val="center"/>
              <w:outlineLvl w:val="1"/>
              <w:rPr>
                <w:bCs/>
                <w:lang w:val="en-AU"/>
              </w:rPr>
            </w:pPr>
            <w:r w:rsidRPr="00D20962">
              <w:rPr>
                <w:bCs/>
                <w:lang w:val="en-AU"/>
              </w:rPr>
              <w:t>100%</w:t>
            </w:r>
          </w:p>
        </w:tc>
        <w:tc>
          <w:tcPr>
            <w:tcW w:w="3081" w:type="dxa"/>
            <w:vAlign w:val="center"/>
          </w:tcPr>
          <w:p w:rsidR="00D20962" w:rsidRPr="00D20962" w:rsidRDefault="00D20962" w:rsidP="00D20962">
            <w:pPr>
              <w:spacing w:before="120" w:after="120"/>
              <w:jc w:val="center"/>
              <w:outlineLvl w:val="1"/>
              <w:rPr>
                <w:bCs/>
                <w:lang w:val="en-AU"/>
              </w:rPr>
            </w:pPr>
            <w:r w:rsidRPr="00D20962">
              <w:rPr>
                <w:bCs/>
                <w:lang w:val="en-AU"/>
              </w:rPr>
              <w:t>80%</w:t>
            </w:r>
          </w:p>
        </w:tc>
      </w:tr>
    </w:tbl>
    <w:p w:rsidR="00D20962" w:rsidRPr="009E4D89" w:rsidRDefault="00D20962" w:rsidP="009E4D89">
      <w:pPr>
        <w:pStyle w:val="Source"/>
        <w:rPr>
          <w:lang w:val="en-AU"/>
        </w:rPr>
      </w:pPr>
      <w:r w:rsidRPr="009E4D89">
        <w:rPr>
          <w:lang w:val="en-AU"/>
        </w:rPr>
        <w:t>Source: NSIP Evaluation Report June 2014.</w:t>
      </w:r>
    </w:p>
    <w:p w:rsidR="00D20962" w:rsidRPr="00D20962" w:rsidRDefault="00D20962" w:rsidP="00D20962">
      <w:pPr>
        <w:spacing w:before="120" w:after="120" w:line="276" w:lineRule="auto"/>
        <w:contextualSpacing/>
        <w:jc w:val="both"/>
        <w:outlineLvl w:val="1"/>
        <w:rPr>
          <w:bCs/>
          <w:lang w:val="en-AU"/>
        </w:rPr>
      </w:pP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To substantiate these very positive results in improving trainee competencies, NSIP advisors visited a number of Phase 1 schools that have participated in NSIP training to observe the longer term effects of the NSIP training. Although the advisors made the observation that school committees have been strengthened, this was counterbalanced by evidence that there were only a limited number of visits </w:t>
      </w:r>
      <w:r w:rsidRPr="00D20962">
        <w:rPr>
          <w:rFonts w:asciiTheme="minorHAnsi" w:hAnsiTheme="minorHAnsi" w:cstheme="minorHAnsi"/>
          <w:lang w:val="en-AU"/>
        </w:rPr>
        <w:lastRenderedPageBreak/>
        <w:t>made by school supervisors. This may indicate that school supervisors are not applying their improved competencies once they return to the field</w:t>
      </w:r>
      <w:r w:rsidRPr="00D20962">
        <w:rPr>
          <w:rFonts w:asciiTheme="minorHAnsi" w:hAnsiTheme="minorHAnsi" w:cstheme="minorHAnsi"/>
          <w:vertAlign w:val="superscript"/>
          <w:lang w:val="en-AU"/>
        </w:rPr>
        <w:endnoteReference w:id="49"/>
      </w:r>
      <w:r w:rsidRPr="00D20962">
        <w:rPr>
          <w:rFonts w:asciiTheme="minorHAnsi" w:hAnsiTheme="minorHAnsi" w:cstheme="minorHAnsi"/>
          <w:lang w:val="en-AU"/>
        </w:rPr>
        <w:t xml:space="preserve">. </w:t>
      </w:r>
    </w:p>
    <w:p w:rsidR="00D20962" w:rsidRPr="00D20962" w:rsidRDefault="00D20962" w:rsidP="00D20962">
      <w:pPr>
        <w:spacing w:before="120" w:after="120"/>
        <w:outlineLvl w:val="1"/>
        <w:rPr>
          <w:bCs/>
          <w:color w:val="003880"/>
          <w:sz w:val="24"/>
          <w:szCs w:val="28"/>
          <w:lang w:val="en-AU"/>
        </w:rPr>
      </w:pPr>
      <w:r w:rsidRPr="00D20962">
        <w:rPr>
          <w:bCs/>
          <w:color w:val="003880"/>
          <w:sz w:val="24"/>
          <w:szCs w:val="28"/>
          <w:lang w:val="en-AU"/>
        </w:rPr>
        <w:t>3.4.3</w:t>
      </w:r>
      <w:r w:rsidRPr="00D20962">
        <w:rPr>
          <w:bCs/>
          <w:color w:val="003880"/>
          <w:sz w:val="24"/>
          <w:szCs w:val="28"/>
          <w:lang w:val="en-AU"/>
        </w:rPr>
        <w:tab/>
        <w:t>Effectiveness</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Whilst it is still relatively early to form a definitive judgment on the effectiveness of ProDEP (i.e. the extent to which the management of schools and madrasah has improved), the ProDEP design includes measures that should foster the application of training, rather than just the improvement of individual competencies, and the associated improvement in school management. The ‘In-On-In’ approach to training is designed to mitigate the problem commonly faced by training where participants demonstrate improvements in skills and knowledge during the training program but then disregard their application when returning to their original environment.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The selection of UoLs as part of a “customized” training package is considered a key strength of ProDEP. All supervisors have been trained in all seven Level One UoLs and principals have been able to make two choices from the seven offered</w:t>
      </w:r>
      <w:r w:rsidRPr="00D20962">
        <w:rPr>
          <w:rFonts w:ascii="Times New Roman" w:hAnsi="Times New Roman" w:cstheme="minorHAnsi"/>
          <w:vertAlign w:val="superscript"/>
          <w:lang w:val="en-AU"/>
        </w:rPr>
        <w:footnoteReference w:id="28"/>
      </w:r>
      <w:r w:rsidRPr="00D20962">
        <w:rPr>
          <w:rFonts w:asciiTheme="minorHAnsi" w:hAnsiTheme="minorHAnsi" w:cstheme="minorHAnsi"/>
          <w:lang w:val="en-AU"/>
        </w:rPr>
        <w:t xml:space="preserve">. In support of the government’s priority roll out of Curriculum 2013, there has been a mandatory requirement for all participants to take the UoL on curriculum management, essentially restricting the choice to one UoL. The effectiveness of ProDEP will be improved in the future with more specific targeting of UoLs to principals who will benefit from the development of the specific competencies that they require.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There is potential for ProDEP to evolve and to incorporate lessons from other successful initiatives, such as the approach to quality assurance utilised in NSIP that prevents the erosion of knowledge commonly faced by the cascade model of training. Furthermore, the program may generate positive unintended consequences. A GoI official</w:t>
      </w:r>
      <w:r w:rsidRPr="00D20962">
        <w:rPr>
          <w:rFonts w:asciiTheme="minorHAnsi" w:hAnsiTheme="minorHAnsi" w:cstheme="minorHAnsi"/>
          <w:vertAlign w:val="superscript"/>
          <w:lang w:val="en-AU"/>
        </w:rPr>
        <w:endnoteReference w:id="50"/>
      </w:r>
      <w:r w:rsidRPr="00D20962">
        <w:rPr>
          <w:rFonts w:asciiTheme="minorHAnsi" w:hAnsiTheme="minorHAnsi" w:cstheme="minorHAnsi"/>
          <w:lang w:val="en-AU"/>
        </w:rPr>
        <w:t xml:space="preserve"> stated that ProDEP could improve relationships between central and local governments, since it requires and enables - in its current form and given MoEC’s decentralized education system – increased engagement between different levels of government.</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Despite these encouraging developments, POM believes that ProDEP continues to face several challenges, all of which weigh on ProDEP’s potential effectiveness:</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In Indonesia, one supervisor tends to be responsible for several schools. According to ACDP’s School and Madrasah Principals and Supervisors Competencies Baseline Study, over 45% of MoEC supervisors are responsible for between 10 and 20 schools each and 54% of MoRA supervisors are responsible for more than 20 schools each</w:t>
      </w:r>
      <w:r w:rsidRPr="00D20962">
        <w:rPr>
          <w:rFonts w:asciiTheme="minorHAnsi" w:eastAsia="Calibri" w:hAnsiTheme="minorHAnsi"/>
          <w:vertAlign w:val="superscript"/>
          <w:lang w:val="en-AU"/>
        </w:rPr>
        <w:endnoteReference w:id="51"/>
      </w:r>
      <w:r w:rsidRPr="00D20962">
        <w:rPr>
          <w:rFonts w:asciiTheme="minorHAnsi" w:eastAsia="Calibri" w:hAnsiTheme="minorHAnsi"/>
          <w:bCs/>
          <w:iCs/>
          <w:lang w:val="en-AU"/>
        </w:rPr>
        <w:t>.</w:t>
      </w:r>
      <w:r w:rsidRPr="00D20962">
        <w:rPr>
          <w:rFonts w:eastAsia="Calibri"/>
          <w:bCs/>
          <w:iCs/>
          <w:lang w:val="en-AU"/>
        </w:rPr>
        <w:t xml:space="preserve"> According to Component 2</w:t>
      </w:r>
      <w:r w:rsidRPr="00D20962">
        <w:rPr>
          <w:rFonts w:eastAsia="Calibri"/>
          <w:bCs/>
          <w:iCs/>
          <w:vertAlign w:val="superscript"/>
          <w:lang w:val="en-AU"/>
        </w:rPr>
        <w:endnoteReference w:id="52"/>
      </w:r>
      <w:r w:rsidRPr="00D20962">
        <w:rPr>
          <w:rFonts w:eastAsia="Calibri"/>
          <w:bCs/>
          <w:iCs/>
          <w:lang w:val="en-AU"/>
        </w:rPr>
        <w:t>, the number of supervisors for MoEC schools is in line with international trends. The bigger issues are the processes by which supervisors are appointed, the lack of funding for travel (particularly to remote locations), and the lack of supervision of supervisors in many districts to ensure that they are doing their work properly. For madrasah, the main issue is the insufficient number of school management supervisors</w:t>
      </w:r>
      <w:r w:rsidRPr="00D20962">
        <w:rPr>
          <w:rFonts w:ascii="Times New Roman" w:eastAsia="Calibri" w:hAnsi="Times New Roman"/>
          <w:bCs/>
          <w:iCs/>
          <w:vertAlign w:val="superscript"/>
          <w:lang w:val="en-AU"/>
        </w:rPr>
        <w:footnoteReference w:id="29"/>
      </w:r>
      <w:r w:rsidRPr="00D20962">
        <w:rPr>
          <w:rFonts w:eastAsia="Calibri"/>
          <w:bCs/>
          <w:iCs/>
          <w:lang w:val="en-AU"/>
        </w:rPr>
        <w:t xml:space="preserve">. This situation undermines achievement of the ProDEP target of 15% of principals participating in CPD being from the Islamic education sector because principals can only participate after their school management supervisor has been trained.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lastRenderedPageBreak/>
        <w:t xml:space="preserve">For optimal effectiveness, ProDEP must be closely related to principals’ appraisal, promotion, rewards/incentives, recognition and academic credit. Each of these contributes to principals’ career advancement which in turn requires the proper application of principal performance appraisal. The linkage between CPD and principals’ career aspirations will be clearer once new processes and instrumentation to align performance management with GoI requirements for appraisal of civil servants are introduced in 2015.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 xml:space="preserve">Given the importance of the competency-based nature of ProDEP, implementation will benefit from a quality assurance mechanism to ensure that UoLs match principals’ competency requirements. At the moment it is unclear how and when such assessments take place. </w:t>
      </w:r>
    </w:p>
    <w:p w:rsidR="00D20962" w:rsidRPr="00D20962" w:rsidRDefault="00D20962" w:rsidP="00D20962">
      <w:pPr>
        <w:numPr>
          <w:ilvl w:val="0"/>
          <w:numId w:val="22"/>
        </w:numPr>
        <w:spacing w:before="120" w:after="120" w:line="276" w:lineRule="auto"/>
        <w:jc w:val="both"/>
        <w:outlineLvl w:val="1"/>
        <w:rPr>
          <w:rFonts w:eastAsia="Calibri"/>
          <w:bCs/>
          <w:iCs/>
          <w:lang w:val="en-AU"/>
        </w:rPr>
      </w:pPr>
      <w:r w:rsidRPr="00D20962">
        <w:rPr>
          <w:rFonts w:eastAsia="Calibri"/>
          <w:bCs/>
          <w:iCs/>
          <w:lang w:val="en-AU"/>
        </w:rPr>
        <w:t>The effectiveness of ProDEP (at least under the EP) depends in part on the extent to which madrasah receive proportional benefits.</w:t>
      </w:r>
    </w:p>
    <w:p w:rsidR="00D20962" w:rsidRPr="00D20962" w:rsidRDefault="00D20962" w:rsidP="00D20962">
      <w:pPr>
        <w:spacing w:before="120" w:after="120"/>
        <w:outlineLvl w:val="1"/>
        <w:rPr>
          <w:bCs/>
          <w:color w:val="003880"/>
          <w:sz w:val="24"/>
          <w:szCs w:val="28"/>
          <w:lang w:val="en-AU"/>
        </w:rPr>
      </w:pPr>
      <w:r w:rsidRPr="00D20962">
        <w:rPr>
          <w:bCs/>
          <w:color w:val="003880"/>
          <w:sz w:val="24"/>
          <w:szCs w:val="28"/>
          <w:lang w:val="en-AU"/>
        </w:rPr>
        <w:t>3.4.4</w:t>
      </w:r>
      <w:r w:rsidRPr="00D20962">
        <w:rPr>
          <w:bCs/>
          <w:color w:val="003880"/>
          <w:sz w:val="24"/>
          <w:szCs w:val="28"/>
          <w:lang w:val="en-AU"/>
        </w:rPr>
        <w:tab/>
        <w:t>Impact</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Until ProDEP, Indonesia did not have a comprehensive professional development system for education personnel. As such, ProDEP has tremendous potential to improve the management of schools and madrasah in a country with over a quarter of a million principals and over fifty million students from primary to senior secondary levels</w:t>
      </w:r>
      <w:r w:rsidRPr="00D20962">
        <w:rPr>
          <w:rFonts w:asciiTheme="minorHAnsi" w:hAnsiTheme="minorHAnsi" w:cstheme="minorHAnsi"/>
          <w:vertAlign w:val="superscript"/>
          <w:lang w:val="en-AU"/>
        </w:rPr>
        <w:footnoteReference w:id="30"/>
      </w:r>
      <w:r w:rsidRPr="00D20962">
        <w:rPr>
          <w:rFonts w:asciiTheme="minorHAnsi" w:hAnsiTheme="minorHAnsi" w:cstheme="minorHAnsi"/>
          <w:lang w:val="en-AU"/>
        </w:rPr>
        <w:t xml:space="preserve"> </w:t>
      </w:r>
      <w:r w:rsidRPr="00D20962">
        <w:rPr>
          <w:rFonts w:asciiTheme="minorHAnsi" w:hAnsiTheme="minorHAnsi" w:cstheme="minorHAnsi"/>
          <w:vertAlign w:val="superscript"/>
          <w:lang w:val="en-AU"/>
        </w:rPr>
        <w:endnoteReference w:id="53"/>
      </w:r>
      <w:r w:rsidRPr="00D20962">
        <w:rPr>
          <w:rFonts w:asciiTheme="minorHAnsi" w:hAnsiTheme="minorHAnsi" w:cstheme="minorHAnsi"/>
          <w:lang w:val="en-AU"/>
        </w:rPr>
        <w:t xml:space="preserve">. To maximise its impact, system adaptation will be inevitable. This is likely to include on-going revision of the number and content of the UoLs, as well as a widening of the range of delivery modalities. </w:t>
      </w:r>
    </w:p>
    <w:p w:rsidR="00D20962" w:rsidRPr="00D20962" w:rsidRDefault="00D20962" w:rsidP="00D20962">
      <w:pPr>
        <w:spacing w:before="120" w:after="120" w:line="276" w:lineRule="auto"/>
        <w:jc w:val="both"/>
        <w:outlineLvl w:val="1"/>
        <w:rPr>
          <w:rFonts w:asciiTheme="minorHAnsi" w:hAnsiTheme="minorHAnsi" w:cstheme="minorHAnsi"/>
          <w:lang w:val="en-AU"/>
        </w:rPr>
      </w:pPr>
      <w:r w:rsidRPr="00D20962">
        <w:rPr>
          <w:rFonts w:asciiTheme="minorHAnsi" w:hAnsiTheme="minorHAnsi" w:cstheme="minorHAnsi"/>
          <w:lang w:val="en-AU"/>
        </w:rPr>
        <w:t>POM considers that ProDEP’s best prospects for impact will be realised if:</w:t>
      </w:r>
    </w:p>
    <w:p w:rsidR="00D20962" w:rsidRPr="00D20962" w:rsidRDefault="00D20962" w:rsidP="00D20962">
      <w:pPr>
        <w:numPr>
          <w:ilvl w:val="0"/>
          <w:numId w:val="23"/>
        </w:numPr>
        <w:spacing w:before="120" w:after="120" w:line="276" w:lineRule="auto"/>
        <w:jc w:val="both"/>
        <w:outlineLvl w:val="1"/>
        <w:rPr>
          <w:rFonts w:asciiTheme="minorHAnsi" w:eastAsia="Calibri" w:hAnsiTheme="minorHAnsi" w:cstheme="minorHAnsi"/>
          <w:color w:val="000000" w:themeColor="text1"/>
          <w:lang w:val="en-AU"/>
        </w:rPr>
      </w:pPr>
      <w:r w:rsidRPr="00D20962">
        <w:rPr>
          <w:rFonts w:asciiTheme="minorHAnsi" w:eastAsia="Calibri" w:hAnsiTheme="minorHAnsi" w:cstheme="minorHAnsi"/>
          <w:color w:val="000000" w:themeColor="text1"/>
          <w:lang w:val="en-AU"/>
        </w:rPr>
        <w:t xml:space="preserve">it is successfully implemented through to the end of the EP; </w:t>
      </w:r>
    </w:p>
    <w:p w:rsidR="00D20962" w:rsidRPr="00D20962" w:rsidRDefault="00D20962" w:rsidP="00D20962">
      <w:pPr>
        <w:numPr>
          <w:ilvl w:val="0"/>
          <w:numId w:val="23"/>
        </w:numPr>
        <w:spacing w:before="120" w:after="120" w:line="276" w:lineRule="auto"/>
        <w:jc w:val="both"/>
        <w:outlineLvl w:val="1"/>
        <w:rPr>
          <w:rFonts w:eastAsia="Calibri"/>
          <w:bCs/>
          <w:color w:val="000000" w:themeColor="text1"/>
          <w:sz w:val="24"/>
          <w:szCs w:val="28"/>
          <w:lang w:val="en-AU"/>
        </w:rPr>
      </w:pPr>
      <w:r w:rsidRPr="00D20962">
        <w:rPr>
          <w:rFonts w:asciiTheme="minorHAnsi" w:eastAsia="Calibri" w:hAnsiTheme="minorHAnsi" w:cstheme="minorHAnsi"/>
          <w:color w:val="000000" w:themeColor="text1"/>
          <w:lang w:val="en-AU"/>
        </w:rPr>
        <w:t>the ProDEP product offering continues to adapt and evolve in line with the Indonesian context;</w:t>
      </w:r>
    </w:p>
    <w:p w:rsidR="00D20962" w:rsidRPr="00D20962" w:rsidRDefault="00D20962" w:rsidP="00D20962">
      <w:pPr>
        <w:numPr>
          <w:ilvl w:val="0"/>
          <w:numId w:val="23"/>
        </w:numPr>
        <w:spacing w:before="120" w:after="120" w:line="276" w:lineRule="auto"/>
        <w:jc w:val="both"/>
        <w:outlineLvl w:val="1"/>
        <w:rPr>
          <w:rFonts w:eastAsia="Calibri"/>
          <w:bCs/>
          <w:color w:val="000000" w:themeColor="text1"/>
          <w:sz w:val="24"/>
          <w:szCs w:val="28"/>
          <w:lang w:val="en-AU"/>
        </w:rPr>
      </w:pPr>
      <w:r w:rsidRPr="00D20962">
        <w:rPr>
          <w:rFonts w:asciiTheme="minorHAnsi" w:eastAsia="Calibri" w:hAnsiTheme="minorHAnsi" w:cstheme="minorHAnsi"/>
          <w:color w:val="000000" w:themeColor="text1"/>
          <w:lang w:val="en-AU"/>
        </w:rPr>
        <w:t xml:space="preserve">ProDEP’s impact, value and affordability can be demonstrated to stakeholders and financiers to better ensure buy-in; and </w:t>
      </w:r>
    </w:p>
    <w:p w:rsidR="00D20962" w:rsidRPr="00D20962" w:rsidRDefault="00D20962" w:rsidP="00D20962">
      <w:pPr>
        <w:numPr>
          <w:ilvl w:val="0"/>
          <w:numId w:val="23"/>
        </w:numPr>
        <w:spacing w:before="120" w:after="120" w:line="276" w:lineRule="auto"/>
        <w:jc w:val="both"/>
        <w:outlineLvl w:val="1"/>
        <w:rPr>
          <w:rFonts w:eastAsia="Calibri"/>
          <w:bCs/>
          <w:color w:val="000000" w:themeColor="text1"/>
          <w:sz w:val="24"/>
          <w:szCs w:val="28"/>
          <w:lang w:val="en-AU"/>
        </w:rPr>
      </w:pPr>
      <w:r w:rsidRPr="00D20962">
        <w:rPr>
          <w:rFonts w:asciiTheme="minorHAnsi" w:eastAsia="Calibri" w:hAnsiTheme="minorHAnsi" w:cstheme="minorHAnsi"/>
          <w:color w:val="000000" w:themeColor="text1"/>
          <w:lang w:val="en-AU"/>
        </w:rPr>
        <w:t>a sustainable source of funding is identified, most likely from districts which, according to GoI officials</w:t>
      </w:r>
      <w:r w:rsidRPr="00D20962">
        <w:rPr>
          <w:rFonts w:asciiTheme="minorHAnsi" w:eastAsia="Calibri" w:hAnsiTheme="minorHAnsi" w:cstheme="minorHAnsi"/>
          <w:color w:val="000000" w:themeColor="text1"/>
          <w:vertAlign w:val="superscript"/>
          <w:lang w:val="en-AU"/>
        </w:rPr>
        <w:endnoteReference w:id="54"/>
      </w:r>
      <w:r w:rsidRPr="00D20962">
        <w:rPr>
          <w:rFonts w:asciiTheme="minorHAnsi" w:eastAsia="Calibri" w:hAnsiTheme="minorHAnsi" w:cstheme="minorHAnsi"/>
          <w:color w:val="000000" w:themeColor="text1"/>
          <w:lang w:val="en-AU"/>
        </w:rPr>
        <w:t xml:space="preserve">, are projected to have a major role in sustaining the funding for ProDEP implementation after the closure of the EP. </w:t>
      </w:r>
    </w:p>
    <w:p w:rsidR="00D20962" w:rsidRPr="00D20962" w:rsidRDefault="00D20962" w:rsidP="00D20962">
      <w:pPr>
        <w:spacing w:before="120" w:after="120"/>
        <w:outlineLvl w:val="1"/>
        <w:rPr>
          <w:bCs/>
          <w:color w:val="003880"/>
          <w:sz w:val="24"/>
          <w:szCs w:val="28"/>
          <w:lang w:val="en-AU"/>
        </w:rPr>
      </w:pPr>
      <w:r w:rsidRPr="00D20962">
        <w:rPr>
          <w:bCs/>
          <w:color w:val="003880"/>
          <w:sz w:val="24"/>
          <w:szCs w:val="28"/>
          <w:lang w:val="en-AU"/>
        </w:rPr>
        <w:t>3.4.5</w:t>
      </w:r>
      <w:r w:rsidRPr="00D20962">
        <w:rPr>
          <w:bCs/>
          <w:color w:val="003880"/>
          <w:sz w:val="24"/>
          <w:szCs w:val="28"/>
          <w:lang w:val="en-AU"/>
        </w:rPr>
        <w:tab/>
        <w:t>Sustainability</w:t>
      </w:r>
    </w:p>
    <w:p w:rsidR="00D20962" w:rsidRPr="00D20962" w:rsidRDefault="00D20962" w:rsidP="00D20962">
      <w:pPr>
        <w:spacing w:before="120" w:after="120" w:line="276" w:lineRule="auto"/>
        <w:jc w:val="both"/>
        <w:outlineLvl w:val="1"/>
        <w:rPr>
          <w:rFonts w:asciiTheme="minorHAnsi" w:hAnsiTheme="minorHAnsi" w:cstheme="minorHAnsi"/>
          <w:lang w:val="en-AU"/>
        </w:rPr>
      </w:pPr>
      <w:r w:rsidRPr="00D20962">
        <w:rPr>
          <w:rFonts w:asciiTheme="minorHAnsi" w:hAnsiTheme="minorHAnsi" w:cstheme="minorHAnsi"/>
          <w:lang w:val="en-AU"/>
        </w:rPr>
        <w:t>LPPKS has carried out campaigns to “socialize” the usefulness of PPP – an important albeit smaller element of the ProDEP – in around 300 districts. One hundred districts</w:t>
      </w:r>
      <w:r w:rsidRPr="00D20962">
        <w:rPr>
          <w:rFonts w:asciiTheme="minorHAnsi" w:hAnsiTheme="minorHAnsi" w:cstheme="minorHAnsi"/>
          <w:vertAlign w:val="superscript"/>
          <w:lang w:val="en-AU"/>
        </w:rPr>
        <w:endnoteReference w:id="55"/>
      </w:r>
      <w:r w:rsidRPr="00D20962">
        <w:rPr>
          <w:rFonts w:asciiTheme="minorHAnsi" w:hAnsiTheme="minorHAnsi" w:cstheme="minorHAnsi"/>
          <w:lang w:val="en-AU"/>
        </w:rPr>
        <w:t xml:space="preserve"> have since indicated a willingness to finance PPP. In a decentralized education system, in which decisions are made by regents and mayors, such initiatives are important if districts are to buy-in and if financial sustainability is to be secured. </w:t>
      </w:r>
    </w:p>
    <w:p w:rsidR="00D20962" w:rsidRPr="00D20962" w:rsidRDefault="00D20962" w:rsidP="00D20962">
      <w:pPr>
        <w:spacing w:before="120" w:after="120" w:line="276" w:lineRule="auto"/>
        <w:jc w:val="both"/>
        <w:outlineLvl w:val="1"/>
        <w:rPr>
          <w:rFonts w:asciiTheme="minorHAnsi" w:hAnsiTheme="minorHAnsi" w:cstheme="minorHAnsi"/>
          <w:lang w:val="en-AU"/>
        </w:rPr>
      </w:pPr>
      <w:r w:rsidRPr="00D20962">
        <w:rPr>
          <w:rFonts w:asciiTheme="minorHAnsi" w:hAnsiTheme="minorHAnsi" w:cstheme="minorHAnsi"/>
          <w:lang w:val="en-AU"/>
        </w:rPr>
        <w:t xml:space="preserve">Whilst these signals are encouraging, there exists a range of challenges to the sustainability of the ProDEP initiative. All require consideration. They include: </w:t>
      </w:r>
    </w:p>
    <w:p w:rsidR="00D20962" w:rsidRPr="00D20962" w:rsidRDefault="00D20962" w:rsidP="00D20962">
      <w:pPr>
        <w:numPr>
          <w:ilvl w:val="0"/>
          <w:numId w:val="24"/>
        </w:numPr>
        <w:spacing w:before="120" w:after="120" w:line="276" w:lineRule="auto"/>
        <w:jc w:val="both"/>
        <w:outlineLvl w:val="1"/>
        <w:rPr>
          <w:rFonts w:asciiTheme="minorHAnsi" w:eastAsia="Calibri" w:hAnsiTheme="minorHAnsi" w:cstheme="minorHAnsi"/>
          <w:lang w:val="en-AU"/>
        </w:rPr>
      </w:pPr>
      <w:r w:rsidRPr="00D20962">
        <w:rPr>
          <w:rFonts w:asciiTheme="minorHAnsi" w:eastAsia="Calibri" w:hAnsiTheme="minorHAnsi" w:cstheme="minorHAnsi"/>
          <w:b/>
          <w:lang w:val="en-AU"/>
        </w:rPr>
        <w:lastRenderedPageBreak/>
        <w:t>Securing commitment</w:t>
      </w:r>
      <w:r w:rsidRPr="00D20962">
        <w:rPr>
          <w:rFonts w:asciiTheme="minorHAnsi" w:eastAsia="Calibri" w:hAnsiTheme="minorHAnsi" w:cstheme="minorHAnsi"/>
          <w:lang w:val="en-AU"/>
        </w:rPr>
        <w:t>: There is a risk that the positive effects of engaging local leaders may diminish once new leaders are elected. Consequently, ProDEP must generate a ‘critical mass’ of local support if it is to be sustained. However, it is unclear to POM how ProDEP stakeholders intend to do so but it will probably require tailored strategies for different situations. Entities located at the provincial level, such as LPMPs, are probably best suited to engage with district governments but it is noteworthy that they are limited by their mandate and budgetary constraints</w:t>
      </w:r>
      <w:r w:rsidRPr="00D20962">
        <w:rPr>
          <w:rFonts w:asciiTheme="minorHAnsi" w:eastAsia="Calibri" w:hAnsiTheme="minorHAnsi" w:cstheme="minorHAnsi"/>
          <w:vertAlign w:val="superscript"/>
          <w:lang w:val="en-AU"/>
        </w:rPr>
        <w:footnoteReference w:id="31"/>
      </w:r>
      <w:r w:rsidRPr="00D20962">
        <w:rPr>
          <w:rFonts w:asciiTheme="minorHAnsi" w:eastAsia="Calibri" w:hAnsiTheme="minorHAnsi" w:cstheme="minorHAnsi"/>
          <w:lang w:val="en-AU"/>
        </w:rPr>
        <w:t>.</w:t>
      </w:r>
      <w:r w:rsidR="00940C3D">
        <w:rPr>
          <w:rFonts w:asciiTheme="minorHAnsi" w:eastAsia="Calibri" w:hAnsiTheme="minorHAnsi" w:cstheme="minorHAnsi"/>
          <w:lang w:val="en-AU"/>
        </w:rPr>
        <w:t xml:space="preserve"> </w:t>
      </w:r>
    </w:p>
    <w:p w:rsidR="00D20962" w:rsidRPr="00D20962" w:rsidRDefault="00D20962" w:rsidP="00D20962">
      <w:pPr>
        <w:numPr>
          <w:ilvl w:val="0"/>
          <w:numId w:val="24"/>
        </w:numPr>
        <w:spacing w:before="120" w:after="120" w:line="276" w:lineRule="auto"/>
        <w:jc w:val="both"/>
        <w:outlineLvl w:val="1"/>
        <w:rPr>
          <w:rFonts w:asciiTheme="minorHAnsi" w:eastAsia="Calibri" w:hAnsiTheme="minorHAnsi" w:cstheme="minorHAnsi"/>
          <w:lang w:val="en-AU"/>
        </w:rPr>
      </w:pPr>
      <w:r w:rsidRPr="00D20962">
        <w:rPr>
          <w:rFonts w:asciiTheme="minorHAnsi" w:eastAsia="Calibri" w:hAnsiTheme="minorHAnsi" w:cstheme="minorHAnsi"/>
          <w:b/>
          <w:lang w:val="en-AU"/>
        </w:rPr>
        <w:t>Identifying financiers:</w:t>
      </w:r>
      <w:r w:rsidRPr="00D20962">
        <w:rPr>
          <w:rFonts w:asciiTheme="minorHAnsi" w:eastAsia="Calibri" w:hAnsiTheme="minorHAnsi" w:cstheme="minorHAnsi"/>
          <w:lang w:val="en-AU"/>
        </w:rPr>
        <w:t xml:space="preserve"> It remains important to clarify the identity of expected funders and any cost sharing structures. POM also believes that more discussions are required about the perceived affordability of ProDEP given SSQ estimated costings of Rp3.7 million per UoL per principal</w:t>
      </w:r>
      <w:r w:rsidRPr="00D20962">
        <w:rPr>
          <w:rFonts w:asciiTheme="minorHAnsi" w:eastAsia="Calibri" w:hAnsiTheme="minorHAnsi" w:cstheme="minorHAnsi"/>
          <w:vertAlign w:val="superscript"/>
          <w:lang w:val="en-AU"/>
        </w:rPr>
        <w:endnoteReference w:id="56"/>
      </w:r>
      <w:r w:rsidRPr="00D20962">
        <w:rPr>
          <w:rFonts w:asciiTheme="minorHAnsi" w:eastAsia="Calibri" w:hAnsiTheme="minorHAnsi" w:cstheme="minorHAnsi"/>
          <w:lang w:val="en-AU"/>
        </w:rPr>
        <w:t xml:space="preserve">. </w:t>
      </w:r>
    </w:p>
    <w:p w:rsidR="00D20962" w:rsidRPr="00D20962" w:rsidRDefault="00D20962" w:rsidP="00D20962">
      <w:pPr>
        <w:numPr>
          <w:ilvl w:val="0"/>
          <w:numId w:val="24"/>
        </w:numPr>
        <w:spacing w:before="120" w:after="120" w:line="276" w:lineRule="auto"/>
        <w:jc w:val="both"/>
        <w:outlineLvl w:val="1"/>
        <w:rPr>
          <w:rFonts w:asciiTheme="minorHAnsi" w:eastAsia="Calibri" w:hAnsiTheme="minorHAnsi" w:cstheme="minorHAnsi"/>
          <w:lang w:val="en-AU"/>
        </w:rPr>
      </w:pPr>
      <w:r w:rsidRPr="00D20962">
        <w:rPr>
          <w:rFonts w:asciiTheme="minorHAnsi" w:eastAsia="Calibri" w:hAnsiTheme="minorHAnsi" w:cstheme="minorHAnsi"/>
          <w:b/>
          <w:lang w:val="en-AU"/>
        </w:rPr>
        <w:t>Delivery capacity:</w:t>
      </w:r>
      <w:r w:rsidRPr="00D20962">
        <w:rPr>
          <w:rFonts w:asciiTheme="minorHAnsi" w:eastAsia="Calibri" w:hAnsiTheme="minorHAnsi" w:cstheme="minorHAnsi"/>
          <w:lang w:val="en-AU"/>
        </w:rPr>
        <w:t xml:space="preserve"> The ability, willingness and mandate of Eligible Entities to deliver ProDEP in the long term require continued attention. Without support from the EP, Eligible Entities with widely varying capacities to deliver training </w:t>
      </w:r>
      <w:r w:rsidRPr="00D20962">
        <w:rPr>
          <w:rFonts w:asciiTheme="minorHAnsi" w:eastAsia="Calibri" w:hAnsiTheme="minorHAnsi" w:cstheme="minorHAnsi"/>
          <w:vertAlign w:val="superscript"/>
          <w:lang w:val="en-AU"/>
        </w:rPr>
        <w:endnoteReference w:id="57"/>
      </w:r>
      <w:r w:rsidRPr="00D20962">
        <w:rPr>
          <w:rFonts w:asciiTheme="minorHAnsi" w:eastAsia="Calibri" w:hAnsiTheme="minorHAnsi" w:cstheme="minorHAnsi"/>
          <w:lang w:val="en-AU"/>
        </w:rPr>
        <w:t xml:space="preserve"> need to be able to provide services of similar quality. Whilst there is evidence that trainers from P4TK actually perform better than those from LPMP</w:t>
      </w:r>
      <w:r w:rsidRPr="00D20962">
        <w:rPr>
          <w:rFonts w:asciiTheme="minorHAnsi" w:eastAsia="Calibri" w:hAnsiTheme="minorHAnsi" w:cstheme="minorHAnsi"/>
          <w:vertAlign w:val="superscript"/>
          <w:lang w:val="en-AU"/>
        </w:rPr>
        <w:endnoteReference w:id="58"/>
      </w:r>
      <w:r w:rsidRPr="00D20962">
        <w:rPr>
          <w:rFonts w:asciiTheme="minorHAnsi" w:eastAsia="Calibri" w:hAnsiTheme="minorHAnsi" w:cstheme="minorHAnsi"/>
          <w:lang w:val="en-AU"/>
        </w:rPr>
        <w:t>, the core expertise of P4TK trainers lies in subject specific content and methods and not in school management. Six P4TKs that have a vocational education mandate are currently being considered as Eligible Entities</w:t>
      </w:r>
      <w:r w:rsidRPr="00D20962">
        <w:rPr>
          <w:rFonts w:asciiTheme="minorHAnsi" w:eastAsia="Calibri" w:hAnsiTheme="minorHAnsi" w:cstheme="minorHAnsi"/>
          <w:vertAlign w:val="superscript"/>
          <w:lang w:val="en-AU"/>
        </w:rPr>
        <w:endnoteReference w:id="59"/>
      </w:r>
      <w:r w:rsidRPr="00D20962">
        <w:rPr>
          <w:rFonts w:asciiTheme="minorHAnsi" w:eastAsia="Calibri" w:hAnsiTheme="minorHAnsi" w:cstheme="minorHAnsi"/>
          <w:lang w:val="en-AU"/>
        </w:rPr>
        <w:t xml:space="preserve"> to implement the online learning. POM is concerned that their core expertise seems to be divorced from the knowledge and competencies required to support improvements to school management practices. Moreover, MoEC Regulation No. 6 / 2009 on the Organization and Work Procedures of LPPKS identifies LPPKS as the institution with the mandate to conduct professional development for principals. However, its training function in ProDEP is on a par with other implementing agencies, despite its mandate and its geographical base in Solo and limited resources vis-à-vis its responsibilities. Once the EP is over, a strengthened LPPKS or an entity appointed by Badan could be considered to perform the critical functions of content design, delivery modalities and quality assurance now carried out by C2. </w:t>
      </w:r>
    </w:p>
    <w:p w:rsidR="00D20962" w:rsidRPr="00D20962" w:rsidRDefault="00D20962" w:rsidP="00D20962">
      <w:pPr>
        <w:numPr>
          <w:ilvl w:val="0"/>
          <w:numId w:val="24"/>
        </w:numPr>
        <w:spacing w:before="120" w:after="120" w:line="276" w:lineRule="auto"/>
        <w:jc w:val="both"/>
        <w:outlineLvl w:val="1"/>
        <w:rPr>
          <w:rFonts w:asciiTheme="minorHAnsi" w:eastAsia="Calibri" w:hAnsiTheme="minorHAnsi" w:cstheme="minorHAnsi"/>
          <w:lang w:val="en-AU"/>
        </w:rPr>
      </w:pPr>
      <w:r w:rsidRPr="00D20962">
        <w:rPr>
          <w:rFonts w:asciiTheme="minorHAnsi" w:eastAsia="Calibri" w:hAnsiTheme="minorHAnsi" w:cstheme="minorHAnsi"/>
          <w:b/>
          <w:lang w:val="en-AU"/>
        </w:rPr>
        <w:t>MoRA involvement</w:t>
      </w:r>
      <w:r w:rsidRPr="00D20962">
        <w:rPr>
          <w:rFonts w:asciiTheme="minorHAnsi" w:eastAsia="Calibri" w:hAnsiTheme="minorHAnsi" w:cstheme="minorHAnsi"/>
          <w:lang w:val="en-AU"/>
        </w:rPr>
        <w:t>: In spite of consistent engagement between relevant stakeholders, POM remains concerned about the likelihood of ProDEP being sustained in the MoRA environment, recognising its relatively small staffing levels</w:t>
      </w:r>
      <w:r w:rsidRPr="00D20962">
        <w:rPr>
          <w:rFonts w:asciiTheme="minorHAnsi" w:eastAsia="Calibri" w:hAnsiTheme="minorHAnsi" w:cstheme="minorHAnsi"/>
          <w:vertAlign w:val="superscript"/>
          <w:lang w:val="en-AU"/>
        </w:rPr>
        <w:endnoteReference w:id="60"/>
      </w:r>
      <w:r w:rsidRPr="00D20962">
        <w:rPr>
          <w:rFonts w:asciiTheme="minorHAnsi" w:eastAsia="Calibri" w:hAnsiTheme="minorHAnsi" w:cstheme="minorHAnsi"/>
          <w:lang w:val="en-AU"/>
        </w:rPr>
        <w:t xml:space="preserve">. MoRA has seemingly been neutral to including ProDEP in its </w:t>
      </w:r>
      <w:r w:rsidRPr="00D20962">
        <w:rPr>
          <w:rFonts w:asciiTheme="minorHAnsi" w:eastAsia="Calibri" w:hAnsiTheme="minorHAnsi" w:cstheme="minorHAnsi"/>
          <w:i/>
          <w:lang w:val="en-AU"/>
        </w:rPr>
        <w:t>Renstra</w:t>
      </w:r>
      <w:r w:rsidRPr="00D20962">
        <w:rPr>
          <w:rFonts w:asciiTheme="minorHAnsi" w:eastAsia="Calibri" w:hAnsiTheme="minorHAnsi" w:cstheme="minorHAnsi"/>
          <w:lang w:val="en-AU"/>
        </w:rPr>
        <w:t xml:space="preserve"> for 2015-19 and whilst MoRA is a full member of the SDTOG, it has limited direct involvement in the implementation of ProDEP. </w:t>
      </w:r>
    </w:p>
    <w:p w:rsidR="00D20962" w:rsidRPr="00D20962" w:rsidRDefault="00D20962" w:rsidP="00D20962">
      <w:pPr>
        <w:numPr>
          <w:ilvl w:val="0"/>
          <w:numId w:val="24"/>
        </w:numPr>
        <w:spacing w:before="120" w:after="120" w:line="276" w:lineRule="auto"/>
        <w:jc w:val="both"/>
        <w:outlineLvl w:val="1"/>
        <w:rPr>
          <w:rFonts w:asciiTheme="minorHAnsi" w:eastAsia="Calibri" w:hAnsiTheme="minorHAnsi" w:cstheme="minorHAnsi"/>
          <w:lang w:val="en-AU"/>
        </w:rPr>
      </w:pPr>
      <w:r w:rsidRPr="00D20962">
        <w:rPr>
          <w:rFonts w:asciiTheme="minorHAnsi" w:eastAsia="Calibri" w:hAnsiTheme="minorHAnsi" w:cstheme="minorHAnsi"/>
          <w:b/>
          <w:lang w:val="en-AU"/>
        </w:rPr>
        <w:t>The ProDEP package</w:t>
      </w:r>
      <w:r w:rsidRPr="00D20962">
        <w:rPr>
          <w:rFonts w:asciiTheme="minorHAnsi" w:eastAsia="Calibri" w:hAnsiTheme="minorHAnsi" w:cstheme="minorHAnsi"/>
          <w:lang w:val="en-AU"/>
        </w:rPr>
        <w:t>: POM believes there is a risk that the finite resources held by districts might lead them to pick and choose between different ProDEP elements, thereby undermining the potential and intent of the entire system. POM recognises that institutional and implementing partners have acknowledged the need to promote the ProDEP model as a whole package of professional development.</w:t>
      </w:r>
      <w:r w:rsidRPr="00D20962">
        <w:rPr>
          <w:rFonts w:ascii="Times New Roman" w:eastAsia="Calibri" w:hAnsi="Times New Roman" w:cstheme="minorHAnsi"/>
          <w:vertAlign w:val="superscript"/>
          <w:lang w:val="en-AU"/>
        </w:rPr>
        <w:footnoteReference w:id="32"/>
      </w:r>
      <w:r w:rsidRPr="00D20962">
        <w:rPr>
          <w:rFonts w:asciiTheme="minorHAnsi" w:eastAsia="Calibri" w:hAnsiTheme="minorHAnsi" w:cstheme="minorHAnsi"/>
          <w:lang w:val="en-AU"/>
        </w:rPr>
        <w:t xml:space="preserve"> Whilst POM welcomes this acknowledgement </w:t>
      </w:r>
      <w:r w:rsidRPr="00D20962">
        <w:rPr>
          <w:rFonts w:asciiTheme="minorHAnsi" w:eastAsia="Calibri" w:hAnsiTheme="minorHAnsi" w:cstheme="minorHAnsi"/>
          <w:lang w:val="en-AU"/>
        </w:rPr>
        <w:lastRenderedPageBreak/>
        <w:t xml:space="preserve">it also notes that effective promotion can only occur in earnest once the impact of CPD and other elements of ProDEP are demonstrated. </w:t>
      </w:r>
    </w:p>
    <w:p w:rsidR="00D20962" w:rsidRPr="00D20962" w:rsidRDefault="00D20962" w:rsidP="00D20962">
      <w:pPr>
        <w:spacing w:line="276" w:lineRule="auto"/>
        <w:contextualSpacing/>
        <w:jc w:val="both"/>
        <w:rPr>
          <w:b/>
          <w:color w:val="003880"/>
          <w:sz w:val="24"/>
          <w:szCs w:val="24"/>
          <w:lang w:val="en-AU"/>
        </w:rPr>
      </w:pPr>
      <w:r w:rsidRPr="00D20962">
        <w:rPr>
          <w:bCs/>
          <w:iCs/>
          <w:lang w:val="en-AU"/>
        </w:rPr>
        <w:t>For NSIP, sustainability remains a considerable challenge. Despite the positive results outlined in SSQ’s evaluation of NSIP, NSIP still appears to be treated by institutional and implementing partners in a manner akin to a ‘stand-alone’ project. By way of example, POM understands that the provision of NSIP training for schools built under Cycles 3 and 4 of Component 1 has yet to be approved</w:t>
      </w:r>
      <w:r w:rsidRPr="00D20962">
        <w:rPr>
          <w:bCs/>
          <w:iCs/>
          <w:vertAlign w:val="superscript"/>
          <w:lang w:val="en-AU"/>
        </w:rPr>
        <w:endnoteReference w:id="61"/>
      </w:r>
      <w:r w:rsidRPr="00D20962">
        <w:rPr>
          <w:bCs/>
          <w:iCs/>
          <w:lang w:val="en-AU"/>
        </w:rPr>
        <w:t xml:space="preserve"> and POM is not aware of any significant discussion about if and how to sustain the NSIP after the closure of the EP. </w:t>
      </w:r>
    </w:p>
    <w:p w:rsidR="00D20962" w:rsidRPr="00D20962" w:rsidRDefault="00D20962" w:rsidP="00D20962">
      <w:pPr>
        <w:spacing w:line="276" w:lineRule="auto"/>
        <w:contextualSpacing/>
        <w:rPr>
          <w:b/>
          <w:color w:val="003880"/>
          <w:sz w:val="24"/>
          <w:szCs w:val="24"/>
          <w:lang w:val="en-AU"/>
        </w:rPr>
      </w:pPr>
    </w:p>
    <w:p w:rsidR="00D20962" w:rsidRPr="00D20962" w:rsidRDefault="00D20962" w:rsidP="00D20962">
      <w:pPr>
        <w:keepNext/>
        <w:numPr>
          <w:ilvl w:val="1"/>
          <w:numId w:val="0"/>
        </w:numPr>
        <w:spacing w:before="120" w:after="120" w:line="276" w:lineRule="auto"/>
        <w:ind w:left="720" w:hanging="720"/>
        <w:jc w:val="both"/>
        <w:outlineLvl w:val="1"/>
        <w:rPr>
          <w:b/>
          <w:bCs/>
          <w:iCs/>
          <w:color w:val="003880"/>
          <w:sz w:val="24"/>
          <w:szCs w:val="24"/>
          <w:lang w:val="en-AU"/>
        </w:rPr>
      </w:pPr>
      <w:r w:rsidRPr="00D20962">
        <w:rPr>
          <w:b/>
          <w:bCs/>
          <w:iCs/>
          <w:color w:val="003880"/>
          <w:sz w:val="24"/>
          <w:szCs w:val="24"/>
          <w:lang w:val="en-AU"/>
        </w:rPr>
        <w:t>3.5</w:t>
      </w:r>
      <w:r w:rsidRPr="00D20962">
        <w:rPr>
          <w:b/>
          <w:bCs/>
          <w:iCs/>
          <w:color w:val="003880"/>
          <w:sz w:val="24"/>
          <w:szCs w:val="24"/>
          <w:lang w:val="en-AU"/>
        </w:rPr>
        <w:tab/>
        <w:t>Summary and recommendations</w:t>
      </w:r>
    </w:p>
    <w:p w:rsidR="00D20962" w:rsidRPr="00D20962" w:rsidRDefault="00D20962" w:rsidP="00D20962">
      <w:pPr>
        <w:spacing w:before="120" w:after="120" w:line="276" w:lineRule="auto"/>
        <w:jc w:val="both"/>
        <w:outlineLvl w:val="1"/>
        <w:rPr>
          <w:rFonts w:asciiTheme="minorHAnsi" w:hAnsiTheme="minorHAnsi" w:cstheme="minorHAnsi"/>
          <w:lang w:val="en-AU"/>
        </w:rPr>
      </w:pPr>
      <w:r w:rsidRPr="00D20962">
        <w:rPr>
          <w:rFonts w:asciiTheme="minorHAnsi" w:hAnsiTheme="minorHAnsi" w:cstheme="minorHAnsi"/>
          <w:lang w:val="en-AU"/>
        </w:rPr>
        <w:t>A summary table of component performance by DAC criteria is presented in Table 1</w:t>
      </w:r>
      <w:r w:rsidR="009E4D89">
        <w:rPr>
          <w:rFonts w:asciiTheme="minorHAnsi" w:hAnsiTheme="minorHAnsi" w:cstheme="minorHAnsi"/>
          <w:lang w:val="en-AU"/>
        </w:rPr>
        <w:t>0</w:t>
      </w:r>
      <w:r w:rsidRPr="00D20962">
        <w:rPr>
          <w:rFonts w:asciiTheme="minorHAnsi" w:hAnsiTheme="minorHAnsi" w:cstheme="minorHAnsi"/>
          <w:lang w:val="en-AU"/>
        </w:rPr>
        <w:t>, below. The rating scale used with the previous DFAT Quality Reporting System (QRS) and the upcoming Aid Quality Checks (AQC) system has been adopted. Recommendations for improvement and, in particular, the necessary measures to increase the likelihood of achieving EOPO 2 are provided in Table 1</w:t>
      </w:r>
      <w:r w:rsidR="009E4D89">
        <w:rPr>
          <w:rFonts w:asciiTheme="minorHAnsi" w:hAnsiTheme="minorHAnsi" w:cstheme="minorHAnsi"/>
          <w:lang w:val="en-AU"/>
        </w:rPr>
        <w:t>1.</w:t>
      </w:r>
    </w:p>
    <w:p w:rsidR="00D20962" w:rsidRPr="00D20962" w:rsidRDefault="00D20962" w:rsidP="00D20962">
      <w:pPr>
        <w:spacing w:before="120" w:after="120" w:line="276" w:lineRule="auto"/>
        <w:jc w:val="both"/>
        <w:outlineLvl w:val="1"/>
        <w:rPr>
          <w:rFonts w:asciiTheme="minorHAnsi" w:hAnsiTheme="minorHAnsi" w:cstheme="minorHAnsi"/>
          <w:lang w:val="en-AU"/>
        </w:rPr>
      </w:pPr>
      <w:r w:rsidRPr="00D20962">
        <w:rPr>
          <w:rFonts w:asciiTheme="minorHAnsi" w:hAnsiTheme="minorHAnsi" w:cstheme="minorHAnsi"/>
          <w:lang w:val="en-AU"/>
        </w:rPr>
        <w:br w:type="page"/>
      </w:r>
    </w:p>
    <w:p w:rsidR="00D20962" w:rsidRPr="00D20962" w:rsidRDefault="00D20962" w:rsidP="00D20962">
      <w:pPr>
        <w:spacing w:before="120" w:after="120" w:line="276" w:lineRule="auto"/>
        <w:jc w:val="both"/>
        <w:outlineLvl w:val="1"/>
        <w:rPr>
          <w:rFonts w:asciiTheme="minorHAnsi" w:hAnsiTheme="minorHAnsi" w:cstheme="minorHAnsi"/>
          <w:lang w:val="en-AU"/>
        </w:rPr>
        <w:sectPr w:rsidR="00D20962" w:rsidRPr="00D20962" w:rsidSect="00DC41F6">
          <w:pgSz w:w="11906" w:h="16838" w:code="9"/>
          <w:pgMar w:top="1440" w:right="1440" w:bottom="1440" w:left="1440" w:header="709" w:footer="709" w:gutter="0"/>
          <w:cols w:space="708"/>
          <w:noEndnote/>
          <w:docGrid w:linePitch="360"/>
        </w:sectPr>
      </w:pPr>
    </w:p>
    <w:p w:rsidR="00D20962" w:rsidRPr="00D20962" w:rsidRDefault="00D20962" w:rsidP="00D20962">
      <w:pPr>
        <w:keepNext/>
        <w:spacing w:before="120" w:after="120"/>
        <w:ind w:left="86" w:right="43"/>
        <w:jc w:val="center"/>
        <w:rPr>
          <w:b/>
          <w:bCs/>
          <w:i/>
          <w:iCs/>
          <w:lang w:val="en-AU"/>
        </w:rPr>
      </w:pPr>
      <w:bookmarkStart w:id="34" w:name="_Toc412534582"/>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10</w:t>
      </w:r>
      <w:r w:rsidRPr="00D20962">
        <w:rPr>
          <w:b/>
          <w:lang w:val="en-GB"/>
        </w:rPr>
        <w:fldChar w:fldCharType="end"/>
      </w:r>
      <w:r w:rsidRPr="00D20962">
        <w:rPr>
          <w:b/>
          <w:bCs/>
          <w:lang w:val="en-AU"/>
        </w:rPr>
        <w:t xml:space="preserve">: </w:t>
      </w:r>
      <w:r w:rsidRPr="00D20962">
        <w:rPr>
          <w:b/>
          <w:bCs/>
          <w:iCs/>
          <w:lang w:val="en-AU"/>
        </w:rPr>
        <w:t>Component 2 scorecard</w:t>
      </w:r>
      <w:bookmarkEnd w:id="34"/>
      <w:r w:rsidRPr="00D20962">
        <w:rPr>
          <w:b/>
          <w:bCs/>
          <w:iCs/>
          <w:lang w:val="en-AU"/>
        </w:rPr>
        <w:t xml:space="preserve"> </w:t>
      </w:r>
    </w:p>
    <w:tbl>
      <w:tblPr>
        <w:tblStyle w:val="TableGrid171"/>
        <w:tblW w:w="5000" w:type="pct"/>
        <w:jc w:val="center"/>
        <w:tblLook w:val="04A0" w:firstRow="1" w:lastRow="0" w:firstColumn="1" w:lastColumn="0" w:noHBand="0" w:noVBand="1"/>
      </w:tblPr>
      <w:tblGrid>
        <w:gridCol w:w="1383"/>
        <w:gridCol w:w="1315"/>
        <w:gridCol w:w="1170"/>
        <w:gridCol w:w="6014"/>
        <w:gridCol w:w="4288"/>
      </w:tblGrid>
      <w:tr w:rsidR="00D20962" w:rsidRPr="00D20962" w:rsidTr="00D20962">
        <w:trPr>
          <w:trHeight w:val="434"/>
          <w:jc w:val="center"/>
        </w:trPr>
        <w:tc>
          <w:tcPr>
            <w:tcW w:w="488" w:type="pct"/>
            <w:shd w:val="clear" w:color="auto" w:fill="244061" w:themeFill="accent1" w:themeFillShade="8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b/>
                <w:sz w:val="20"/>
                <w:szCs w:val="20"/>
                <w:lang w:val="en-AU"/>
              </w:rPr>
              <w:t>DAC Criterion</w:t>
            </w:r>
          </w:p>
        </w:tc>
        <w:tc>
          <w:tcPr>
            <w:tcW w:w="464"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2013 Score</w:t>
            </w:r>
          </w:p>
        </w:tc>
        <w:tc>
          <w:tcPr>
            <w:tcW w:w="413" w:type="pct"/>
            <w:tcBorders>
              <w:bottom w:val="single" w:sz="4" w:space="0" w:color="auto"/>
            </w:tcBorders>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2014 Score</w:t>
            </w:r>
          </w:p>
        </w:tc>
        <w:tc>
          <w:tcPr>
            <w:tcW w:w="2122"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Justification</w:t>
            </w:r>
          </w:p>
        </w:tc>
        <w:tc>
          <w:tcPr>
            <w:tcW w:w="1513"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Comments</w:t>
            </w:r>
          </w:p>
        </w:tc>
      </w:tr>
      <w:tr w:rsidR="00D20962" w:rsidRPr="00D20962" w:rsidTr="00D20962">
        <w:trPr>
          <w:trHeight w:val="447"/>
          <w:jc w:val="center"/>
        </w:trPr>
        <w:tc>
          <w:tcPr>
            <w:tcW w:w="488"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t>Relevance</w:t>
            </w:r>
          </w:p>
        </w:tc>
        <w:tc>
          <w:tcPr>
            <w:tcW w:w="464" w:type="pct"/>
            <w:shd w:val="clear" w:color="auto" w:fill="92D05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5</w:t>
            </w:r>
          </w:p>
        </w:tc>
        <w:tc>
          <w:tcPr>
            <w:tcW w:w="413" w:type="pct"/>
            <w:tcBorders>
              <w:bottom w:val="single" w:sz="4" w:space="0" w:color="auto"/>
            </w:tcBorders>
            <w:shd w:val="clear" w:color="auto" w:fill="92D05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5</w:t>
            </w:r>
          </w:p>
        </w:tc>
        <w:tc>
          <w:tcPr>
            <w:tcW w:w="2122" w:type="pct"/>
            <w:shd w:val="clear" w:color="auto" w:fill="FFFFFF" w:themeFill="background1"/>
          </w:tcPr>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 xml:space="preserve">The investment rationale for ProDEP remains strong and it remains in line with commitments made by GoI and GoA to support the education quality agenda. </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 xml:space="preserve">There are strong indications that ProDEP-related indicators will be included in the next MoEC </w:t>
            </w:r>
            <w:r w:rsidRPr="00D20962">
              <w:rPr>
                <w:rFonts w:eastAsia="Calibri"/>
                <w:bCs/>
                <w:i/>
                <w:sz w:val="20"/>
                <w:szCs w:val="20"/>
                <w:lang w:val="en-AU"/>
              </w:rPr>
              <w:t>Renstra</w:t>
            </w:r>
            <w:r w:rsidRPr="00D20962">
              <w:rPr>
                <w:rFonts w:eastAsia="Calibri"/>
                <w:bCs/>
                <w:sz w:val="20"/>
                <w:szCs w:val="20"/>
                <w:lang w:val="en-AU"/>
              </w:rPr>
              <w:t xml:space="preserve">. </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ProDEP activities and approaches are aligned with the EOCO and the EOPO.</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NSIP contributes to the internal relevance of C2 but NSIP has not become an explicit policy priority for GoI and GoA.</w:t>
            </w:r>
          </w:p>
        </w:tc>
        <w:tc>
          <w:tcPr>
            <w:tcW w:w="1513" w:type="pct"/>
            <w:shd w:val="clear" w:color="auto" w:fill="FFFFFF" w:themeFill="background1"/>
          </w:tcPr>
          <w:p w:rsidR="00D20962" w:rsidRPr="00D20962" w:rsidRDefault="00D20962" w:rsidP="00D20962">
            <w:pPr>
              <w:spacing w:before="60" w:after="60" w:line="276" w:lineRule="auto"/>
              <w:ind w:left="360"/>
              <w:contextualSpacing/>
              <w:rPr>
                <w:rFonts w:eastAsia="Calibri"/>
                <w:bCs/>
                <w:sz w:val="20"/>
                <w:szCs w:val="20"/>
                <w:lang w:val="en-AU"/>
              </w:rPr>
            </w:pPr>
          </w:p>
        </w:tc>
      </w:tr>
      <w:tr w:rsidR="00D20962" w:rsidRPr="00D20962" w:rsidTr="00D20962">
        <w:trPr>
          <w:trHeight w:val="434"/>
          <w:jc w:val="center"/>
        </w:trPr>
        <w:tc>
          <w:tcPr>
            <w:tcW w:w="488"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t>Efficiency</w:t>
            </w:r>
          </w:p>
        </w:tc>
        <w:tc>
          <w:tcPr>
            <w:tcW w:w="464" w:type="pct"/>
            <w:shd w:val="clear" w:color="auto" w:fill="FFC0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3</w:t>
            </w:r>
          </w:p>
        </w:tc>
        <w:tc>
          <w:tcPr>
            <w:tcW w:w="413" w:type="pct"/>
            <w:tcBorders>
              <w:bottom w:val="single" w:sz="4" w:space="0" w:color="auto"/>
            </w:tcBorders>
            <w:shd w:val="clear" w:color="auto" w:fill="92D05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5</w:t>
            </w:r>
          </w:p>
        </w:tc>
        <w:tc>
          <w:tcPr>
            <w:tcW w:w="2122" w:type="pct"/>
            <w:tcBorders>
              <w:bottom w:val="single" w:sz="4" w:space="0" w:color="auto"/>
            </w:tcBorders>
            <w:shd w:val="clear" w:color="auto" w:fill="FFFFFF" w:themeFill="background1"/>
          </w:tcPr>
          <w:p w:rsidR="00D20962" w:rsidRPr="00D20962" w:rsidRDefault="00D20962" w:rsidP="00D20962">
            <w:pPr>
              <w:numPr>
                <w:ilvl w:val="0"/>
                <w:numId w:val="15"/>
              </w:numPr>
              <w:spacing w:before="60" w:after="60" w:line="276" w:lineRule="auto"/>
              <w:contextualSpacing/>
              <w:rPr>
                <w:bCs/>
                <w:sz w:val="20"/>
                <w:szCs w:val="20"/>
                <w:lang w:val="en-AU"/>
              </w:rPr>
            </w:pPr>
            <w:r w:rsidRPr="00D20962">
              <w:rPr>
                <w:bCs/>
                <w:sz w:val="20"/>
                <w:szCs w:val="20"/>
                <w:lang w:val="en-AU"/>
              </w:rPr>
              <w:t>GoI-led ProDEP commenced in 2014 after delays associated with competing GoI priorities.</w:t>
            </w:r>
          </w:p>
          <w:p w:rsidR="00D20962" w:rsidRPr="00D20962" w:rsidRDefault="00D20962" w:rsidP="00D20962">
            <w:pPr>
              <w:numPr>
                <w:ilvl w:val="0"/>
                <w:numId w:val="15"/>
              </w:numPr>
              <w:spacing w:before="60" w:after="60" w:line="276" w:lineRule="auto"/>
              <w:contextualSpacing/>
              <w:rPr>
                <w:bCs/>
                <w:sz w:val="20"/>
                <w:szCs w:val="20"/>
                <w:lang w:val="en-AU"/>
              </w:rPr>
            </w:pPr>
            <w:r w:rsidRPr="00D20962">
              <w:rPr>
                <w:rFonts w:eastAsia="Calibri"/>
                <w:bCs/>
                <w:sz w:val="20"/>
                <w:szCs w:val="20"/>
                <w:lang w:val="en-AU"/>
              </w:rPr>
              <w:t xml:space="preserve">Most output-level PAF indicators for 2014 are on track apart from the number of participants and the percentage of MoRA principals enrolled in CPD. </w:t>
            </w:r>
          </w:p>
          <w:p w:rsidR="00D20962" w:rsidRPr="00D20962" w:rsidRDefault="00D20962" w:rsidP="00D20962">
            <w:pPr>
              <w:numPr>
                <w:ilvl w:val="0"/>
                <w:numId w:val="15"/>
              </w:numPr>
              <w:spacing w:before="60" w:after="60" w:line="276" w:lineRule="auto"/>
              <w:contextualSpacing/>
              <w:rPr>
                <w:bCs/>
                <w:sz w:val="20"/>
                <w:szCs w:val="20"/>
                <w:lang w:val="en-AU"/>
              </w:rPr>
            </w:pPr>
            <w:r w:rsidRPr="00D20962">
              <w:rPr>
                <w:rFonts w:eastAsia="Calibri"/>
                <w:bCs/>
                <w:sz w:val="20"/>
                <w:szCs w:val="20"/>
                <w:lang w:val="en-AU"/>
              </w:rPr>
              <w:t xml:space="preserve">The adaptation of the on the job learning phase of CPD in 2014 should allow for achievement of output level targets. </w:t>
            </w:r>
          </w:p>
          <w:p w:rsidR="00D20962" w:rsidRPr="00D20962" w:rsidRDefault="00D20962" w:rsidP="00D20962">
            <w:pPr>
              <w:numPr>
                <w:ilvl w:val="0"/>
                <w:numId w:val="15"/>
              </w:numPr>
              <w:spacing w:before="60" w:after="60" w:line="276" w:lineRule="auto"/>
              <w:contextualSpacing/>
              <w:rPr>
                <w:bCs/>
                <w:sz w:val="20"/>
                <w:szCs w:val="20"/>
                <w:lang w:val="en-AU"/>
              </w:rPr>
            </w:pPr>
            <w:r w:rsidRPr="00D20962">
              <w:rPr>
                <w:rFonts w:eastAsia="Calibri"/>
                <w:bCs/>
                <w:sz w:val="20"/>
                <w:szCs w:val="20"/>
                <w:lang w:val="en-AU"/>
              </w:rPr>
              <w:t>The delivery of NSIP is highly efficient. Almost all Cycle 1 schools have received training.</w:t>
            </w:r>
          </w:p>
        </w:tc>
        <w:tc>
          <w:tcPr>
            <w:tcW w:w="1513" w:type="pct"/>
            <w:tcBorders>
              <w:bottom w:val="single" w:sz="4" w:space="0" w:color="auto"/>
            </w:tcBorders>
            <w:shd w:val="clear" w:color="auto" w:fill="FFFFFF" w:themeFill="background1"/>
          </w:tcPr>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Current data indicate low number of reported CPD participants. The score of 5 assumes an increase in the number of CPD participants by the end of 2014.</w:t>
            </w:r>
          </w:p>
        </w:tc>
      </w:tr>
      <w:tr w:rsidR="00D20962" w:rsidRPr="00D20962" w:rsidTr="00D20962">
        <w:trPr>
          <w:trHeight w:val="447"/>
          <w:jc w:val="center"/>
        </w:trPr>
        <w:tc>
          <w:tcPr>
            <w:tcW w:w="488"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t>Effectiveness</w:t>
            </w:r>
          </w:p>
        </w:tc>
        <w:tc>
          <w:tcPr>
            <w:tcW w:w="464" w:type="pct"/>
            <w:shd w:val="clear" w:color="auto" w:fill="auto"/>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TE</w:t>
            </w:r>
          </w:p>
        </w:tc>
        <w:tc>
          <w:tcPr>
            <w:tcW w:w="413" w:type="pct"/>
            <w:tcBorders>
              <w:bottom w:val="single" w:sz="4" w:space="0" w:color="auto"/>
            </w:tcBorders>
            <w:shd w:val="clear" w:color="auto" w:fill="FFC0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3</w:t>
            </w:r>
          </w:p>
        </w:tc>
        <w:tc>
          <w:tcPr>
            <w:tcW w:w="2122" w:type="pct"/>
            <w:shd w:val="clear" w:color="auto" w:fill="FFFFFF" w:themeFill="background1"/>
          </w:tcPr>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For optimal effectiveness, the delivery of ProDEP must be closely related to principals’ appraisal, promotion, rewards/incentives, recognition and academic credit.</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More effort is needed by institutional and implementing partners to ensure madrasah participation in ProDEP.</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 xml:space="preserve">The prospect of achieving the EOPO (i.e. by 2016) is constrained by the first roll out of CPD in 2014 that limited selection of UoLs to two UoLs (one of which was mandatory). </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 xml:space="preserve">NSIP is highly efficient at output level, but it is unknown how it contributes to the EOCO and therefore to the EOPO. </w:t>
            </w:r>
          </w:p>
        </w:tc>
        <w:tc>
          <w:tcPr>
            <w:tcW w:w="1513" w:type="pct"/>
            <w:shd w:val="clear" w:color="auto" w:fill="FFFFFF" w:themeFill="background1"/>
          </w:tcPr>
          <w:p w:rsidR="00D20962" w:rsidRPr="00D20962" w:rsidRDefault="00D20962" w:rsidP="00D20962">
            <w:pPr>
              <w:spacing w:before="60" w:after="60" w:line="276" w:lineRule="auto"/>
              <w:ind w:left="360"/>
              <w:contextualSpacing/>
              <w:rPr>
                <w:rFonts w:eastAsia="Calibri"/>
                <w:bCs/>
                <w:lang w:val="en-AU"/>
              </w:rPr>
            </w:pPr>
          </w:p>
        </w:tc>
      </w:tr>
      <w:tr w:rsidR="00D20962" w:rsidRPr="00D20962" w:rsidTr="00D20962">
        <w:trPr>
          <w:trHeight w:val="274"/>
          <w:jc w:val="center"/>
        </w:trPr>
        <w:tc>
          <w:tcPr>
            <w:tcW w:w="488"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lastRenderedPageBreak/>
              <w:t>Impact</w:t>
            </w:r>
          </w:p>
        </w:tc>
        <w:tc>
          <w:tcPr>
            <w:tcW w:w="464" w:type="pct"/>
            <w:shd w:val="clear" w:color="auto" w:fill="auto"/>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TE</w:t>
            </w:r>
          </w:p>
        </w:tc>
        <w:tc>
          <w:tcPr>
            <w:tcW w:w="413" w:type="pct"/>
            <w:tcBorders>
              <w:bottom w:val="single" w:sz="4" w:space="0" w:color="auto"/>
            </w:tcBorders>
            <w:shd w:val="clear" w:color="auto" w:fill="FFFF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4</w:t>
            </w:r>
          </w:p>
        </w:tc>
        <w:tc>
          <w:tcPr>
            <w:tcW w:w="2122" w:type="pct"/>
            <w:shd w:val="clear" w:color="auto" w:fill="FFFFFF" w:themeFill="background1"/>
          </w:tcPr>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 xml:space="preserve">The improved visibility of ProDEP in 2014 offers opportunity for the attainment of long-term benefits, specifically with regard to the achievement of Goal 2. </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Greater ProDEP impact will be achieved if the content is tailored to specific circumstances, e.g. on small schools in rural areas.</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 xml:space="preserve">NSIP will have to be scaled up beyond EP constructed schools in order to have long term effects. </w:t>
            </w:r>
          </w:p>
        </w:tc>
        <w:tc>
          <w:tcPr>
            <w:tcW w:w="1513" w:type="pct"/>
            <w:shd w:val="clear" w:color="auto" w:fill="FFFFFF" w:themeFill="background1"/>
          </w:tcPr>
          <w:p w:rsidR="00D20962" w:rsidRPr="00D20962" w:rsidRDefault="00D20962" w:rsidP="00D20962">
            <w:pPr>
              <w:spacing w:before="60" w:after="60" w:line="276" w:lineRule="auto"/>
              <w:contextualSpacing/>
              <w:rPr>
                <w:rFonts w:eastAsia="Calibri"/>
                <w:bCs/>
                <w:sz w:val="20"/>
                <w:szCs w:val="20"/>
                <w:lang w:val="en-AU"/>
              </w:rPr>
            </w:pPr>
          </w:p>
        </w:tc>
      </w:tr>
      <w:tr w:rsidR="00D20962" w:rsidRPr="00D20962" w:rsidTr="00D20962">
        <w:trPr>
          <w:trHeight w:val="447"/>
          <w:jc w:val="center"/>
        </w:trPr>
        <w:tc>
          <w:tcPr>
            <w:tcW w:w="488"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t>Sustainability</w:t>
            </w:r>
          </w:p>
        </w:tc>
        <w:tc>
          <w:tcPr>
            <w:tcW w:w="464" w:type="pct"/>
            <w:shd w:val="clear" w:color="auto" w:fill="FFC0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3</w:t>
            </w:r>
          </w:p>
        </w:tc>
        <w:tc>
          <w:tcPr>
            <w:tcW w:w="413" w:type="pct"/>
            <w:shd w:val="clear" w:color="auto" w:fill="FFFF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4</w:t>
            </w:r>
          </w:p>
        </w:tc>
        <w:tc>
          <w:tcPr>
            <w:tcW w:w="2122" w:type="pct"/>
            <w:shd w:val="clear" w:color="auto" w:fill="FFFFFF" w:themeFill="background1"/>
          </w:tcPr>
          <w:p w:rsidR="00D20962" w:rsidRPr="00D20962" w:rsidRDefault="00D20962" w:rsidP="00D20962">
            <w:pPr>
              <w:numPr>
                <w:ilvl w:val="0"/>
                <w:numId w:val="15"/>
              </w:numPr>
              <w:spacing w:before="60" w:after="60" w:line="276" w:lineRule="auto"/>
              <w:contextualSpacing/>
              <w:rPr>
                <w:rFonts w:asciiTheme="minorHAnsi" w:eastAsia="Calibri" w:hAnsiTheme="minorHAnsi"/>
                <w:sz w:val="20"/>
                <w:szCs w:val="20"/>
                <w:lang w:val="en-AU"/>
              </w:rPr>
            </w:pPr>
            <w:r w:rsidRPr="00D20962">
              <w:rPr>
                <w:rFonts w:eastAsia="Calibri"/>
                <w:bCs/>
                <w:sz w:val="20"/>
                <w:szCs w:val="20"/>
                <w:lang w:val="en-AU"/>
              </w:rPr>
              <w:t>The successful “socialization” of PPP to districts points to the possibility that financial sustainability can be secured.</w:t>
            </w:r>
          </w:p>
          <w:p w:rsidR="00D20962" w:rsidRPr="00D20962" w:rsidRDefault="00D20962" w:rsidP="00D20962">
            <w:pPr>
              <w:numPr>
                <w:ilvl w:val="0"/>
                <w:numId w:val="15"/>
              </w:numPr>
              <w:spacing w:before="60" w:after="60" w:line="276" w:lineRule="auto"/>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Clarity is required on the future financing of the system.</w:t>
            </w:r>
          </w:p>
          <w:p w:rsidR="00D20962" w:rsidRPr="00D20962" w:rsidRDefault="00D20962" w:rsidP="00D20962">
            <w:pPr>
              <w:numPr>
                <w:ilvl w:val="0"/>
                <w:numId w:val="15"/>
              </w:numPr>
              <w:spacing w:before="60" w:after="60" w:line="276" w:lineRule="auto"/>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 xml:space="preserve">The sustainability of ProDEP within MoRA environment is less clear due to MoRA’s limited involvement in the design, implementation, and evaluation. </w:t>
            </w:r>
          </w:p>
          <w:p w:rsidR="00D20962" w:rsidRPr="00D20962" w:rsidRDefault="00D20962" w:rsidP="00D20962">
            <w:pPr>
              <w:numPr>
                <w:ilvl w:val="0"/>
                <w:numId w:val="15"/>
              </w:numPr>
              <w:spacing w:before="60" w:after="60" w:line="276" w:lineRule="auto"/>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 xml:space="preserve">In its current state, NSIP is not designed to be sustainable. </w:t>
            </w:r>
          </w:p>
        </w:tc>
        <w:tc>
          <w:tcPr>
            <w:tcW w:w="1513" w:type="pct"/>
            <w:shd w:val="clear" w:color="auto" w:fill="FFFFFF" w:themeFill="background1"/>
          </w:tcPr>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 xml:space="preserve">The year-on-year improvement in the score is mainly due to LPPKS’ efforts in securing district interest in PPP. </w:t>
            </w:r>
          </w:p>
          <w:p w:rsidR="00D20962" w:rsidRPr="00D20962" w:rsidRDefault="00D20962" w:rsidP="00D20962">
            <w:pPr>
              <w:numPr>
                <w:ilvl w:val="0"/>
                <w:numId w:val="15"/>
              </w:numPr>
              <w:spacing w:before="60" w:after="60" w:line="276" w:lineRule="auto"/>
              <w:contextualSpacing/>
              <w:rPr>
                <w:rFonts w:eastAsia="Calibri"/>
                <w:bCs/>
                <w:sz w:val="20"/>
                <w:szCs w:val="20"/>
                <w:lang w:val="en-AU"/>
              </w:rPr>
            </w:pPr>
            <w:r w:rsidRPr="00D20962">
              <w:rPr>
                <w:rFonts w:eastAsia="Calibri"/>
                <w:bCs/>
                <w:sz w:val="20"/>
                <w:szCs w:val="20"/>
                <w:lang w:val="en-AU"/>
              </w:rPr>
              <w:t xml:space="preserve">Likelihood of ProDEP inclusion in MoEC </w:t>
            </w:r>
            <w:r w:rsidRPr="00D20962">
              <w:rPr>
                <w:rFonts w:eastAsia="Calibri"/>
                <w:bCs/>
                <w:i/>
                <w:sz w:val="20"/>
                <w:szCs w:val="20"/>
                <w:lang w:val="en-AU"/>
              </w:rPr>
              <w:t>Renstra</w:t>
            </w:r>
            <w:r w:rsidRPr="00D20962">
              <w:rPr>
                <w:rFonts w:eastAsia="Calibri"/>
                <w:bCs/>
                <w:sz w:val="20"/>
                <w:szCs w:val="20"/>
                <w:lang w:val="en-AU"/>
              </w:rPr>
              <w:t xml:space="preserve"> is an indication for availability of funding from the national budget.</w:t>
            </w:r>
          </w:p>
        </w:tc>
      </w:tr>
    </w:tbl>
    <w:p w:rsidR="00D20962" w:rsidRPr="00D20962" w:rsidRDefault="00D20962" w:rsidP="00D20962">
      <w:pPr>
        <w:spacing w:before="120" w:after="120"/>
        <w:ind w:left="86" w:right="43"/>
        <w:jc w:val="center"/>
        <w:rPr>
          <w:b/>
          <w:lang w:val="en-AU"/>
        </w:rPr>
      </w:pPr>
    </w:p>
    <w:p w:rsidR="00D20962" w:rsidRPr="00D20962" w:rsidRDefault="00D20962" w:rsidP="00D20962">
      <w:pPr>
        <w:rPr>
          <w:b/>
          <w:lang w:val="en-AU"/>
        </w:rPr>
      </w:pPr>
      <w:r w:rsidRPr="00D20962">
        <w:rPr>
          <w:b/>
          <w:lang w:val="en-AU"/>
        </w:rPr>
        <w:br w:type="page"/>
      </w:r>
    </w:p>
    <w:p w:rsidR="00D20962" w:rsidRPr="00D20962" w:rsidRDefault="00D20962" w:rsidP="00D20962">
      <w:pPr>
        <w:keepNext/>
        <w:spacing w:before="120" w:after="120"/>
        <w:ind w:left="86" w:right="43"/>
        <w:jc w:val="center"/>
        <w:rPr>
          <w:b/>
          <w:lang w:val="en-GB"/>
        </w:rPr>
      </w:pPr>
      <w:bookmarkStart w:id="35" w:name="_Toc412534583"/>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11</w:t>
      </w:r>
      <w:r w:rsidRPr="00D20962">
        <w:rPr>
          <w:b/>
          <w:lang w:val="en-GB"/>
        </w:rPr>
        <w:fldChar w:fldCharType="end"/>
      </w:r>
      <w:r w:rsidRPr="00D20962">
        <w:rPr>
          <w:b/>
          <w:lang w:val="en-GB"/>
        </w:rPr>
        <w:t>: Component 2 key findings and recommendations</w:t>
      </w:r>
      <w:bookmarkEnd w:id="35"/>
      <w:r w:rsidRPr="00D20962">
        <w:rPr>
          <w:b/>
          <w:lang w:val="en-GB"/>
        </w:rPr>
        <w:t xml:space="preserve"> </w:t>
      </w:r>
    </w:p>
    <w:tbl>
      <w:tblPr>
        <w:tblStyle w:val="TableGrid3211"/>
        <w:tblpPr w:leftFromText="180" w:rightFromText="180" w:vertAnchor="text" w:horzAnchor="margin" w:tblpY="394"/>
        <w:tblW w:w="5000" w:type="pct"/>
        <w:tblLook w:val="04A0" w:firstRow="1" w:lastRow="0" w:firstColumn="1" w:lastColumn="0" w:noHBand="0" w:noVBand="1"/>
      </w:tblPr>
      <w:tblGrid>
        <w:gridCol w:w="4307"/>
        <w:gridCol w:w="5501"/>
        <w:gridCol w:w="896"/>
        <w:gridCol w:w="3466"/>
      </w:tblGrid>
      <w:tr w:rsidR="00D20962" w:rsidRPr="00D20962" w:rsidTr="00D20962">
        <w:trPr>
          <w:trHeight w:val="567"/>
          <w:tblHeader/>
        </w:trPr>
        <w:tc>
          <w:tcPr>
            <w:tcW w:w="1520"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contextualSpacing/>
              <w:jc w:val="center"/>
              <w:rPr>
                <w:rFonts w:eastAsia="Times New Roman" w:cstheme="minorHAnsi"/>
                <w:b/>
                <w:color w:val="FFFFFF" w:themeColor="background1"/>
                <w:sz w:val="20"/>
                <w:szCs w:val="20"/>
                <w:lang w:val="en-US"/>
              </w:rPr>
            </w:pPr>
            <w:r w:rsidRPr="00D20962">
              <w:rPr>
                <w:rFonts w:eastAsia="Times New Roman" w:cstheme="minorHAnsi"/>
                <w:b/>
                <w:color w:val="FFFFFF" w:themeColor="background1"/>
                <w:sz w:val="20"/>
                <w:szCs w:val="20"/>
                <w:lang w:val="en-US"/>
              </w:rPr>
              <w:t>Findings</w:t>
            </w:r>
          </w:p>
        </w:tc>
        <w:tc>
          <w:tcPr>
            <w:tcW w:w="1941"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contextualSpacing/>
              <w:jc w:val="center"/>
              <w:rPr>
                <w:rFonts w:eastAsia="Times New Roman" w:cstheme="minorHAnsi"/>
                <w:b/>
                <w:color w:val="FFFFFF" w:themeColor="background1"/>
                <w:sz w:val="20"/>
                <w:szCs w:val="20"/>
                <w:lang w:val="en-US"/>
              </w:rPr>
            </w:pPr>
            <w:r w:rsidRPr="00D20962">
              <w:rPr>
                <w:rFonts w:eastAsia="Times New Roman" w:cstheme="minorHAnsi"/>
                <w:b/>
                <w:color w:val="FFFFFF" w:themeColor="background1"/>
                <w:sz w:val="20"/>
                <w:szCs w:val="20"/>
                <w:lang w:val="en-US"/>
              </w:rPr>
              <w:t>Recommendations</w:t>
            </w:r>
          </w:p>
        </w:tc>
        <w:tc>
          <w:tcPr>
            <w:tcW w:w="316"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contextualSpacing/>
              <w:jc w:val="center"/>
              <w:rPr>
                <w:rFonts w:eastAsia="Times New Roman" w:cstheme="minorHAnsi"/>
                <w:b/>
                <w:color w:val="FFFFFF" w:themeColor="background1"/>
                <w:sz w:val="20"/>
                <w:szCs w:val="20"/>
                <w:lang w:val="en-US"/>
              </w:rPr>
            </w:pPr>
            <w:r w:rsidRPr="00D20962">
              <w:rPr>
                <w:rFonts w:eastAsia="Times New Roman" w:cstheme="minorHAnsi"/>
                <w:b/>
                <w:color w:val="FFFFFF" w:themeColor="background1"/>
                <w:sz w:val="20"/>
                <w:szCs w:val="20"/>
                <w:lang w:val="en-US"/>
              </w:rPr>
              <w:t>Level of urgency</w:t>
            </w:r>
          </w:p>
        </w:tc>
        <w:tc>
          <w:tcPr>
            <w:tcW w:w="1223"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contextualSpacing/>
              <w:jc w:val="center"/>
              <w:rPr>
                <w:rFonts w:eastAsia="Times New Roman" w:cstheme="minorHAnsi"/>
                <w:b/>
                <w:color w:val="FFFFFF" w:themeColor="background1"/>
                <w:sz w:val="20"/>
                <w:szCs w:val="20"/>
                <w:lang w:val="en-US"/>
              </w:rPr>
            </w:pPr>
            <w:r w:rsidRPr="00D20962">
              <w:rPr>
                <w:rFonts w:eastAsia="Times New Roman" w:cstheme="minorHAnsi"/>
                <w:b/>
                <w:color w:val="FFFFFF" w:themeColor="background1"/>
                <w:sz w:val="20"/>
                <w:szCs w:val="20"/>
                <w:lang w:val="en-US"/>
              </w:rPr>
              <w:t>Prime Responsibility</w:t>
            </w:r>
          </w:p>
        </w:tc>
      </w:tr>
      <w:tr w:rsidR="00D20962" w:rsidRPr="00D20962" w:rsidTr="00D20962">
        <w:trPr>
          <w:trHeight w:val="1002"/>
        </w:trPr>
        <w:tc>
          <w:tcPr>
            <w:tcW w:w="1520" w:type="pct"/>
            <w:shd w:val="clear" w:color="auto" w:fill="FFFFFF" w:themeFill="background1"/>
            <w:vAlign w:val="center"/>
          </w:tcPr>
          <w:p w:rsidR="00D20962" w:rsidRPr="00D20962" w:rsidRDefault="00D20962" w:rsidP="00D20962">
            <w:pPr>
              <w:spacing w:beforeLines="60" w:before="144" w:afterLines="60" w:after="144"/>
              <w:rPr>
                <w:rFonts w:eastAsia="Times New Roman" w:cs="Calibri"/>
                <w:sz w:val="20"/>
                <w:szCs w:val="20"/>
                <w:lang w:val="en-US"/>
              </w:rPr>
            </w:pPr>
            <w:r w:rsidRPr="00D20962">
              <w:rPr>
                <w:rFonts w:eastAsia="Times New Roman" w:cs="Calibri"/>
                <w:sz w:val="20"/>
                <w:szCs w:val="20"/>
                <w:lang w:val="en-US"/>
              </w:rPr>
              <w:t xml:space="preserve">Institutional partners have yet to seek clarity on the avenues to achieve the financial sustainability of ProDEP after EP completion </w:t>
            </w:r>
            <w:r w:rsidRPr="00D20962">
              <w:rPr>
                <w:rFonts w:eastAsia="Times New Roman" w:cs="Calibri"/>
                <w:sz w:val="20"/>
                <w:szCs w:val="20"/>
                <w:lang w:val="en-AU"/>
              </w:rPr>
              <w:t>(see §3.4.5)</w:t>
            </w:r>
            <w:r w:rsidRPr="00D20962">
              <w:rPr>
                <w:rFonts w:eastAsia="Times New Roman" w:cs="Calibri"/>
                <w:sz w:val="20"/>
                <w:szCs w:val="20"/>
                <w:lang w:val="en-US"/>
              </w:rPr>
              <w:t>.</w:t>
            </w:r>
          </w:p>
        </w:tc>
        <w:tc>
          <w:tcPr>
            <w:tcW w:w="1941" w:type="pct"/>
            <w:shd w:val="clear" w:color="auto" w:fill="FFFFFF" w:themeFill="background1"/>
            <w:vAlign w:val="center"/>
          </w:tcPr>
          <w:p w:rsidR="00D20962" w:rsidRPr="00D20962" w:rsidRDefault="00D20962" w:rsidP="003D0A5E">
            <w:pPr>
              <w:spacing w:before="120" w:after="120"/>
              <w:ind w:left="459" w:hanging="450"/>
              <w:rPr>
                <w:rFonts w:eastAsia="Times New Roman" w:cs="Calibri"/>
                <w:sz w:val="20"/>
                <w:szCs w:val="20"/>
                <w:lang w:val="en-US"/>
              </w:rPr>
            </w:pPr>
            <w:r w:rsidRPr="00D20962">
              <w:rPr>
                <w:rFonts w:eastAsia="Times New Roman" w:cs="Calibri"/>
                <w:sz w:val="20"/>
                <w:szCs w:val="20"/>
                <w:lang w:val="en-US"/>
              </w:rPr>
              <w:t>R6:</w:t>
            </w:r>
            <w:r w:rsidRPr="00D20962">
              <w:rPr>
                <w:rFonts w:eastAsia="Times New Roman" w:cs="Calibri"/>
                <w:sz w:val="20"/>
                <w:szCs w:val="20"/>
                <w:lang w:val="en-US"/>
              </w:rPr>
              <w:tab/>
              <w:t>A long-term sustainability strategy that resolves issues of affordability, financing and institutional responsibilities and capabilities should be developed, maintained and implemented by June 2</w:t>
            </w:r>
            <w:r w:rsidR="003D0A5E">
              <w:rPr>
                <w:rFonts w:eastAsia="Times New Roman" w:cs="Calibri"/>
                <w:sz w:val="20"/>
                <w:szCs w:val="20"/>
                <w:lang w:val="en-US"/>
              </w:rPr>
              <w:t>01</w:t>
            </w:r>
            <w:r w:rsidRPr="00D20962">
              <w:rPr>
                <w:rFonts w:eastAsia="Times New Roman" w:cs="Calibri"/>
                <w:sz w:val="20"/>
                <w:szCs w:val="20"/>
                <w:lang w:val="en-US"/>
              </w:rPr>
              <w:t>5.</w:t>
            </w:r>
          </w:p>
        </w:tc>
        <w:tc>
          <w:tcPr>
            <w:tcW w:w="316" w:type="pct"/>
            <w:tcBorders>
              <w:bottom w:val="single" w:sz="4" w:space="0" w:color="auto"/>
            </w:tcBorders>
            <w:shd w:val="clear" w:color="auto" w:fill="FF0000"/>
            <w:vAlign w:val="center"/>
          </w:tcPr>
          <w:p w:rsidR="00D20962" w:rsidRPr="00D20962" w:rsidRDefault="00D20962" w:rsidP="00D20962">
            <w:pPr>
              <w:spacing w:beforeLines="60" w:before="144" w:afterLines="60" w:after="144"/>
              <w:jc w:val="center"/>
              <w:rPr>
                <w:rFonts w:eastAsia="Times New Roman" w:cs="Calibri"/>
                <w:sz w:val="20"/>
                <w:szCs w:val="20"/>
                <w:lang w:val="en-US"/>
              </w:rPr>
            </w:pPr>
            <w:r w:rsidRPr="00D20962">
              <w:rPr>
                <w:rFonts w:eastAsia="Times New Roman" w:cs="Calibri"/>
                <w:sz w:val="20"/>
                <w:szCs w:val="20"/>
                <w:lang w:val="en-US"/>
              </w:rPr>
              <w:t>***</w:t>
            </w:r>
          </w:p>
        </w:tc>
        <w:tc>
          <w:tcPr>
            <w:tcW w:w="1223" w:type="pct"/>
            <w:vAlign w:val="center"/>
          </w:tcPr>
          <w:p w:rsidR="00D20962" w:rsidRPr="00D20962" w:rsidRDefault="00D20962" w:rsidP="00D20962">
            <w:pPr>
              <w:spacing w:beforeLines="60" w:before="144" w:afterLines="60" w:after="144"/>
              <w:rPr>
                <w:rFonts w:eastAsia="Times New Roman" w:cs="Calibri"/>
                <w:sz w:val="20"/>
                <w:szCs w:val="20"/>
                <w:lang w:val="en-US"/>
              </w:rPr>
            </w:pPr>
            <w:r w:rsidRPr="00D20962">
              <w:rPr>
                <w:rFonts w:eastAsia="Times New Roman" w:cs="Calibri"/>
                <w:sz w:val="20"/>
                <w:szCs w:val="20"/>
                <w:lang w:val="en-US"/>
              </w:rPr>
              <w:t xml:space="preserve">MoEC and MoRA (with DFAT and SSQ support) </w:t>
            </w:r>
          </w:p>
        </w:tc>
      </w:tr>
      <w:tr w:rsidR="00D20962" w:rsidRPr="00D20962" w:rsidTr="00D20962">
        <w:trPr>
          <w:trHeight w:val="758"/>
        </w:trPr>
        <w:tc>
          <w:tcPr>
            <w:tcW w:w="1520" w:type="pct"/>
            <w:shd w:val="clear" w:color="auto" w:fill="FFFFFF" w:themeFill="background1"/>
            <w:vAlign w:val="center"/>
          </w:tcPr>
          <w:p w:rsidR="00D20962" w:rsidRPr="00D20962" w:rsidRDefault="00D20962" w:rsidP="00D20962">
            <w:pPr>
              <w:spacing w:beforeLines="60" w:before="144" w:afterLines="60" w:after="144"/>
              <w:rPr>
                <w:rFonts w:eastAsia="Times New Roman" w:cs="Calibri"/>
                <w:sz w:val="20"/>
                <w:szCs w:val="20"/>
                <w:lang w:val="en-US"/>
              </w:rPr>
            </w:pPr>
            <w:r w:rsidRPr="00D20962">
              <w:rPr>
                <w:rFonts w:eastAsia="Times New Roman" w:cs="Calibri"/>
                <w:sz w:val="20"/>
                <w:szCs w:val="20"/>
                <w:lang w:val="en-US"/>
              </w:rPr>
              <w:t xml:space="preserve">Institutional partners appear to have different aspirations about the sustainability of ProDEP within MoRA environment </w:t>
            </w:r>
            <w:r w:rsidRPr="00D20962">
              <w:rPr>
                <w:rFonts w:eastAsia="Times New Roman" w:cs="Calibri"/>
                <w:sz w:val="20"/>
                <w:szCs w:val="20"/>
                <w:lang w:val="en-AU"/>
              </w:rPr>
              <w:t>(see §3.4.5).</w:t>
            </w:r>
          </w:p>
        </w:tc>
        <w:tc>
          <w:tcPr>
            <w:tcW w:w="1941" w:type="pct"/>
            <w:shd w:val="clear" w:color="auto" w:fill="FFFFFF" w:themeFill="background1"/>
            <w:vAlign w:val="center"/>
          </w:tcPr>
          <w:p w:rsidR="00D20962" w:rsidRPr="00D20962" w:rsidRDefault="00D20962" w:rsidP="00D20962">
            <w:pPr>
              <w:spacing w:before="120" w:after="120"/>
              <w:ind w:left="459" w:hanging="450"/>
              <w:rPr>
                <w:rFonts w:eastAsia="Times New Roman" w:cs="Calibri"/>
                <w:sz w:val="20"/>
                <w:szCs w:val="20"/>
                <w:lang w:val="en-US"/>
              </w:rPr>
            </w:pPr>
            <w:r w:rsidRPr="00D20962">
              <w:rPr>
                <w:rFonts w:eastAsia="Times New Roman" w:cs="Calibri"/>
                <w:sz w:val="20"/>
                <w:szCs w:val="20"/>
                <w:lang w:val="en-US"/>
              </w:rPr>
              <w:t>R7:</w:t>
            </w:r>
            <w:r w:rsidRPr="00D20962">
              <w:rPr>
                <w:rFonts w:eastAsia="Times New Roman" w:cs="Calibri"/>
                <w:sz w:val="20"/>
                <w:szCs w:val="20"/>
                <w:lang w:val="en-US"/>
              </w:rPr>
              <w:tab/>
              <w:t>GoI’s expectations for MoRA’s long-term involvement and role in ProDEP should be clarified, i.e. whether MoRA is expected to be able to implement and sustain ProDEP within its environment after the EP.</w:t>
            </w:r>
          </w:p>
        </w:tc>
        <w:tc>
          <w:tcPr>
            <w:tcW w:w="316" w:type="pct"/>
            <w:tcBorders>
              <w:bottom w:val="single" w:sz="4" w:space="0" w:color="auto"/>
            </w:tcBorders>
            <w:shd w:val="clear" w:color="auto" w:fill="FF0000"/>
            <w:vAlign w:val="center"/>
          </w:tcPr>
          <w:p w:rsidR="00D20962" w:rsidRPr="00D20962" w:rsidRDefault="00D20962" w:rsidP="00D20962">
            <w:pPr>
              <w:spacing w:beforeLines="60" w:before="144" w:afterLines="60" w:after="144"/>
              <w:jc w:val="center"/>
              <w:rPr>
                <w:rFonts w:eastAsia="Times New Roman" w:cs="Calibri"/>
                <w:sz w:val="20"/>
                <w:szCs w:val="20"/>
                <w:lang w:val="en-US"/>
              </w:rPr>
            </w:pPr>
            <w:r w:rsidRPr="00D20962">
              <w:rPr>
                <w:rFonts w:eastAsia="Times New Roman" w:cs="Calibri"/>
                <w:sz w:val="20"/>
                <w:szCs w:val="20"/>
                <w:lang w:val="en-US"/>
              </w:rPr>
              <w:t>***</w:t>
            </w:r>
          </w:p>
        </w:tc>
        <w:tc>
          <w:tcPr>
            <w:tcW w:w="1223" w:type="pct"/>
            <w:vAlign w:val="center"/>
          </w:tcPr>
          <w:p w:rsidR="00D20962" w:rsidRPr="00D20962" w:rsidRDefault="00D20962" w:rsidP="00D20962">
            <w:pPr>
              <w:spacing w:beforeLines="60" w:before="144" w:afterLines="60" w:after="144"/>
              <w:rPr>
                <w:rFonts w:eastAsia="Times New Roman" w:cs="Calibri"/>
                <w:sz w:val="20"/>
                <w:szCs w:val="20"/>
                <w:lang w:val="en-US"/>
              </w:rPr>
            </w:pPr>
            <w:r w:rsidRPr="00D20962">
              <w:rPr>
                <w:rFonts w:eastAsia="Times New Roman" w:cs="Calibri"/>
                <w:sz w:val="20"/>
                <w:szCs w:val="20"/>
                <w:lang w:val="en-US"/>
              </w:rPr>
              <w:t xml:space="preserve">MoEC and MoRA (with DFAT and SSQ support as appropriate) </w:t>
            </w:r>
          </w:p>
        </w:tc>
      </w:tr>
      <w:tr w:rsidR="00D20962" w:rsidRPr="00D20962" w:rsidTr="00D20962">
        <w:trPr>
          <w:trHeight w:val="567"/>
        </w:trPr>
        <w:tc>
          <w:tcPr>
            <w:tcW w:w="1520" w:type="pct"/>
            <w:shd w:val="clear" w:color="auto" w:fill="FFFFFF" w:themeFill="background1"/>
            <w:vAlign w:val="center"/>
          </w:tcPr>
          <w:p w:rsidR="00D20962" w:rsidRPr="00D20962" w:rsidRDefault="00D20962" w:rsidP="00D20962">
            <w:pPr>
              <w:spacing w:beforeLines="60" w:before="144" w:afterLines="60" w:after="144"/>
              <w:rPr>
                <w:rFonts w:eastAsia="Times New Roman" w:cs="Calibri"/>
                <w:sz w:val="20"/>
                <w:szCs w:val="20"/>
                <w:lang w:val="en-US"/>
              </w:rPr>
            </w:pPr>
            <w:r w:rsidRPr="00D20962">
              <w:rPr>
                <w:rFonts w:eastAsia="Times New Roman" w:cs="Calibri"/>
                <w:sz w:val="20"/>
                <w:szCs w:val="20"/>
                <w:lang w:val="en-US"/>
              </w:rPr>
              <w:t xml:space="preserve">One hundred districts have seemingly bought into PPP, but at the moment there is no evidence that the different ProDEP elements will be adopted or adapted </w:t>
            </w:r>
            <w:r w:rsidRPr="00D20962">
              <w:rPr>
                <w:rFonts w:eastAsia="Times New Roman" w:cs="Calibri"/>
                <w:sz w:val="20"/>
                <w:szCs w:val="20"/>
                <w:lang w:val="en-AU"/>
              </w:rPr>
              <w:t>(see §3.4.5)</w:t>
            </w:r>
            <w:r w:rsidRPr="00D20962">
              <w:rPr>
                <w:rFonts w:asciiTheme="minorHAnsi" w:eastAsia="Times New Roman" w:hAnsiTheme="minorHAnsi" w:cs="Calibri"/>
                <w:sz w:val="20"/>
                <w:szCs w:val="20"/>
                <w:lang w:val="en-AU"/>
              </w:rPr>
              <w:t>.</w:t>
            </w:r>
          </w:p>
        </w:tc>
        <w:tc>
          <w:tcPr>
            <w:tcW w:w="1941" w:type="pct"/>
            <w:shd w:val="clear" w:color="auto" w:fill="FFFFFF" w:themeFill="background1"/>
            <w:vAlign w:val="center"/>
          </w:tcPr>
          <w:p w:rsidR="00D20962" w:rsidRPr="00D20962" w:rsidRDefault="00D20962" w:rsidP="00D20962">
            <w:pPr>
              <w:spacing w:before="120" w:after="120"/>
              <w:ind w:left="459" w:hanging="450"/>
              <w:rPr>
                <w:rFonts w:eastAsia="Times New Roman" w:cs="Calibri"/>
                <w:sz w:val="20"/>
                <w:szCs w:val="20"/>
                <w:lang w:val="en-US"/>
              </w:rPr>
            </w:pPr>
            <w:r w:rsidRPr="00D20962">
              <w:rPr>
                <w:rFonts w:eastAsia="Times New Roman" w:cs="Calibri"/>
                <w:sz w:val="20"/>
                <w:szCs w:val="20"/>
                <w:lang w:val="en-US"/>
              </w:rPr>
              <w:t>R8:</w:t>
            </w:r>
            <w:r w:rsidRPr="00D20962">
              <w:rPr>
                <w:rFonts w:eastAsia="Times New Roman" w:cs="Calibri"/>
                <w:sz w:val="20"/>
                <w:szCs w:val="20"/>
                <w:lang w:val="en-US"/>
              </w:rPr>
              <w:tab/>
              <w:t>ProDEP should be ‘marketed’ as a cohesive, integrated package of professional development so as to guard against selection of individual modules or components.</w:t>
            </w:r>
          </w:p>
        </w:tc>
        <w:tc>
          <w:tcPr>
            <w:tcW w:w="316" w:type="pct"/>
            <w:shd w:val="clear" w:color="auto" w:fill="FFC000"/>
            <w:vAlign w:val="center"/>
          </w:tcPr>
          <w:p w:rsidR="00D20962" w:rsidRPr="00D20962" w:rsidRDefault="00D20962" w:rsidP="00D20962">
            <w:pPr>
              <w:spacing w:beforeLines="60" w:before="144" w:afterLines="60" w:after="144"/>
              <w:jc w:val="center"/>
              <w:rPr>
                <w:rFonts w:eastAsia="Times New Roman" w:cs="Calibri"/>
                <w:sz w:val="20"/>
                <w:szCs w:val="20"/>
                <w:lang w:val="en-US"/>
              </w:rPr>
            </w:pPr>
            <w:r w:rsidRPr="00D20962">
              <w:rPr>
                <w:rFonts w:eastAsia="Times New Roman" w:cs="Calibri"/>
                <w:sz w:val="20"/>
                <w:szCs w:val="20"/>
                <w:lang w:val="en-US"/>
              </w:rPr>
              <w:t>**</w:t>
            </w:r>
          </w:p>
        </w:tc>
        <w:tc>
          <w:tcPr>
            <w:tcW w:w="1223" w:type="pct"/>
            <w:vAlign w:val="center"/>
          </w:tcPr>
          <w:p w:rsidR="00D20962" w:rsidRPr="00D20962" w:rsidRDefault="00D20962" w:rsidP="00D20962">
            <w:pPr>
              <w:spacing w:beforeLines="60" w:before="144" w:afterLines="60" w:after="144"/>
              <w:rPr>
                <w:rFonts w:eastAsia="Times New Roman" w:cs="Calibri"/>
                <w:sz w:val="20"/>
                <w:szCs w:val="20"/>
                <w:lang w:val="en-US"/>
              </w:rPr>
            </w:pPr>
            <w:r w:rsidRPr="00D20962">
              <w:rPr>
                <w:rFonts w:eastAsia="Times New Roman" w:cs="Calibri"/>
                <w:sz w:val="20"/>
                <w:szCs w:val="20"/>
                <w:lang w:val="en-US"/>
              </w:rPr>
              <w:t>MoEC and MoRA (with the support of the Eligible Entities and SSQ)</w:t>
            </w:r>
          </w:p>
        </w:tc>
      </w:tr>
      <w:tr w:rsidR="00D20962" w:rsidRPr="00D20962" w:rsidTr="00D20962">
        <w:trPr>
          <w:trHeight w:val="567"/>
        </w:trPr>
        <w:tc>
          <w:tcPr>
            <w:tcW w:w="1520" w:type="pct"/>
            <w:vMerge w:val="restart"/>
            <w:shd w:val="clear" w:color="auto" w:fill="FFFFFF" w:themeFill="background1"/>
            <w:vAlign w:val="center"/>
          </w:tcPr>
          <w:p w:rsidR="00D20962" w:rsidRPr="00D20962" w:rsidRDefault="00463740" w:rsidP="00463740">
            <w:pPr>
              <w:spacing w:beforeLines="60" w:before="144" w:afterLines="60" w:after="144"/>
              <w:rPr>
                <w:rFonts w:eastAsia="Times New Roman" w:cs="Calibri"/>
                <w:sz w:val="20"/>
                <w:szCs w:val="20"/>
                <w:lang w:val="en-US"/>
              </w:rPr>
            </w:pPr>
            <w:r w:rsidRPr="00463740">
              <w:rPr>
                <w:rFonts w:eastAsia="Times New Roman" w:cs="Calibri"/>
                <w:sz w:val="20"/>
                <w:szCs w:val="20"/>
                <w:lang w:val="en-US"/>
              </w:rPr>
              <w:t xml:space="preserve">The selection of UoLs as part of a “customized” training package </w:t>
            </w:r>
            <w:r>
              <w:rPr>
                <w:rFonts w:eastAsia="Times New Roman" w:cs="Calibri"/>
                <w:sz w:val="20"/>
                <w:szCs w:val="20"/>
                <w:lang w:val="en-US"/>
              </w:rPr>
              <w:t xml:space="preserve">targeting variable principal competencies </w:t>
            </w:r>
            <w:r w:rsidRPr="00463740">
              <w:rPr>
                <w:rFonts w:eastAsia="Times New Roman" w:cs="Calibri"/>
                <w:sz w:val="20"/>
                <w:szCs w:val="20"/>
                <w:lang w:val="en-US"/>
              </w:rPr>
              <w:t xml:space="preserve">is considered a key strength of ProDEP. The effectiveness of ProDEP will be improved in the future with more specific targeting of UoLs who will benefit from the development of the specific </w:t>
            </w:r>
            <w:r>
              <w:rPr>
                <w:rFonts w:eastAsia="Times New Roman" w:cs="Calibri"/>
                <w:sz w:val="20"/>
                <w:szCs w:val="20"/>
                <w:lang w:val="en-US"/>
              </w:rPr>
              <w:t xml:space="preserve">competencies that they require </w:t>
            </w:r>
            <w:r w:rsidR="00D20962" w:rsidRPr="00D20962">
              <w:rPr>
                <w:rFonts w:eastAsia="Times New Roman" w:cs="Calibri"/>
                <w:sz w:val="20"/>
                <w:szCs w:val="20"/>
                <w:lang w:val="en-AU"/>
              </w:rPr>
              <w:t>(see §3.4.3)</w:t>
            </w:r>
            <w:r w:rsidR="00D20962" w:rsidRPr="00D20962">
              <w:rPr>
                <w:rFonts w:asciiTheme="minorHAnsi" w:eastAsia="Times New Roman" w:hAnsiTheme="minorHAnsi" w:cs="Calibri"/>
                <w:sz w:val="20"/>
                <w:szCs w:val="20"/>
                <w:lang w:val="en-AU"/>
              </w:rPr>
              <w:t>.</w:t>
            </w:r>
          </w:p>
        </w:tc>
        <w:tc>
          <w:tcPr>
            <w:tcW w:w="1941" w:type="pct"/>
            <w:shd w:val="clear" w:color="auto" w:fill="FFFFFF" w:themeFill="background1"/>
            <w:vAlign w:val="center"/>
          </w:tcPr>
          <w:p w:rsidR="00D20962" w:rsidRPr="00D20962" w:rsidRDefault="00D20962" w:rsidP="00463740">
            <w:pPr>
              <w:spacing w:before="120" w:after="120"/>
              <w:ind w:left="459" w:hanging="450"/>
              <w:rPr>
                <w:rFonts w:eastAsia="Times New Roman" w:cs="Calibri"/>
                <w:lang w:val="en-US"/>
              </w:rPr>
            </w:pPr>
            <w:r w:rsidRPr="00D20962">
              <w:rPr>
                <w:rFonts w:eastAsia="Times New Roman" w:cs="Calibri"/>
                <w:sz w:val="20"/>
                <w:szCs w:val="20"/>
                <w:lang w:val="en-US"/>
              </w:rPr>
              <w:t>R9:</w:t>
            </w:r>
            <w:r w:rsidRPr="00D20962">
              <w:rPr>
                <w:rFonts w:eastAsia="Times New Roman" w:cs="Calibri"/>
                <w:sz w:val="20"/>
                <w:szCs w:val="20"/>
                <w:lang w:val="en-US"/>
              </w:rPr>
              <w:tab/>
            </w:r>
            <w:r w:rsidR="00463740">
              <w:rPr>
                <w:rFonts w:eastAsia="Times New Roman" w:cs="Calibri"/>
                <w:sz w:val="20"/>
                <w:szCs w:val="20"/>
                <w:lang w:val="en-US"/>
              </w:rPr>
              <w:t xml:space="preserve">A broad range of </w:t>
            </w:r>
            <w:r w:rsidRPr="00D20962">
              <w:rPr>
                <w:rFonts w:eastAsia="Times New Roman" w:cs="Calibri"/>
                <w:sz w:val="20"/>
                <w:szCs w:val="20"/>
                <w:lang w:val="en-US"/>
              </w:rPr>
              <w:t>UoLs that take</w:t>
            </w:r>
            <w:r w:rsidR="00463740">
              <w:rPr>
                <w:rFonts w:eastAsia="Times New Roman" w:cs="Calibri"/>
                <w:sz w:val="20"/>
                <w:szCs w:val="20"/>
                <w:lang w:val="en-US"/>
              </w:rPr>
              <w:t>s</w:t>
            </w:r>
            <w:r w:rsidRPr="00D20962">
              <w:rPr>
                <w:rFonts w:eastAsia="Times New Roman" w:cs="Calibri"/>
                <w:sz w:val="20"/>
                <w:szCs w:val="20"/>
                <w:lang w:val="en-US"/>
              </w:rPr>
              <w:t xml:space="preserve"> adequate account of the varie</w:t>
            </w:r>
            <w:r w:rsidR="00463740">
              <w:rPr>
                <w:rFonts w:eastAsia="Times New Roman" w:cs="Calibri"/>
                <w:sz w:val="20"/>
                <w:szCs w:val="20"/>
                <w:lang w:val="en-US"/>
              </w:rPr>
              <w:t xml:space="preserve">d competencies of principals </w:t>
            </w:r>
            <w:r w:rsidRPr="00D20962">
              <w:rPr>
                <w:rFonts w:eastAsia="Times New Roman" w:cs="Calibri"/>
                <w:sz w:val="20"/>
                <w:szCs w:val="20"/>
                <w:lang w:val="en-US"/>
              </w:rPr>
              <w:t xml:space="preserve">should be </w:t>
            </w:r>
            <w:r w:rsidR="00463740">
              <w:rPr>
                <w:rFonts w:eastAsia="Times New Roman" w:cs="Calibri"/>
                <w:sz w:val="20"/>
                <w:szCs w:val="20"/>
                <w:lang w:val="en-US"/>
              </w:rPr>
              <w:t>made available to principals.</w:t>
            </w:r>
            <w:r w:rsidRPr="00D20962">
              <w:rPr>
                <w:rFonts w:eastAsia="Times New Roman" w:cs="Calibri"/>
                <w:sz w:val="20"/>
                <w:szCs w:val="20"/>
                <w:lang w:val="en-US"/>
              </w:rPr>
              <w:t xml:space="preserve"> </w:t>
            </w:r>
          </w:p>
        </w:tc>
        <w:tc>
          <w:tcPr>
            <w:tcW w:w="316" w:type="pct"/>
            <w:shd w:val="clear" w:color="auto" w:fill="FFC000"/>
            <w:vAlign w:val="center"/>
          </w:tcPr>
          <w:p w:rsidR="00D20962" w:rsidRPr="00D20962" w:rsidRDefault="00D20962" w:rsidP="00D20962">
            <w:pPr>
              <w:spacing w:beforeLines="60" w:before="144" w:afterLines="60" w:after="144"/>
              <w:jc w:val="center"/>
              <w:rPr>
                <w:rFonts w:eastAsia="Times New Roman" w:cs="Calibri"/>
                <w:lang w:val="en-US"/>
              </w:rPr>
            </w:pPr>
            <w:r w:rsidRPr="00D20962">
              <w:rPr>
                <w:rFonts w:eastAsia="Times New Roman" w:cs="Calibri"/>
                <w:lang w:val="en-US"/>
              </w:rPr>
              <w:t>**</w:t>
            </w:r>
          </w:p>
        </w:tc>
        <w:tc>
          <w:tcPr>
            <w:tcW w:w="1223" w:type="pct"/>
            <w:vAlign w:val="center"/>
          </w:tcPr>
          <w:p w:rsidR="00D20962" w:rsidRPr="00D20962" w:rsidRDefault="00D20962" w:rsidP="00D20962">
            <w:pPr>
              <w:spacing w:beforeLines="60" w:before="144" w:afterLines="60" w:after="144"/>
              <w:rPr>
                <w:rFonts w:eastAsia="Times New Roman" w:cs="Calibri"/>
                <w:lang w:val="en-US"/>
              </w:rPr>
            </w:pPr>
            <w:r w:rsidRPr="00D20962">
              <w:rPr>
                <w:rFonts w:eastAsia="Times New Roman" w:cs="Calibri"/>
                <w:sz w:val="20"/>
                <w:szCs w:val="20"/>
                <w:lang w:val="en-US"/>
              </w:rPr>
              <w:t>MoEC and MoRA (with SSQ support)</w:t>
            </w:r>
          </w:p>
        </w:tc>
      </w:tr>
      <w:tr w:rsidR="00D20962" w:rsidRPr="00D20962" w:rsidTr="00D20962">
        <w:trPr>
          <w:trHeight w:val="567"/>
        </w:trPr>
        <w:tc>
          <w:tcPr>
            <w:tcW w:w="1520" w:type="pct"/>
            <w:vMerge/>
            <w:shd w:val="clear" w:color="auto" w:fill="FFFFFF" w:themeFill="background1"/>
            <w:vAlign w:val="center"/>
          </w:tcPr>
          <w:p w:rsidR="00D20962" w:rsidRPr="00D20962" w:rsidRDefault="00D20962" w:rsidP="00D20962">
            <w:pPr>
              <w:spacing w:beforeLines="60" w:before="144" w:afterLines="60" w:after="144"/>
              <w:rPr>
                <w:rFonts w:eastAsia="Times New Roman" w:cs="Calibri"/>
                <w:sz w:val="20"/>
                <w:szCs w:val="20"/>
                <w:lang w:val="en-US"/>
              </w:rPr>
            </w:pPr>
          </w:p>
        </w:tc>
        <w:tc>
          <w:tcPr>
            <w:tcW w:w="1941" w:type="pct"/>
            <w:shd w:val="clear" w:color="auto" w:fill="FFFFFF" w:themeFill="background1"/>
            <w:vAlign w:val="center"/>
          </w:tcPr>
          <w:p w:rsidR="00D20962" w:rsidRPr="00D20962" w:rsidRDefault="00D20962" w:rsidP="00D20962">
            <w:pPr>
              <w:spacing w:before="120" w:after="120"/>
              <w:ind w:left="459" w:hanging="450"/>
              <w:rPr>
                <w:rFonts w:eastAsia="Times New Roman" w:cs="Calibri"/>
                <w:sz w:val="20"/>
                <w:szCs w:val="20"/>
                <w:lang w:val="en-US"/>
              </w:rPr>
            </w:pPr>
            <w:r w:rsidRPr="00D20962">
              <w:rPr>
                <w:rFonts w:eastAsia="Times New Roman" w:cs="Calibri"/>
                <w:sz w:val="20"/>
                <w:szCs w:val="20"/>
                <w:lang w:val="en-US"/>
              </w:rPr>
              <w:t>R10:</w:t>
            </w:r>
            <w:r w:rsidRPr="00D20962">
              <w:rPr>
                <w:rFonts w:eastAsia="Times New Roman" w:cs="Calibri"/>
                <w:sz w:val="20"/>
                <w:szCs w:val="20"/>
                <w:lang w:val="en-US"/>
              </w:rPr>
              <w:tab/>
              <w:t>To increase impact, small schools/madrasah in rural areas should be prioritised during the selection of supervisors and principals (schools).</w:t>
            </w:r>
          </w:p>
        </w:tc>
        <w:tc>
          <w:tcPr>
            <w:tcW w:w="316" w:type="pct"/>
            <w:shd w:val="clear" w:color="auto" w:fill="FFC000"/>
            <w:vAlign w:val="center"/>
          </w:tcPr>
          <w:p w:rsidR="00D20962" w:rsidRPr="00D20962" w:rsidRDefault="00D20962" w:rsidP="00D20962">
            <w:pPr>
              <w:spacing w:beforeLines="60" w:before="144" w:afterLines="60" w:after="144"/>
              <w:jc w:val="center"/>
              <w:rPr>
                <w:rFonts w:eastAsia="Times New Roman" w:cs="Calibri"/>
                <w:lang w:val="en-US"/>
              </w:rPr>
            </w:pPr>
            <w:r w:rsidRPr="00D20962">
              <w:rPr>
                <w:rFonts w:eastAsia="Times New Roman" w:cs="Calibri"/>
                <w:lang w:val="en-US"/>
              </w:rPr>
              <w:t>**</w:t>
            </w:r>
          </w:p>
        </w:tc>
        <w:tc>
          <w:tcPr>
            <w:tcW w:w="1223" w:type="pct"/>
            <w:vAlign w:val="center"/>
          </w:tcPr>
          <w:p w:rsidR="00D20962" w:rsidRPr="00D20962" w:rsidRDefault="00D20962" w:rsidP="00D20962">
            <w:pPr>
              <w:spacing w:beforeLines="60" w:before="144" w:afterLines="60" w:after="144"/>
              <w:rPr>
                <w:rFonts w:eastAsia="Times New Roman" w:cs="Calibri"/>
                <w:sz w:val="20"/>
                <w:szCs w:val="20"/>
                <w:lang w:val="en-US"/>
              </w:rPr>
            </w:pPr>
            <w:r w:rsidRPr="00D20962">
              <w:rPr>
                <w:rFonts w:eastAsia="Times New Roman" w:cs="Calibri"/>
                <w:sz w:val="20"/>
                <w:szCs w:val="20"/>
                <w:lang w:val="en-US"/>
              </w:rPr>
              <w:t xml:space="preserve">Eligible Entities (with guidance from MoEC/MoRA and SSQ support as appropriate) </w:t>
            </w:r>
          </w:p>
        </w:tc>
      </w:tr>
      <w:tr w:rsidR="00D20962" w:rsidRPr="00D20962" w:rsidTr="00D20962">
        <w:trPr>
          <w:trHeight w:val="567"/>
        </w:trPr>
        <w:tc>
          <w:tcPr>
            <w:tcW w:w="1520" w:type="pct"/>
            <w:tcBorders>
              <w:bottom w:val="single" w:sz="4" w:space="0" w:color="auto"/>
            </w:tcBorders>
            <w:shd w:val="clear" w:color="auto" w:fill="FFFFFF" w:themeFill="background1"/>
            <w:vAlign w:val="center"/>
          </w:tcPr>
          <w:p w:rsidR="00D20962" w:rsidRPr="00D20962" w:rsidRDefault="00D20962" w:rsidP="00D20962">
            <w:pPr>
              <w:spacing w:beforeLines="60" w:before="144" w:afterLines="60" w:after="144"/>
              <w:rPr>
                <w:rFonts w:eastAsia="Times New Roman" w:cs="Calibri"/>
                <w:bCs/>
                <w:iCs/>
                <w:sz w:val="20"/>
                <w:szCs w:val="20"/>
                <w:lang w:val="en-US"/>
              </w:rPr>
            </w:pPr>
            <w:r w:rsidRPr="00D20962">
              <w:rPr>
                <w:rFonts w:eastAsia="Times New Roman" w:cs="Calibri"/>
                <w:bCs/>
                <w:iCs/>
                <w:sz w:val="20"/>
                <w:szCs w:val="20"/>
                <w:lang w:val="en-US"/>
              </w:rPr>
              <w:t xml:space="preserve">A lack of sufficient clarity about who will fulfil the quality assurance functions for ProDEP after EP completion </w:t>
            </w:r>
            <w:r w:rsidRPr="00D20962">
              <w:rPr>
                <w:rFonts w:eastAsia="Times New Roman" w:cs="Calibri"/>
                <w:sz w:val="20"/>
                <w:szCs w:val="20"/>
                <w:lang w:val="en-AU"/>
              </w:rPr>
              <w:t>(see §3.4.5)</w:t>
            </w:r>
            <w:r w:rsidRPr="00D20962">
              <w:rPr>
                <w:rFonts w:asciiTheme="minorHAnsi" w:eastAsia="Times New Roman" w:hAnsiTheme="minorHAnsi" w:cs="Calibri"/>
                <w:sz w:val="20"/>
                <w:szCs w:val="20"/>
                <w:lang w:val="en-AU"/>
              </w:rPr>
              <w:t>.</w:t>
            </w:r>
          </w:p>
        </w:tc>
        <w:tc>
          <w:tcPr>
            <w:tcW w:w="1941" w:type="pct"/>
            <w:tcBorders>
              <w:bottom w:val="single" w:sz="4" w:space="0" w:color="auto"/>
            </w:tcBorders>
            <w:shd w:val="clear" w:color="auto" w:fill="FFFFFF" w:themeFill="background1"/>
            <w:vAlign w:val="center"/>
          </w:tcPr>
          <w:p w:rsidR="00D20962" w:rsidRPr="00D20962" w:rsidRDefault="00D20962" w:rsidP="00D20962">
            <w:pPr>
              <w:spacing w:before="120" w:after="120"/>
              <w:ind w:left="459" w:hanging="450"/>
              <w:rPr>
                <w:rFonts w:eastAsia="Times New Roman" w:cs="Calibri"/>
                <w:sz w:val="20"/>
                <w:szCs w:val="20"/>
                <w:lang w:val="en-US"/>
              </w:rPr>
            </w:pPr>
            <w:r w:rsidRPr="00D20962">
              <w:rPr>
                <w:rFonts w:eastAsia="Times New Roman" w:cs="Calibri"/>
                <w:sz w:val="20"/>
                <w:szCs w:val="20"/>
                <w:lang w:val="en-US"/>
              </w:rPr>
              <w:t>R11:</w:t>
            </w:r>
            <w:r w:rsidRPr="00D20962">
              <w:rPr>
                <w:rFonts w:eastAsia="Times New Roman" w:cs="Calibri"/>
                <w:sz w:val="20"/>
                <w:szCs w:val="20"/>
                <w:lang w:val="en-US"/>
              </w:rPr>
              <w:tab/>
              <w:t xml:space="preserve"> Responsibility for the </w:t>
            </w:r>
            <w:r w:rsidRPr="00D20962">
              <w:rPr>
                <w:rFonts w:eastAsia="Times New Roman" w:cs="Calibri"/>
                <w:bCs/>
                <w:iCs/>
                <w:sz w:val="20"/>
                <w:szCs w:val="20"/>
                <w:lang w:val="en-AU"/>
              </w:rPr>
              <w:t xml:space="preserve">design, delivery modalities and quality assurance </w:t>
            </w:r>
            <w:r w:rsidRPr="00D20962">
              <w:rPr>
                <w:rFonts w:eastAsia="Times New Roman" w:cs="Calibri"/>
                <w:sz w:val="20"/>
                <w:szCs w:val="20"/>
                <w:lang w:val="en-US"/>
              </w:rPr>
              <w:t>functions for ProDEP</w:t>
            </w:r>
            <w:r w:rsidRPr="00D20962">
              <w:rPr>
                <w:rFonts w:eastAsia="Times New Roman" w:cs="Calibri"/>
                <w:bCs/>
                <w:iCs/>
                <w:sz w:val="20"/>
                <w:szCs w:val="20"/>
                <w:lang w:val="en-AU"/>
              </w:rPr>
              <w:t xml:space="preserve"> should be transitioned from C2 to an appropriate entity appointed by Badan. </w:t>
            </w:r>
          </w:p>
        </w:tc>
        <w:tc>
          <w:tcPr>
            <w:tcW w:w="316" w:type="pct"/>
            <w:tcBorders>
              <w:bottom w:val="single" w:sz="4" w:space="0" w:color="auto"/>
            </w:tcBorders>
            <w:shd w:val="clear" w:color="auto" w:fill="FFC000"/>
            <w:vAlign w:val="center"/>
          </w:tcPr>
          <w:p w:rsidR="00D20962" w:rsidRPr="00D20962" w:rsidRDefault="00D20962" w:rsidP="00D20962">
            <w:pPr>
              <w:spacing w:beforeLines="60" w:before="144" w:afterLines="60" w:after="144"/>
              <w:jc w:val="center"/>
              <w:rPr>
                <w:rFonts w:eastAsia="Times New Roman" w:cs="Calibri"/>
                <w:lang w:val="en-US"/>
              </w:rPr>
            </w:pPr>
            <w:r w:rsidRPr="00D20962">
              <w:rPr>
                <w:rFonts w:eastAsia="Times New Roman" w:cs="Calibri"/>
                <w:lang w:val="en-US"/>
              </w:rPr>
              <w:t>**</w:t>
            </w:r>
          </w:p>
        </w:tc>
        <w:tc>
          <w:tcPr>
            <w:tcW w:w="1223" w:type="pct"/>
            <w:vAlign w:val="center"/>
          </w:tcPr>
          <w:p w:rsidR="00D20962" w:rsidRPr="00D20962" w:rsidRDefault="00D20962" w:rsidP="00D20962">
            <w:pPr>
              <w:spacing w:beforeLines="60" w:before="144" w:afterLines="60" w:after="144"/>
              <w:rPr>
                <w:rFonts w:eastAsia="Times New Roman" w:cs="Calibri"/>
                <w:sz w:val="20"/>
                <w:szCs w:val="20"/>
                <w:lang w:val="en-US"/>
              </w:rPr>
            </w:pPr>
            <w:r w:rsidRPr="00D20962">
              <w:rPr>
                <w:rFonts w:eastAsia="Times New Roman" w:cs="Calibri"/>
                <w:sz w:val="20"/>
                <w:szCs w:val="20"/>
                <w:lang w:val="en-US"/>
              </w:rPr>
              <w:t xml:space="preserve">MoEC </w:t>
            </w:r>
          </w:p>
        </w:tc>
      </w:tr>
    </w:tbl>
    <w:p w:rsidR="00D20962" w:rsidRPr="00D20962" w:rsidRDefault="00D20962" w:rsidP="00D20962">
      <w:pPr>
        <w:jc w:val="both"/>
        <w:rPr>
          <w:i/>
        </w:rPr>
      </w:pPr>
    </w:p>
    <w:p w:rsidR="00DC41F6" w:rsidRPr="00851EC7" w:rsidRDefault="00D20962" w:rsidP="00D20962">
      <w:pPr>
        <w:jc w:val="both"/>
        <w:rPr>
          <w:bCs/>
          <w:iCs/>
          <w:lang w:val="en-AU"/>
        </w:rPr>
      </w:pPr>
      <w:r w:rsidRPr="00D20962">
        <w:rPr>
          <w:i/>
        </w:rPr>
        <w:t>NB: Red (***) - high urgency; orange (**) - medium urgency; green (*) - low urgency</w:t>
      </w:r>
      <w:r w:rsidR="00DC41F6" w:rsidRPr="00851EC7">
        <w:rPr>
          <w:bCs/>
          <w:iCs/>
          <w:lang w:val="en-AU"/>
        </w:rPr>
        <w:br w:type="page"/>
      </w:r>
    </w:p>
    <w:p w:rsidR="00F6127C" w:rsidRPr="00851EC7" w:rsidRDefault="00F6127C" w:rsidP="00F6127C">
      <w:pPr>
        <w:spacing w:line="276" w:lineRule="auto"/>
        <w:jc w:val="both"/>
        <w:rPr>
          <w:lang w:val="en-AU"/>
        </w:rPr>
        <w:sectPr w:rsidR="00F6127C" w:rsidRPr="00851EC7" w:rsidSect="00A943BB">
          <w:pgSz w:w="16834" w:h="11909" w:orient="landscape" w:code="9"/>
          <w:pgMar w:top="1440" w:right="1440" w:bottom="1440" w:left="1440" w:header="432" w:footer="720" w:gutter="0"/>
          <w:cols w:space="720"/>
          <w:noEndnote/>
          <w:docGrid w:linePitch="360"/>
        </w:sectPr>
      </w:pPr>
    </w:p>
    <w:p w:rsidR="00D20962" w:rsidRPr="00D20962" w:rsidRDefault="00D20962" w:rsidP="00D20962">
      <w:pPr>
        <w:keepNext/>
        <w:numPr>
          <w:ilvl w:val="0"/>
          <w:numId w:val="7"/>
        </w:numPr>
        <w:spacing w:before="120" w:after="120"/>
        <w:ind w:hanging="720"/>
        <w:outlineLvl w:val="0"/>
        <w:rPr>
          <w:rFonts w:asciiTheme="minorHAnsi" w:hAnsiTheme="minorHAnsi" w:cstheme="minorHAnsi"/>
          <w:b/>
          <w:bCs/>
          <w:color w:val="003880"/>
          <w:kern w:val="32"/>
          <w:sz w:val="28"/>
          <w:szCs w:val="28"/>
          <w:lang w:val="en-AU"/>
        </w:rPr>
      </w:pPr>
      <w:bookmarkStart w:id="36" w:name="_Toc407779883"/>
      <w:r w:rsidRPr="00D20962">
        <w:rPr>
          <w:rFonts w:asciiTheme="minorHAnsi" w:hAnsiTheme="minorHAnsi" w:cstheme="minorHAnsi"/>
          <w:b/>
          <w:bCs/>
          <w:color w:val="003880"/>
          <w:kern w:val="32"/>
          <w:sz w:val="28"/>
          <w:szCs w:val="28"/>
          <w:lang w:val="en-AU"/>
        </w:rPr>
        <w:lastRenderedPageBreak/>
        <w:t>Component 3: Islamic School Accreditation</w:t>
      </w:r>
      <w:bookmarkEnd w:id="36"/>
    </w:p>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 xml:space="preserve">An introduction </w:t>
      </w:r>
    </w:p>
    <w:p w:rsidR="00D20962" w:rsidRPr="00D20962" w:rsidRDefault="00D20962" w:rsidP="00D20962">
      <w:pPr>
        <w:keepNext/>
        <w:numPr>
          <w:ilvl w:val="2"/>
          <w:numId w:val="7"/>
        </w:numPr>
        <w:spacing w:before="120" w:after="120"/>
        <w:ind w:left="709" w:hanging="709"/>
        <w:outlineLvl w:val="2"/>
        <w:rPr>
          <w:bCs/>
          <w:color w:val="003880"/>
          <w:sz w:val="24"/>
          <w:szCs w:val="28"/>
          <w:lang w:val="en-AU"/>
        </w:rPr>
      </w:pPr>
      <w:r w:rsidRPr="00D20962">
        <w:rPr>
          <w:bCs/>
          <w:color w:val="003880"/>
          <w:sz w:val="24"/>
          <w:szCs w:val="28"/>
          <w:lang w:val="en-AU"/>
        </w:rPr>
        <w:t xml:space="preserve">The EP investment </w:t>
      </w:r>
    </w:p>
    <w:p w:rsidR="00D20962" w:rsidRPr="00D20962" w:rsidRDefault="00D20962" w:rsidP="00D20962">
      <w:pPr>
        <w:spacing w:before="120" w:after="120" w:line="276" w:lineRule="auto"/>
        <w:jc w:val="both"/>
        <w:outlineLvl w:val="1"/>
        <w:rPr>
          <w:rFonts w:asciiTheme="minorHAnsi" w:hAnsiTheme="minorHAnsi" w:cstheme="minorHAnsi"/>
          <w:lang w:val="en-AU"/>
        </w:rPr>
      </w:pPr>
      <w:r w:rsidRPr="00D20962">
        <w:rPr>
          <w:rFonts w:asciiTheme="minorHAnsi" w:hAnsiTheme="minorHAnsi" w:cstheme="minorHAnsi"/>
          <w:lang w:val="en-AU"/>
        </w:rPr>
        <w:t>Component 3 (C3) of the EP seeks to improve the quality of madrasah service provision in line with National Education Standards (NES) in t</w:t>
      </w:r>
      <w:r w:rsidR="009E4D89">
        <w:rPr>
          <w:rFonts w:asciiTheme="minorHAnsi" w:hAnsiTheme="minorHAnsi" w:cstheme="minorHAnsi"/>
          <w:lang w:val="en-AU"/>
        </w:rPr>
        <w:t>argeted districts (see Figure 3</w:t>
      </w:r>
      <w:r w:rsidRPr="00D20962">
        <w:rPr>
          <w:rFonts w:asciiTheme="minorHAnsi" w:hAnsiTheme="minorHAnsi" w:cstheme="minorHAnsi"/>
          <w:lang w:val="en-AU"/>
        </w:rPr>
        <w:t xml:space="preserve">). Specifically, Component 3 was designed to support the Ministry of Religious Affairs (MoRA) to achieve one of its </w:t>
      </w:r>
      <w:r w:rsidRPr="00D20962">
        <w:rPr>
          <w:rFonts w:asciiTheme="minorHAnsi" w:hAnsiTheme="minorHAnsi" w:cstheme="minorHAnsi"/>
          <w:i/>
          <w:lang w:val="en-AU"/>
        </w:rPr>
        <w:t>Renstra</w:t>
      </w:r>
      <w:r w:rsidRPr="00D20962">
        <w:rPr>
          <w:rFonts w:asciiTheme="minorHAnsi" w:hAnsiTheme="minorHAnsi" w:cstheme="minorHAnsi"/>
          <w:lang w:val="en-AU"/>
        </w:rPr>
        <w:t xml:space="preserve"> targets: that all madrasah are accredited against the NES, with a minimum of 50% at Level ‘B’, by the end of the 2014-2015 academic year. In turn, the EP is expected to contribute to improvements in the quality of madrasah education services.</w:t>
      </w:r>
    </w:p>
    <w:p w:rsidR="00D20962" w:rsidRPr="00D20962" w:rsidRDefault="00D20962" w:rsidP="00D20962">
      <w:pPr>
        <w:keepNext/>
        <w:spacing w:before="120" w:after="120"/>
        <w:ind w:left="86" w:right="43"/>
        <w:jc w:val="center"/>
        <w:rPr>
          <w:b/>
          <w:lang w:val="en-AU"/>
        </w:rPr>
      </w:pPr>
      <w:bookmarkStart w:id="37" w:name="_Toc412534763"/>
      <w:r w:rsidRPr="00D20962">
        <w:rPr>
          <w:b/>
          <w:lang w:val="en-GB"/>
        </w:rPr>
        <w:t xml:space="preserve">Figure </w:t>
      </w:r>
      <w:r w:rsidRPr="00D20962">
        <w:rPr>
          <w:b/>
          <w:lang w:val="en-GB"/>
        </w:rPr>
        <w:fldChar w:fldCharType="begin"/>
      </w:r>
      <w:r w:rsidRPr="00D20962">
        <w:rPr>
          <w:b/>
          <w:lang w:val="en-GB"/>
        </w:rPr>
        <w:instrText xml:space="preserve"> SEQ Figure \* ARABIC </w:instrText>
      </w:r>
      <w:r w:rsidRPr="00D20962">
        <w:rPr>
          <w:b/>
          <w:lang w:val="en-GB"/>
        </w:rPr>
        <w:fldChar w:fldCharType="separate"/>
      </w:r>
      <w:r w:rsidR="004A0A8F">
        <w:rPr>
          <w:b/>
          <w:noProof/>
          <w:lang w:val="en-GB"/>
        </w:rPr>
        <w:t>3</w:t>
      </w:r>
      <w:r w:rsidRPr="00D20962">
        <w:rPr>
          <w:b/>
          <w:lang w:val="en-GB"/>
        </w:rPr>
        <w:fldChar w:fldCharType="end"/>
      </w:r>
      <w:r w:rsidRPr="00D20962">
        <w:rPr>
          <w:b/>
          <w:lang w:val="en-AU"/>
        </w:rPr>
        <w:t>: C3 logic architecture</w:t>
      </w:r>
      <w:bookmarkEnd w:id="37"/>
    </w:p>
    <w:p w:rsidR="00D20962" w:rsidRPr="00D20962" w:rsidRDefault="00D20962" w:rsidP="00D20962">
      <w:pPr>
        <w:spacing w:before="120" w:after="120" w:line="276" w:lineRule="auto"/>
        <w:jc w:val="center"/>
        <w:rPr>
          <w:rFonts w:asciiTheme="minorHAnsi" w:hAnsiTheme="minorHAnsi" w:cstheme="minorHAnsi"/>
          <w:bCs/>
          <w:iCs/>
          <w:lang w:val="en-AU"/>
        </w:rPr>
      </w:pPr>
      <w:r w:rsidRPr="00D20962">
        <w:rPr>
          <w:bCs/>
          <w:noProof/>
          <w:lang w:val="en-AU" w:eastAsia="en-AU"/>
        </w:rPr>
        <w:drawing>
          <wp:inline distT="0" distB="0" distL="0" distR="0" wp14:anchorId="15A9AA67" wp14:editId="28FAE38C">
            <wp:extent cx="3079136" cy="2622430"/>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8841" cy="2622179"/>
                    </a:xfrm>
                    <a:prstGeom prst="rect">
                      <a:avLst/>
                    </a:prstGeom>
                    <a:noFill/>
                  </pic:spPr>
                </pic:pic>
              </a:graphicData>
            </a:graphic>
          </wp:inline>
        </w:drawing>
      </w:r>
    </w:p>
    <w:p w:rsidR="00D20962" w:rsidRPr="00D20962" w:rsidRDefault="00D20962" w:rsidP="00D20962">
      <w:pPr>
        <w:spacing w:before="120" w:after="120" w:line="276" w:lineRule="auto"/>
        <w:jc w:val="both"/>
        <w:rPr>
          <w:rFonts w:asciiTheme="minorHAnsi" w:hAnsiTheme="minorHAnsi" w:cstheme="minorHAnsi"/>
          <w:bCs/>
          <w:iCs/>
          <w:lang w:val="en-AU"/>
        </w:rPr>
      </w:pPr>
    </w:p>
    <w:p w:rsidR="00D20962" w:rsidRPr="00D20962" w:rsidRDefault="00D20962" w:rsidP="00D20962">
      <w:pPr>
        <w:spacing w:before="120" w:after="120" w:line="276" w:lineRule="auto"/>
        <w:jc w:val="both"/>
        <w:rPr>
          <w:rFonts w:asciiTheme="minorHAnsi" w:hAnsiTheme="minorHAnsi" w:cstheme="minorHAnsi"/>
          <w:bCs/>
          <w:iCs/>
          <w:lang w:val="en-AU"/>
        </w:rPr>
      </w:pPr>
      <w:r w:rsidRPr="00D20962">
        <w:rPr>
          <w:rFonts w:asciiTheme="minorHAnsi" w:hAnsiTheme="minorHAnsi" w:cstheme="minorHAnsi"/>
          <w:bCs/>
          <w:iCs/>
          <w:lang w:val="en-AU"/>
        </w:rPr>
        <w:t>The EP investment is deemed to be important for a number of reasons:</w:t>
      </w:r>
    </w:p>
    <w:p w:rsidR="00D20962" w:rsidRPr="00D20962" w:rsidRDefault="00D20962" w:rsidP="00D20962">
      <w:pPr>
        <w:numPr>
          <w:ilvl w:val="0"/>
          <w:numId w:val="11"/>
        </w:numPr>
        <w:spacing w:before="120" w:after="120" w:line="276" w:lineRule="auto"/>
        <w:contextualSpacing/>
        <w:jc w:val="both"/>
        <w:rPr>
          <w:rFonts w:asciiTheme="minorHAnsi" w:eastAsia="Calibri" w:hAnsiTheme="minorHAnsi" w:cstheme="minorHAnsi"/>
          <w:bCs/>
          <w:iCs/>
          <w:lang w:val="en-AU"/>
        </w:rPr>
      </w:pPr>
      <w:r w:rsidRPr="00D20962">
        <w:rPr>
          <w:rFonts w:asciiTheme="minorHAnsi" w:eastAsia="Calibri" w:hAnsiTheme="minorHAnsi" w:cstheme="minorHAnsi"/>
          <w:bCs/>
          <w:iCs/>
          <w:lang w:val="en-AU"/>
        </w:rPr>
        <w:t>Madrasah provide education services to about 14% of the primary and junior secondary school age population</w:t>
      </w:r>
      <w:r w:rsidRPr="00D20962">
        <w:rPr>
          <w:rFonts w:ascii="Times New Roman" w:eastAsia="Calibri" w:hAnsi="Times New Roman" w:cstheme="minorHAnsi"/>
          <w:bCs/>
          <w:iCs/>
          <w:vertAlign w:val="superscript"/>
          <w:lang w:val="en-AU"/>
        </w:rPr>
        <w:footnoteReference w:id="33"/>
      </w:r>
      <w:r w:rsidRPr="00D20962">
        <w:rPr>
          <w:rFonts w:asciiTheme="minorHAnsi" w:eastAsia="Calibri" w:hAnsiTheme="minorHAnsi" w:cstheme="minorHAnsi"/>
          <w:bCs/>
          <w:iCs/>
          <w:lang w:val="en-AU"/>
        </w:rPr>
        <w:t>. They are also one of the main providers of education in less advantaged communities.</w:t>
      </w:r>
    </w:p>
    <w:p w:rsidR="00D20962" w:rsidRPr="00D20962" w:rsidRDefault="00D20962" w:rsidP="00D20962">
      <w:pPr>
        <w:numPr>
          <w:ilvl w:val="0"/>
          <w:numId w:val="11"/>
        </w:numPr>
        <w:spacing w:before="120" w:after="120" w:line="276" w:lineRule="auto"/>
        <w:contextualSpacing/>
        <w:jc w:val="both"/>
        <w:rPr>
          <w:rFonts w:asciiTheme="minorHAnsi" w:eastAsia="Calibri" w:hAnsiTheme="minorHAnsi" w:cstheme="minorHAnsi"/>
          <w:bCs/>
          <w:iCs/>
          <w:lang w:val="en-AU"/>
        </w:rPr>
      </w:pPr>
      <w:r w:rsidRPr="00D20962">
        <w:rPr>
          <w:rFonts w:asciiTheme="minorHAnsi" w:eastAsia="Calibri" w:hAnsiTheme="minorHAnsi" w:cstheme="minorHAnsi"/>
          <w:bCs/>
          <w:iCs/>
          <w:lang w:val="en-AU"/>
        </w:rPr>
        <w:t>There are an estimated 38,315 madrasah (MIs and MTs), of which 92% are private</w:t>
      </w:r>
      <w:r w:rsidRPr="00D20962">
        <w:rPr>
          <w:rFonts w:asciiTheme="minorHAnsi" w:eastAsia="Calibri" w:hAnsiTheme="minorHAnsi" w:cstheme="minorHAnsi"/>
          <w:bCs/>
          <w:iCs/>
          <w:vertAlign w:val="superscript"/>
          <w:lang w:val="en-AU"/>
        </w:rPr>
        <w:endnoteReference w:id="62"/>
      </w:r>
      <w:r w:rsidRPr="00D20962">
        <w:rPr>
          <w:rFonts w:asciiTheme="minorHAnsi" w:eastAsia="Calibri" w:hAnsiTheme="minorHAnsi" w:cstheme="minorHAnsi"/>
          <w:bCs/>
          <w:iCs/>
          <w:lang w:val="en-AU"/>
        </w:rPr>
        <w:t xml:space="preserve">. </w:t>
      </w:r>
    </w:p>
    <w:p w:rsidR="00D20962" w:rsidRPr="00D20962" w:rsidRDefault="00D20962" w:rsidP="00D20962">
      <w:pPr>
        <w:numPr>
          <w:ilvl w:val="0"/>
          <w:numId w:val="11"/>
        </w:numPr>
        <w:spacing w:before="120" w:after="120" w:line="276" w:lineRule="auto"/>
        <w:contextualSpacing/>
        <w:jc w:val="both"/>
        <w:rPr>
          <w:rFonts w:asciiTheme="minorHAnsi" w:eastAsia="Calibri" w:hAnsiTheme="minorHAnsi" w:cstheme="minorHAnsi"/>
          <w:bCs/>
          <w:iCs/>
          <w:lang w:val="en-AU"/>
        </w:rPr>
      </w:pPr>
      <w:r w:rsidRPr="00D20962">
        <w:rPr>
          <w:rFonts w:asciiTheme="minorHAnsi" w:eastAsia="Calibri" w:hAnsiTheme="minorHAnsi" w:cstheme="minorHAnsi"/>
          <w:bCs/>
          <w:iCs/>
          <w:lang w:val="en-AU"/>
        </w:rPr>
        <w:t>There are significant disparities in the quality of education between public schools/madrasah and private madrasah</w:t>
      </w:r>
      <w:r w:rsidRPr="00D20962">
        <w:rPr>
          <w:rFonts w:asciiTheme="minorHAnsi" w:eastAsia="Calibri" w:hAnsiTheme="minorHAnsi" w:cstheme="minorHAnsi"/>
          <w:bCs/>
          <w:iCs/>
          <w:vertAlign w:val="superscript"/>
          <w:lang w:val="en-AU"/>
        </w:rPr>
        <w:endnoteReference w:id="63"/>
      </w:r>
      <w:r w:rsidRPr="00D20962">
        <w:rPr>
          <w:rFonts w:asciiTheme="minorHAnsi" w:eastAsia="Calibri" w:hAnsiTheme="minorHAnsi" w:cstheme="minorHAnsi"/>
          <w:bCs/>
          <w:iCs/>
          <w:lang w:val="en-AU"/>
        </w:rPr>
        <w:t>.</w:t>
      </w:r>
    </w:p>
    <w:p w:rsidR="00D20962" w:rsidRPr="00D20962" w:rsidRDefault="00D20962" w:rsidP="00D20962">
      <w:pPr>
        <w:numPr>
          <w:ilvl w:val="0"/>
          <w:numId w:val="11"/>
        </w:numPr>
        <w:spacing w:before="120" w:after="120" w:line="276" w:lineRule="auto"/>
        <w:contextualSpacing/>
        <w:jc w:val="both"/>
        <w:rPr>
          <w:rFonts w:asciiTheme="minorHAnsi" w:eastAsia="Calibri" w:hAnsiTheme="minorHAnsi" w:cstheme="minorHAnsi"/>
          <w:bCs/>
          <w:iCs/>
          <w:lang w:val="en-AU"/>
        </w:rPr>
      </w:pPr>
      <w:r w:rsidRPr="00D20962">
        <w:rPr>
          <w:rFonts w:asciiTheme="minorHAnsi" w:eastAsia="Calibri" w:hAnsiTheme="minorHAnsi" w:cstheme="minorHAnsi"/>
          <w:bCs/>
          <w:iCs/>
          <w:lang w:val="en-AU"/>
        </w:rPr>
        <w:t xml:space="preserve">Approximately 72% of private madrasah were not accredited at the time </w:t>
      </w:r>
      <w:r w:rsidRPr="00940C3D">
        <w:rPr>
          <w:rFonts w:asciiTheme="minorHAnsi" w:eastAsia="Calibri" w:hAnsiTheme="minorHAnsi" w:cstheme="minorHAnsi"/>
          <w:bCs/>
          <w:iCs/>
          <w:lang w:val="en-AU"/>
        </w:rPr>
        <w:t>of the EP design</w:t>
      </w:r>
      <w:r w:rsidRPr="00940C3D">
        <w:rPr>
          <w:rFonts w:ascii="Times New Roman" w:eastAsia="Calibri" w:hAnsi="Times New Roman" w:cstheme="minorHAnsi"/>
          <w:bCs/>
          <w:iCs/>
          <w:vertAlign w:val="superscript"/>
          <w:lang w:val="en-AU"/>
        </w:rPr>
        <w:footnoteReference w:id="34"/>
      </w:r>
      <w:r w:rsidRPr="00940C3D">
        <w:rPr>
          <w:rFonts w:asciiTheme="minorHAnsi" w:eastAsia="Calibri" w:hAnsiTheme="minorHAnsi" w:cstheme="minorHAnsi"/>
          <w:bCs/>
          <w:iCs/>
          <w:lang w:val="en-AU"/>
        </w:rPr>
        <w:t>.</w:t>
      </w:r>
      <w:r w:rsidRPr="00D20962">
        <w:rPr>
          <w:rFonts w:asciiTheme="minorHAnsi" w:eastAsia="Calibri" w:hAnsiTheme="minorHAnsi" w:cstheme="minorHAnsi"/>
          <w:bCs/>
          <w:iCs/>
          <w:lang w:val="en-AU"/>
        </w:rPr>
        <w:t xml:space="preserve"> As of 2013, due to a range of contributing factors</w:t>
      </w:r>
      <w:r w:rsidRPr="00D20962">
        <w:rPr>
          <w:rFonts w:ascii="Times New Roman" w:eastAsia="Calibri" w:hAnsi="Times New Roman" w:cstheme="minorHAnsi"/>
          <w:bCs/>
          <w:iCs/>
          <w:vertAlign w:val="superscript"/>
          <w:lang w:val="en-AU"/>
        </w:rPr>
        <w:footnoteReference w:id="35"/>
      </w:r>
      <w:r w:rsidRPr="00D20962">
        <w:rPr>
          <w:rFonts w:asciiTheme="minorHAnsi" w:eastAsia="Calibri" w:hAnsiTheme="minorHAnsi" w:cstheme="minorHAnsi"/>
          <w:bCs/>
          <w:iCs/>
          <w:lang w:val="en-AU"/>
        </w:rPr>
        <w:t>, that estimate had fallen to 13% of madrasah</w:t>
      </w:r>
      <w:r w:rsidRPr="00D20962">
        <w:rPr>
          <w:rFonts w:asciiTheme="minorHAnsi" w:eastAsia="Calibri" w:hAnsiTheme="minorHAnsi" w:cstheme="minorHAnsi"/>
          <w:bCs/>
          <w:iCs/>
          <w:vertAlign w:val="superscript"/>
          <w:lang w:val="en-AU"/>
        </w:rPr>
        <w:endnoteReference w:id="64"/>
      </w:r>
      <w:r w:rsidRPr="00D20962">
        <w:rPr>
          <w:rFonts w:asciiTheme="minorHAnsi" w:eastAsia="Calibri" w:hAnsiTheme="minorHAnsi" w:cstheme="minorHAnsi"/>
          <w:bCs/>
          <w:iCs/>
          <w:lang w:val="en-AU"/>
        </w:rPr>
        <w:t xml:space="preserve"> </w:t>
      </w:r>
      <w:r w:rsidRPr="00D20962">
        <w:rPr>
          <w:rFonts w:ascii="Times New Roman" w:eastAsia="Calibri" w:hAnsi="Times New Roman" w:cstheme="minorHAnsi"/>
          <w:bCs/>
          <w:iCs/>
          <w:vertAlign w:val="superscript"/>
          <w:lang w:val="en-AU"/>
        </w:rPr>
        <w:footnoteReference w:id="36"/>
      </w:r>
      <w:r w:rsidRPr="00D20962">
        <w:rPr>
          <w:rFonts w:asciiTheme="minorHAnsi" w:eastAsia="Calibri" w:hAnsiTheme="minorHAnsi" w:cstheme="minorHAnsi"/>
          <w:bCs/>
          <w:iCs/>
          <w:lang w:val="en-AU"/>
        </w:rPr>
        <w:t>.</w:t>
      </w:r>
    </w:p>
    <w:p w:rsidR="00D20962" w:rsidRPr="00D20962" w:rsidRDefault="00D20962" w:rsidP="00D20962">
      <w:pPr>
        <w:numPr>
          <w:ilvl w:val="0"/>
          <w:numId w:val="11"/>
        </w:numPr>
        <w:spacing w:before="120" w:after="120" w:line="276" w:lineRule="auto"/>
        <w:contextualSpacing/>
        <w:jc w:val="both"/>
        <w:rPr>
          <w:rFonts w:asciiTheme="minorHAnsi" w:hAnsiTheme="minorHAnsi" w:cstheme="minorHAnsi"/>
          <w:bCs/>
          <w:iCs/>
          <w:lang w:val="en-AU"/>
        </w:rPr>
      </w:pPr>
      <w:r w:rsidRPr="00D20962">
        <w:rPr>
          <w:rFonts w:asciiTheme="minorHAnsi" w:eastAsia="Calibri" w:hAnsiTheme="minorHAnsi" w:cstheme="minorHAnsi"/>
          <w:lang w:val="en-AU"/>
        </w:rPr>
        <w:lastRenderedPageBreak/>
        <w:t>While only registered</w:t>
      </w:r>
      <w:r w:rsidRPr="00D20962">
        <w:rPr>
          <w:rFonts w:asciiTheme="minorHAnsi" w:eastAsia="Calibri" w:hAnsiTheme="minorHAnsi" w:cstheme="minorHAnsi"/>
          <w:bCs/>
          <w:iCs/>
          <w:lang w:val="en-AU"/>
        </w:rPr>
        <w:t xml:space="preserve"> madrasah can access government funds</w:t>
      </w:r>
      <w:r w:rsidRPr="00D20962">
        <w:rPr>
          <w:rFonts w:ascii="Times New Roman" w:eastAsia="Calibri" w:hAnsi="Times New Roman" w:cstheme="minorHAnsi"/>
          <w:bCs/>
          <w:iCs/>
          <w:vertAlign w:val="superscript"/>
          <w:lang w:val="en-AU"/>
        </w:rPr>
        <w:footnoteReference w:id="37"/>
      </w:r>
      <w:r w:rsidRPr="00D20962">
        <w:rPr>
          <w:rFonts w:asciiTheme="minorHAnsi" w:eastAsia="Calibri" w:hAnsiTheme="minorHAnsi" w:cstheme="minorHAnsi"/>
          <w:bCs/>
          <w:iCs/>
          <w:lang w:val="en-AU"/>
        </w:rPr>
        <w:t>, only accredited madrasah are permitted to have students participate in national examinations and</w:t>
      </w:r>
      <w:r w:rsidR="00940C3D">
        <w:rPr>
          <w:rFonts w:asciiTheme="minorHAnsi" w:eastAsia="Calibri" w:hAnsiTheme="minorHAnsi" w:cstheme="minorHAnsi"/>
          <w:bCs/>
          <w:iCs/>
          <w:lang w:val="en-AU"/>
        </w:rPr>
        <w:t xml:space="preserve"> </w:t>
      </w:r>
      <w:r w:rsidRPr="00D20962">
        <w:rPr>
          <w:rFonts w:asciiTheme="minorHAnsi" w:eastAsia="Calibri" w:hAnsiTheme="minorHAnsi" w:cstheme="minorHAnsi"/>
          <w:bCs/>
          <w:iCs/>
          <w:lang w:val="en-AU"/>
        </w:rPr>
        <w:t>provide “leaving” or graduation certificates that enable students to apply for other formal educational opportunities</w:t>
      </w:r>
      <w:r w:rsidRPr="00D20962">
        <w:rPr>
          <w:rFonts w:asciiTheme="minorHAnsi" w:hAnsiTheme="minorHAnsi" w:cstheme="minorHAnsi"/>
          <w:bCs/>
          <w:iCs/>
          <w:lang w:val="en-AU"/>
        </w:rPr>
        <w:t xml:space="preserve">. </w:t>
      </w:r>
    </w:p>
    <w:p w:rsidR="00D20962" w:rsidRPr="00D20962" w:rsidRDefault="00D20962" w:rsidP="00D20962">
      <w:pPr>
        <w:spacing w:before="120" w:after="120" w:line="120" w:lineRule="auto"/>
        <w:ind w:left="720"/>
        <w:contextualSpacing/>
        <w:rPr>
          <w:rFonts w:asciiTheme="minorHAnsi" w:hAnsiTheme="minorHAnsi" w:cstheme="minorHAnsi"/>
          <w:bCs/>
          <w:iCs/>
          <w:lang w:val="en-AU"/>
        </w:rPr>
      </w:pPr>
    </w:p>
    <w:p w:rsidR="00D20962" w:rsidRPr="00D20962" w:rsidRDefault="00D20962" w:rsidP="00D20962">
      <w:pPr>
        <w:spacing w:before="120" w:after="120" w:line="276" w:lineRule="auto"/>
        <w:jc w:val="both"/>
        <w:rPr>
          <w:rFonts w:asciiTheme="minorHAnsi" w:hAnsiTheme="minorHAnsi" w:cstheme="minorHAnsi"/>
          <w:bCs/>
          <w:iCs/>
          <w:lang w:val="en-AU"/>
        </w:rPr>
      </w:pPr>
      <w:r w:rsidRPr="00D20962">
        <w:rPr>
          <w:bCs/>
          <w:lang w:val="en-AU"/>
        </w:rPr>
        <w:t xml:space="preserve">The EP supports the work of the MoRA Directorate General for Islamic Education (PENDIS) through the Directorate for Madrasah Education (PENMA). It works specifically with the Unit for </w:t>
      </w:r>
      <w:r w:rsidRPr="00D20962">
        <w:rPr>
          <w:rFonts w:asciiTheme="minorHAnsi" w:hAnsiTheme="minorHAnsi" w:cstheme="minorHAnsi"/>
          <w:bCs/>
          <w:iCs/>
          <w:lang w:val="en-AU"/>
        </w:rPr>
        <w:t>Implementing Madrasah Accreditation (UPPAM) and various contracted Sub-National Implementation Partners (SNIPs).</w:t>
      </w:r>
    </w:p>
    <w:p w:rsidR="00D20962" w:rsidRPr="00D20962" w:rsidRDefault="00D20962" w:rsidP="00D20962">
      <w:pPr>
        <w:spacing w:before="120" w:after="120" w:line="276" w:lineRule="auto"/>
        <w:jc w:val="both"/>
        <w:rPr>
          <w:bCs/>
          <w:lang w:val="en-AU"/>
        </w:rPr>
      </w:pPr>
      <w:r w:rsidRPr="00D20962">
        <w:rPr>
          <w:rFonts w:asciiTheme="minorHAnsi" w:hAnsiTheme="minorHAnsi" w:cstheme="minorHAnsi"/>
          <w:bCs/>
          <w:iCs/>
          <w:lang w:val="en-AU"/>
        </w:rPr>
        <w:t xml:space="preserve">Component 3 is unique in the sense that it is the only </w:t>
      </w:r>
      <w:r w:rsidR="00687B47">
        <w:rPr>
          <w:rFonts w:asciiTheme="minorHAnsi" w:hAnsiTheme="minorHAnsi" w:cstheme="minorHAnsi"/>
          <w:bCs/>
          <w:iCs/>
          <w:lang w:val="en-AU"/>
        </w:rPr>
        <w:t>c</w:t>
      </w:r>
      <w:r w:rsidRPr="00D20962">
        <w:rPr>
          <w:rFonts w:asciiTheme="minorHAnsi" w:hAnsiTheme="minorHAnsi" w:cstheme="minorHAnsi"/>
          <w:bCs/>
          <w:iCs/>
          <w:lang w:val="en-AU"/>
        </w:rPr>
        <w:t>omponent that is expected to deliver two distinct results.</w:t>
      </w:r>
      <w:r w:rsidRPr="00D20962">
        <w:rPr>
          <w:bCs/>
          <w:lang w:val="en-AU"/>
        </w:rPr>
        <w:t xml:space="preserve"> The first result concerns improvements to the readiness of 1,500 madrasah to secure accreditation. The second result – approved in early 2014 during a revision of the EP logic architecture – concerns the strengthening of the systems required to improve madrasah quality (EOCO 3.2). </w:t>
      </w:r>
    </w:p>
    <w:p w:rsidR="00D20962" w:rsidRPr="00D20962" w:rsidRDefault="00D20962" w:rsidP="00D20962">
      <w:pPr>
        <w:spacing w:before="120" w:after="120" w:line="276" w:lineRule="auto"/>
        <w:jc w:val="both"/>
        <w:rPr>
          <w:bCs/>
          <w:lang w:val="en-AU"/>
        </w:rPr>
      </w:pPr>
      <w:r w:rsidRPr="00D20962">
        <w:rPr>
          <w:bCs/>
          <w:lang w:val="en-AU"/>
        </w:rPr>
        <w:t>To support delivery of the first line of work (i.e. that associated with EOCO 3.1), a variety of institutions have been contracted as SNIPs</w:t>
      </w:r>
      <w:r w:rsidRPr="00D20962">
        <w:rPr>
          <w:rFonts w:ascii="Times New Roman" w:hAnsi="Times New Roman"/>
          <w:bCs/>
          <w:vertAlign w:val="superscript"/>
          <w:lang w:val="en-AU"/>
        </w:rPr>
        <w:footnoteReference w:id="38"/>
      </w:r>
      <w:r w:rsidRPr="00D20962">
        <w:rPr>
          <w:bCs/>
          <w:lang w:val="en-AU"/>
        </w:rPr>
        <w:t xml:space="preserve"> to support improvements in madrasah quality. Up to 1,500 targeted madrasah</w:t>
      </w:r>
      <w:r w:rsidRPr="00D20962">
        <w:rPr>
          <w:rFonts w:ascii="Times New Roman" w:hAnsi="Times New Roman"/>
          <w:bCs/>
          <w:vertAlign w:val="superscript"/>
          <w:lang w:val="en-AU"/>
        </w:rPr>
        <w:footnoteReference w:id="39"/>
      </w:r>
      <w:r w:rsidRPr="00D20962">
        <w:rPr>
          <w:bCs/>
          <w:lang w:val="en-AU"/>
        </w:rPr>
        <w:t xml:space="preserve"> in 13 provinces are expected to receive technical assistance and support from the contracted SNIPs, as well as financial support in the form of Block Grants of AUD 10,000. An additional unspecified and ultimately non-targeted number of madrasah receive technical assistance and training only. </w:t>
      </w:r>
    </w:p>
    <w:p w:rsidR="00D20962" w:rsidRPr="00D20962" w:rsidRDefault="00D20962" w:rsidP="00D20962">
      <w:pPr>
        <w:spacing w:before="120" w:after="120" w:line="276" w:lineRule="auto"/>
        <w:jc w:val="both"/>
        <w:rPr>
          <w:bCs/>
          <w:lang w:val="en-AU"/>
        </w:rPr>
      </w:pPr>
      <w:r w:rsidRPr="00D20962">
        <w:rPr>
          <w:bCs/>
          <w:lang w:val="en-AU"/>
        </w:rPr>
        <w:t xml:space="preserve">The SNIPs deliver technical assistance and support to each madrasah through a package of training programs and mentoring services. This includes assistance with the preparation and implementation of a </w:t>
      </w:r>
      <w:r w:rsidRPr="00D20962">
        <w:rPr>
          <w:lang w:val="en-AU"/>
        </w:rPr>
        <w:t>madrasah development plan (RKM). The RKM is intended to guide the madrasah to plan and align efforts that will e</w:t>
      </w:r>
      <w:r w:rsidRPr="00D20962">
        <w:rPr>
          <w:bCs/>
          <w:lang w:val="en-AU"/>
        </w:rPr>
        <w:t xml:space="preserve">nable it to meet the accreditation requirements of the NES as assessed by the </w:t>
      </w:r>
      <w:r w:rsidRPr="00D20962">
        <w:rPr>
          <w:rFonts w:asciiTheme="minorHAnsi" w:hAnsiTheme="minorHAnsi" w:cstheme="minorHAnsi"/>
          <w:bCs/>
          <w:i/>
          <w:iCs/>
          <w:lang w:val="en-AU"/>
        </w:rPr>
        <w:lastRenderedPageBreak/>
        <w:t>Badan Akreditasi Nasional Sekolah</w:t>
      </w:r>
      <w:r w:rsidRPr="00D20962">
        <w:rPr>
          <w:bCs/>
          <w:lang w:val="en-AU"/>
        </w:rPr>
        <w:t xml:space="preserve"> (BAN S/M)</w:t>
      </w:r>
      <w:r w:rsidRPr="00D20962">
        <w:rPr>
          <w:rFonts w:ascii="Times New Roman" w:hAnsi="Times New Roman"/>
          <w:bCs/>
          <w:vertAlign w:val="superscript"/>
          <w:lang w:val="en-AU"/>
        </w:rPr>
        <w:footnoteReference w:id="40"/>
      </w:r>
      <w:r w:rsidRPr="00D20962">
        <w:rPr>
          <w:bCs/>
          <w:lang w:val="en-AU"/>
        </w:rPr>
        <w:t xml:space="preserve">, whilst ultimately guiding its efforts to improve the quality of education services provided by the madrasah. </w:t>
      </w:r>
    </w:p>
    <w:p w:rsidR="00D20962" w:rsidRPr="00D20962" w:rsidRDefault="00D20962" w:rsidP="00D20962">
      <w:pPr>
        <w:spacing w:before="120" w:after="120" w:line="276" w:lineRule="auto"/>
        <w:jc w:val="both"/>
        <w:rPr>
          <w:rFonts w:asciiTheme="minorHAnsi" w:eastAsia="Calibri" w:hAnsiTheme="minorHAnsi" w:cstheme="minorHAnsi"/>
          <w:bCs/>
          <w:iCs/>
          <w:lang w:val="en-AU"/>
        </w:rPr>
      </w:pPr>
      <w:r w:rsidRPr="00D20962">
        <w:rPr>
          <w:bCs/>
          <w:lang w:val="en-AU"/>
        </w:rPr>
        <w:t xml:space="preserve">EOCO 3.2 requires a program of work that </w:t>
      </w:r>
      <w:r w:rsidRPr="00D20962">
        <w:rPr>
          <w:rFonts w:asciiTheme="minorHAnsi" w:hAnsiTheme="minorHAnsi" w:cstheme="minorHAnsi"/>
          <w:lang w:val="en-AU"/>
        </w:rPr>
        <w:t>tests and promotes a system-wide model for strengthening madrasah quality. Specifically EOCO 3.2 seeks to d</w:t>
      </w:r>
      <w:r w:rsidRPr="00D20962">
        <w:rPr>
          <w:rFonts w:asciiTheme="minorHAnsi" w:eastAsia="Calibri" w:hAnsiTheme="minorHAnsi" w:cstheme="minorHAnsi"/>
          <w:bCs/>
          <w:iCs/>
          <w:lang w:val="en-AU"/>
        </w:rPr>
        <w:t>emonstrate how a MoRA-SNIP-Madrasah ‘systems’ model could enable and support continuous improvements to madrasah service</w:t>
      </w:r>
      <w:r w:rsidRPr="00D20962">
        <w:rPr>
          <w:rFonts w:asciiTheme="minorHAnsi" w:eastAsia="Calibri" w:hAnsiTheme="minorHAnsi" w:cstheme="minorHAnsi"/>
          <w:lang w:val="en-AU"/>
        </w:rPr>
        <w:t xml:space="preserve"> delivery, and s</w:t>
      </w:r>
      <w:r w:rsidRPr="00D20962">
        <w:rPr>
          <w:rFonts w:asciiTheme="minorHAnsi" w:eastAsia="Calibri" w:hAnsiTheme="minorHAnsi" w:cstheme="minorHAnsi"/>
          <w:bCs/>
          <w:iCs/>
          <w:lang w:val="en-AU"/>
        </w:rPr>
        <w:t>upport MoRA to adapt and trial C3 approaches to madrasah quality improvement, using finance from the State Budget (</w:t>
      </w:r>
      <w:r w:rsidRPr="00D20962">
        <w:rPr>
          <w:rFonts w:asciiTheme="minorHAnsi" w:eastAsia="Calibri" w:hAnsiTheme="minorHAnsi" w:cstheme="minorHAnsi"/>
          <w:bCs/>
          <w:i/>
          <w:iCs/>
          <w:lang w:val="en-AU"/>
        </w:rPr>
        <w:t>Anggaran Pendapatan Belanja Negara</w:t>
      </w:r>
      <w:r w:rsidRPr="00D20962">
        <w:rPr>
          <w:rFonts w:asciiTheme="minorHAnsi" w:eastAsia="Calibri" w:hAnsiTheme="minorHAnsi" w:cstheme="minorHAnsi"/>
          <w:bCs/>
          <w:iCs/>
          <w:lang w:val="en-AU"/>
        </w:rPr>
        <w:t>).</w:t>
      </w:r>
    </w:p>
    <w:p w:rsidR="00D20962" w:rsidRPr="009E4D89" w:rsidRDefault="00D20962" w:rsidP="00D20962">
      <w:pPr>
        <w:keepNext/>
        <w:numPr>
          <w:ilvl w:val="2"/>
          <w:numId w:val="7"/>
        </w:numPr>
        <w:spacing w:before="120" w:after="120"/>
        <w:ind w:left="709" w:hanging="709"/>
        <w:outlineLvl w:val="2"/>
        <w:rPr>
          <w:bCs/>
          <w:color w:val="003880"/>
          <w:sz w:val="24"/>
          <w:szCs w:val="28"/>
          <w:lang w:val="en-AU"/>
        </w:rPr>
      </w:pPr>
      <w:r w:rsidRPr="009E4D89">
        <w:rPr>
          <w:bCs/>
          <w:color w:val="003880"/>
          <w:sz w:val="24"/>
          <w:szCs w:val="28"/>
          <w:lang w:val="en-AU"/>
        </w:rPr>
        <w:t>The delivery mechanisms and support provided by the EP</w:t>
      </w:r>
    </w:p>
    <w:p w:rsidR="00D20962" w:rsidRPr="00D20962" w:rsidRDefault="00D20962" w:rsidP="00D20962">
      <w:pPr>
        <w:spacing w:before="120" w:after="120" w:line="276" w:lineRule="auto"/>
        <w:jc w:val="both"/>
        <w:rPr>
          <w:rFonts w:asciiTheme="minorHAnsi" w:hAnsiTheme="minorHAnsi" w:cstheme="minorHAnsi"/>
          <w:bCs/>
          <w:iCs/>
          <w:lang w:val="en-AU"/>
        </w:rPr>
      </w:pPr>
      <w:r w:rsidRPr="00D20962">
        <w:rPr>
          <w:rFonts w:asciiTheme="minorHAnsi" w:hAnsiTheme="minorHAnsi" w:cstheme="minorHAnsi"/>
          <w:bCs/>
          <w:iCs/>
          <w:lang w:val="en-AU"/>
        </w:rPr>
        <w:t>C3 activities are managed and implemented by the managing contractor for the SSQ in close collaboration with UPPAM, the Bureau of Planning, the Bureau of MoRA Supervisors, and the Provincial (</w:t>
      </w:r>
      <w:r w:rsidRPr="00D20962">
        <w:rPr>
          <w:rFonts w:asciiTheme="minorHAnsi" w:hAnsiTheme="minorHAnsi" w:cstheme="minorHAnsi"/>
          <w:bCs/>
          <w:i/>
          <w:iCs/>
          <w:lang w:val="en-AU"/>
        </w:rPr>
        <w:t>Kanwil</w:t>
      </w:r>
      <w:r w:rsidRPr="00D20962">
        <w:rPr>
          <w:rFonts w:asciiTheme="minorHAnsi" w:hAnsiTheme="minorHAnsi" w:cstheme="minorHAnsi"/>
          <w:bCs/>
          <w:iCs/>
          <w:lang w:val="en-AU"/>
        </w:rPr>
        <w:t>) and District (</w:t>
      </w:r>
      <w:r w:rsidRPr="00D20962">
        <w:rPr>
          <w:rFonts w:asciiTheme="minorHAnsi" w:hAnsiTheme="minorHAnsi" w:cstheme="minorHAnsi"/>
          <w:bCs/>
          <w:i/>
          <w:iCs/>
          <w:lang w:val="en-AU"/>
        </w:rPr>
        <w:t>Kandep</w:t>
      </w:r>
      <w:r w:rsidRPr="00D20962">
        <w:rPr>
          <w:rFonts w:asciiTheme="minorHAnsi" w:hAnsiTheme="minorHAnsi" w:cstheme="minorHAnsi"/>
          <w:bCs/>
          <w:iCs/>
          <w:lang w:val="en-AU"/>
        </w:rPr>
        <w:t>) Offices of MoRA. Block Grants are transferred directly to SNIPs and targeted madrasah by the SSQ managing contractor. Technical assistance is provided by the SSQ managing contractor directly to MoRA (national, provincial and district) and to the contracted SNIPs. SNIPs facilitate the delivery of training programs and provide technical assistance, primarily in the form of mentoring to madrasah.</w:t>
      </w:r>
    </w:p>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Context</w:t>
      </w:r>
    </w:p>
    <w:p w:rsidR="00D20962" w:rsidRPr="00D20962" w:rsidRDefault="00D20962" w:rsidP="00D20962">
      <w:pPr>
        <w:spacing w:before="120" w:after="120" w:line="276" w:lineRule="auto"/>
        <w:jc w:val="both"/>
        <w:rPr>
          <w:bCs/>
          <w:lang w:val="en-AU"/>
        </w:rPr>
      </w:pPr>
      <w:r w:rsidRPr="00D20962">
        <w:rPr>
          <w:bCs/>
          <w:lang w:val="en-AU"/>
        </w:rPr>
        <w:t>Officials in MoEC and MoRA continue to view accreditation and national examination results as indicators and drivers of educational quality</w:t>
      </w:r>
      <w:r w:rsidRPr="00D20962">
        <w:rPr>
          <w:rFonts w:ascii="Times New Roman" w:hAnsi="Times New Roman"/>
          <w:bCs/>
          <w:vertAlign w:val="superscript"/>
          <w:lang w:val="en-AU"/>
        </w:rPr>
        <w:footnoteReference w:id="41"/>
      </w:r>
      <w:r w:rsidRPr="00D20962">
        <w:rPr>
          <w:bCs/>
          <w:lang w:val="en-AU"/>
        </w:rPr>
        <w:t xml:space="preserve">. Accordingly, MoRA believes that improved accreditation rates would offer sector stakeholders the necessary confidence that madrasah can provide good quality education services. To assist with the accreditation effort, the Ministry signed a three-year MoU with BAN S/M in 2011 to increase the number of madrasah to be included on its annual accreditation quota. This decision is likely to facilitate the measurement of the EP’s targets but it may not be sustainable in the longer term. </w:t>
      </w:r>
    </w:p>
    <w:p w:rsidR="00D20962" w:rsidRPr="00D20962" w:rsidRDefault="00D20962" w:rsidP="00D20962">
      <w:pPr>
        <w:spacing w:before="120" w:after="120" w:line="276" w:lineRule="auto"/>
        <w:jc w:val="both"/>
        <w:rPr>
          <w:bCs/>
          <w:lang w:val="en-AU"/>
        </w:rPr>
      </w:pPr>
      <w:r w:rsidRPr="00D20962">
        <w:rPr>
          <w:bCs/>
          <w:lang w:val="en-AU"/>
        </w:rPr>
        <w:t>There is currently no established national system to support the continuous improvement of madrasah quality.</w:t>
      </w:r>
    </w:p>
    <w:p w:rsidR="00D20962" w:rsidRPr="00D20962" w:rsidRDefault="00D20962" w:rsidP="00D20962">
      <w:pPr>
        <w:keepNext/>
        <w:numPr>
          <w:ilvl w:val="1"/>
          <w:numId w:val="7"/>
        </w:numPr>
        <w:spacing w:before="120" w:after="120"/>
        <w:ind w:hanging="720"/>
        <w:outlineLvl w:val="1"/>
        <w:rPr>
          <w:b/>
          <w:bCs/>
          <w:iCs/>
          <w:color w:val="244061" w:themeColor="accent1" w:themeShade="80"/>
          <w:sz w:val="24"/>
          <w:szCs w:val="24"/>
          <w:lang w:val="en-AU"/>
        </w:rPr>
      </w:pPr>
      <w:r w:rsidRPr="00D20962">
        <w:rPr>
          <w:b/>
          <w:bCs/>
          <w:iCs/>
          <w:color w:val="244061" w:themeColor="accent1" w:themeShade="80"/>
          <w:sz w:val="24"/>
          <w:szCs w:val="24"/>
          <w:lang w:val="en-AU"/>
        </w:rPr>
        <w:t>Achievements</w:t>
      </w:r>
    </w:p>
    <w:p w:rsidR="00D20962" w:rsidRPr="009E4D89" w:rsidRDefault="00D20962" w:rsidP="009E4D89">
      <w:pPr>
        <w:keepNext/>
        <w:numPr>
          <w:ilvl w:val="2"/>
          <w:numId w:val="7"/>
        </w:numPr>
        <w:spacing w:before="120" w:after="120"/>
        <w:ind w:left="709" w:hanging="709"/>
        <w:outlineLvl w:val="2"/>
        <w:rPr>
          <w:bCs/>
          <w:color w:val="003880"/>
          <w:sz w:val="24"/>
          <w:szCs w:val="28"/>
          <w:lang w:val="en-AU"/>
        </w:rPr>
      </w:pPr>
      <w:r w:rsidRPr="009E4D89">
        <w:rPr>
          <w:bCs/>
          <w:color w:val="003880"/>
          <w:sz w:val="24"/>
          <w:szCs w:val="28"/>
          <w:lang w:val="en-AU"/>
        </w:rPr>
        <w:t>With regards to EOCO 3.1</w:t>
      </w:r>
    </w:p>
    <w:p w:rsidR="00D20962" w:rsidRPr="00D20962" w:rsidRDefault="00D20962" w:rsidP="00D20962">
      <w:pPr>
        <w:spacing w:before="120" w:after="120" w:line="276" w:lineRule="auto"/>
        <w:jc w:val="both"/>
        <w:rPr>
          <w:bCs/>
          <w:lang w:val="en-AU"/>
        </w:rPr>
      </w:pPr>
      <w:r w:rsidRPr="00D20962">
        <w:rPr>
          <w:bCs/>
          <w:lang w:val="en-AU"/>
        </w:rPr>
        <w:t>C3 has supported over 2,500 madrasah to date</w:t>
      </w:r>
      <w:r w:rsidRPr="00D20962">
        <w:rPr>
          <w:rFonts w:ascii="Times New Roman" w:hAnsi="Times New Roman"/>
          <w:bCs/>
          <w:vertAlign w:val="superscript"/>
          <w:lang w:val="en-AU"/>
        </w:rPr>
        <w:footnoteReference w:id="42"/>
      </w:r>
      <w:r w:rsidRPr="00D20962">
        <w:rPr>
          <w:bCs/>
          <w:lang w:val="en-AU"/>
        </w:rPr>
        <w:t xml:space="preserve">. Of these madrasah, 1,500 madrasah have been targeted for the full suite of support from C3 which has been and is being delivered over three different time periods or phases. During the first phase, </w:t>
      </w:r>
      <w:r w:rsidRPr="00D20962">
        <w:rPr>
          <w:lang w:val="en-AU"/>
        </w:rPr>
        <w:t xml:space="preserve">which </w:t>
      </w:r>
      <w:r w:rsidRPr="00D20962">
        <w:rPr>
          <w:bCs/>
          <w:lang w:val="en-AU"/>
        </w:rPr>
        <w:t xml:space="preserve">started in </w:t>
      </w:r>
      <w:r w:rsidRPr="00D20962">
        <w:rPr>
          <w:lang w:val="en-AU"/>
        </w:rPr>
        <w:t xml:space="preserve">July 2012 </w:t>
      </w:r>
      <w:r w:rsidRPr="00D20962">
        <w:rPr>
          <w:bCs/>
          <w:lang w:val="en-AU"/>
        </w:rPr>
        <w:t xml:space="preserve">and finished in </w:t>
      </w:r>
      <w:r w:rsidRPr="00D20962">
        <w:rPr>
          <w:lang w:val="en-AU"/>
        </w:rPr>
        <w:t xml:space="preserve">December 2013, C3 supported </w:t>
      </w:r>
      <w:r w:rsidRPr="00D20962">
        <w:rPr>
          <w:bCs/>
          <w:lang w:val="en-AU"/>
        </w:rPr>
        <w:t xml:space="preserve">565 targeted madrasah in seven provinces. Assistance during the second phase, which started in June 2013 and ended in November 2014, supported 519 targeted madrasah in 11 provinces. C3 recently commenced its third phase, which will see support provided to 416 targeted madrasah in seven provinces between September 2014 and March 2016. </w:t>
      </w:r>
    </w:p>
    <w:p w:rsidR="00D20962" w:rsidRPr="00D20962" w:rsidRDefault="00D20962" w:rsidP="00D20962">
      <w:pPr>
        <w:spacing w:before="120" w:after="120" w:line="276" w:lineRule="auto"/>
        <w:jc w:val="both"/>
        <w:rPr>
          <w:bCs/>
          <w:lang w:val="en-AU"/>
        </w:rPr>
      </w:pPr>
      <w:r w:rsidRPr="00D20962">
        <w:rPr>
          <w:bCs/>
          <w:lang w:val="en-AU"/>
        </w:rPr>
        <w:lastRenderedPageBreak/>
        <w:t>In addition to the 1,500 targeted madrasah, C3 expects to support at least 1,500 ‘non-targeted’ madrasah by providing them with access to training programs and SNIP support (see Table 1</w:t>
      </w:r>
      <w:r w:rsidR="009E4D89">
        <w:rPr>
          <w:bCs/>
          <w:lang w:val="en-AU"/>
        </w:rPr>
        <w:t>2</w:t>
      </w:r>
      <w:r w:rsidRPr="00D20962">
        <w:rPr>
          <w:bCs/>
          <w:lang w:val="en-AU"/>
        </w:rPr>
        <w:t>, below). To date, C3 has also trained nearly 200 SNIP mentors</w:t>
      </w:r>
      <w:r w:rsidRPr="00D20962">
        <w:rPr>
          <w:rFonts w:ascii="Times New Roman" w:hAnsi="Times New Roman"/>
          <w:bCs/>
          <w:vertAlign w:val="superscript"/>
          <w:lang w:val="en-AU"/>
        </w:rPr>
        <w:footnoteReference w:id="43"/>
      </w:r>
      <w:r w:rsidRPr="00D20962">
        <w:rPr>
          <w:bCs/>
          <w:lang w:val="en-AU"/>
        </w:rPr>
        <w:t xml:space="preserve"> with the expectation that they will be able to provide support services to madrasah in the future. </w:t>
      </w:r>
    </w:p>
    <w:p w:rsidR="00D20962" w:rsidRPr="00D20962" w:rsidRDefault="00D20962" w:rsidP="00D20962">
      <w:pPr>
        <w:keepNext/>
        <w:spacing w:before="120" w:after="120"/>
        <w:ind w:left="86" w:right="43"/>
        <w:jc w:val="center"/>
        <w:rPr>
          <w:b/>
          <w:lang w:val="en-AU"/>
        </w:rPr>
      </w:pPr>
      <w:bookmarkStart w:id="38" w:name="_Ref379641308"/>
      <w:bookmarkStart w:id="39" w:name="_Toc412534584"/>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12</w:t>
      </w:r>
      <w:r w:rsidRPr="00D20962">
        <w:rPr>
          <w:b/>
          <w:lang w:val="en-GB"/>
        </w:rPr>
        <w:fldChar w:fldCharType="end"/>
      </w:r>
      <w:bookmarkEnd w:id="38"/>
      <w:r w:rsidRPr="00D20962">
        <w:rPr>
          <w:b/>
          <w:lang w:val="en-AU"/>
        </w:rPr>
        <w:t>: C3 Phases of Support to Madrasah</w:t>
      </w:r>
      <w:bookmarkEnd w:id="39"/>
    </w:p>
    <w:tbl>
      <w:tblPr>
        <w:tblStyle w:val="TableGrid172"/>
        <w:tblW w:w="0" w:type="auto"/>
        <w:jc w:val="center"/>
        <w:tblLook w:val="04A0" w:firstRow="1" w:lastRow="0" w:firstColumn="1" w:lastColumn="0" w:noHBand="0" w:noVBand="1"/>
      </w:tblPr>
      <w:tblGrid>
        <w:gridCol w:w="1825"/>
        <w:gridCol w:w="1754"/>
        <w:gridCol w:w="1754"/>
        <w:gridCol w:w="1754"/>
      </w:tblGrid>
      <w:tr w:rsidR="00D20962" w:rsidRPr="00D20962" w:rsidTr="00D20962">
        <w:trPr>
          <w:trHeight w:val="447"/>
          <w:jc w:val="center"/>
        </w:trPr>
        <w:tc>
          <w:tcPr>
            <w:tcW w:w="1825" w:type="dxa"/>
            <w:vMerge w:val="restart"/>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Phase</w:t>
            </w:r>
          </w:p>
        </w:tc>
        <w:tc>
          <w:tcPr>
            <w:tcW w:w="3508" w:type="dxa"/>
            <w:gridSpan w:val="2"/>
            <w:tcBorders>
              <w:bottom w:val="single" w:sz="4" w:space="0" w:color="auto"/>
            </w:tcBorders>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Madrasah type</w:t>
            </w:r>
          </w:p>
        </w:tc>
        <w:tc>
          <w:tcPr>
            <w:tcW w:w="1754" w:type="dxa"/>
            <w:vMerge w:val="restart"/>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Mentors</w:t>
            </w:r>
          </w:p>
        </w:tc>
      </w:tr>
      <w:tr w:rsidR="00D20962" w:rsidRPr="00D20962" w:rsidTr="00D20962">
        <w:trPr>
          <w:trHeight w:val="434"/>
          <w:jc w:val="center"/>
        </w:trPr>
        <w:tc>
          <w:tcPr>
            <w:tcW w:w="1825" w:type="dxa"/>
            <w:vMerge/>
            <w:shd w:val="clear" w:color="auto" w:fill="244061" w:themeFill="accent1" w:themeFillShade="80"/>
            <w:vAlign w:val="center"/>
          </w:tcPr>
          <w:p w:rsidR="00D20962" w:rsidRPr="00D20962" w:rsidRDefault="00D20962" w:rsidP="00D20962">
            <w:pPr>
              <w:spacing w:before="60" w:after="60"/>
              <w:jc w:val="center"/>
              <w:rPr>
                <w:rFonts w:asciiTheme="minorHAnsi" w:hAnsiTheme="minorHAnsi"/>
                <w:lang w:val="en-AU"/>
              </w:rPr>
            </w:pPr>
          </w:p>
        </w:tc>
        <w:tc>
          <w:tcPr>
            <w:tcW w:w="1754" w:type="dxa"/>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Targeted</w:t>
            </w:r>
          </w:p>
        </w:tc>
        <w:tc>
          <w:tcPr>
            <w:tcW w:w="1754" w:type="dxa"/>
            <w:shd w:val="clear" w:color="auto" w:fill="244061" w:themeFill="accent1" w:themeFillShade="80"/>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Non-targeted</w:t>
            </w:r>
          </w:p>
        </w:tc>
        <w:tc>
          <w:tcPr>
            <w:tcW w:w="1754" w:type="dxa"/>
            <w:vMerge/>
            <w:shd w:val="clear" w:color="auto" w:fill="244061" w:themeFill="accent1" w:themeFillShade="80"/>
            <w:vAlign w:val="center"/>
          </w:tcPr>
          <w:p w:rsidR="00D20962" w:rsidRPr="00D20962" w:rsidRDefault="00D20962" w:rsidP="00D20962">
            <w:pPr>
              <w:spacing w:before="60" w:after="60"/>
              <w:jc w:val="center"/>
              <w:rPr>
                <w:rFonts w:asciiTheme="minorHAnsi" w:hAnsiTheme="minorHAnsi"/>
                <w:lang w:val="en-AU"/>
              </w:rPr>
            </w:pPr>
          </w:p>
        </w:tc>
      </w:tr>
      <w:tr w:rsidR="00D20962" w:rsidRPr="00D20962" w:rsidTr="00D20962">
        <w:trPr>
          <w:trHeight w:val="434"/>
          <w:jc w:val="center"/>
        </w:trPr>
        <w:tc>
          <w:tcPr>
            <w:tcW w:w="1825" w:type="dxa"/>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Phase 1</w:t>
            </w:r>
          </w:p>
        </w:tc>
        <w:tc>
          <w:tcPr>
            <w:tcW w:w="1754" w:type="dxa"/>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565</w:t>
            </w:r>
          </w:p>
        </w:tc>
        <w:tc>
          <w:tcPr>
            <w:tcW w:w="1754" w:type="dxa"/>
            <w:shd w:val="clear" w:color="auto" w:fill="FFFFFF" w:themeFill="background1"/>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24</w:t>
            </w:r>
          </w:p>
        </w:tc>
        <w:tc>
          <w:tcPr>
            <w:tcW w:w="1754" w:type="dxa"/>
            <w:shd w:val="clear" w:color="auto" w:fill="FFFFFF" w:themeFill="background1"/>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90</w:t>
            </w:r>
          </w:p>
        </w:tc>
      </w:tr>
      <w:tr w:rsidR="00D20962" w:rsidRPr="00D20962" w:rsidTr="00D20962">
        <w:trPr>
          <w:trHeight w:val="447"/>
          <w:jc w:val="center"/>
        </w:trPr>
        <w:tc>
          <w:tcPr>
            <w:tcW w:w="1825" w:type="dxa"/>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Phase 2</w:t>
            </w:r>
          </w:p>
        </w:tc>
        <w:tc>
          <w:tcPr>
            <w:tcW w:w="1754" w:type="dxa"/>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519</w:t>
            </w:r>
          </w:p>
        </w:tc>
        <w:tc>
          <w:tcPr>
            <w:tcW w:w="1754" w:type="dxa"/>
            <w:shd w:val="clear" w:color="auto" w:fill="FFFFFF" w:themeFill="background1"/>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1,452</w:t>
            </w:r>
          </w:p>
        </w:tc>
        <w:tc>
          <w:tcPr>
            <w:tcW w:w="1754" w:type="dxa"/>
            <w:shd w:val="clear" w:color="auto" w:fill="FFFFFF" w:themeFill="background1"/>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102</w:t>
            </w:r>
          </w:p>
        </w:tc>
      </w:tr>
      <w:tr w:rsidR="00D20962" w:rsidRPr="00D20962" w:rsidTr="00D20962">
        <w:trPr>
          <w:trHeight w:val="447"/>
          <w:jc w:val="center"/>
        </w:trPr>
        <w:tc>
          <w:tcPr>
            <w:tcW w:w="1825" w:type="dxa"/>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Phase 3</w:t>
            </w:r>
          </w:p>
        </w:tc>
        <w:tc>
          <w:tcPr>
            <w:tcW w:w="1754" w:type="dxa"/>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416</w:t>
            </w:r>
          </w:p>
        </w:tc>
        <w:tc>
          <w:tcPr>
            <w:tcW w:w="1754" w:type="dxa"/>
            <w:shd w:val="clear" w:color="auto" w:fill="FFFFFF" w:themeFill="background1"/>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w:t>
            </w:r>
          </w:p>
        </w:tc>
        <w:tc>
          <w:tcPr>
            <w:tcW w:w="1754" w:type="dxa"/>
            <w:shd w:val="clear" w:color="auto" w:fill="FFFFFF" w:themeFill="background1"/>
            <w:vAlign w:val="center"/>
          </w:tcPr>
          <w:p w:rsidR="00D20962" w:rsidRPr="00D20962" w:rsidRDefault="00D20962" w:rsidP="00D20962">
            <w:pPr>
              <w:spacing w:before="60" w:after="60"/>
              <w:jc w:val="center"/>
              <w:rPr>
                <w:rFonts w:asciiTheme="minorHAnsi" w:hAnsiTheme="minorHAnsi"/>
                <w:lang w:val="en-AU"/>
              </w:rPr>
            </w:pPr>
            <w:r w:rsidRPr="00D20962">
              <w:rPr>
                <w:rFonts w:asciiTheme="minorHAnsi" w:hAnsiTheme="minorHAnsi"/>
                <w:lang w:val="en-AU"/>
              </w:rPr>
              <w:t>82</w:t>
            </w:r>
          </w:p>
        </w:tc>
      </w:tr>
      <w:tr w:rsidR="00D20962" w:rsidRPr="00D20962" w:rsidTr="00D20962">
        <w:trPr>
          <w:trHeight w:val="447"/>
          <w:jc w:val="center"/>
        </w:trPr>
        <w:tc>
          <w:tcPr>
            <w:tcW w:w="1825" w:type="dxa"/>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TOTAL</w:t>
            </w:r>
          </w:p>
        </w:tc>
        <w:tc>
          <w:tcPr>
            <w:tcW w:w="1754" w:type="dxa"/>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1,500</w:t>
            </w:r>
          </w:p>
        </w:tc>
        <w:tc>
          <w:tcPr>
            <w:tcW w:w="1754" w:type="dxa"/>
            <w:shd w:val="clear" w:color="auto" w:fill="FFFFFF" w:themeFill="background1"/>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1,476</w:t>
            </w:r>
          </w:p>
        </w:tc>
        <w:tc>
          <w:tcPr>
            <w:tcW w:w="1754" w:type="dxa"/>
            <w:shd w:val="clear" w:color="auto" w:fill="FFFFFF" w:themeFill="background1"/>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274**</w:t>
            </w:r>
          </w:p>
        </w:tc>
      </w:tr>
    </w:tbl>
    <w:p w:rsidR="00D20962" w:rsidRPr="00D20962" w:rsidRDefault="00D20962" w:rsidP="00D20962">
      <w:pPr>
        <w:ind w:left="1276" w:right="947" w:hanging="283"/>
        <w:rPr>
          <w:rFonts w:asciiTheme="minorHAnsi" w:hAnsiTheme="minorHAnsi"/>
          <w:i/>
          <w:sz w:val="18"/>
          <w:szCs w:val="18"/>
          <w:lang w:val="en-AU"/>
        </w:rPr>
      </w:pPr>
    </w:p>
    <w:p w:rsidR="00D20962" w:rsidRPr="00687B47" w:rsidRDefault="00687B47" w:rsidP="00687B47">
      <w:pPr>
        <w:tabs>
          <w:tab w:val="left" w:pos="1701"/>
        </w:tabs>
        <w:ind w:left="2127" w:right="947" w:hanging="1134"/>
        <w:rPr>
          <w:rFonts w:asciiTheme="minorHAnsi" w:hAnsiTheme="minorHAnsi"/>
          <w:sz w:val="18"/>
          <w:szCs w:val="18"/>
          <w:lang w:val="en-AU"/>
        </w:rPr>
      </w:pPr>
      <w:r>
        <w:rPr>
          <w:rFonts w:asciiTheme="minorHAnsi" w:hAnsiTheme="minorHAnsi"/>
          <w:sz w:val="18"/>
          <w:szCs w:val="18"/>
          <w:lang w:val="en-AU"/>
        </w:rPr>
        <w:t>Notes:</w:t>
      </w:r>
      <w:r>
        <w:rPr>
          <w:rFonts w:asciiTheme="minorHAnsi" w:hAnsiTheme="minorHAnsi"/>
          <w:sz w:val="18"/>
          <w:szCs w:val="18"/>
          <w:lang w:val="en-AU"/>
        </w:rPr>
        <w:tab/>
      </w:r>
      <w:r w:rsidR="00D20962" w:rsidRPr="00687B47">
        <w:rPr>
          <w:rFonts w:asciiTheme="minorHAnsi" w:hAnsiTheme="minorHAnsi"/>
          <w:sz w:val="18"/>
          <w:szCs w:val="18"/>
          <w:lang w:val="en-AU"/>
        </w:rPr>
        <w:t>*</w:t>
      </w:r>
      <w:r w:rsidR="00D20962" w:rsidRPr="00687B47">
        <w:rPr>
          <w:rFonts w:asciiTheme="minorHAnsi" w:hAnsiTheme="minorHAnsi"/>
          <w:sz w:val="18"/>
          <w:szCs w:val="18"/>
          <w:lang w:val="en-AU"/>
        </w:rPr>
        <w:tab/>
        <w:t>Phase 3 started in September 2014. SSQ is tracking and reporting the number of non-targeted madrasah that receive EP support e.g. from SNIPs</w:t>
      </w:r>
    </w:p>
    <w:p w:rsidR="00D20962" w:rsidRPr="00687B47" w:rsidRDefault="00D20962" w:rsidP="00687B47">
      <w:pPr>
        <w:ind w:left="2127" w:right="947" w:hanging="426"/>
        <w:rPr>
          <w:rFonts w:asciiTheme="minorHAnsi" w:hAnsiTheme="minorHAnsi"/>
          <w:sz w:val="18"/>
          <w:szCs w:val="18"/>
          <w:lang w:val="en-AU"/>
        </w:rPr>
      </w:pPr>
      <w:r w:rsidRPr="00687B47">
        <w:rPr>
          <w:rFonts w:asciiTheme="minorHAnsi" w:hAnsiTheme="minorHAnsi"/>
          <w:sz w:val="18"/>
          <w:szCs w:val="18"/>
          <w:lang w:val="en-AU"/>
        </w:rPr>
        <w:t xml:space="preserve">** </w:t>
      </w:r>
      <w:r w:rsidRPr="00687B47">
        <w:rPr>
          <w:rFonts w:asciiTheme="minorHAnsi" w:hAnsiTheme="minorHAnsi"/>
          <w:sz w:val="18"/>
          <w:szCs w:val="18"/>
          <w:lang w:val="en-AU"/>
        </w:rPr>
        <w:tab/>
        <w:t>The total number of individual mentors will be less than reported as some have participated in more than one phase</w:t>
      </w:r>
    </w:p>
    <w:p w:rsidR="00D20962" w:rsidRPr="00D20962" w:rsidRDefault="00D20962" w:rsidP="00D20962">
      <w:pPr>
        <w:spacing w:before="120" w:after="120"/>
        <w:jc w:val="center"/>
        <w:outlineLvl w:val="1"/>
        <w:rPr>
          <w:bCs/>
          <w:sz w:val="20"/>
          <w:szCs w:val="20"/>
          <w:lang w:val="en-AU"/>
        </w:rPr>
      </w:pPr>
      <w:r w:rsidRPr="00D20962">
        <w:rPr>
          <w:bCs/>
          <w:sz w:val="20"/>
          <w:szCs w:val="20"/>
          <w:lang w:val="en-AU"/>
        </w:rPr>
        <w:t>Source: SSQ Component 3 management team</w:t>
      </w:r>
    </w:p>
    <w:p w:rsidR="00D20962" w:rsidRPr="00D20962" w:rsidRDefault="00D20962" w:rsidP="00D20962">
      <w:pPr>
        <w:spacing w:before="120" w:after="120" w:line="120" w:lineRule="auto"/>
        <w:rPr>
          <w:lang w:val="en-AU"/>
        </w:rPr>
      </w:pPr>
    </w:p>
    <w:p w:rsidR="00D20962" w:rsidRPr="009E4D89" w:rsidRDefault="00D20962" w:rsidP="009E4D89">
      <w:pPr>
        <w:keepNext/>
        <w:numPr>
          <w:ilvl w:val="2"/>
          <w:numId w:val="7"/>
        </w:numPr>
        <w:spacing w:before="120" w:after="120"/>
        <w:ind w:left="709" w:hanging="709"/>
        <w:outlineLvl w:val="2"/>
        <w:rPr>
          <w:bCs/>
          <w:color w:val="003880"/>
          <w:sz w:val="24"/>
          <w:szCs w:val="28"/>
          <w:lang w:val="en-AU"/>
        </w:rPr>
      </w:pPr>
      <w:r w:rsidRPr="009E4D89">
        <w:rPr>
          <w:bCs/>
          <w:color w:val="003880"/>
          <w:sz w:val="24"/>
          <w:szCs w:val="28"/>
          <w:lang w:val="en-AU"/>
        </w:rPr>
        <w:t>With regards to EOCO 3.2</w:t>
      </w:r>
    </w:p>
    <w:p w:rsidR="00D20962" w:rsidRPr="00D20962" w:rsidRDefault="00D20962" w:rsidP="00D20962">
      <w:pPr>
        <w:spacing w:before="120" w:after="120" w:line="276" w:lineRule="auto"/>
        <w:jc w:val="both"/>
        <w:rPr>
          <w:lang w:val="en-AU"/>
        </w:rPr>
      </w:pPr>
      <w:r w:rsidRPr="00D20962">
        <w:rPr>
          <w:bCs/>
          <w:lang w:val="en-AU"/>
        </w:rPr>
        <w:t xml:space="preserve">There is a growing sense of interest in and commitment to the EP model of support. At the national level, </w:t>
      </w:r>
      <w:r w:rsidRPr="00D20962">
        <w:rPr>
          <w:lang w:val="en-AU"/>
        </w:rPr>
        <w:t xml:space="preserve">the draft MDC Regulation, prepared by MoRA in 2014, provides a SNIP-derived framework for the operationalization of MDCs in all provinces, supported by a national MDC that will provide necessary strategic guidance. Meanwhile, UPPAM’s restructuring saw a shift in responsibilities back to MoRA sub-directorates, thereby demonstrating a re-institutionalization of the functions performed by UPPAM. </w:t>
      </w:r>
    </w:p>
    <w:p w:rsidR="00D20962" w:rsidRPr="00D20962" w:rsidRDefault="00D20962" w:rsidP="00D20962">
      <w:pPr>
        <w:spacing w:before="120" w:after="120" w:line="276" w:lineRule="auto"/>
        <w:jc w:val="both"/>
        <w:rPr>
          <w:lang w:val="en-AU"/>
        </w:rPr>
      </w:pPr>
      <w:r w:rsidRPr="00D20962">
        <w:rPr>
          <w:lang w:val="en-AU"/>
        </w:rPr>
        <w:t>From an operational perspective, MoRA has made year-on-year increases in the number of upgraded madrasah it supports and, modelled on the provision of Block Grants, over 150 madrasah</w:t>
      </w:r>
      <w:r w:rsidRPr="00D20962">
        <w:rPr>
          <w:rFonts w:ascii="Times New Roman" w:hAnsi="Times New Roman"/>
          <w:vertAlign w:val="superscript"/>
          <w:lang w:val="en-AU"/>
        </w:rPr>
        <w:footnoteReference w:id="44"/>
      </w:r>
      <w:r w:rsidRPr="00D20962">
        <w:rPr>
          <w:lang w:val="en-AU"/>
        </w:rPr>
        <w:t xml:space="preserve"> are scheduled to receive support in 2015 through grants sourced from the national budget</w:t>
      </w:r>
      <w:r w:rsidRPr="00D20962">
        <w:rPr>
          <w:vertAlign w:val="superscript"/>
          <w:lang w:val="en-AU"/>
        </w:rPr>
        <w:endnoteReference w:id="65"/>
      </w:r>
      <w:r w:rsidRPr="00D20962">
        <w:rPr>
          <w:lang w:val="en-AU"/>
        </w:rPr>
        <w:t>. This represents a significant increase on the 25 madrasah supported in 2014 and the 24 in 2013. MoRA is also engaged in ongoing efforts, with the support of C3, to implement, improve and incorporate the madrasah accreditation database with the existing MoRA Education Management Information System.</w:t>
      </w:r>
    </w:p>
    <w:p w:rsidR="00D20962" w:rsidRPr="00D20962" w:rsidRDefault="00D20962" w:rsidP="00D20962">
      <w:pPr>
        <w:spacing w:before="120" w:after="120" w:line="276" w:lineRule="auto"/>
        <w:jc w:val="both"/>
        <w:rPr>
          <w:lang w:val="en-AU"/>
        </w:rPr>
      </w:pPr>
      <w:r w:rsidRPr="00D20962">
        <w:rPr>
          <w:lang w:val="en-AU"/>
        </w:rPr>
        <w:t>At the sub-national/provincial level, it is encouraging to note occurrences of SNIPs and madrasah (both targeted and non-targeted) successfully applying C3 guidance concerning the acquisition of funds from other sources to support improvements to madrasah</w:t>
      </w:r>
      <w:r w:rsidRPr="00D20962">
        <w:rPr>
          <w:rFonts w:ascii="Times New Roman" w:hAnsi="Times New Roman"/>
          <w:vertAlign w:val="superscript"/>
          <w:lang w:val="en-AU"/>
        </w:rPr>
        <w:footnoteReference w:id="45"/>
      </w:r>
      <w:r w:rsidRPr="00D20962">
        <w:rPr>
          <w:lang w:val="en-AU"/>
        </w:rPr>
        <w:t>. There is also reported evidence</w:t>
      </w:r>
      <w:r w:rsidRPr="00D20962">
        <w:rPr>
          <w:vertAlign w:val="superscript"/>
          <w:lang w:val="en-AU"/>
        </w:rPr>
        <w:endnoteReference w:id="66"/>
      </w:r>
      <w:r w:rsidRPr="00D20962">
        <w:rPr>
          <w:lang w:val="en-AU"/>
        </w:rPr>
        <w:t xml:space="preserve"> of strengthened SNIP networks, with the main stakeholders being provincial and district offices of </w:t>
      </w:r>
      <w:r w:rsidRPr="00D20962">
        <w:rPr>
          <w:lang w:val="en-AU"/>
        </w:rPr>
        <w:lastRenderedPageBreak/>
        <w:t>MoRA, district and provincial governments, members of parliament, District Education Councils, Provincial Accreditation bodies and communities served by madrasah.</w:t>
      </w:r>
      <w:r w:rsidR="00940C3D">
        <w:rPr>
          <w:lang w:val="en-AU"/>
        </w:rPr>
        <w:t xml:space="preserve"> </w:t>
      </w:r>
      <w:r w:rsidRPr="00D20962">
        <w:rPr>
          <w:lang w:val="en-AU"/>
        </w:rPr>
        <w:t>Evidence of strengthened networks has not been consistently reported in a format that would enable a detailed analysis of contributions of C3 to systems strengthening at the sub-national level</w:t>
      </w:r>
      <w:r w:rsidRPr="00D20962">
        <w:rPr>
          <w:rFonts w:ascii="Times New Roman" w:hAnsi="Times New Roman"/>
          <w:vertAlign w:val="superscript"/>
          <w:lang w:val="en-AU"/>
        </w:rPr>
        <w:footnoteReference w:id="46"/>
      </w:r>
      <w:r w:rsidRPr="00D20962">
        <w:rPr>
          <w:lang w:val="en-AU"/>
        </w:rPr>
        <w:t>.</w:t>
      </w:r>
      <w:r w:rsidR="00940C3D">
        <w:rPr>
          <w:lang w:val="en-AU"/>
        </w:rPr>
        <w:t xml:space="preserve"> </w:t>
      </w:r>
      <w:r w:rsidRPr="00D20962">
        <w:rPr>
          <w:lang w:val="en-AU"/>
        </w:rPr>
        <w:t>One would expect however that C3 support could be instrumental, under certain conditions, in introducing changes to sub-national systems</w:t>
      </w:r>
      <w:r w:rsidRPr="00D20962">
        <w:rPr>
          <w:rFonts w:ascii="Times New Roman" w:hAnsi="Times New Roman"/>
          <w:vertAlign w:val="superscript"/>
          <w:lang w:val="en-AU"/>
        </w:rPr>
        <w:footnoteReference w:id="47"/>
      </w:r>
      <w:r w:rsidRPr="00D20962">
        <w:rPr>
          <w:lang w:val="en-AU"/>
        </w:rPr>
        <w:t>.</w:t>
      </w:r>
    </w:p>
    <w:p w:rsidR="00D20962" w:rsidRPr="00D20962" w:rsidRDefault="00D20962" w:rsidP="00D20962">
      <w:pPr>
        <w:keepNext/>
        <w:numPr>
          <w:ilvl w:val="1"/>
          <w:numId w:val="7"/>
        </w:numPr>
        <w:spacing w:before="120" w:after="120" w:line="276" w:lineRule="auto"/>
        <w:ind w:hanging="720"/>
        <w:outlineLvl w:val="1"/>
        <w:rPr>
          <w:b/>
          <w:bCs/>
          <w:iCs/>
          <w:color w:val="003880"/>
          <w:sz w:val="24"/>
          <w:szCs w:val="24"/>
          <w:lang w:val="en-AU"/>
        </w:rPr>
      </w:pPr>
      <w:r w:rsidRPr="00D20962">
        <w:rPr>
          <w:b/>
          <w:bCs/>
          <w:iCs/>
          <w:color w:val="003880"/>
          <w:sz w:val="24"/>
          <w:szCs w:val="24"/>
          <w:lang w:val="en-AU"/>
        </w:rPr>
        <w:t>Analysis</w:t>
      </w:r>
    </w:p>
    <w:p w:rsidR="00D20962" w:rsidRPr="009E4D89" w:rsidRDefault="00D20962" w:rsidP="009E4D89">
      <w:pPr>
        <w:keepNext/>
        <w:numPr>
          <w:ilvl w:val="2"/>
          <w:numId w:val="7"/>
        </w:numPr>
        <w:spacing w:before="120" w:after="120"/>
        <w:ind w:left="709" w:hanging="709"/>
        <w:outlineLvl w:val="2"/>
        <w:rPr>
          <w:bCs/>
          <w:color w:val="003880"/>
          <w:sz w:val="24"/>
          <w:szCs w:val="28"/>
          <w:lang w:val="en-AU"/>
        </w:rPr>
      </w:pPr>
      <w:r w:rsidRPr="00D20962">
        <w:rPr>
          <w:bCs/>
          <w:color w:val="003880"/>
          <w:sz w:val="24"/>
          <w:szCs w:val="28"/>
          <w:lang w:val="en-AU"/>
        </w:rPr>
        <w:t>Relevance</w:t>
      </w:r>
    </w:p>
    <w:p w:rsidR="00D20962" w:rsidRPr="00D20962" w:rsidRDefault="00D20962" w:rsidP="00D20962">
      <w:pPr>
        <w:spacing w:before="120" w:after="120" w:line="276" w:lineRule="auto"/>
        <w:jc w:val="both"/>
        <w:rPr>
          <w:bCs/>
          <w:lang w:val="en-AU"/>
        </w:rPr>
      </w:pPr>
      <w:r w:rsidRPr="00D20962">
        <w:rPr>
          <w:bCs/>
          <w:lang w:val="en-AU"/>
        </w:rPr>
        <w:t xml:space="preserve">EOCO 3.1 – </w:t>
      </w:r>
      <w:r w:rsidRPr="00D20962">
        <w:rPr>
          <w:bCs/>
          <w:i/>
          <w:lang w:val="en-AU"/>
        </w:rPr>
        <w:t>targeted madrasah are ready for accreditation</w:t>
      </w:r>
      <w:r w:rsidRPr="00D20962">
        <w:rPr>
          <w:bCs/>
          <w:lang w:val="en-AU"/>
        </w:rPr>
        <w:t xml:space="preserve"> - remains highly relevant to GoI given that MoRA is seeking to increase the number of madrasah accredited by BAN S/M. The MoRA </w:t>
      </w:r>
      <w:r w:rsidRPr="00D20962">
        <w:rPr>
          <w:bCs/>
          <w:i/>
          <w:lang w:val="en-AU"/>
        </w:rPr>
        <w:t>Renstra</w:t>
      </w:r>
      <w:r w:rsidRPr="00D20962">
        <w:rPr>
          <w:bCs/>
          <w:lang w:val="en-AU"/>
        </w:rPr>
        <w:t xml:space="preserve"> 2015-2019, which is under development, is likely to indicate that the pursuit of accreditation remains a policy priority. EOCO 3.2 – </w:t>
      </w:r>
      <w:r w:rsidRPr="00D20962">
        <w:rPr>
          <w:bCs/>
          <w:i/>
          <w:lang w:val="en-AU"/>
        </w:rPr>
        <w:t xml:space="preserve">the system for madrasah quality improvement is strengthened – </w:t>
      </w:r>
      <w:r w:rsidRPr="00D20962">
        <w:rPr>
          <w:bCs/>
          <w:lang w:val="en-AU"/>
        </w:rPr>
        <w:t xml:space="preserve">appears to be of increasing relevance, as demonstrated by MoRA’s commitment to, </w:t>
      </w:r>
      <w:r w:rsidRPr="00D20962">
        <w:rPr>
          <w:bCs/>
          <w:i/>
          <w:lang w:val="en-AU"/>
        </w:rPr>
        <w:t>inter alia</w:t>
      </w:r>
      <w:r w:rsidRPr="00D20962">
        <w:rPr>
          <w:bCs/>
          <w:lang w:val="en-AU"/>
        </w:rPr>
        <w:t>, develop a ‘Grand Design’ that will guide the government’s efforts to improve the quality of service provision; the aforementioned draft MDR Regulation; the use the national budget to ‘upgrade’ a limited number of madrasah using a modified C3 Block Grant approach; and, ongoing efforts to strengthen and integrate the accreditation database and within the MoRA EMIS.</w:t>
      </w:r>
    </w:p>
    <w:p w:rsidR="00D20962" w:rsidRPr="00D20962" w:rsidRDefault="00D20962" w:rsidP="00D20962">
      <w:pPr>
        <w:spacing w:before="120" w:after="120" w:line="276" w:lineRule="auto"/>
        <w:jc w:val="both"/>
        <w:rPr>
          <w:bCs/>
          <w:lang w:val="en-AU"/>
        </w:rPr>
      </w:pPr>
      <w:r w:rsidRPr="00D20962">
        <w:rPr>
          <w:bCs/>
          <w:lang w:val="en-AU"/>
        </w:rPr>
        <w:t>For DFAT, improvement of madrasah service provision continues to remain an important part of its wider package of support to education quality improvement in Indonesia. Whilst POM understands that there is no specific mention of Islamic education in the preliminary draft objectives of the upcoming DFAT Aid Investment Plan (AIP), the proposed country outcomes will continue to directly relate to continuing efforts to support improvements in the quality of education – which, for Indonesia, will necessarily include madrasah.</w:t>
      </w:r>
    </w:p>
    <w:p w:rsidR="00D20962" w:rsidRPr="00D20962" w:rsidRDefault="00D20962" w:rsidP="00D20962">
      <w:pPr>
        <w:spacing w:before="120" w:after="120" w:line="276" w:lineRule="auto"/>
        <w:jc w:val="both"/>
        <w:rPr>
          <w:rFonts w:eastAsia="Calibri"/>
          <w:lang w:val="en-AU"/>
        </w:rPr>
      </w:pPr>
      <w:r w:rsidRPr="00D20962">
        <w:rPr>
          <w:bCs/>
          <w:lang w:val="en-AU"/>
        </w:rPr>
        <w:t xml:space="preserve">The internal relevance of C3 investments to the attainment of the End-Of-Partnership Outcome (EOPO3) - </w:t>
      </w:r>
      <w:r w:rsidRPr="00D20962">
        <w:rPr>
          <w:bCs/>
          <w:i/>
          <w:lang w:val="en-AU"/>
        </w:rPr>
        <w:t>improved quality of madrasah service provision</w:t>
      </w:r>
      <w:r w:rsidRPr="00D20962">
        <w:rPr>
          <w:bCs/>
          <w:lang w:val="en-AU"/>
        </w:rPr>
        <w:t xml:space="preserve"> – is improving, albeit at the present time it remains somewhat disconnected and activities are largely bound by the primary focus on accreditation rather than an expanded focus on quality (see later sections of this Chapter)</w:t>
      </w:r>
      <w:r w:rsidRPr="00D20962">
        <w:rPr>
          <w:rFonts w:ascii="Times New Roman" w:hAnsi="Times New Roman"/>
          <w:bCs/>
          <w:vertAlign w:val="superscript"/>
          <w:lang w:val="en-AU"/>
        </w:rPr>
        <w:footnoteReference w:id="48"/>
      </w:r>
      <w:r w:rsidRPr="00D20962">
        <w:rPr>
          <w:bCs/>
          <w:lang w:val="en-AU"/>
        </w:rPr>
        <w:t xml:space="preserve">. </w:t>
      </w:r>
    </w:p>
    <w:p w:rsidR="00D20962" w:rsidRPr="00D20962" w:rsidRDefault="00D20962" w:rsidP="00D20962">
      <w:pPr>
        <w:keepNext/>
        <w:spacing w:line="276" w:lineRule="auto"/>
        <w:ind w:left="720"/>
        <w:outlineLvl w:val="2"/>
        <w:rPr>
          <w:bCs/>
          <w:color w:val="003880"/>
          <w:sz w:val="24"/>
          <w:szCs w:val="28"/>
          <w:lang w:val="en-AU"/>
        </w:rPr>
      </w:pPr>
    </w:p>
    <w:p w:rsidR="00D20962" w:rsidRPr="00D20962" w:rsidRDefault="00D20962" w:rsidP="009E4D89">
      <w:pPr>
        <w:keepNext/>
        <w:numPr>
          <w:ilvl w:val="2"/>
          <w:numId w:val="7"/>
        </w:numPr>
        <w:spacing w:before="120" w:after="120"/>
        <w:ind w:left="709" w:hanging="709"/>
        <w:outlineLvl w:val="2"/>
        <w:rPr>
          <w:bCs/>
          <w:color w:val="003880"/>
          <w:sz w:val="24"/>
          <w:szCs w:val="28"/>
          <w:lang w:val="en-AU"/>
        </w:rPr>
      </w:pPr>
      <w:r w:rsidRPr="00D20962">
        <w:rPr>
          <w:bCs/>
          <w:color w:val="003880"/>
          <w:sz w:val="24"/>
          <w:szCs w:val="28"/>
          <w:lang w:val="en-AU"/>
        </w:rPr>
        <w:t>Efficiency</w:t>
      </w:r>
    </w:p>
    <w:p w:rsidR="00D20962" w:rsidRPr="00D20962" w:rsidRDefault="00D20962" w:rsidP="00940C3D">
      <w:pPr>
        <w:spacing w:before="120" w:after="120" w:line="276" w:lineRule="auto"/>
        <w:jc w:val="both"/>
        <w:rPr>
          <w:bCs/>
          <w:lang w:val="en-AU"/>
        </w:rPr>
      </w:pPr>
      <w:r w:rsidRPr="00D20962">
        <w:rPr>
          <w:bCs/>
          <w:lang w:val="en-AU"/>
        </w:rPr>
        <w:t>From a delivery perspective, the implementation of Phases 1 and 2 has been managed well, with good progress made against the 2014 targets outlined in the PMF (see Table 1</w:t>
      </w:r>
      <w:r w:rsidR="009E4D89">
        <w:rPr>
          <w:bCs/>
          <w:lang w:val="en-AU"/>
        </w:rPr>
        <w:t>3</w:t>
      </w:r>
      <w:r w:rsidRPr="00D20962">
        <w:rPr>
          <w:bCs/>
          <w:lang w:val="en-AU"/>
        </w:rPr>
        <w:t>).</w:t>
      </w:r>
    </w:p>
    <w:p w:rsidR="00940C3D" w:rsidRDefault="00940C3D" w:rsidP="00940C3D">
      <w:pPr>
        <w:spacing w:before="120" w:after="120"/>
        <w:ind w:left="86" w:right="43"/>
        <w:jc w:val="center"/>
        <w:rPr>
          <w:b/>
          <w:lang w:val="en-GB"/>
        </w:rPr>
      </w:pPr>
      <w:bookmarkStart w:id="40" w:name="_Toc412534585"/>
    </w:p>
    <w:p w:rsidR="00940C3D" w:rsidRDefault="00940C3D" w:rsidP="00940C3D">
      <w:pPr>
        <w:spacing w:before="120" w:after="120"/>
        <w:ind w:left="86" w:right="43"/>
        <w:jc w:val="center"/>
        <w:rPr>
          <w:b/>
          <w:lang w:val="en-GB"/>
        </w:rPr>
      </w:pPr>
    </w:p>
    <w:p w:rsidR="00940C3D" w:rsidRDefault="00940C3D" w:rsidP="00940C3D">
      <w:pPr>
        <w:spacing w:before="120" w:after="120"/>
        <w:ind w:left="86" w:right="43"/>
        <w:jc w:val="center"/>
        <w:rPr>
          <w:b/>
          <w:lang w:val="en-GB"/>
        </w:rPr>
      </w:pPr>
    </w:p>
    <w:p w:rsidR="00D20962" w:rsidRPr="00D20962" w:rsidRDefault="00D20962" w:rsidP="00940C3D">
      <w:pPr>
        <w:spacing w:before="120" w:after="120"/>
        <w:ind w:left="86" w:right="43"/>
        <w:jc w:val="center"/>
        <w:rPr>
          <w:b/>
          <w:lang w:val="en-AU"/>
        </w:rPr>
      </w:pPr>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13</w:t>
      </w:r>
      <w:r w:rsidRPr="00D20962">
        <w:rPr>
          <w:b/>
          <w:lang w:val="en-GB"/>
        </w:rPr>
        <w:fldChar w:fldCharType="end"/>
      </w:r>
      <w:r w:rsidRPr="00D20962">
        <w:rPr>
          <w:b/>
          <w:lang w:val="en-AU"/>
        </w:rPr>
        <w:t>: C3 Achievements against Output Targets</w:t>
      </w:r>
      <w:bookmarkEnd w:id="40"/>
      <w:r w:rsidRPr="00D20962">
        <w:rPr>
          <w:b/>
          <w:lang w:val="en-AU"/>
        </w:rPr>
        <w:t xml:space="preserve"> </w:t>
      </w:r>
    </w:p>
    <w:p w:rsidR="00D20962" w:rsidRPr="00D20962" w:rsidRDefault="00D20962" w:rsidP="00940C3D">
      <w:pPr>
        <w:rPr>
          <w:lang w:val="en-AU"/>
        </w:rPr>
      </w:pPr>
    </w:p>
    <w:tbl>
      <w:tblPr>
        <w:tblStyle w:val="TableGrid172"/>
        <w:tblW w:w="0" w:type="auto"/>
        <w:jc w:val="center"/>
        <w:tblLook w:val="04A0" w:firstRow="1" w:lastRow="0" w:firstColumn="1" w:lastColumn="0" w:noHBand="0" w:noVBand="1"/>
      </w:tblPr>
      <w:tblGrid>
        <w:gridCol w:w="3875"/>
        <w:gridCol w:w="1418"/>
        <w:gridCol w:w="1424"/>
        <w:gridCol w:w="2130"/>
      </w:tblGrid>
      <w:tr w:rsidR="00D20962" w:rsidRPr="00D20962" w:rsidTr="00D20962">
        <w:trPr>
          <w:trHeight w:val="211"/>
          <w:tblHeader/>
          <w:jc w:val="center"/>
        </w:trPr>
        <w:tc>
          <w:tcPr>
            <w:tcW w:w="3875" w:type="dxa"/>
            <w:vMerge w:val="restart"/>
            <w:shd w:val="clear" w:color="auto" w:fill="244061" w:themeFill="accent1" w:themeFillShade="80"/>
            <w:vAlign w:val="center"/>
          </w:tcPr>
          <w:p w:rsidR="00D20962" w:rsidRPr="00D20962" w:rsidRDefault="00D20962" w:rsidP="00940C3D">
            <w:pPr>
              <w:jc w:val="center"/>
              <w:rPr>
                <w:rFonts w:asciiTheme="minorHAnsi" w:hAnsiTheme="minorHAnsi"/>
                <w:b/>
                <w:lang w:val="en-AU"/>
              </w:rPr>
            </w:pPr>
            <w:r w:rsidRPr="00D20962">
              <w:rPr>
                <w:rFonts w:asciiTheme="minorHAnsi" w:hAnsiTheme="minorHAnsi"/>
                <w:b/>
                <w:lang w:val="en-AU"/>
              </w:rPr>
              <w:t>Output</w:t>
            </w:r>
          </w:p>
          <w:p w:rsidR="00D20962" w:rsidRPr="00D20962" w:rsidRDefault="00D20962" w:rsidP="00940C3D">
            <w:pPr>
              <w:jc w:val="center"/>
              <w:rPr>
                <w:rFonts w:asciiTheme="minorHAnsi" w:hAnsiTheme="minorHAnsi"/>
                <w:b/>
                <w:lang w:val="en-AU"/>
              </w:rPr>
            </w:pPr>
            <w:r w:rsidRPr="00D20962">
              <w:rPr>
                <w:rFonts w:asciiTheme="minorHAnsi" w:hAnsiTheme="minorHAnsi"/>
                <w:b/>
                <w:lang w:val="en-AU"/>
              </w:rPr>
              <w:t>Indicators*</w:t>
            </w:r>
          </w:p>
        </w:tc>
        <w:tc>
          <w:tcPr>
            <w:tcW w:w="2835" w:type="dxa"/>
            <w:gridSpan w:val="2"/>
            <w:tcBorders>
              <w:bottom w:val="single" w:sz="4" w:space="0" w:color="auto"/>
            </w:tcBorders>
            <w:shd w:val="clear" w:color="auto" w:fill="244061" w:themeFill="accent1" w:themeFillShade="80"/>
            <w:vAlign w:val="center"/>
          </w:tcPr>
          <w:p w:rsidR="00D20962" w:rsidRPr="00D20962" w:rsidRDefault="00D20962" w:rsidP="00940C3D">
            <w:pPr>
              <w:jc w:val="center"/>
              <w:rPr>
                <w:rFonts w:asciiTheme="minorHAnsi" w:hAnsiTheme="minorHAnsi"/>
                <w:b/>
                <w:lang w:val="en-AU"/>
              </w:rPr>
            </w:pPr>
            <w:r w:rsidRPr="00D20962">
              <w:rPr>
                <w:rFonts w:asciiTheme="minorHAnsi" w:hAnsiTheme="minorHAnsi"/>
                <w:b/>
                <w:lang w:val="en-AU"/>
              </w:rPr>
              <w:t>Milestones</w:t>
            </w:r>
          </w:p>
        </w:tc>
        <w:tc>
          <w:tcPr>
            <w:tcW w:w="2130" w:type="dxa"/>
            <w:vMerge w:val="restart"/>
            <w:shd w:val="clear" w:color="auto" w:fill="244061" w:themeFill="accent1" w:themeFillShade="80"/>
            <w:vAlign w:val="center"/>
          </w:tcPr>
          <w:p w:rsidR="00D20962" w:rsidRPr="00D20962" w:rsidRDefault="00D20962" w:rsidP="00940C3D">
            <w:pPr>
              <w:jc w:val="center"/>
              <w:rPr>
                <w:rFonts w:asciiTheme="minorHAnsi" w:hAnsiTheme="minorHAnsi"/>
                <w:b/>
                <w:lang w:val="en-AU"/>
              </w:rPr>
            </w:pPr>
            <w:r w:rsidRPr="00D20962">
              <w:rPr>
                <w:rFonts w:asciiTheme="minorHAnsi" w:hAnsiTheme="minorHAnsi"/>
                <w:b/>
                <w:lang w:val="en-AU"/>
              </w:rPr>
              <w:t>Explanation for Variance</w:t>
            </w:r>
          </w:p>
        </w:tc>
      </w:tr>
      <w:tr w:rsidR="00D20962" w:rsidRPr="00D20962" w:rsidTr="00D20962">
        <w:trPr>
          <w:trHeight w:val="317"/>
          <w:tblHeader/>
          <w:jc w:val="center"/>
        </w:trPr>
        <w:tc>
          <w:tcPr>
            <w:tcW w:w="3875" w:type="dxa"/>
            <w:vMerge/>
            <w:shd w:val="clear" w:color="auto" w:fill="244061" w:themeFill="accent1" w:themeFillShade="80"/>
            <w:vAlign w:val="center"/>
          </w:tcPr>
          <w:p w:rsidR="00D20962" w:rsidRPr="00D20962" w:rsidRDefault="00D20962" w:rsidP="00940C3D">
            <w:pPr>
              <w:jc w:val="center"/>
              <w:rPr>
                <w:rFonts w:asciiTheme="minorHAnsi" w:hAnsiTheme="minorHAnsi"/>
                <w:lang w:val="en-AU"/>
              </w:rPr>
            </w:pPr>
          </w:p>
        </w:tc>
        <w:tc>
          <w:tcPr>
            <w:tcW w:w="1418" w:type="dxa"/>
            <w:shd w:val="clear" w:color="auto" w:fill="244061" w:themeFill="accent1" w:themeFillShade="80"/>
            <w:vAlign w:val="center"/>
          </w:tcPr>
          <w:p w:rsidR="00D20962" w:rsidRPr="00D20962" w:rsidRDefault="00D20962" w:rsidP="00940C3D">
            <w:pPr>
              <w:jc w:val="center"/>
              <w:rPr>
                <w:rFonts w:asciiTheme="minorHAnsi" w:hAnsiTheme="minorHAnsi"/>
                <w:b/>
                <w:lang w:val="en-AU"/>
              </w:rPr>
            </w:pPr>
            <w:r w:rsidRPr="00D20962">
              <w:rPr>
                <w:rFonts w:asciiTheme="minorHAnsi" w:hAnsiTheme="minorHAnsi"/>
                <w:b/>
                <w:lang w:val="en-AU"/>
              </w:rPr>
              <w:t>2014 Target</w:t>
            </w:r>
          </w:p>
        </w:tc>
        <w:tc>
          <w:tcPr>
            <w:tcW w:w="1417" w:type="dxa"/>
            <w:shd w:val="clear" w:color="auto" w:fill="244061" w:themeFill="accent1" w:themeFillShade="80"/>
            <w:vAlign w:val="center"/>
          </w:tcPr>
          <w:p w:rsidR="00D20962" w:rsidRPr="00D20962" w:rsidRDefault="00D20962" w:rsidP="00940C3D">
            <w:pPr>
              <w:jc w:val="center"/>
              <w:rPr>
                <w:rFonts w:asciiTheme="minorHAnsi" w:hAnsiTheme="minorHAnsi"/>
                <w:b/>
                <w:lang w:val="en-AU"/>
              </w:rPr>
            </w:pPr>
            <w:r w:rsidRPr="00D20962">
              <w:rPr>
                <w:rFonts w:asciiTheme="minorHAnsi" w:hAnsiTheme="minorHAnsi"/>
                <w:b/>
                <w:lang w:val="en-AU"/>
              </w:rPr>
              <w:t>Achievement</w:t>
            </w:r>
          </w:p>
        </w:tc>
        <w:tc>
          <w:tcPr>
            <w:tcW w:w="2130" w:type="dxa"/>
            <w:vMerge/>
            <w:shd w:val="clear" w:color="auto" w:fill="244061" w:themeFill="accent1" w:themeFillShade="80"/>
            <w:vAlign w:val="center"/>
          </w:tcPr>
          <w:p w:rsidR="00D20962" w:rsidRPr="00D20962" w:rsidRDefault="00D20962" w:rsidP="00940C3D">
            <w:pPr>
              <w:jc w:val="center"/>
              <w:rPr>
                <w:rFonts w:asciiTheme="minorHAnsi" w:hAnsiTheme="minorHAnsi"/>
                <w:lang w:val="en-AU"/>
              </w:rPr>
            </w:pPr>
          </w:p>
        </w:tc>
      </w:tr>
      <w:tr w:rsidR="00D20962" w:rsidRPr="00D20962" w:rsidTr="00D20962">
        <w:trPr>
          <w:trHeight w:val="434"/>
          <w:jc w:val="center"/>
        </w:trPr>
        <w:tc>
          <w:tcPr>
            <w:tcW w:w="3875" w:type="dxa"/>
            <w:vAlign w:val="center"/>
          </w:tcPr>
          <w:p w:rsidR="00D20962" w:rsidRPr="00D20962" w:rsidRDefault="00D20962" w:rsidP="00940C3D">
            <w:pPr>
              <w:rPr>
                <w:rFonts w:asciiTheme="minorHAnsi" w:hAnsiTheme="minorHAnsi"/>
                <w:sz w:val="18"/>
                <w:szCs w:val="18"/>
                <w:lang w:val="en-AU"/>
              </w:rPr>
            </w:pPr>
            <w:r w:rsidRPr="00D20962">
              <w:rPr>
                <w:rFonts w:asciiTheme="minorHAnsi" w:hAnsiTheme="minorHAnsi"/>
                <w:sz w:val="18"/>
                <w:szCs w:val="18"/>
                <w:lang w:val="en-AU"/>
              </w:rPr>
              <w:t>Number of training sessions provided per year by SNIP to madrasah</w:t>
            </w:r>
          </w:p>
        </w:tc>
        <w:tc>
          <w:tcPr>
            <w:tcW w:w="1418" w:type="dxa"/>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7,602</w:t>
            </w:r>
          </w:p>
        </w:tc>
        <w:tc>
          <w:tcPr>
            <w:tcW w:w="1417" w:type="dxa"/>
            <w:shd w:val="clear" w:color="auto" w:fill="FFFFFF" w:themeFill="background1"/>
            <w:vAlign w:val="center"/>
          </w:tcPr>
          <w:p w:rsidR="00D20962" w:rsidRPr="00D20962" w:rsidRDefault="00D20962" w:rsidP="00940C3D">
            <w:pPr>
              <w:jc w:val="center"/>
              <w:rPr>
                <w:rFonts w:asciiTheme="minorHAnsi" w:hAnsiTheme="minorHAnsi"/>
                <w:sz w:val="18"/>
                <w:szCs w:val="18"/>
                <w:highlight w:val="yellow"/>
                <w:lang w:val="en-AU"/>
              </w:rPr>
            </w:pPr>
            <w:r w:rsidRPr="00D20962">
              <w:rPr>
                <w:rFonts w:asciiTheme="minorHAnsi" w:hAnsiTheme="minorHAnsi"/>
                <w:sz w:val="18"/>
                <w:szCs w:val="18"/>
                <w:lang w:val="en-AU"/>
              </w:rPr>
              <w:t>8,128 (107%)</w:t>
            </w:r>
          </w:p>
        </w:tc>
        <w:tc>
          <w:tcPr>
            <w:tcW w:w="2130" w:type="dxa"/>
            <w:shd w:val="clear" w:color="auto" w:fill="FFFFFF" w:themeFill="background1"/>
            <w:vAlign w:val="center"/>
          </w:tcPr>
          <w:p w:rsidR="00D20962" w:rsidRPr="00D20962" w:rsidRDefault="00D20962" w:rsidP="00940C3D">
            <w:pPr>
              <w:jc w:val="center"/>
              <w:rPr>
                <w:rFonts w:asciiTheme="minorHAnsi" w:hAnsiTheme="minorHAnsi"/>
                <w:sz w:val="18"/>
                <w:szCs w:val="18"/>
                <w:highlight w:val="yellow"/>
                <w:lang w:val="en-AU"/>
              </w:rPr>
            </w:pPr>
          </w:p>
        </w:tc>
      </w:tr>
      <w:tr w:rsidR="00D20962" w:rsidRPr="00D20962" w:rsidTr="00D20962">
        <w:trPr>
          <w:trHeight w:val="447"/>
          <w:jc w:val="center"/>
        </w:trPr>
        <w:tc>
          <w:tcPr>
            <w:tcW w:w="3875" w:type="dxa"/>
            <w:vAlign w:val="center"/>
          </w:tcPr>
          <w:p w:rsidR="00D20962" w:rsidRPr="00D20962" w:rsidRDefault="00D20962" w:rsidP="00940C3D">
            <w:pPr>
              <w:rPr>
                <w:rFonts w:asciiTheme="minorHAnsi" w:hAnsiTheme="minorHAnsi"/>
                <w:sz w:val="18"/>
                <w:szCs w:val="18"/>
                <w:lang w:val="en-AU"/>
              </w:rPr>
            </w:pPr>
            <w:r w:rsidRPr="00D20962">
              <w:rPr>
                <w:rFonts w:asciiTheme="minorHAnsi" w:hAnsiTheme="minorHAnsi"/>
                <w:sz w:val="18"/>
                <w:szCs w:val="18"/>
                <w:lang w:val="en-AU"/>
              </w:rPr>
              <w:t>Number of mentoring visits per year provided to targeted madrasah**</w:t>
            </w:r>
          </w:p>
        </w:tc>
        <w:tc>
          <w:tcPr>
            <w:tcW w:w="1418" w:type="dxa"/>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21,720</w:t>
            </w:r>
          </w:p>
        </w:tc>
        <w:tc>
          <w:tcPr>
            <w:tcW w:w="1417" w:type="dxa"/>
            <w:shd w:val="clear" w:color="auto" w:fill="FFFFFF" w:themeFill="background1"/>
            <w:vAlign w:val="center"/>
          </w:tcPr>
          <w:p w:rsidR="00D20962" w:rsidRPr="00D20962" w:rsidRDefault="00D20962" w:rsidP="00940C3D">
            <w:pPr>
              <w:jc w:val="center"/>
              <w:rPr>
                <w:rFonts w:asciiTheme="minorHAnsi" w:hAnsiTheme="minorHAnsi"/>
                <w:sz w:val="18"/>
                <w:szCs w:val="18"/>
                <w:highlight w:val="yellow"/>
                <w:lang w:val="en-AU"/>
              </w:rPr>
            </w:pPr>
            <w:r w:rsidRPr="00D20962">
              <w:rPr>
                <w:rFonts w:asciiTheme="minorHAnsi" w:hAnsiTheme="minorHAnsi"/>
                <w:sz w:val="18"/>
                <w:szCs w:val="18"/>
                <w:lang w:val="en-AU"/>
              </w:rPr>
              <w:t>17,407 (80%)</w:t>
            </w:r>
          </w:p>
        </w:tc>
        <w:tc>
          <w:tcPr>
            <w:tcW w:w="2130"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Mentor visits to remote areas less frequent</w:t>
            </w:r>
          </w:p>
        </w:tc>
      </w:tr>
      <w:tr w:rsidR="00D20962" w:rsidRPr="00D20962" w:rsidTr="00D20962">
        <w:trPr>
          <w:trHeight w:val="447"/>
          <w:jc w:val="center"/>
        </w:trPr>
        <w:tc>
          <w:tcPr>
            <w:tcW w:w="3875" w:type="dxa"/>
            <w:vAlign w:val="center"/>
          </w:tcPr>
          <w:p w:rsidR="00D20962" w:rsidRPr="00D20962" w:rsidRDefault="00D20962" w:rsidP="00940C3D">
            <w:pPr>
              <w:rPr>
                <w:rFonts w:asciiTheme="minorHAnsi" w:hAnsiTheme="minorHAnsi"/>
                <w:sz w:val="18"/>
                <w:szCs w:val="18"/>
                <w:lang w:val="en-AU"/>
              </w:rPr>
            </w:pPr>
            <w:r w:rsidRPr="00D20962">
              <w:rPr>
                <w:rFonts w:asciiTheme="minorHAnsi" w:hAnsiTheme="minorHAnsi"/>
                <w:sz w:val="18"/>
                <w:szCs w:val="18"/>
                <w:lang w:val="en-AU"/>
              </w:rPr>
              <w:t>Number of madrasah supported by MoRA with quality improvement activities (other than EP)</w:t>
            </w:r>
          </w:p>
        </w:tc>
        <w:tc>
          <w:tcPr>
            <w:tcW w:w="1418" w:type="dxa"/>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40</w:t>
            </w:r>
          </w:p>
        </w:tc>
        <w:tc>
          <w:tcPr>
            <w:tcW w:w="1417"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49 (123%)</w:t>
            </w:r>
          </w:p>
        </w:tc>
        <w:tc>
          <w:tcPr>
            <w:tcW w:w="2130"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‘Upgrading’ of additional madrasah initiated by MoRA</w:t>
            </w:r>
          </w:p>
        </w:tc>
      </w:tr>
      <w:tr w:rsidR="00D20962" w:rsidRPr="00D20962" w:rsidTr="00D20962">
        <w:trPr>
          <w:trHeight w:val="447"/>
          <w:jc w:val="center"/>
        </w:trPr>
        <w:tc>
          <w:tcPr>
            <w:tcW w:w="3875" w:type="dxa"/>
            <w:vAlign w:val="center"/>
          </w:tcPr>
          <w:p w:rsidR="00D20962" w:rsidRPr="00D20962" w:rsidRDefault="00D20962" w:rsidP="00940C3D">
            <w:pPr>
              <w:rPr>
                <w:rFonts w:asciiTheme="minorHAnsi" w:hAnsiTheme="minorHAnsi"/>
                <w:sz w:val="18"/>
                <w:szCs w:val="18"/>
                <w:lang w:val="en-AU"/>
              </w:rPr>
            </w:pPr>
            <w:r w:rsidRPr="00D20962">
              <w:rPr>
                <w:rFonts w:asciiTheme="minorHAnsi" w:hAnsiTheme="minorHAnsi"/>
                <w:sz w:val="18"/>
                <w:szCs w:val="18"/>
                <w:lang w:val="en-AU"/>
              </w:rPr>
              <w:t>Number of provinces in which there is evidence of improvement of networking and relationships between sub-national stakeholders</w:t>
            </w:r>
          </w:p>
        </w:tc>
        <w:tc>
          <w:tcPr>
            <w:tcW w:w="1418" w:type="dxa"/>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11</w:t>
            </w:r>
          </w:p>
        </w:tc>
        <w:tc>
          <w:tcPr>
            <w:tcW w:w="1417"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13 (118%)</w:t>
            </w:r>
          </w:p>
        </w:tc>
        <w:tc>
          <w:tcPr>
            <w:tcW w:w="2130"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Two additional provinces have been included</w:t>
            </w:r>
          </w:p>
        </w:tc>
      </w:tr>
      <w:tr w:rsidR="00D20962" w:rsidRPr="00D20962" w:rsidTr="00D20962">
        <w:trPr>
          <w:trHeight w:val="447"/>
          <w:jc w:val="center"/>
        </w:trPr>
        <w:tc>
          <w:tcPr>
            <w:tcW w:w="3875" w:type="dxa"/>
            <w:vAlign w:val="center"/>
          </w:tcPr>
          <w:p w:rsidR="00D20962" w:rsidRPr="00D20962" w:rsidRDefault="00D20962" w:rsidP="00940C3D">
            <w:pPr>
              <w:rPr>
                <w:rFonts w:asciiTheme="minorHAnsi" w:hAnsiTheme="minorHAnsi"/>
                <w:sz w:val="18"/>
                <w:szCs w:val="18"/>
                <w:lang w:val="en-AU"/>
              </w:rPr>
            </w:pPr>
            <w:r w:rsidRPr="00D20962">
              <w:rPr>
                <w:rFonts w:asciiTheme="minorHAnsi" w:hAnsiTheme="minorHAnsi"/>
                <w:sz w:val="18"/>
                <w:szCs w:val="18"/>
                <w:lang w:val="en-AU"/>
              </w:rPr>
              <w:t>Number of KKM trained by SNIPs in targeted districts</w:t>
            </w:r>
          </w:p>
        </w:tc>
        <w:tc>
          <w:tcPr>
            <w:tcW w:w="1418" w:type="dxa"/>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120</w:t>
            </w:r>
          </w:p>
        </w:tc>
        <w:tc>
          <w:tcPr>
            <w:tcW w:w="1417"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93 (78%)</w:t>
            </w:r>
          </w:p>
        </w:tc>
        <w:tc>
          <w:tcPr>
            <w:tcW w:w="2130"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Some SNIPs have not implemented the entire training package</w:t>
            </w:r>
          </w:p>
        </w:tc>
      </w:tr>
      <w:tr w:rsidR="00D20962" w:rsidRPr="00D20962" w:rsidTr="00D20962">
        <w:trPr>
          <w:trHeight w:val="447"/>
          <w:jc w:val="center"/>
        </w:trPr>
        <w:tc>
          <w:tcPr>
            <w:tcW w:w="3875" w:type="dxa"/>
            <w:vAlign w:val="center"/>
          </w:tcPr>
          <w:p w:rsidR="00D20962" w:rsidRPr="00D20962" w:rsidRDefault="00D20962" w:rsidP="00940C3D">
            <w:pPr>
              <w:rPr>
                <w:rFonts w:asciiTheme="minorHAnsi" w:hAnsiTheme="minorHAnsi"/>
                <w:sz w:val="18"/>
                <w:szCs w:val="18"/>
                <w:lang w:val="en-AU"/>
              </w:rPr>
            </w:pPr>
            <w:r w:rsidRPr="00D20962">
              <w:rPr>
                <w:rFonts w:asciiTheme="minorHAnsi" w:hAnsiTheme="minorHAnsi"/>
                <w:sz w:val="18"/>
                <w:szCs w:val="18"/>
                <w:lang w:val="en-AU"/>
              </w:rPr>
              <w:t>Number of targeted madrasah who improve their overall score by at least one level against accreditation criteria</w:t>
            </w:r>
          </w:p>
        </w:tc>
        <w:tc>
          <w:tcPr>
            <w:tcW w:w="1418" w:type="dxa"/>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1,086</w:t>
            </w:r>
          </w:p>
        </w:tc>
        <w:tc>
          <w:tcPr>
            <w:tcW w:w="1417"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975 (90%)</w:t>
            </w:r>
          </w:p>
        </w:tc>
        <w:tc>
          <w:tcPr>
            <w:tcW w:w="2130" w:type="dxa"/>
            <w:shd w:val="clear" w:color="auto" w:fill="FFFFFF" w:themeFill="background1"/>
            <w:vAlign w:val="center"/>
          </w:tcPr>
          <w:p w:rsidR="00D20962" w:rsidRPr="00D20962" w:rsidRDefault="00D20962" w:rsidP="00940C3D">
            <w:pPr>
              <w:jc w:val="center"/>
              <w:rPr>
                <w:rFonts w:asciiTheme="minorHAnsi" w:hAnsiTheme="minorHAnsi"/>
                <w:sz w:val="18"/>
                <w:szCs w:val="18"/>
                <w:lang w:val="en-AU"/>
              </w:rPr>
            </w:pPr>
            <w:r w:rsidRPr="00D20962">
              <w:rPr>
                <w:rFonts w:asciiTheme="minorHAnsi" w:hAnsiTheme="minorHAnsi"/>
                <w:sz w:val="18"/>
                <w:szCs w:val="18"/>
                <w:lang w:val="en-AU"/>
              </w:rPr>
              <w:t>BAN S/M has not completed and/or reported on assessments for all Phase 2 madrasah***</w:t>
            </w:r>
          </w:p>
        </w:tc>
      </w:tr>
    </w:tbl>
    <w:p w:rsidR="00D20962" w:rsidRPr="00D20962" w:rsidRDefault="00D20962" w:rsidP="00940C3D">
      <w:pPr>
        <w:ind w:left="284" w:hanging="142"/>
        <w:rPr>
          <w:rFonts w:asciiTheme="minorHAnsi" w:hAnsiTheme="minorHAnsi"/>
          <w:i/>
          <w:sz w:val="18"/>
          <w:szCs w:val="18"/>
          <w:lang w:val="en-AU"/>
        </w:rPr>
      </w:pPr>
    </w:p>
    <w:p w:rsidR="00D20962" w:rsidRPr="00F56EE4" w:rsidRDefault="00F56EE4" w:rsidP="00940C3D">
      <w:pPr>
        <w:tabs>
          <w:tab w:val="left" w:pos="709"/>
          <w:tab w:val="left" w:pos="1276"/>
        </w:tabs>
        <w:ind w:left="1276" w:hanging="1276"/>
        <w:rPr>
          <w:rFonts w:asciiTheme="minorHAnsi" w:hAnsiTheme="minorHAnsi"/>
          <w:sz w:val="18"/>
          <w:szCs w:val="18"/>
          <w:lang w:val="en-AU"/>
        </w:rPr>
      </w:pPr>
      <w:r>
        <w:rPr>
          <w:rFonts w:asciiTheme="minorHAnsi" w:hAnsiTheme="minorHAnsi"/>
          <w:sz w:val="18"/>
          <w:szCs w:val="18"/>
          <w:lang w:val="en-AU"/>
        </w:rPr>
        <w:t xml:space="preserve">  </w:t>
      </w:r>
      <w:r w:rsidRPr="00F56EE4">
        <w:rPr>
          <w:rFonts w:asciiTheme="minorHAnsi" w:hAnsiTheme="minorHAnsi"/>
          <w:sz w:val="18"/>
          <w:szCs w:val="18"/>
          <w:lang w:val="en-AU"/>
        </w:rPr>
        <w:t>Notes:</w:t>
      </w:r>
      <w:r w:rsidRPr="00F56EE4">
        <w:rPr>
          <w:rFonts w:asciiTheme="minorHAnsi" w:hAnsiTheme="minorHAnsi"/>
          <w:sz w:val="18"/>
          <w:szCs w:val="18"/>
          <w:lang w:val="en-AU"/>
        </w:rPr>
        <w:tab/>
      </w:r>
      <w:r w:rsidR="00D20962" w:rsidRPr="00F56EE4">
        <w:rPr>
          <w:rFonts w:asciiTheme="minorHAnsi" w:hAnsiTheme="minorHAnsi"/>
          <w:sz w:val="18"/>
          <w:szCs w:val="18"/>
          <w:lang w:val="en-AU"/>
        </w:rPr>
        <w:t xml:space="preserve">* </w:t>
      </w:r>
      <w:r w:rsidR="00D20962" w:rsidRPr="00F56EE4">
        <w:rPr>
          <w:rFonts w:asciiTheme="minorHAnsi" w:hAnsiTheme="minorHAnsi"/>
          <w:sz w:val="18"/>
          <w:szCs w:val="18"/>
          <w:lang w:val="en-AU"/>
        </w:rPr>
        <w:tab/>
        <w:t>The indicator measure is for ‘targeted’ madrasah only. An estimated 1,476 non-targeted madrasah in Phase 1 and 2 have benefited from EP support, which, when taken together, significantly improves the efficiency and VFM of the C3 investment.</w:t>
      </w:r>
    </w:p>
    <w:p w:rsidR="00D20962" w:rsidRPr="00F56EE4" w:rsidRDefault="00D20962" w:rsidP="00940C3D">
      <w:pPr>
        <w:tabs>
          <w:tab w:val="left" w:pos="1276"/>
        </w:tabs>
        <w:ind w:left="1276" w:hanging="567"/>
        <w:rPr>
          <w:rFonts w:asciiTheme="minorHAnsi" w:hAnsiTheme="minorHAnsi"/>
          <w:sz w:val="18"/>
          <w:szCs w:val="18"/>
          <w:lang w:val="en-AU"/>
        </w:rPr>
      </w:pPr>
      <w:r w:rsidRPr="00F56EE4">
        <w:rPr>
          <w:rFonts w:asciiTheme="minorHAnsi" w:hAnsiTheme="minorHAnsi"/>
          <w:sz w:val="18"/>
          <w:szCs w:val="18"/>
          <w:lang w:val="en-AU"/>
        </w:rPr>
        <w:t xml:space="preserve">** </w:t>
      </w:r>
      <w:r w:rsidR="00F56EE4" w:rsidRPr="00F56EE4">
        <w:rPr>
          <w:rFonts w:asciiTheme="minorHAnsi" w:hAnsiTheme="minorHAnsi"/>
          <w:sz w:val="18"/>
          <w:szCs w:val="18"/>
          <w:lang w:val="en-AU"/>
        </w:rPr>
        <w:tab/>
      </w:r>
      <w:r w:rsidRPr="00F56EE4">
        <w:rPr>
          <w:rFonts w:asciiTheme="minorHAnsi" w:hAnsiTheme="minorHAnsi"/>
          <w:sz w:val="18"/>
          <w:szCs w:val="18"/>
          <w:lang w:val="en-AU"/>
        </w:rPr>
        <w:t xml:space="preserve">The indicator measure is for ‘targeted’ madrasah. It only includes the data from Phase 1. Again, should the non-targeted madrasah be included then there would likely be efficiency and VFM benefits. </w:t>
      </w:r>
    </w:p>
    <w:p w:rsidR="00D20962" w:rsidRPr="00F56EE4" w:rsidRDefault="00D20962" w:rsidP="00940C3D">
      <w:pPr>
        <w:tabs>
          <w:tab w:val="left" w:pos="1276"/>
        </w:tabs>
        <w:ind w:left="1276" w:hanging="567"/>
        <w:rPr>
          <w:rFonts w:asciiTheme="minorHAnsi" w:hAnsiTheme="minorHAnsi"/>
          <w:sz w:val="18"/>
          <w:szCs w:val="18"/>
          <w:lang w:val="en-AU"/>
        </w:rPr>
      </w:pPr>
      <w:r w:rsidRPr="00F56EE4">
        <w:rPr>
          <w:rFonts w:asciiTheme="minorHAnsi" w:hAnsiTheme="minorHAnsi"/>
          <w:sz w:val="18"/>
          <w:szCs w:val="18"/>
          <w:lang w:val="en-AU"/>
        </w:rPr>
        <w:t xml:space="preserve">*** </w:t>
      </w:r>
      <w:r w:rsidRPr="00F56EE4">
        <w:rPr>
          <w:rFonts w:asciiTheme="minorHAnsi" w:hAnsiTheme="minorHAnsi"/>
          <w:sz w:val="18"/>
          <w:szCs w:val="18"/>
          <w:lang w:val="en-AU"/>
        </w:rPr>
        <w:tab/>
        <w:t>There is some concern that BAN S/M may not have the resources or time to assess all of the madrasah supported by EP which would make the measurement of EP achievements against targets difficult to determine. This is particularly relevant as the MoU between MoRA and BAN S/M has ended – a MoU wherein MoRA was providing funds to BAN S/M to assess EP supported madrasah</w:t>
      </w:r>
      <w:r w:rsidRPr="00F56EE4">
        <w:rPr>
          <w:rFonts w:asciiTheme="minorHAnsi" w:hAnsiTheme="minorHAnsi"/>
          <w:sz w:val="18"/>
          <w:szCs w:val="18"/>
          <w:vertAlign w:val="superscript"/>
          <w:lang w:val="en-AU"/>
        </w:rPr>
        <w:footnoteReference w:id="49"/>
      </w:r>
      <w:r w:rsidRPr="00F56EE4">
        <w:rPr>
          <w:rFonts w:asciiTheme="minorHAnsi" w:hAnsiTheme="minorHAnsi"/>
          <w:sz w:val="18"/>
          <w:szCs w:val="18"/>
          <w:lang w:val="en-AU"/>
        </w:rPr>
        <w:t>.</w:t>
      </w:r>
    </w:p>
    <w:p w:rsidR="00D20962" w:rsidRPr="00D20962" w:rsidRDefault="00D20962" w:rsidP="00940C3D">
      <w:pPr>
        <w:spacing w:before="120" w:after="120"/>
        <w:jc w:val="center"/>
        <w:outlineLvl w:val="1"/>
        <w:rPr>
          <w:bCs/>
          <w:sz w:val="20"/>
          <w:szCs w:val="20"/>
          <w:lang w:val="en-AU"/>
        </w:rPr>
      </w:pPr>
      <w:r w:rsidRPr="00D20962">
        <w:rPr>
          <w:bCs/>
          <w:sz w:val="20"/>
          <w:szCs w:val="20"/>
          <w:lang w:val="en-AU"/>
        </w:rPr>
        <w:t>Source: SSQ Component 3 management team</w:t>
      </w:r>
    </w:p>
    <w:p w:rsidR="00D20962" w:rsidRPr="00D20962" w:rsidRDefault="00D20962" w:rsidP="00940C3D">
      <w:pPr>
        <w:spacing w:line="120" w:lineRule="auto"/>
        <w:jc w:val="center"/>
        <w:rPr>
          <w:rFonts w:asciiTheme="minorHAnsi" w:hAnsiTheme="minorHAnsi"/>
          <w:i/>
          <w:sz w:val="20"/>
          <w:szCs w:val="20"/>
          <w:lang w:val="en-AU"/>
        </w:rPr>
      </w:pPr>
    </w:p>
    <w:p w:rsidR="00D20962" w:rsidRPr="00D20962" w:rsidRDefault="00D20962" w:rsidP="00940C3D">
      <w:pPr>
        <w:spacing w:before="120" w:after="120" w:line="276" w:lineRule="auto"/>
        <w:jc w:val="both"/>
        <w:rPr>
          <w:bCs/>
          <w:lang w:val="en-AU"/>
        </w:rPr>
      </w:pPr>
      <w:r w:rsidRPr="00D20962">
        <w:rPr>
          <w:bCs/>
          <w:lang w:val="en-AU"/>
        </w:rPr>
        <w:t>From a financial perspective, C3 reported an underspend of AUD 3,857,653 or 33.2% during the 2013-14 fiscal year, resulting in a decrease in the efficiency related to expenditures for the current year as compared to the previous year. The main reason for the underspend is the later than expected implementation of Phase 3, which resulted in a delay in the release of the Block Grants and in the conduct of a number of preparatory training activities. The SSQ team has indicated that with the initiation of Phase 3 in September 2014, overall component expenditure will be back on track during fiscal year 2014-2015.</w:t>
      </w:r>
    </w:p>
    <w:p w:rsidR="00D20962" w:rsidRPr="00D20962" w:rsidRDefault="00D20962" w:rsidP="00940C3D">
      <w:pPr>
        <w:spacing w:before="120" w:after="120" w:line="276" w:lineRule="auto"/>
        <w:jc w:val="both"/>
        <w:rPr>
          <w:bCs/>
          <w:lang w:val="en-AU"/>
        </w:rPr>
      </w:pPr>
      <w:r w:rsidRPr="00D20962">
        <w:rPr>
          <w:lang w:val="en-AU"/>
        </w:rPr>
        <w:t>To ensure the efficient and effective use of financial resources and compliance with agreed procedures for implementation, both SSQ and POM have undertaken financial and compliance audits on grants provided to madrasah and SNIPs. As reported in the 2013 APPR, the POM audits raised a number of issues that likely reflected the limited capacity of madrasah to administer grants competently. In 2014, two audit engagements were undertaken: an audit of compliance relating to Block Grants to Phase 2 madrasah (completed); and, an audit of compliance relating to Block Grants to Phase 2 SNIPs (draft).</w:t>
      </w:r>
      <w:r w:rsidRPr="00D20962" w:rsidDel="009111EF">
        <w:rPr>
          <w:lang w:val="en-AU"/>
        </w:rPr>
        <w:t xml:space="preserve"> </w:t>
      </w:r>
      <w:r w:rsidRPr="00D20962">
        <w:rPr>
          <w:lang w:val="en-AU"/>
        </w:rPr>
        <w:t>The 2014 audits have raised a number of non-compliance issues (see Table 1</w:t>
      </w:r>
      <w:r w:rsidR="00F56EE4">
        <w:rPr>
          <w:lang w:val="en-AU"/>
        </w:rPr>
        <w:t>4</w:t>
      </w:r>
      <w:r w:rsidRPr="00D20962">
        <w:rPr>
          <w:lang w:val="en-AU"/>
        </w:rPr>
        <w:t xml:space="preserve">, below), although no suspected fraud issues were noted. The audits also found year-on-year </w:t>
      </w:r>
      <w:r w:rsidRPr="00D20962">
        <w:rPr>
          <w:lang w:val="en-AU"/>
        </w:rPr>
        <w:lastRenderedPageBreak/>
        <w:t xml:space="preserve">improvements, which may be explained by revisions to operating guidelines and SSQ’s implementation of enhanced internal control procedures. </w:t>
      </w:r>
      <w:r w:rsidRPr="00D20962">
        <w:rPr>
          <w:bCs/>
          <w:lang w:val="en-AU"/>
        </w:rPr>
        <w:t>SSQ has reported two suspected fraud cases for Phase 2 madrasah</w:t>
      </w:r>
      <w:r w:rsidRPr="00D20962">
        <w:rPr>
          <w:rFonts w:ascii="Times New Roman" w:hAnsi="Times New Roman"/>
          <w:bCs/>
          <w:vertAlign w:val="superscript"/>
          <w:lang w:val="en-AU"/>
        </w:rPr>
        <w:footnoteReference w:id="50"/>
      </w:r>
      <w:r w:rsidRPr="00D20962">
        <w:rPr>
          <w:bCs/>
          <w:lang w:val="en-AU"/>
        </w:rPr>
        <w:t xml:space="preserve">. </w:t>
      </w:r>
    </w:p>
    <w:p w:rsidR="00D20962" w:rsidRPr="00D20962" w:rsidRDefault="00D20962" w:rsidP="00D20962">
      <w:pPr>
        <w:keepNext/>
        <w:spacing w:before="120" w:after="120"/>
        <w:ind w:left="86" w:right="43"/>
        <w:jc w:val="center"/>
        <w:rPr>
          <w:b/>
          <w:lang w:val="en-AU"/>
        </w:rPr>
      </w:pPr>
      <w:bookmarkStart w:id="41" w:name="_Toc412534586"/>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14</w:t>
      </w:r>
      <w:r w:rsidRPr="00D20962">
        <w:rPr>
          <w:b/>
          <w:lang w:val="en-GB"/>
        </w:rPr>
        <w:fldChar w:fldCharType="end"/>
      </w:r>
      <w:r w:rsidRPr="00D20962">
        <w:rPr>
          <w:b/>
          <w:lang w:val="en-AU"/>
        </w:rPr>
        <w:t>: Number of non-compliant findings (2014 POM audits)</w:t>
      </w:r>
      <w:bookmarkEnd w:id="41"/>
    </w:p>
    <w:tbl>
      <w:tblPr>
        <w:tblW w:w="5161" w:type="dxa"/>
        <w:jc w:val="center"/>
        <w:tblLook w:val="04A0" w:firstRow="1" w:lastRow="0" w:firstColumn="1" w:lastColumn="0" w:noHBand="0" w:noVBand="1"/>
      </w:tblPr>
      <w:tblGrid>
        <w:gridCol w:w="1931"/>
        <w:gridCol w:w="1480"/>
        <w:gridCol w:w="1750"/>
      </w:tblGrid>
      <w:tr w:rsidR="00D20962" w:rsidRPr="00D20962" w:rsidTr="00D20962">
        <w:trPr>
          <w:trHeight w:val="397"/>
          <w:jc w:val="center"/>
        </w:trPr>
        <w:tc>
          <w:tcPr>
            <w:tcW w:w="1931" w:type="dxa"/>
            <w:tcBorders>
              <w:top w:val="single" w:sz="8" w:space="0" w:color="auto"/>
              <w:left w:val="single" w:sz="4" w:space="0" w:color="auto"/>
              <w:bottom w:val="single" w:sz="4" w:space="0" w:color="auto"/>
              <w:right w:val="single" w:sz="4" w:space="0" w:color="auto"/>
            </w:tcBorders>
            <w:shd w:val="clear" w:color="auto" w:fill="1F497D"/>
            <w:vAlign w:val="center"/>
            <w:hideMark/>
          </w:tcPr>
          <w:p w:rsidR="00D20962" w:rsidRPr="00D20962" w:rsidRDefault="00D20962" w:rsidP="00D20962">
            <w:pPr>
              <w:keepNext/>
              <w:jc w:val="center"/>
              <w:rPr>
                <w:b/>
                <w:color w:val="FFFFFF" w:themeColor="background1"/>
                <w:lang w:val="en-AU"/>
              </w:rPr>
            </w:pPr>
            <w:r w:rsidRPr="00D20962">
              <w:rPr>
                <w:b/>
                <w:color w:val="FFFFFF" w:themeColor="background1"/>
                <w:lang w:val="en-AU"/>
              </w:rPr>
              <w:t>Category</w:t>
            </w:r>
          </w:p>
        </w:tc>
        <w:tc>
          <w:tcPr>
            <w:tcW w:w="1480" w:type="dxa"/>
            <w:tcBorders>
              <w:top w:val="single" w:sz="8" w:space="0" w:color="auto"/>
              <w:left w:val="nil"/>
              <w:bottom w:val="single" w:sz="4" w:space="0" w:color="auto"/>
              <w:right w:val="single" w:sz="4" w:space="0" w:color="auto"/>
            </w:tcBorders>
            <w:shd w:val="clear" w:color="auto" w:fill="1F497D"/>
            <w:vAlign w:val="center"/>
            <w:hideMark/>
          </w:tcPr>
          <w:p w:rsidR="00D20962" w:rsidRPr="00D20962" w:rsidRDefault="00D20962" w:rsidP="00D20962">
            <w:pPr>
              <w:keepNext/>
              <w:jc w:val="center"/>
              <w:rPr>
                <w:b/>
                <w:color w:val="FFFFFF" w:themeColor="background1"/>
                <w:lang w:val="en-AU"/>
              </w:rPr>
            </w:pPr>
            <w:r w:rsidRPr="00D20962">
              <w:rPr>
                <w:b/>
                <w:color w:val="FFFFFF" w:themeColor="background1"/>
                <w:lang w:val="en-AU"/>
              </w:rPr>
              <w:t>Madrasah</w:t>
            </w:r>
          </w:p>
        </w:tc>
        <w:tc>
          <w:tcPr>
            <w:tcW w:w="1750" w:type="dxa"/>
            <w:tcBorders>
              <w:top w:val="single" w:sz="8" w:space="0" w:color="auto"/>
              <w:left w:val="nil"/>
              <w:bottom w:val="single" w:sz="4" w:space="0" w:color="auto"/>
              <w:right w:val="single" w:sz="8" w:space="0" w:color="auto"/>
            </w:tcBorders>
            <w:shd w:val="clear" w:color="auto" w:fill="1F497D"/>
            <w:vAlign w:val="center"/>
            <w:hideMark/>
          </w:tcPr>
          <w:p w:rsidR="00D20962" w:rsidRPr="00D20962" w:rsidRDefault="00D20962" w:rsidP="00D20962">
            <w:pPr>
              <w:keepNext/>
              <w:jc w:val="center"/>
              <w:rPr>
                <w:b/>
                <w:color w:val="FFFFFF" w:themeColor="background1"/>
                <w:lang w:val="en-AU"/>
              </w:rPr>
            </w:pPr>
            <w:r w:rsidRPr="00D20962">
              <w:rPr>
                <w:b/>
                <w:color w:val="FFFFFF" w:themeColor="background1"/>
                <w:lang w:val="en-AU"/>
              </w:rPr>
              <w:t>SNIPs (draft)</w:t>
            </w:r>
          </w:p>
        </w:tc>
      </w:tr>
      <w:tr w:rsidR="00D20962" w:rsidRPr="00D20962" w:rsidTr="00D20962">
        <w:trPr>
          <w:trHeight w:val="397"/>
          <w:jc w:val="center"/>
        </w:trPr>
        <w:tc>
          <w:tcPr>
            <w:tcW w:w="1931" w:type="dxa"/>
            <w:tcBorders>
              <w:top w:val="nil"/>
              <w:left w:val="single" w:sz="4" w:space="0" w:color="auto"/>
              <w:bottom w:val="single" w:sz="4" w:space="0" w:color="auto"/>
              <w:right w:val="single" w:sz="4" w:space="0" w:color="auto"/>
            </w:tcBorders>
            <w:noWrap/>
            <w:vAlign w:val="center"/>
            <w:hideMark/>
          </w:tcPr>
          <w:p w:rsidR="00D20962" w:rsidRPr="00D20962" w:rsidRDefault="00D20962" w:rsidP="00D20962">
            <w:pPr>
              <w:keepNext/>
              <w:rPr>
                <w:lang w:val="en-AU"/>
              </w:rPr>
            </w:pPr>
            <w:r w:rsidRPr="00D20962">
              <w:rPr>
                <w:lang w:val="en-AU"/>
              </w:rPr>
              <w:t>Procurement</w:t>
            </w:r>
          </w:p>
        </w:tc>
        <w:tc>
          <w:tcPr>
            <w:tcW w:w="1480" w:type="dxa"/>
            <w:tcBorders>
              <w:top w:val="nil"/>
              <w:left w:val="nil"/>
              <w:bottom w:val="single" w:sz="4" w:space="0" w:color="auto"/>
              <w:right w:val="single" w:sz="4" w:space="0" w:color="auto"/>
            </w:tcBorders>
            <w:noWrap/>
            <w:vAlign w:val="center"/>
            <w:hideMark/>
          </w:tcPr>
          <w:p w:rsidR="00D20962" w:rsidRPr="00D20962" w:rsidRDefault="00D20962" w:rsidP="00D20962">
            <w:pPr>
              <w:keepNext/>
              <w:jc w:val="center"/>
              <w:rPr>
                <w:lang w:val="en-AU"/>
              </w:rPr>
            </w:pPr>
            <w:r w:rsidRPr="00D20962">
              <w:rPr>
                <w:lang w:val="en-AU"/>
              </w:rPr>
              <w:t>6</w:t>
            </w:r>
          </w:p>
        </w:tc>
        <w:tc>
          <w:tcPr>
            <w:tcW w:w="1750" w:type="dxa"/>
            <w:tcBorders>
              <w:top w:val="nil"/>
              <w:left w:val="nil"/>
              <w:bottom w:val="single" w:sz="4" w:space="0" w:color="auto"/>
              <w:right w:val="single" w:sz="8" w:space="0" w:color="auto"/>
            </w:tcBorders>
            <w:noWrap/>
            <w:vAlign w:val="center"/>
            <w:hideMark/>
          </w:tcPr>
          <w:p w:rsidR="00D20962" w:rsidRPr="00D20962" w:rsidRDefault="00D20962" w:rsidP="00D20962">
            <w:pPr>
              <w:keepNext/>
              <w:jc w:val="center"/>
              <w:rPr>
                <w:lang w:val="en-AU"/>
              </w:rPr>
            </w:pPr>
            <w:r w:rsidRPr="00D20962">
              <w:rPr>
                <w:lang w:val="en-AU"/>
              </w:rPr>
              <w:t>3</w:t>
            </w:r>
          </w:p>
        </w:tc>
      </w:tr>
      <w:tr w:rsidR="00D20962" w:rsidRPr="00D20962" w:rsidTr="00D20962">
        <w:trPr>
          <w:trHeight w:val="397"/>
          <w:jc w:val="center"/>
        </w:trPr>
        <w:tc>
          <w:tcPr>
            <w:tcW w:w="1931" w:type="dxa"/>
            <w:tcBorders>
              <w:top w:val="nil"/>
              <w:left w:val="single" w:sz="4" w:space="0" w:color="auto"/>
              <w:bottom w:val="single" w:sz="4" w:space="0" w:color="auto"/>
              <w:right w:val="single" w:sz="4" w:space="0" w:color="auto"/>
            </w:tcBorders>
            <w:noWrap/>
            <w:vAlign w:val="center"/>
            <w:hideMark/>
          </w:tcPr>
          <w:p w:rsidR="00D20962" w:rsidRPr="00D20962" w:rsidRDefault="00D20962" w:rsidP="00D20962">
            <w:pPr>
              <w:keepNext/>
              <w:rPr>
                <w:lang w:val="en-AU"/>
              </w:rPr>
            </w:pPr>
            <w:r w:rsidRPr="00D20962">
              <w:rPr>
                <w:lang w:val="en-AU"/>
              </w:rPr>
              <w:t>Financial</w:t>
            </w:r>
          </w:p>
        </w:tc>
        <w:tc>
          <w:tcPr>
            <w:tcW w:w="1480" w:type="dxa"/>
            <w:tcBorders>
              <w:top w:val="nil"/>
              <w:left w:val="nil"/>
              <w:bottom w:val="single" w:sz="4" w:space="0" w:color="auto"/>
              <w:right w:val="single" w:sz="4" w:space="0" w:color="auto"/>
            </w:tcBorders>
            <w:noWrap/>
            <w:vAlign w:val="center"/>
            <w:hideMark/>
          </w:tcPr>
          <w:p w:rsidR="00D20962" w:rsidRPr="00D20962" w:rsidRDefault="00D20962" w:rsidP="00D20962">
            <w:pPr>
              <w:keepNext/>
              <w:jc w:val="center"/>
              <w:rPr>
                <w:lang w:val="en-AU"/>
              </w:rPr>
            </w:pPr>
            <w:r w:rsidRPr="00D20962">
              <w:rPr>
                <w:lang w:val="en-AU"/>
              </w:rPr>
              <w:t>14</w:t>
            </w:r>
          </w:p>
        </w:tc>
        <w:tc>
          <w:tcPr>
            <w:tcW w:w="1750" w:type="dxa"/>
            <w:tcBorders>
              <w:top w:val="nil"/>
              <w:left w:val="nil"/>
              <w:bottom w:val="single" w:sz="4" w:space="0" w:color="auto"/>
              <w:right w:val="single" w:sz="8" w:space="0" w:color="auto"/>
            </w:tcBorders>
            <w:noWrap/>
            <w:vAlign w:val="center"/>
            <w:hideMark/>
          </w:tcPr>
          <w:p w:rsidR="00D20962" w:rsidRPr="00D20962" w:rsidRDefault="00D20962" w:rsidP="00D20962">
            <w:pPr>
              <w:keepNext/>
              <w:jc w:val="center"/>
              <w:rPr>
                <w:lang w:val="en-AU"/>
              </w:rPr>
            </w:pPr>
            <w:r w:rsidRPr="00D20962">
              <w:rPr>
                <w:lang w:val="en-AU"/>
              </w:rPr>
              <w:t>16</w:t>
            </w:r>
          </w:p>
        </w:tc>
      </w:tr>
      <w:tr w:rsidR="00D20962" w:rsidRPr="00D20962" w:rsidTr="00D20962">
        <w:trPr>
          <w:trHeight w:val="397"/>
          <w:jc w:val="center"/>
        </w:trPr>
        <w:tc>
          <w:tcPr>
            <w:tcW w:w="1931" w:type="dxa"/>
            <w:tcBorders>
              <w:top w:val="nil"/>
              <w:left w:val="single" w:sz="4" w:space="0" w:color="auto"/>
              <w:bottom w:val="single" w:sz="4" w:space="0" w:color="auto"/>
              <w:right w:val="single" w:sz="4" w:space="0" w:color="auto"/>
            </w:tcBorders>
            <w:noWrap/>
            <w:vAlign w:val="center"/>
            <w:hideMark/>
          </w:tcPr>
          <w:p w:rsidR="00D20962" w:rsidRPr="00D20962" w:rsidRDefault="00D20962" w:rsidP="00D20962">
            <w:pPr>
              <w:keepNext/>
              <w:rPr>
                <w:lang w:val="en-AU"/>
              </w:rPr>
            </w:pPr>
            <w:r w:rsidRPr="00D20962">
              <w:rPr>
                <w:lang w:val="en-AU"/>
              </w:rPr>
              <w:t>Reporting</w:t>
            </w:r>
          </w:p>
        </w:tc>
        <w:tc>
          <w:tcPr>
            <w:tcW w:w="1480" w:type="dxa"/>
            <w:tcBorders>
              <w:top w:val="nil"/>
              <w:left w:val="nil"/>
              <w:bottom w:val="single" w:sz="4" w:space="0" w:color="auto"/>
              <w:right w:val="single" w:sz="4" w:space="0" w:color="auto"/>
            </w:tcBorders>
            <w:noWrap/>
            <w:vAlign w:val="center"/>
            <w:hideMark/>
          </w:tcPr>
          <w:p w:rsidR="00D20962" w:rsidRPr="00D20962" w:rsidRDefault="00D20962" w:rsidP="00D20962">
            <w:pPr>
              <w:keepNext/>
              <w:jc w:val="center"/>
              <w:rPr>
                <w:lang w:val="en-AU"/>
              </w:rPr>
            </w:pPr>
            <w:r w:rsidRPr="00D20962">
              <w:rPr>
                <w:lang w:val="en-AU"/>
              </w:rPr>
              <w:t>5</w:t>
            </w:r>
          </w:p>
        </w:tc>
        <w:tc>
          <w:tcPr>
            <w:tcW w:w="1750" w:type="dxa"/>
            <w:tcBorders>
              <w:top w:val="nil"/>
              <w:left w:val="nil"/>
              <w:bottom w:val="single" w:sz="4" w:space="0" w:color="auto"/>
              <w:right w:val="single" w:sz="8" w:space="0" w:color="auto"/>
            </w:tcBorders>
            <w:noWrap/>
            <w:vAlign w:val="center"/>
            <w:hideMark/>
          </w:tcPr>
          <w:p w:rsidR="00D20962" w:rsidRPr="00D20962" w:rsidRDefault="00D20962" w:rsidP="00D20962">
            <w:pPr>
              <w:keepNext/>
              <w:jc w:val="center"/>
              <w:rPr>
                <w:lang w:val="en-AU"/>
              </w:rPr>
            </w:pPr>
            <w:r w:rsidRPr="00D20962">
              <w:rPr>
                <w:lang w:val="en-AU"/>
              </w:rPr>
              <w:t>2</w:t>
            </w:r>
          </w:p>
        </w:tc>
      </w:tr>
      <w:tr w:rsidR="00D20962" w:rsidRPr="00D20962" w:rsidTr="00D20962">
        <w:trPr>
          <w:trHeight w:val="397"/>
          <w:jc w:val="center"/>
        </w:trPr>
        <w:tc>
          <w:tcPr>
            <w:tcW w:w="1931" w:type="dxa"/>
            <w:tcBorders>
              <w:top w:val="nil"/>
              <w:left w:val="single" w:sz="4" w:space="0" w:color="auto"/>
              <w:bottom w:val="single" w:sz="4" w:space="0" w:color="auto"/>
              <w:right w:val="single" w:sz="4" w:space="0" w:color="auto"/>
            </w:tcBorders>
            <w:noWrap/>
            <w:vAlign w:val="center"/>
            <w:hideMark/>
          </w:tcPr>
          <w:p w:rsidR="00D20962" w:rsidRPr="00D20962" w:rsidRDefault="00D20962" w:rsidP="00D20962">
            <w:pPr>
              <w:keepNext/>
              <w:rPr>
                <w:lang w:val="en-AU"/>
              </w:rPr>
            </w:pPr>
            <w:r w:rsidRPr="00D20962">
              <w:rPr>
                <w:lang w:val="en-AU"/>
              </w:rPr>
              <w:t>Program</w:t>
            </w:r>
          </w:p>
        </w:tc>
        <w:tc>
          <w:tcPr>
            <w:tcW w:w="1480" w:type="dxa"/>
            <w:tcBorders>
              <w:top w:val="nil"/>
              <w:left w:val="nil"/>
              <w:bottom w:val="single" w:sz="4" w:space="0" w:color="auto"/>
              <w:right w:val="single" w:sz="4" w:space="0" w:color="auto"/>
            </w:tcBorders>
            <w:noWrap/>
            <w:vAlign w:val="center"/>
            <w:hideMark/>
          </w:tcPr>
          <w:p w:rsidR="00D20962" w:rsidRPr="00D20962" w:rsidRDefault="00D20962" w:rsidP="00D20962">
            <w:pPr>
              <w:keepNext/>
              <w:jc w:val="center"/>
              <w:rPr>
                <w:lang w:val="en-AU"/>
              </w:rPr>
            </w:pPr>
            <w:r w:rsidRPr="00D20962">
              <w:rPr>
                <w:lang w:val="en-AU"/>
              </w:rPr>
              <w:t>2</w:t>
            </w:r>
          </w:p>
        </w:tc>
        <w:tc>
          <w:tcPr>
            <w:tcW w:w="1750" w:type="dxa"/>
            <w:tcBorders>
              <w:top w:val="nil"/>
              <w:left w:val="nil"/>
              <w:bottom w:val="single" w:sz="4" w:space="0" w:color="auto"/>
              <w:right w:val="single" w:sz="8" w:space="0" w:color="auto"/>
            </w:tcBorders>
            <w:noWrap/>
            <w:vAlign w:val="center"/>
            <w:hideMark/>
          </w:tcPr>
          <w:p w:rsidR="00D20962" w:rsidRPr="00D20962" w:rsidRDefault="00D20962" w:rsidP="00D20962">
            <w:pPr>
              <w:keepNext/>
              <w:jc w:val="center"/>
              <w:rPr>
                <w:lang w:val="en-AU"/>
              </w:rPr>
            </w:pPr>
            <w:r w:rsidRPr="00D20962">
              <w:rPr>
                <w:lang w:val="en-AU"/>
              </w:rPr>
              <w:t>4</w:t>
            </w:r>
          </w:p>
        </w:tc>
      </w:tr>
      <w:tr w:rsidR="00D20962" w:rsidRPr="00D20962" w:rsidTr="00D20962">
        <w:trPr>
          <w:trHeight w:val="397"/>
          <w:jc w:val="center"/>
        </w:trPr>
        <w:tc>
          <w:tcPr>
            <w:tcW w:w="1931" w:type="dxa"/>
            <w:tcBorders>
              <w:top w:val="nil"/>
              <w:left w:val="single" w:sz="8" w:space="0" w:color="auto"/>
              <w:bottom w:val="single" w:sz="8" w:space="0" w:color="auto"/>
              <w:right w:val="single" w:sz="4" w:space="0" w:color="auto"/>
            </w:tcBorders>
            <w:noWrap/>
            <w:vAlign w:val="center"/>
            <w:hideMark/>
          </w:tcPr>
          <w:p w:rsidR="00D20962" w:rsidRPr="00D20962" w:rsidRDefault="00D20962" w:rsidP="00D20962">
            <w:pPr>
              <w:keepNext/>
              <w:rPr>
                <w:lang w:val="en-AU"/>
              </w:rPr>
            </w:pPr>
            <w:r w:rsidRPr="00D20962">
              <w:rPr>
                <w:lang w:val="en-AU"/>
              </w:rPr>
              <w:t>Total</w:t>
            </w:r>
          </w:p>
        </w:tc>
        <w:tc>
          <w:tcPr>
            <w:tcW w:w="1480" w:type="dxa"/>
            <w:tcBorders>
              <w:top w:val="nil"/>
              <w:left w:val="nil"/>
              <w:bottom w:val="single" w:sz="8" w:space="0" w:color="auto"/>
              <w:right w:val="single" w:sz="4" w:space="0" w:color="auto"/>
            </w:tcBorders>
            <w:noWrap/>
            <w:vAlign w:val="center"/>
            <w:hideMark/>
          </w:tcPr>
          <w:p w:rsidR="00D20962" w:rsidRPr="00D20962" w:rsidRDefault="00D20962" w:rsidP="00D20962">
            <w:pPr>
              <w:keepNext/>
              <w:jc w:val="center"/>
              <w:rPr>
                <w:lang w:val="en-AU"/>
              </w:rPr>
            </w:pPr>
            <w:r w:rsidRPr="00D20962">
              <w:rPr>
                <w:lang w:val="en-AU"/>
              </w:rPr>
              <w:t>27</w:t>
            </w:r>
          </w:p>
        </w:tc>
        <w:tc>
          <w:tcPr>
            <w:tcW w:w="1750" w:type="dxa"/>
            <w:tcBorders>
              <w:top w:val="nil"/>
              <w:left w:val="nil"/>
              <w:bottom w:val="single" w:sz="8" w:space="0" w:color="auto"/>
              <w:right w:val="single" w:sz="8" w:space="0" w:color="auto"/>
            </w:tcBorders>
            <w:noWrap/>
            <w:vAlign w:val="center"/>
            <w:hideMark/>
          </w:tcPr>
          <w:p w:rsidR="00D20962" w:rsidRPr="00D20962" w:rsidRDefault="00D20962" w:rsidP="00D20962">
            <w:pPr>
              <w:keepNext/>
              <w:jc w:val="center"/>
              <w:rPr>
                <w:lang w:val="en-AU"/>
              </w:rPr>
            </w:pPr>
            <w:r w:rsidRPr="00D20962">
              <w:rPr>
                <w:lang w:val="en-AU"/>
              </w:rPr>
              <w:t>25</w:t>
            </w:r>
          </w:p>
        </w:tc>
      </w:tr>
    </w:tbl>
    <w:p w:rsidR="00D20962" w:rsidRPr="00D20962" w:rsidRDefault="00D20962" w:rsidP="00D20962">
      <w:pPr>
        <w:spacing w:before="120" w:after="120"/>
        <w:jc w:val="center"/>
        <w:outlineLvl w:val="1"/>
        <w:rPr>
          <w:rFonts w:eastAsiaTheme="minorHAnsi"/>
          <w:bCs/>
          <w:sz w:val="20"/>
          <w:szCs w:val="20"/>
          <w:lang w:val="en-AU"/>
        </w:rPr>
      </w:pPr>
      <w:r w:rsidRPr="00D20962">
        <w:rPr>
          <w:rFonts w:eastAsiaTheme="minorHAnsi"/>
          <w:bCs/>
          <w:sz w:val="20"/>
          <w:szCs w:val="20"/>
          <w:lang w:val="en-AU"/>
        </w:rPr>
        <w:t>Source: Audit of compliance with control systems and procedures relating to</w:t>
      </w:r>
      <w:r w:rsidRPr="00D20962">
        <w:rPr>
          <w:rFonts w:eastAsiaTheme="minorHAnsi"/>
          <w:bCs/>
          <w:sz w:val="20"/>
          <w:szCs w:val="20"/>
          <w:lang w:val="en-AU"/>
        </w:rPr>
        <w:br/>
        <w:t xml:space="preserve"> Block Grants to SNIPs &amp; Madrasah – Stage 1 and 2, November 2014</w:t>
      </w:r>
    </w:p>
    <w:p w:rsidR="00D20962" w:rsidRPr="00D20962" w:rsidRDefault="00D20962" w:rsidP="00D20962">
      <w:pPr>
        <w:spacing w:before="60" w:after="60"/>
        <w:jc w:val="center"/>
        <w:rPr>
          <w:bCs/>
          <w:i/>
          <w:sz w:val="18"/>
          <w:szCs w:val="18"/>
          <w:lang w:val="en-AU"/>
        </w:rPr>
      </w:pPr>
    </w:p>
    <w:p w:rsidR="00D20962" w:rsidRPr="00D20962" w:rsidRDefault="00D20962" w:rsidP="00D20962">
      <w:pPr>
        <w:spacing w:before="120" w:after="120" w:line="276" w:lineRule="auto"/>
        <w:jc w:val="both"/>
        <w:rPr>
          <w:bCs/>
          <w:lang w:val="en-AU"/>
        </w:rPr>
      </w:pPr>
      <w:r w:rsidRPr="00D20962">
        <w:rPr>
          <w:bCs/>
          <w:lang w:val="en-AU"/>
        </w:rPr>
        <w:t>From a more technical perspective, and with regards to activities within EOCO 3.1, evidence emerging from POM’s EOPO 3 mid-line evaluation study and from data provided by C3</w:t>
      </w:r>
      <w:r w:rsidRPr="00D20962">
        <w:rPr>
          <w:rFonts w:ascii="Times New Roman" w:hAnsi="Times New Roman"/>
          <w:bCs/>
          <w:vertAlign w:val="superscript"/>
          <w:lang w:val="en-AU"/>
        </w:rPr>
        <w:footnoteReference w:id="51"/>
      </w:r>
      <w:r w:rsidRPr="00D20962">
        <w:rPr>
          <w:bCs/>
          <w:lang w:val="en-AU"/>
        </w:rPr>
        <w:t xml:space="preserve"> raises some concern about the efficiency of providing standardized Block Grants of AUD 10,000 per madrasah. Since there is evidence</w:t>
      </w:r>
      <w:r w:rsidRPr="00D20962">
        <w:rPr>
          <w:bCs/>
          <w:vertAlign w:val="superscript"/>
          <w:lang w:val="en-AU"/>
        </w:rPr>
        <w:endnoteReference w:id="67"/>
      </w:r>
      <w:r w:rsidRPr="00D20962">
        <w:rPr>
          <w:bCs/>
          <w:lang w:val="en-AU"/>
        </w:rPr>
        <w:t xml:space="preserve"> that different madrasah require different types of inputs to meet standards, there may be value in allocating varying levels of Block Grant funding to madrasah based on their RKM and assessed requirements to meet accreditation standards</w:t>
      </w:r>
      <w:r w:rsidRPr="00D20962">
        <w:rPr>
          <w:rFonts w:ascii="Times New Roman" w:hAnsi="Times New Roman"/>
          <w:bCs/>
          <w:vertAlign w:val="superscript"/>
          <w:lang w:val="en-AU"/>
        </w:rPr>
        <w:footnoteReference w:id="52"/>
      </w:r>
      <w:r w:rsidRPr="00D20962">
        <w:rPr>
          <w:bCs/>
          <w:lang w:val="en-AU"/>
        </w:rPr>
        <w:t>. The same concern may be applied to the level of funding provided to the SNIPs, since each SNIP faces different circumstances in the implementation of their contract obligations</w:t>
      </w:r>
      <w:r w:rsidRPr="00D20962">
        <w:rPr>
          <w:rFonts w:ascii="Times New Roman" w:hAnsi="Times New Roman"/>
          <w:bCs/>
          <w:vertAlign w:val="superscript"/>
          <w:lang w:val="en-AU"/>
        </w:rPr>
        <w:footnoteReference w:id="53"/>
      </w:r>
      <w:r w:rsidRPr="00D20962">
        <w:rPr>
          <w:bCs/>
          <w:lang w:val="en-AU"/>
        </w:rPr>
        <w:t>. Whilst it may be too late for the EP to respond, there might be important lessons to be learned, not least for MoRA as it develops its Grand Design.</w:t>
      </w:r>
    </w:p>
    <w:p w:rsidR="00D20962" w:rsidRPr="00D20962" w:rsidRDefault="00D20962" w:rsidP="00D20962">
      <w:pPr>
        <w:spacing w:before="120" w:after="120" w:line="276" w:lineRule="auto"/>
        <w:jc w:val="both"/>
        <w:rPr>
          <w:bCs/>
          <w:lang w:val="en-AU"/>
        </w:rPr>
      </w:pPr>
      <w:r w:rsidRPr="00D20962">
        <w:rPr>
          <w:bCs/>
          <w:lang w:val="en-AU"/>
        </w:rPr>
        <w:t>On a positive note, the 2013 APPR called for better targeting of madrasah in response to the findings that it required almost four times as many resources to improve a madrasah classified at a B level than what was required for a madrasah assessed at the TT or C level</w:t>
      </w:r>
      <w:r w:rsidRPr="00D20962">
        <w:rPr>
          <w:bCs/>
          <w:vertAlign w:val="superscript"/>
          <w:lang w:val="en-AU"/>
        </w:rPr>
        <w:endnoteReference w:id="68"/>
      </w:r>
      <w:r w:rsidRPr="00D20962">
        <w:rPr>
          <w:bCs/>
          <w:lang w:val="en-AU"/>
        </w:rPr>
        <w:t>. POM welcomes the continuing positive measures taken by C3 partners which have resulted in 77% of Phase 3 madrasah being at the TT level and 23 % at level C. POM acknowledges that targeting madrasah with significantly lower assessment levels in Phase 3 could well present additional challenges (and perhaps added costs) in providing the support necessary to attain the same levels of success observed with the Phase 1 accreditation results.</w:t>
      </w:r>
    </w:p>
    <w:p w:rsidR="00D20962" w:rsidRPr="00D20962" w:rsidRDefault="00D20962" w:rsidP="00D20962">
      <w:pPr>
        <w:spacing w:before="120" w:after="120" w:line="276" w:lineRule="auto"/>
        <w:jc w:val="both"/>
        <w:rPr>
          <w:lang w:val="en-AU"/>
        </w:rPr>
      </w:pPr>
      <w:r w:rsidRPr="00D20962">
        <w:rPr>
          <w:bCs/>
          <w:lang w:val="en-AU"/>
        </w:rPr>
        <w:lastRenderedPageBreak/>
        <w:t>With regards to activities within EOCO 3.2, the efficiency story is less certain. Although the requirement to provide support to strengthening madrasah quality improvement systems was identified after the initiation of C3, with subsequent inclusion in the EP logic architecture in early 2014, the call for more attention to be given to achieving this outcome was highlighted in the EP-POM Critical Issues Report of April 2014. Whilst the draft 2015 SSQ Annual Work Plan indicates an intention to provide greater support to MoRA in areas related to systems strengthening, C3 might have done more to harness earlier opportunities to make headway in this workstream.</w:t>
      </w:r>
      <w:r w:rsidRPr="00D20962">
        <w:rPr>
          <w:lang w:val="en-AU"/>
        </w:rPr>
        <w:t xml:space="preserve"> </w:t>
      </w:r>
    </w:p>
    <w:p w:rsidR="00D20962" w:rsidRPr="00D20962" w:rsidRDefault="00D20962" w:rsidP="00D20962">
      <w:pPr>
        <w:spacing w:before="120" w:after="120" w:line="276" w:lineRule="auto"/>
        <w:jc w:val="both"/>
        <w:rPr>
          <w:lang w:val="en-AU"/>
        </w:rPr>
      </w:pPr>
      <w:r w:rsidRPr="00D20962">
        <w:rPr>
          <w:lang w:val="en-AU"/>
        </w:rPr>
        <w:t xml:space="preserve">It is also worth noting that it is difficult to assess the efficiency of EOCO 3.2 as the indicators in the PMF are primarily focussed on the development and initial implementation of a GoI madrasah improvement strategy, i.e. the ‘Grand Design’. The deferment in early 2014 of anticipated C3 support to MoRA in favour of the provision of ACDP (C4) support to the development of MoRA’s </w:t>
      </w:r>
      <w:r w:rsidRPr="00D20962">
        <w:rPr>
          <w:i/>
          <w:lang w:val="en-AU"/>
        </w:rPr>
        <w:t>Renstra</w:t>
      </w:r>
      <w:r w:rsidRPr="00D20962">
        <w:rPr>
          <w:lang w:val="en-AU"/>
        </w:rPr>
        <w:t xml:space="preserve"> has clearly impacted the attainment of EOCO 3.2 related milestones under C3. </w:t>
      </w:r>
    </w:p>
    <w:p w:rsidR="00D20962" w:rsidRPr="00D20962" w:rsidRDefault="00D20962" w:rsidP="00D20962">
      <w:pPr>
        <w:keepNext/>
        <w:numPr>
          <w:ilvl w:val="2"/>
          <w:numId w:val="7"/>
        </w:numPr>
        <w:spacing w:line="276" w:lineRule="auto"/>
        <w:ind w:left="720"/>
        <w:outlineLvl w:val="2"/>
        <w:rPr>
          <w:bCs/>
          <w:color w:val="003880"/>
          <w:sz w:val="24"/>
          <w:szCs w:val="28"/>
          <w:lang w:val="en-AU"/>
        </w:rPr>
      </w:pPr>
      <w:r w:rsidRPr="00D20962">
        <w:rPr>
          <w:bCs/>
          <w:color w:val="003880"/>
          <w:sz w:val="24"/>
          <w:szCs w:val="28"/>
          <w:lang w:val="en-AU"/>
        </w:rPr>
        <w:t>Effectiveness</w:t>
      </w:r>
    </w:p>
    <w:p w:rsidR="00D20962" w:rsidRPr="00D20962" w:rsidRDefault="00D20962" w:rsidP="00D20962">
      <w:pPr>
        <w:spacing w:before="120" w:after="120" w:line="276" w:lineRule="auto"/>
        <w:jc w:val="both"/>
        <w:rPr>
          <w:lang w:val="en-AU"/>
        </w:rPr>
      </w:pPr>
      <w:r w:rsidRPr="00D20962">
        <w:rPr>
          <w:lang w:val="en-AU"/>
        </w:rPr>
        <w:t>When considering the effectiveness of C3, POM seeks to answer the following question: t</w:t>
      </w:r>
      <w:r w:rsidRPr="00D20962">
        <w:rPr>
          <w:rFonts w:asciiTheme="minorHAnsi" w:eastAsiaTheme="minorHAnsi" w:hAnsiTheme="minorHAnsi" w:cstheme="minorBidi"/>
          <w:lang w:val="en-AU"/>
        </w:rPr>
        <w:t>o what extent and how has EP-funded support improved the quality of madrasah service provision in targeted districts</w:t>
      </w:r>
      <w:r w:rsidRPr="00D20962">
        <w:rPr>
          <w:lang w:val="en-AU"/>
        </w:rPr>
        <w:t xml:space="preserve">? The EP logic architecture indicates that improved quality of madrasah service provision in targeted districts (EOPO3) will be achieved by preparing madrasah for accreditation (EOCO 3.1) and by strengthening the system for madrasah quality improvement (EOCO 3.2). </w:t>
      </w:r>
    </w:p>
    <w:p w:rsidR="00D20962" w:rsidRPr="00D20962" w:rsidRDefault="00D20962" w:rsidP="00D20962">
      <w:pPr>
        <w:spacing w:before="120" w:after="120" w:line="276" w:lineRule="auto"/>
        <w:jc w:val="both"/>
        <w:rPr>
          <w:lang w:val="en-AU"/>
        </w:rPr>
      </w:pPr>
      <w:r w:rsidRPr="00D20962">
        <w:rPr>
          <w:lang w:val="en-AU"/>
        </w:rPr>
        <w:t>Available evidence points to the following:</w:t>
      </w:r>
    </w:p>
    <w:p w:rsidR="00D20962" w:rsidRPr="00D20962" w:rsidRDefault="00D20962" w:rsidP="00D20962">
      <w:pPr>
        <w:numPr>
          <w:ilvl w:val="0"/>
          <w:numId w:val="26"/>
        </w:numPr>
        <w:spacing w:before="120" w:after="120" w:line="276" w:lineRule="auto"/>
        <w:contextualSpacing/>
        <w:jc w:val="both"/>
        <w:rPr>
          <w:rFonts w:eastAsia="Calibri"/>
          <w:lang w:val="en-AU"/>
        </w:rPr>
      </w:pPr>
      <w:r w:rsidRPr="00D20962">
        <w:rPr>
          <w:rFonts w:eastAsia="Calibri"/>
          <w:lang w:val="en-AU"/>
        </w:rPr>
        <w:t xml:space="preserve">The efficient delivery of C3 activities in 2014 has enabled achievement of EOCO 3.1. However, only limited progress has been made with respect to the achievement of EOCO 3.2. </w:t>
      </w:r>
    </w:p>
    <w:p w:rsidR="00D20962" w:rsidRPr="00D20962" w:rsidRDefault="00D20962" w:rsidP="00D20962">
      <w:pPr>
        <w:numPr>
          <w:ilvl w:val="0"/>
          <w:numId w:val="26"/>
        </w:numPr>
        <w:spacing w:before="120" w:after="120" w:line="276" w:lineRule="auto"/>
        <w:contextualSpacing/>
        <w:jc w:val="both"/>
        <w:rPr>
          <w:rFonts w:eastAsia="Calibri"/>
          <w:lang w:val="en-AU"/>
        </w:rPr>
      </w:pPr>
      <w:r w:rsidRPr="00D20962">
        <w:rPr>
          <w:rFonts w:eastAsia="Calibri"/>
          <w:lang w:val="en-AU"/>
        </w:rPr>
        <w:t>There is evidence that service provision is improving in both targeted and non-targeted madrasah, though the extent to which this is translating to change in the targeted districts (EOPO 3) is, as yet, unknown.</w:t>
      </w:r>
    </w:p>
    <w:p w:rsidR="00D20962" w:rsidRPr="00D20962" w:rsidRDefault="00D20962" w:rsidP="00D20962">
      <w:pPr>
        <w:numPr>
          <w:ilvl w:val="0"/>
          <w:numId w:val="26"/>
        </w:numPr>
        <w:spacing w:before="120" w:after="120" w:line="276" w:lineRule="auto"/>
        <w:contextualSpacing/>
        <w:jc w:val="both"/>
        <w:rPr>
          <w:rFonts w:eastAsia="Calibri"/>
          <w:lang w:val="en-AU"/>
        </w:rPr>
      </w:pPr>
      <w:r w:rsidRPr="00D20962">
        <w:rPr>
          <w:rFonts w:eastAsia="Calibri"/>
          <w:lang w:val="en-AU"/>
        </w:rPr>
        <w:t xml:space="preserve">The limited progress made in relation to EOCO 3.2 in 2014 makes it unlikely that EOCO 3.2 has contributed in any significant way to the achievement of EOPO 3. </w:t>
      </w:r>
    </w:p>
    <w:p w:rsidR="00D20962" w:rsidRPr="00D20962" w:rsidRDefault="00D20962" w:rsidP="00D20962">
      <w:pPr>
        <w:numPr>
          <w:ilvl w:val="0"/>
          <w:numId w:val="26"/>
        </w:numPr>
        <w:spacing w:before="120" w:after="120" w:line="276" w:lineRule="auto"/>
        <w:contextualSpacing/>
        <w:jc w:val="both"/>
        <w:rPr>
          <w:rFonts w:eastAsia="Calibri"/>
          <w:lang w:val="en-AU"/>
        </w:rPr>
      </w:pPr>
      <w:r w:rsidRPr="00D20962">
        <w:rPr>
          <w:rFonts w:eastAsia="Calibri"/>
          <w:lang w:val="en-AU"/>
        </w:rPr>
        <w:t>At the level of individual madrasah, POM is not convinced that the achievement of EOCO 3.1 is necessarily driving improvements in the quality of all facets of madrasah education service provision</w:t>
      </w:r>
      <w:r w:rsidRPr="00D20962">
        <w:rPr>
          <w:rFonts w:ascii="Times New Roman" w:eastAsia="Calibri" w:hAnsi="Times New Roman"/>
          <w:vertAlign w:val="superscript"/>
          <w:lang w:val="en-AU"/>
        </w:rPr>
        <w:footnoteReference w:id="54"/>
      </w:r>
      <w:r w:rsidRPr="00D20962">
        <w:rPr>
          <w:rFonts w:eastAsia="Calibri"/>
          <w:lang w:val="en-AU"/>
        </w:rPr>
        <w:t>.</w:t>
      </w:r>
    </w:p>
    <w:p w:rsidR="00D20962" w:rsidRPr="00D20962" w:rsidRDefault="00D20962" w:rsidP="00D20962">
      <w:pPr>
        <w:spacing w:before="120" w:after="120" w:line="276" w:lineRule="auto"/>
        <w:jc w:val="both"/>
        <w:rPr>
          <w:lang w:val="en-AU"/>
        </w:rPr>
      </w:pPr>
      <w:r w:rsidRPr="00D20962">
        <w:rPr>
          <w:lang w:val="en-AU"/>
        </w:rPr>
        <w:t>Whilst these findings represent a positive story overall, POM is keen to understand the drivers of progress at EOCO and EOPO level.</w:t>
      </w:r>
    </w:p>
    <w:p w:rsidR="00D20962" w:rsidRPr="00D20962" w:rsidRDefault="00D20962" w:rsidP="00D20962">
      <w:pPr>
        <w:spacing w:before="120" w:after="120" w:line="276" w:lineRule="auto"/>
        <w:rPr>
          <w:b/>
          <w:bCs/>
          <w:i/>
          <w:iCs/>
          <w:color w:val="4F81BD" w:themeColor="accent1"/>
          <w:lang w:val="en-AU"/>
        </w:rPr>
      </w:pPr>
      <w:r w:rsidRPr="00D20962">
        <w:rPr>
          <w:b/>
          <w:bCs/>
          <w:i/>
          <w:iCs/>
          <w:color w:val="4F81BD" w:themeColor="accent1"/>
          <w:lang w:val="en-AU"/>
        </w:rPr>
        <w:t>Attainment of EOCO 3.1</w:t>
      </w:r>
    </w:p>
    <w:p w:rsidR="00D20962" w:rsidRPr="00D20962" w:rsidRDefault="00D20962" w:rsidP="00D20962">
      <w:pPr>
        <w:spacing w:before="120" w:after="120" w:line="276" w:lineRule="auto"/>
        <w:jc w:val="both"/>
        <w:rPr>
          <w:bCs/>
          <w:lang w:val="en-AU"/>
        </w:rPr>
      </w:pPr>
      <w:r w:rsidRPr="00D20962">
        <w:rPr>
          <w:lang w:val="en-AU"/>
        </w:rPr>
        <w:t xml:space="preserve">C3 continues to place considerable emphasis on the attainment of EOCO 3.1 and POM is confident that C3 will </w:t>
      </w:r>
      <w:r w:rsidRPr="00D20962">
        <w:rPr>
          <w:bCs/>
          <w:lang w:val="en-AU"/>
        </w:rPr>
        <w:t>achieve its target of improving the readiness of 1,500 madrasah to seek accreditation. Indeed, evidence derived from Phase 1 madrasah suggests that EP support has enabled madrasah to acquire advanced levels of accreditation</w:t>
      </w:r>
      <w:r w:rsidRPr="00D20962">
        <w:rPr>
          <w:vertAlign w:val="superscript"/>
          <w:lang w:val="en-AU"/>
        </w:rPr>
        <w:endnoteReference w:id="69"/>
      </w:r>
      <w:r w:rsidRPr="00D20962">
        <w:rPr>
          <w:bCs/>
          <w:lang w:val="en-AU"/>
        </w:rPr>
        <w:t xml:space="preserve">. Five hundred and nineteen (519) Phase 1 madrasah have been assessed by BAN S/M, with 89% receiving accreditation level of A or B. A further 3% secured </w:t>
      </w:r>
      <w:r w:rsidRPr="00D20962">
        <w:rPr>
          <w:bCs/>
          <w:lang w:val="en-AU"/>
        </w:rPr>
        <w:lastRenderedPageBreak/>
        <w:t>accreditation at Level C. Fifty-three (53) madrasah made gains of three accreditation levels and 192 madrasah gained two levels</w:t>
      </w:r>
      <w:r w:rsidRPr="00D20962">
        <w:rPr>
          <w:vertAlign w:val="superscript"/>
          <w:lang w:val="en-AU"/>
        </w:rPr>
        <w:endnoteReference w:id="70"/>
      </w:r>
      <w:r w:rsidRPr="00D20962">
        <w:rPr>
          <w:bCs/>
          <w:lang w:val="en-AU"/>
        </w:rPr>
        <w:t xml:space="preserve">. </w:t>
      </w:r>
    </w:p>
    <w:p w:rsidR="00D20962" w:rsidRPr="00D20962" w:rsidRDefault="00D20962" w:rsidP="00D20962">
      <w:pPr>
        <w:spacing w:before="120" w:after="120" w:line="276" w:lineRule="auto"/>
        <w:jc w:val="both"/>
        <w:rPr>
          <w:bCs/>
          <w:lang w:val="en-AU"/>
        </w:rPr>
      </w:pPr>
      <w:r w:rsidRPr="00D20962">
        <w:rPr>
          <w:bCs/>
          <w:lang w:val="en-AU"/>
        </w:rPr>
        <w:t>With regards to the drivers, there are indications that the provision of direct financial support to madrasah – the Block Grants – has been effective in improving facilities and the provision of teaching and learning equipment and materials. Both are consistent with the standards prescribed by the NES which are assessed during the accreditation process. Initial concerns that the provision of Block Grants may inhibit receipt of external funding</w:t>
      </w:r>
      <w:r w:rsidRPr="00D20962">
        <w:rPr>
          <w:rFonts w:ascii="Times New Roman" w:hAnsi="Times New Roman"/>
          <w:vertAlign w:val="superscript"/>
          <w:lang w:val="en-AU"/>
        </w:rPr>
        <w:footnoteReference w:id="55"/>
      </w:r>
      <w:r w:rsidRPr="00D20962">
        <w:rPr>
          <w:bCs/>
          <w:lang w:val="en-AU"/>
        </w:rPr>
        <w:t xml:space="preserve"> and community support have not materialised. Indeed, recent findings from the EOPO 3 mid-line evaluation study suggested that the Block Grants have been effective in facilitating additional support from other agencies and community stakeholders.</w:t>
      </w:r>
    </w:p>
    <w:p w:rsidR="00D20962" w:rsidRPr="00D20962" w:rsidRDefault="00F56EE4" w:rsidP="00D20962">
      <w:pPr>
        <w:spacing w:before="120" w:after="120" w:line="276" w:lineRule="auto"/>
        <w:rPr>
          <w:b/>
          <w:bCs/>
          <w:i/>
          <w:iCs/>
          <w:color w:val="4F81BD" w:themeColor="accent1"/>
          <w:lang w:val="en-AU"/>
        </w:rPr>
      </w:pPr>
      <w:r>
        <w:rPr>
          <w:b/>
          <w:bCs/>
          <w:i/>
          <w:iCs/>
          <w:color w:val="4F81BD" w:themeColor="accent1"/>
          <w:lang w:val="en-AU"/>
        </w:rPr>
        <w:t>A</w:t>
      </w:r>
      <w:r w:rsidR="00D20962" w:rsidRPr="00D20962">
        <w:rPr>
          <w:b/>
          <w:bCs/>
          <w:i/>
          <w:iCs/>
          <w:color w:val="4F81BD" w:themeColor="accent1"/>
          <w:lang w:val="en-AU"/>
        </w:rPr>
        <w:t>ttainment of EOCO 3.2</w:t>
      </w:r>
    </w:p>
    <w:p w:rsidR="00D20962" w:rsidRPr="00D20962" w:rsidRDefault="00D20962" w:rsidP="00D20962">
      <w:pPr>
        <w:spacing w:before="120" w:after="120" w:line="276" w:lineRule="auto"/>
        <w:jc w:val="both"/>
        <w:rPr>
          <w:lang w:val="en-AU"/>
        </w:rPr>
      </w:pPr>
      <w:r w:rsidRPr="00D20962">
        <w:rPr>
          <w:lang w:val="en-AU"/>
        </w:rPr>
        <w:t xml:space="preserve">Whilst attention provided by C3 to systems strengthening is increasing, limited progress was made towards EOCO 3.2 in 2014. Moreover, </w:t>
      </w:r>
      <w:r w:rsidRPr="00D20962">
        <w:rPr>
          <w:bCs/>
          <w:lang w:val="en-AU"/>
        </w:rPr>
        <w:t>in POM’s view the support that was provided appeared to be primarily focused on accreditation efforts rather than improvements to the systems that are required to support improvements in the quality of education service provision</w:t>
      </w:r>
      <w:r w:rsidRPr="00D20962">
        <w:rPr>
          <w:rFonts w:ascii="Times New Roman" w:hAnsi="Times New Roman"/>
          <w:bCs/>
          <w:vertAlign w:val="superscript"/>
          <w:lang w:val="en-AU"/>
        </w:rPr>
        <w:footnoteReference w:id="56"/>
      </w:r>
      <w:r w:rsidRPr="00D20962">
        <w:rPr>
          <w:lang w:val="en-AU"/>
        </w:rPr>
        <w:t xml:space="preserve">. As such, it is unlikely that the EOCO 3.2 workstream has, as of now, made much contribution to the achievement of EOPO 3. </w:t>
      </w:r>
    </w:p>
    <w:p w:rsidR="00D20962" w:rsidRPr="00D20962" w:rsidRDefault="00D20962" w:rsidP="00D20962">
      <w:pPr>
        <w:spacing w:before="120" w:after="120" w:line="276" w:lineRule="auto"/>
        <w:jc w:val="both"/>
        <w:rPr>
          <w:lang w:val="en-AU"/>
        </w:rPr>
      </w:pPr>
      <w:r w:rsidRPr="00D20962">
        <w:rPr>
          <w:lang w:val="en-AU"/>
        </w:rPr>
        <w:t>Even so, for reasons of ‘scale’, POM is pleased to note the inclusion of a systems strengthening workstream in 2014 and the ongoing commitment to this in 2015. To focus attention on contributing to the attainment of EOCO 3.2, C3 may wish to consider targeted specialist technical assistance to support MoRA in: 1) the design, implementation, monitoring and evaluation of the MoRA ‘upgrading’ and ‘replication’ initiatives; 2) finalization of and implementation guidance for the MDC Regulations; 3) Identifying lesson learned from the C3 model (SNIP/Mentor/Madrasah) to inform the development of the ‘Grand Design’. This support to systems strengthening offers opportunity for the EP to move beyond support to strengthening systems for accreditation to make significant contributions to improvements in the quality of madrasah service provision:</w:t>
      </w:r>
    </w:p>
    <w:p w:rsidR="00D20962" w:rsidRPr="00D20962" w:rsidRDefault="00D20962" w:rsidP="00D20962">
      <w:pPr>
        <w:numPr>
          <w:ilvl w:val="0"/>
          <w:numId w:val="27"/>
        </w:numPr>
        <w:spacing w:before="120" w:after="120" w:line="276" w:lineRule="auto"/>
        <w:contextualSpacing/>
        <w:jc w:val="both"/>
        <w:rPr>
          <w:rFonts w:eastAsia="Calibri"/>
          <w:lang w:val="en-AU"/>
        </w:rPr>
      </w:pPr>
      <w:r w:rsidRPr="00D20962">
        <w:rPr>
          <w:rFonts w:eastAsia="Calibri"/>
          <w:lang w:val="en-AU"/>
        </w:rPr>
        <w:t>in targeted districts, and specifically within and beyond those targeted and non-targeted madrasah benefiting from EP support</w:t>
      </w:r>
      <w:r w:rsidRPr="00D20962">
        <w:rPr>
          <w:rFonts w:ascii="Times New Roman" w:eastAsia="Calibri" w:hAnsi="Times New Roman"/>
          <w:vertAlign w:val="superscript"/>
          <w:lang w:val="en-AU"/>
        </w:rPr>
        <w:footnoteReference w:id="57"/>
      </w:r>
      <w:r w:rsidRPr="00D20962">
        <w:rPr>
          <w:rFonts w:eastAsia="Calibri"/>
          <w:lang w:val="en-AU"/>
        </w:rPr>
        <w:t>; and</w:t>
      </w:r>
    </w:p>
    <w:p w:rsidR="00D20962" w:rsidRPr="00D20962" w:rsidRDefault="00D20962" w:rsidP="00D20962">
      <w:pPr>
        <w:numPr>
          <w:ilvl w:val="0"/>
          <w:numId w:val="27"/>
        </w:numPr>
        <w:spacing w:before="120" w:after="120" w:line="276" w:lineRule="auto"/>
        <w:contextualSpacing/>
        <w:jc w:val="both"/>
        <w:rPr>
          <w:rFonts w:eastAsia="Calibri"/>
          <w:lang w:val="en-AU"/>
        </w:rPr>
      </w:pPr>
      <w:r w:rsidRPr="00D20962">
        <w:rPr>
          <w:rFonts w:eastAsia="Calibri"/>
          <w:lang w:val="en-AU"/>
        </w:rPr>
        <w:t>beyond targeted districts, i.e. at provincial and national levels.</w:t>
      </w:r>
    </w:p>
    <w:p w:rsidR="00940C3D" w:rsidRDefault="00940C3D" w:rsidP="00D20962">
      <w:pPr>
        <w:spacing w:before="120" w:after="120" w:line="276" w:lineRule="auto"/>
        <w:rPr>
          <w:b/>
          <w:bCs/>
          <w:i/>
          <w:iCs/>
          <w:color w:val="4F81BD" w:themeColor="accent1"/>
          <w:lang w:val="en-AU"/>
        </w:rPr>
      </w:pPr>
    </w:p>
    <w:p w:rsidR="00D20962" w:rsidRPr="00D20962" w:rsidRDefault="00F56EE4" w:rsidP="00D20962">
      <w:pPr>
        <w:spacing w:before="120" w:after="120" w:line="276" w:lineRule="auto"/>
        <w:rPr>
          <w:b/>
          <w:bCs/>
          <w:i/>
          <w:iCs/>
          <w:color w:val="4F81BD" w:themeColor="accent1"/>
          <w:lang w:val="en-AU"/>
        </w:rPr>
      </w:pPr>
      <w:r>
        <w:rPr>
          <w:b/>
          <w:bCs/>
          <w:i/>
          <w:iCs/>
          <w:color w:val="4F81BD" w:themeColor="accent1"/>
          <w:lang w:val="en-AU"/>
        </w:rPr>
        <w:t>P</w:t>
      </w:r>
      <w:r w:rsidR="00D20962" w:rsidRPr="00D20962">
        <w:rPr>
          <w:b/>
          <w:bCs/>
          <w:i/>
          <w:iCs/>
          <w:color w:val="4F81BD" w:themeColor="accent1"/>
          <w:lang w:val="en-AU"/>
        </w:rPr>
        <w:t>ursuit of EOPO</w:t>
      </w:r>
      <w:r>
        <w:rPr>
          <w:b/>
          <w:bCs/>
          <w:i/>
          <w:iCs/>
          <w:color w:val="4F81BD" w:themeColor="accent1"/>
          <w:lang w:val="en-AU"/>
        </w:rPr>
        <w:t xml:space="preserve"> </w:t>
      </w:r>
      <w:r w:rsidR="00D20962" w:rsidRPr="00D20962">
        <w:rPr>
          <w:b/>
          <w:bCs/>
          <w:i/>
          <w:iCs/>
          <w:color w:val="4F81BD" w:themeColor="accent1"/>
          <w:lang w:val="en-AU"/>
        </w:rPr>
        <w:t>3</w:t>
      </w:r>
    </w:p>
    <w:p w:rsidR="00D20962" w:rsidRPr="00D20962" w:rsidRDefault="00D20962" w:rsidP="00D20962">
      <w:pPr>
        <w:spacing w:before="120" w:after="120" w:line="276" w:lineRule="auto"/>
        <w:jc w:val="both"/>
        <w:rPr>
          <w:lang w:val="en-AU"/>
        </w:rPr>
      </w:pPr>
      <w:r w:rsidRPr="00D20962">
        <w:rPr>
          <w:lang w:val="en-AU"/>
        </w:rPr>
        <w:t>The EP logic assumes that the attainment of the EOCOs is necessary</w:t>
      </w:r>
      <w:r w:rsidRPr="00D20962">
        <w:rPr>
          <w:rFonts w:ascii="Times New Roman" w:hAnsi="Times New Roman"/>
          <w:vertAlign w:val="superscript"/>
          <w:lang w:val="en-AU"/>
        </w:rPr>
        <w:footnoteReference w:id="58"/>
      </w:r>
      <w:r w:rsidRPr="00D20962">
        <w:rPr>
          <w:lang w:val="en-AU"/>
        </w:rPr>
        <w:t xml:space="preserve"> for the achievement of EOPO 3. Whilst POM considers that this assumption holds for EOCO 3.2, POM questions whether the focus on accreditation is a guarantee of quality improvement. </w:t>
      </w:r>
    </w:p>
    <w:p w:rsidR="00D20962" w:rsidRPr="00D20962" w:rsidRDefault="00D20962" w:rsidP="00D20962">
      <w:pPr>
        <w:spacing w:before="120" w:after="120" w:line="276" w:lineRule="auto"/>
        <w:jc w:val="both"/>
        <w:rPr>
          <w:lang w:val="en-AU"/>
        </w:rPr>
      </w:pPr>
      <w:r w:rsidRPr="00D20962">
        <w:rPr>
          <w:bCs/>
          <w:lang w:val="en-AU"/>
        </w:rPr>
        <w:lastRenderedPageBreak/>
        <w:t>Findings from POM’s EOPO 3 mid-line evaluation study</w:t>
      </w:r>
      <w:r w:rsidRPr="00D20962">
        <w:rPr>
          <w:rFonts w:ascii="Times New Roman" w:hAnsi="Times New Roman"/>
          <w:vertAlign w:val="superscript"/>
          <w:lang w:val="en-AU"/>
        </w:rPr>
        <w:footnoteReference w:id="59"/>
      </w:r>
      <w:r w:rsidRPr="00D20962">
        <w:rPr>
          <w:bCs/>
          <w:lang w:val="en-AU"/>
        </w:rPr>
        <w:t xml:space="preserve"> indicate that some sampled madrasah view accreditation as an end rather than as a means to achieve improved quality, possibly compounded by C3 viewing itself as a vehicle to assist madrasah to secure accreditation. Of course the attainment of accreditation has considerable benefits in itself: unaccredited madrasah cannot secure MoRA funding and are unable to issue tests and graduation certificates. However, there remains a risk that a madrasah’s investment in the pursuit of accreditation and the pursuit of quality may be imbalanced (noting that the two are not always mutually compatible). </w:t>
      </w:r>
      <w:r w:rsidRPr="00D20962">
        <w:rPr>
          <w:lang w:val="en-AU"/>
        </w:rPr>
        <w:t xml:space="preserve">On the other hand, POM believes that systemic improvements offer the potential for EP benefits to extend beyond individual madrasah to </w:t>
      </w:r>
      <w:r w:rsidRPr="00D20962">
        <w:rPr>
          <w:i/>
          <w:lang w:val="en-AU"/>
        </w:rPr>
        <w:t>targeted districts</w:t>
      </w:r>
      <w:r w:rsidRPr="00D20962">
        <w:rPr>
          <w:lang w:val="en-AU"/>
        </w:rPr>
        <w:t xml:space="preserve"> (see EOPO 3) and even to provincial and national levels. </w:t>
      </w:r>
    </w:p>
    <w:p w:rsidR="00D20962" w:rsidRPr="00D20962" w:rsidRDefault="00D20962" w:rsidP="00D20962">
      <w:pPr>
        <w:spacing w:before="120" w:after="120" w:line="276" w:lineRule="auto"/>
        <w:jc w:val="both"/>
        <w:rPr>
          <w:lang w:val="en-AU"/>
        </w:rPr>
      </w:pPr>
      <w:r w:rsidRPr="00D20962">
        <w:rPr>
          <w:lang w:val="en-AU"/>
        </w:rPr>
        <w:t>For that to happen, it is important that C3 pursues a</w:t>
      </w:r>
      <w:r w:rsidRPr="00D20962">
        <w:rPr>
          <w:bCs/>
          <w:lang w:val="en-AU"/>
        </w:rPr>
        <w:t xml:space="preserve"> comprehensive ‘systems’ approach and for this to focus on quality, and not on accreditation </w:t>
      </w:r>
      <w:r w:rsidRPr="00D20962">
        <w:rPr>
          <w:bCs/>
          <w:i/>
          <w:lang w:val="en-AU"/>
        </w:rPr>
        <w:t>per se</w:t>
      </w:r>
      <w:r w:rsidRPr="00D20962">
        <w:rPr>
          <w:bCs/>
          <w:lang w:val="en-AU"/>
        </w:rPr>
        <w:t xml:space="preserve">. POM hopes that the inclusion of strategies for improved madrasah education service provision in the upcoming </w:t>
      </w:r>
      <w:r w:rsidRPr="00D20962">
        <w:rPr>
          <w:bCs/>
          <w:i/>
          <w:lang w:val="en-AU"/>
        </w:rPr>
        <w:t>Renstra</w:t>
      </w:r>
      <w:r w:rsidRPr="00D20962">
        <w:rPr>
          <w:bCs/>
          <w:lang w:val="en-AU"/>
        </w:rPr>
        <w:t xml:space="preserve"> </w:t>
      </w:r>
      <w:r w:rsidRPr="00D20962">
        <w:rPr>
          <w:lang w:val="en-AU"/>
        </w:rPr>
        <w:t>will provide the necessary framework for EP support and allow for an integrated approach to improved service provision.</w:t>
      </w:r>
    </w:p>
    <w:p w:rsidR="00D20962" w:rsidRPr="00D20962" w:rsidRDefault="00D20962" w:rsidP="00D20962">
      <w:pPr>
        <w:keepNext/>
        <w:numPr>
          <w:ilvl w:val="2"/>
          <w:numId w:val="7"/>
        </w:numPr>
        <w:spacing w:before="120" w:after="120" w:line="276" w:lineRule="auto"/>
        <w:ind w:left="720"/>
        <w:outlineLvl w:val="2"/>
        <w:rPr>
          <w:bCs/>
          <w:color w:val="003880"/>
          <w:sz w:val="24"/>
          <w:szCs w:val="28"/>
          <w:lang w:val="en-AU"/>
        </w:rPr>
      </w:pPr>
      <w:r w:rsidRPr="00D20962">
        <w:rPr>
          <w:bCs/>
          <w:color w:val="003880"/>
          <w:sz w:val="24"/>
          <w:szCs w:val="28"/>
          <w:lang w:val="en-AU"/>
        </w:rPr>
        <w:t>Impact</w:t>
      </w:r>
    </w:p>
    <w:p w:rsidR="00D20962" w:rsidRPr="00D20962" w:rsidRDefault="00D20962" w:rsidP="00D20962">
      <w:pPr>
        <w:spacing w:before="120" w:after="120" w:line="276" w:lineRule="auto"/>
        <w:jc w:val="both"/>
        <w:rPr>
          <w:bCs/>
          <w:lang w:val="en-AU"/>
        </w:rPr>
      </w:pPr>
      <w:r w:rsidRPr="00D20962">
        <w:rPr>
          <w:bCs/>
          <w:lang w:val="en-AU"/>
        </w:rPr>
        <w:t xml:space="preserve">The long-term benefits of C3 – its impact – may be evident at two levels: </w:t>
      </w:r>
    </w:p>
    <w:p w:rsidR="00D20962" w:rsidRPr="00D20962" w:rsidRDefault="00D20962" w:rsidP="00D20962">
      <w:pPr>
        <w:numPr>
          <w:ilvl w:val="0"/>
          <w:numId w:val="25"/>
        </w:numPr>
        <w:spacing w:before="120" w:after="120" w:line="276" w:lineRule="auto"/>
        <w:contextualSpacing/>
        <w:jc w:val="both"/>
        <w:rPr>
          <w:rFonts w:eastAsia="Calibri"/>
          <w:bCs/>
          <w:lang w:val="en-AU"/>
        </w:rPr>
      </w:pPr>
      <w:r w:rsidRPr="00D20962">
        <w:rPr>
          <w:rFonts w:eastAsia="Calibri"/>
          <w:bCs/>
          <w:lang w:val="en-AU"/>
        </w:rPr>
        <w:t>At individual madrasah level, for example, in changes to the quality of education services provided accruing from improvements to resourcing and teaching and improvement in the perception of the community that a higher level of accreditation indicates higher quality and thereby elicits additional support from the community.</w:t>
      </w:r>
    </w:p>
    <w:p w:rsidR="00D20962" w:rsidRPr="00D20962" w:rsidRDefault="00D20962" w:rsidP="00D20962">
      <w:pPr>
        <w:numPr>
          <w:ilvl w:val="0"/>
          <w:numId w:val="25"/>
        </w:numPr>
        <w:spacing w:before="120" w:after="120" w:line="276" w:lineRule="auto"/>
        <w:contextualSpacing/>
        <w:jc w:val="both"/>
        <w:rPr>
          <w:rFonts w:eastAsia="Calibri"/>
          <w:bCs/>
          <w:lang w:val="en-AU"/>
        </w:rPr>
      </w:pPr>
      <w:r w:rsidRPr="00D20962">
        <w:rPr>
          <w:rFonts w:eastAsia="Calibri"/>
          <w:bCs/>
          <w:lang w:val="en-AU"/>
        </w:rPr>
        <w:t xml:space="preserve">At the systems level, for example in ‘scaled’ support to a broader number of madrasah accruing from changes in the capacity of key stakeholders to guide and support continuous quality improvement processes in the sector. </w:t>
      </w:r>
    </w:p>
    <w:p w:rsidR="00D20962" w:rsidRPr="00D20962" w:rsidRDefault="00D20962" w:rsidP="00D20962">
      <w:pPr>
        <w:spacing w:before="120" w:after="120" w:line="276" w:lineRule="auto"/>
        <w:jc w:val="both"/>
        <w:rPr>
          <w:bCs/>
          <w:lang w:val="en-AU"/>
        </w:rPr>
      </w:pPr>
      <w:r w:rsidRPr="00D20962">
        <w:rPr>
          <w:bCs/>
          <w:lang w:val="en-AU"/>
        </w:rPr>
        <w:t>As the EOPO 3 mid-line evaluation study notes, there is evidence that the EP has had positive effects on individual targeted and non-targeted madrasah. Improvements in the condition of facilities, the availability of teaching and learning resources (particularly libraries) and teaching quality are observable in both targeted and non-targeted madrasah</w:t>
      </w:r>
      <w:r w:rsidRPr="00D20962">
        <w:rPr>
          <w:rFonts w:ascii="Times New Roman" w:hAnsi="Times New Roman"/>
          <w:bCs/>
          <w:vertAlign w:val="superscript"/>
          <w:lang w:val="en-AU"/>
        </w:rPr>
        <w:footnoteReference w:id="60"/>
      </w:r>
      <w:r w:rsidRPr="00D20962">
        <w:rPr>
          <w:bCs/>
          <w:lang w:val="en-AU"/>
        </w:rPr>
        <w:t>. At a different level, it is also noteworthy that madrasah have improved capacity to attract financial or technical support from sources outside the EP, attributable in many cases to the work of the SNIPs and mentors</w:t>
      </w:r>
      <w:r w:rsidRPr="00D20962">
        <w:rPr>
          <w:rFonts w:ascii="Times New Roman" w:hAnsi="Times New Roman"/>
          <w:bCs/>
          <w:vertAlign w:val="superscript"/>
          <w:lang w:val="en-AU"/>
        </w:rPr>
        <w:footnoteReference w:id="61"/>
      </w:r>
      <w:r w:rsidRPr="00D20962">
        <w:rPr>
          <w:bCs/>
          <w:lang w:val="en-AU"/>
        </w:rPr>
        <w:t>. As the quality of the madrasah has improved, community and other support for the madrasah has increased, which has led to increased financial and in-kind support to the madrasah as well as increased enrolment</w:t>
      </w:r>
      <w:r w:rsidRPr="00D20962">
        <w:rPr>
          <w:rFonts w:ascii="Times New Roman" w:hAnsi="Times New Roman"/>
          <w:bCs/>
          <w:vertAlign w:val="superscript"/>
          <w:lang w:val="en-AU"/>
        </w:rPr>
        <w:footnoteReference w:id="62"/>
      </w:r>
      <w:r w:rsidRPr="00D20962">
        <w:rPr>
          <w:bCs/>
          <w:lang w:val="en-AU"/>
        </w:rPr>
        <w:t xml:space="preserve">. </w:t>
      </w:r>
    </w:p>
    <w:p w:rsidR="00D20962" w:rsidRPr="00D20962" w:rsidRDefault="00D20962" w:rsidP="00D20962">
      <w:pPr>
        <w:spacing w:before="120" w:after="120" w:line="276" w:lineRule="auto"/>
        <w:jc w:val="both"/>
        <w:rPr>
          <w:bCs/>
          <w:lang w:val="en-AU"/>
        </w:rPr>
      </w:pPr>
      <w:r w:rsidRPr="00D20962">
        <w:rPr>
          <w:bCs/>
          <w:lang w:val="en-AU"/>
        </w:rPr>
        <w:t xml:space="preserve">The greatest impacts are observable where there are ‘good’ madrasah principals supported by ‘good’ mentors. POM therefore suggests that significant gains to the quality of madrasah may be </w:t>
      </w:r>
      <w:r w:rsidRPr="00D20962">
        <w:rPr>
          <w:bCs/>
          <w:lang w:val="en-AU"/>
        </w:rPr>
        <w:lastRenderedPageBreak/>
        <w:t>attained by targeting support to promising or ‘good’ madrasah principals and by ensuring that mentors/supervisors have a strong capability to support madrasah principals</w:t>
      </w:r>
      <w:r w:rsidRPr="00D20962">
        <w:rPr>
          <w:rFonts w:ascii="Times New Roman" w:hAnsi="Times New Roman"/>
          <w:bCs/>
          <w:vertAlign w:val="superscript"/>
          <w:lang w:val="en-AU"/>
        </w:rPr>
        <w:footnoteReference w:id="63"/>
      </w:r>
      <w:r w:rsidRPr="00D20962">
        <w:rPr>
          <w:bCs/>
          <w:lang w:val="en-AU"/>
        </w:rPr>
        <w:t xml:space="preserve">. Whilst there is evidence of good prospects for long-term benefit at individual madrasah, the outlook at a systems level is less clear. The nature and degree of systemic change generated, strengthened and/or supported by the EP remains below expectation at this stage (even if it is evolving). It is critical that the opportunity offered by the upcoming Grand Design be harnessed. </w:t>
      </w:r>
    </w:p>
    <w:p w:rsidR="00D20962" w:rsidRPr="00D20962" w:rsidRDefault="00D20962" w:rsidP="00D20962">
      <w:pPr>
        <w:keepNext/>
        <w:numPr>
          <w:ilvl w:val="2"/>
          <w:numId w:val="7"/>
        </w:numPr>
        <w:spacing w:line="276" w:lineRule="auto"/>
        <w:ind w:left="720"/>
        <w:outlineLvl w:val="2"/>
        <w:rPr>
          <w:bCs/>
          <w:color w:val="003880"/>
          <w:sz w:val="24"/>
          <w:szCs w:val="28"/>
          <w:lang w:val="en-AU"/>
        </w:rPr>
      </w:pPr>
      <w:r w:rsidRPr="00D20962">
        <w:rPr>
          <w:bCs/>
          <w:color w:val="003880"/>
          <w:sz w:val="24"/>
          <w:szCs w:val="28"/>
          <w:lang w:val="en-AU"/>
        </w:rPr>
        <w:t>Sustainability</w:t>
      </w:r>
    </w:p>
    <w:p w:rsidR="00D20962" w:rsidRPr="00D20962" w:rsidRDefault="00D20962" w:rsidP="00D20962">
      <w:pPr>
        <w:spacing w:before="120" w:after="120" w:line="276" w:lineRule="auto"/>
        <w:jc w:val="both"/>
        <w:rPr>
          <w:bCs/>
          <w:lang w:val="en-AU"/>
        </w:rPr>
      </w:pPr>
      <w:r w:rsidRPr="00D20962">
        <w:rPr>
          <w:lang w:val="en-AU"/>
        </w:rPr>
        <w:t>A number of events and changes in 2014 point to there being good opportunity for stakeholders to sustain the benefits accruing from the investment to date. Of particular note is the emergence of the MDC Regulation; the endorsement and adoption by MoRA of the EP-supported Madrasah Accreditation Operational Procedures Manual; the use of the national budget to support ‘modified’ Block Grants; and the s</w:t>
      </w:r>
      <w:r w:rsidRPr="00D20962">
        <w:rPr>
          <w:bCs/>
          <w:lang w:val="en-AU"/>
        </w:rPr>
        <w:t>hifting</w:t>
      </w:r>
      <w:r w:rsidRPr="00D20962">
        <w:rPr>
          <w:lang w:val="en-AU"/>
        </w:rPr>
        <w:t xml:space="preserve"> of UPPAM functions to MoRA sub-directorates</w:t>
      </w:r>
      <w:r w:rsidRPr="00D20962">
        <w:rPr>
          <w:rFonts w:ascii="Times New Roman" w:hAnsi="Times New Roman"/>
          <w:vertAlign w:val="superscript"/>
          <w:lang w:val="en-AU"/>
        </w:rPr>
        <w:footnoteReference w:id="64"/>
      </w:r>
      <w:r w:rsidRPr="00D20962">
        <w:rPr>
          <w:lang w:val="en-AU"/>
        </w:rPr>
        <w:t xml:space="preserve">. </w:t>
      </w:r>
    </w:p>
    <w:p w:rsidR="00D20962" w:rsidRDefault="00D20962" w:rsidP="00D20962">
      <w:pPr>
        <w:spacing w:before="120" w:after="120" w:line="276" w:lineRule="auto"/>
        <w:jc w:val="both"/>
        <w:rPr>
          <w:bCs/>
          <w:lang w:val="en-AU"/>
        </w:rPr>
      </w:pPr>
      <w:r w:rsidRPr="00D20962">
        <w:rPr>
          <w:bCs/>
          <w:lang w:val="en-AU"/>
        </w:rPr>
        <w:t xml:space="preserve">Whilst these positives are noteworthy, POM also considers the loss of momentum regarding support to the proposed “Grand Design” for systemic improvement in madrasah education quality to be disappointing. POM understands that the original intention had been for the Grand Design to provide strategic direction for improving the quality of madrasah education and to have the Grand Design prepared before the </w:t>
      </w:r>
      <w:r w:rsidRPr="00D20962">
        <w:rPr>
          <w:bCs/>
          <w:i/>
          <w:lang w:val="en-AU"/>
        </w:rPr>
        <w:t>Renstra</w:t>
      </w:r>
      <w:r w:rsidRPr="00D20962">
        <w:rPr>
          <w:bCs/>
          <w:lang w:val="en-AU"/>
        </w:rPr>
        <w:t xml:space="preserve"> in order for it to inform the direction that the </w:t>
      </w:r>
      <w:r w:rsidRPr="00D20962">
        <w:rPr>
          <w:bCs/>
          <w:i/>
          <w:lang w:val="en-AU"/>
        </w:rPr>
        <w:t>Renstra</w:t>
      </w:r>
      <w:r w:rsidRPr="00D20962">
        <w:rPr>
          <w:bCs/>
          <w:lang w:val="en-AU"/>
        </w:rPr>
        <w:t xml:space="preserve"> would chart</w:t>
      </w:r>
      <w:r w:rsidRPr="00D20962">
        <w:rPr>
          <w:bCs/>
          <w:vertAlign w:val="superscript"/>
          <w:lang w:val="en-AU"/>
        </w:rPr>
        <w:endnoteReference w:id="71"/>
      </w:r>
      <w:r w:rsidRPr="00D20962">
        <w:rPr>
          <w:rFonts w:ascii="Times New Roman" w:hAnsi="Times New Roman"/>
          <w:bCs/>
          <w:vertAlign w:val="superscript"/>
          <w:lang w:val="en-AU"/>
        </w:rPr>
        <w:footnoteReference w:id="65"/>
      </w:r>
      <w:r w:rsidRPr="00D20962">
        <w:rPr>
          <w:bCs/>
          <w:lang w:val="en-AU"/>
        </w:rPr>
        <w:t xml:space="preserve">. With support now being provided after (or at best concurrently with) the </w:t>
      </w:r>
      <w:r w:rsidRPr="00D20962">
        <w:rPr>
          <w:bCs/>
          <w:i/>
          <w:lang w:val="en-AU"/>
        </w:rPr>
        <w:t>Renstra</w:t>
      </w:r>
      <w:r w:rsidRPr="00D20962">
        <w:rPr>
          <w:bCs/>
          <w:lang w:val="en-AU"/>
        </w:rPr>
        <w:t xml:space="preserve">, the Grand Design is now viewed by MoRA and DFAT as more of a ‘Road Map’ that will be used to guide the implementation of the </w:t>
      </w:r>
      <w:r w:rsidRPr="00D20962">
        <w:rPr>
          <w:bCs/>
          <w:i/>
          <w:lang w:val="en-AU"/>
        </w:rPr>
        <w:t>Renstra</w:t>
      </w:r>
      <w:r w:rsidRPr="00D20962">
        <w:rPr>
          <w:bCs/>
          <w:lang w:val="en-AU"/>
        </w:rPr>
        <w:t>.</w:t>
      </w:r>
    </w:p>
    <w:p w:rsidR="00F56EE4" w:rsidRPr="00D20962" w:rsidRDefault="00F56EE4" w:rsidP="00D20962">
      <w:pPr>
        <w:spacing w:before="120" w:after="120" w:line="276" w:lineRule="auto"/>
        <w:jc w:val="both"/>
        <w:rPr>
          <w:bCs/>
          <w:lang w:val="en-AU"/>
        </w:rPr>
      </w:pPr>
    </w:p>
    <w:p w:rsidR="00D20962" w:rsidRPr="00D20962" w:rsidRDefault="00F56EE4" w:rsidP="00D20962">
      <w:pPr>
        <w:keepNext/>
        <w:numPr>
          <w:ilvl w:val="1"/>
          <w:numId w:val="7"/>
        </w:numPr>
        <w:spacing w:before="120" w:after="120" w:line="276" w:lineRule="auto"/>
        <w:ind w:hanging="720"/>
        <w:outlineLvl w:val="1"/>
        <w:rPr>
          <w:b/>
          <w:bCs/>
          <w:iCs/>
          <w:color w:val="003880"/>
          <w:sz w:val="24"/>
          <w:szCs w:val="24"/>
          <w:lang w:val="en-AU"/>
        </w:rPr>
      </w:pPr>
      <w:r>
        <w:rPr>
          <w:b/>
          <w:bCs/>
          <w:iCs/>
          <w:color w:val="003880"/>
          <w:sz w:val="24"/>
          <w:szCs w:val="24"/>
          <w:lang w:val="en-AU"/>
        </w:rPr>
        <w:t>S</w:t>
      </w:r>
      <w:r w:rsidR="00D20962" w:rsidRPr="00D20962">
        <w:rPr>
          <w:b/>
          <w:bCs/>
          <w:iCs/>
          <w:color w:val="003880"/>
          <w:sz w:val="24"/>
          <w:szCs w:val="24"/>
          <w:lang w:val="en-AU"/>
        </w:rPr>
        <w:t xml:space="preserve">ummary and recommendations </w:t>
      </w:r>
    </w:p>
    <w:p w:rsidR="00D20962" w:rsidRPr="00D20962" w:rsidRDefault="00D20962" w:rsidP="00D20962">
      <w:pPr>
        <w:spacing w:before="120" w:after="120" w:line="276" w:lineRule="auto"/>
        <w:jc w:val="both"/>
        <w:rPr>
          <w:bCs/>
          <w:lang w:val="en-AU"/>
        </w:rPr>
      </w:pPr>
      <w:r w:rsidRPr="00D20962">
        <w:rPr>
          <w:bCs/>
          <w:lang w:val="en-AU"/>
        </w:rPr>
        <w:t>A summary table of component performance by DAC c</w:t>
      </w:r>
      <w:r w:rsidR="00F56EE4">
        <w:rPr>
          <w:bCs/>
          <w:lang w:val="en-AU"/>
        </w:rPr>
        <w:t>riteria is presented in Table 15</w:t>
      </w:r>
      <w:r w:rsidRPr="00D20962">
        <w:rPr>
          <w:bCs/>
          <w:lang w:val="en-AU"/>
        </w:rPr>
        <w:t>, below. The rating scale used with the previous DFAT Quality Reporting System (QRS) and the upcoming Aid Quality Checks (AQC) system has been adopted. Recommendations for improvement and, in particular, what measures are needed to increase the likelihood of achieving EOPO 3 are provided in Table 1</w:t>
      </w:r>
      <w:r w:rsidR="00F56EE4">
        <w:rPr>
          <w:bCs/>
          <w:lang w:val="en-AU"/>
        </w:rPr>
        <w:t>6</w:t>
      </w:r>
      <w:r w:rsidRPr="00D20962">
        <w:rPr>
          <w:bCs/>
          <w:lang w:val="en-AU"/>
        </w:rPr>
        <w:t>.</w:t>
      </w:r>
    </w:p>
    <w:p w:rsidR="00D20962" w:rsidRPr="00D20962" w:rsidRDefault="00D20962" w:rsidP="00D20962">
      <w:pPr>
        <w:spacing w:before="120" w:after="120" w:line="276" w:lineRule="auto"/>
        <w:jc w:val="both"/>
        <w:rPr>
          <w:bCs/>
          <w:lang w:val="en-AU"/>
        </w:rPr>
        <w:sectPr w:rsidR="00D20962" w:rsidRPr="00D20962" w:rsidSect="00493CE3">
          <w:pgSz w:w="11909" w:h="16834" w:code="9"/>
          <w:pgMar w:top="1440" w:right="1440" w:bottom="1440" w:left="1440" w:header="432" w:footer="720" w:gutter="0"/>
          <w:cols w:space="720"/>
          <w:noEndnote/>
          <w:docGrid w:linePitch="360"/>
        </w:sectPr>
      </w:pPr>
    </w:p>
    <w:p w:rsidR="00D20962" w:rsidRPr="00D20962" w:rsidRDefault="00D20962" w:rsidP="00D20962">
      <w:pPr>
        <w:keepNext/>
        <w:spacing w:before="120" w:after="120"/>
        <w:ind w:left="86" w:right="43"/>
        <w:jc w:val="center"/>
        <w:rPr>
          <w:b/>
          <w:bCs/>
          <w:iCs/>
          <w:lang w:val="en-AU"/>
        </w:rPr>
      </w:pPr>
      <w:bookmarkStart w:id="42" w:name="_Toc412534587"/>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15</w:t>
      </w:r>
      <w:r w:rsidRPr="00D20962">
        <w:rPr>
          <w:b/>
          <w:lang w:val="en-GB"/>
        </w:rPr>
        <w:fldChar w:fldCharType="end"/>
      </w:r>
      <w:r w:rsidRPr="00D20962">
        <w:rPr>
          <w:b/>
          <w:bCs/>
          <w:lang w:val="en-AU"/>
        </w:rPr>
        <w:t xml:space="preserve">: </w:t>
      </w:r>
      <w:r w:rsidRPr="00D20962">
        <w:rPr>
          <w:b/>
          <w:bCs/>
          <w:iCs/>
          <w:lang w:val="en-AU"/>
        </w:rPr>
        <w:t>Component 3 scorecard</w:t>
      </w:r>
      <w:bookmarkEnd w:id="42"/>
    </w:p>
    <w:p w:rsidR="00D20962" w:rsidRPr="00D20962" w:rsidRDefault="00D20962" w:rsidP="00D20962">
      <w:pPr>
        <w:rPr>
          <w:lang w:val="en-AU"/>
        </w:rPr>
      </w:pPr>
    </w:p>
    <w:tbl>
      <w:tblPr>
        <w:tblStyle w:val="TableGrid172"/>
        <w:tblW w:w="5104" w:type="pct"/>
        <w:jc w:val="center"/>
        <w:tblLayout w:type="fixed"/>
        <w:tblLook w:val="04A0" w:firstRow="1" w:lastRow="0" w:firstColumn="1" w:lastColumn="0" w:noHBand="0" w:noVBand="1"/>
      </w:tblPr>
      <w:tblGrid>
        <w:gridCol w:w="1817"/>
        <w:gridCol w:w="1134"/>
        <w:gridCol w:w="1134"/>
        <w:gridCol w:w="6136"/>
        <w:gridCol w:w="4244"/>
      </w:tblGrid>
      <w:tr w:rsidR="00D20962" w:rsidRPr="00D20962" w:rsidTr="00D20962">
        <w:trPr>
          <w:trHeight w:val="434"/>
          <w:tblHeader/>
          <w:jc w:val="center"/>
        </w:trPr>
        <w:tc>
          <w:tcPr>
            <w:tcW w:w="628" w:type="pct"/>
            <w:shd w:val="clear" w:color="auto" w:fill="244061" w:themeFill="accent1" w:themeFillShade="8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b/>
                <w:sz w:val="20"/>
                <w:szCs w:val="20"/>
                <w:lang w:val="en-AU"/>
              </w:rPr>
              <w:t>DAC Criterion</w:t>
            </w:r>
          </w:p>
        </w:tc>
        <w:tc>
          <w:tcPr>
            <w:tcW w:w="392"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2013 Score</w:t>
            </w:r>
          </w:p>
        </w:tc>
        <w:tc>
          <w:tcPr>
            <w:tcW w:w="392" w:type="pct"/>
            <w:tcBorders>
              <w:bottom w:val="single" w:sz="4" w:space="0" w:color="auto"/>
            </w:tcBorders>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2014 Score</w:t>
            </w:r>
          </w:p>
        </w:tc>
        <w:tc>
          <w:tcPr>
            <w:tcW w:w="2121"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Justification</w:t>
            </w:r>
          </w:p>
        </w:tc>
        <w:tc>
          <w:tcPr>
            <w:tcW w:w="1467"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Comments</w:t>
            </w:r>
          </w:p>
        </w:tc>
      </w:tr>
      <w:tr w:rsidR="00D20962" w:rsidRPr="00D20962" w:rsidTr="00D20962">
        <w:trPr>
          <w:trHeight w:val="447"/>
          <w:jc w:val="center"/>
        </w:trPr>
        <w:tc>
          <w:tcPr>
            <w:tcW w:w="628" w:type="pct"/>
            <w:vAlign w:val="center"/>
          </w:tcPr>
          <w:p w:rsidR="00D20962" w:rsidRPr="00D20962" w:rsidRDefault="00D20962" w:rsidP="00D20962">
            <w:pPr>
              <w:rPr>
                <w:rFonts w:asciiTheme="minorHAnsi" w:hAnsiTheme="minorHAnsi"/>
                <w:b/>
                <w:sz w:val="20"/>
                <w:szCs w:val="20"/>
                <w:lang w:val="en-AU"/>
              </w:rPr>
            </w:pPr>
            <w:r w:rsidRPr="00D20962">
              <w:rPr>
                <w:rFonts w:asciiTheme="minorHAnsi" w:hAnsiTheme="minorHAnsi"/>
                <w:b/>
                <w:sz w:val="20"/>
                <w:szCs w:val="20"/>
                <w:lang w:val="en-AU"/>
              </w:rPr>
              <w:t>Relevance</w:t>
            </w:r>
          </w:p>
        </w:tc>
        <w:tc>
          <w:tcPr>
            <w:tcW w:w="392" w:type="pct"/>
            <w:shd w:val="clear" w:color="auto" w:fill="FFFF0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4</w:t>
            </w:r>
          </w:p>
        </w:tc>
        <w:tc>
          <w:tcPr>
            <w:tcW w:w="392" w:type="pct"/>
            <w:tcBorders>
              <w:bottom w:val="single" w:sz="4" w:space="0" w:color="auto"/>
            </w:tcBorders>
            <w:shd w:val="clear" w:color="auto" w:fill="00B05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5</w:t>
            </w:r>
          </w:p>
        </w:tc>
        <w:tc>
          <w:tcPr>
            <w:tcW w:w="2121" w:type="pct"/>
            <w:shd w:val="clear" w:color="auto" w:fill="FFFFFF" w:themeFill="background1"/>
          </w:tcPr>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External relevance for MoRA is high as evidenced by MoRA’s continuing commitment to accreditation and quality improvement.</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External relevance for DFAT also remains high as C3 is aligned with DFAT’s commitment to improve the quality of education in Indonesia.</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Internal relevance improved by focus on efforts to strengthen the systems needed to improve madrasah quality.</w:t>
            </w:r>
          </w:p>
        </w:tc>
        <w:tc>
          <w:tcPr>
            <w:tcW w:w="1467" w:type="pct"/>
            <w:shd w:val="clear" w:color="auto" w:fill="FFFFFF" w:themeFill="background1"/>
          </w:tcPr>
          <w:p w:rsidR="00D20962" w:rsidRPr="00D20962" w:rsidRDefault="00D20962" w:rsidP="00D20962">
            <w:pPr>
              <w:ind w:left="195"/>
              <w:contextualSpacing/>
              <w:rPr>
                <w:rFonts w:eastAsia="Calibri"/>
                <w:bCs/>
                <w:sz w:val="20"/>
                <w:szCs w:val="20"/>
                <w:lang w:val="en-AU"/>
              </w:rPr>
            </w:pPr>
          </w:p>
        </w:tc>
      </w:tr>
      <w:tr w:rsidR="00D20962" w:rsidRPr="00D20962" w:rsidTr="00D20962">
        <w:trPr>
          <w:trHeight w:val="434"/>
          <w:jc w:val="center"/>
        </w:trPr>
        <w:tc>
          <w:tcPr>
            <w:tcW w:w="628" w:type="pct"/>
            <w:vAlign w:val="center"/>
          </w:tcPr>
          <w:p w:rsidR="00D20962" w:rsidRPr="00D20962" w:rsidRDefault="00D20962" w:rsidP="00D20962">
            <w:pPr>
              <w:rPr>
                <w:rFonts w:asciiTheme="minorHAnsi" w:hAnsiTheme="minorHAnsi"/>
                <w:b/>
                <w:sz w:val="20"/>
                <w:szCs w:val="20"/>
                <w:lang w:val="en-AU"/>
              </w:rPr>
            </w:pPr>
            <w:r w:rsidRPr="00D20962">
              <w:rPr>
                <w:rFonts w:asciiTheme="minorHAnsi" w:hAnsiTheme="minorHAnsi"/>
                <w:b/>
                <w:sz w:val="20"/>
                <w:szCs w:val="20"/>
                <w:lang w:val="en-AU"/>
              </w:rPr>
              <w:t>Efficiency</w:t>
            </w:r>
          </w:p>
        </w:tc>
        <w:tc>
          <w:tcPr>
            <w:tcW w:w="392" w:type="pct"/>
            <w:shd w:val="clear" w:color="auto" w:fill="00B05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5</w:t>
            </w:r>
          </w:p>
        </w:tc>
        <w:tc>
          <w:tcPr>
            <w:tcW w:w="392" w:type="pct"/>
            <w:tcBorders>
              <w:bottom w:val="single" w:sz="4" w:space="0" w:color="auto"/>
            </w:tcBorders>
            <w:shd w:val="clear" w:color="auto" w:fill="FFFF0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4</w:t>
            </w:r>
          </w:p>
        </w:tc>
        <w:tc>
          <w:tcPr>
            <w:tcW w:w="2121" w:type="pct"/>
            <w:tcBorders>
              <w:bottom w:val="single" w:sz="4" w:space="0" w:color="auto"/>
            </w:tcBorders>
            <w:shd w:val="clear" w:color="auto" w:fill="FFFFFF" w:themeFill="background1"/>
          </w:tcPr>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The delivery of accreditation-related support madrasah has been very efficient, with output-level milestones largely being met.</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Delays in the implementation of Phase 3 have resulted in expenditure inefficiencies.</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POM is concerned about the efficiency of standardized Block Grant allocations.</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The efficiency of EOCO 3.2-related support is difficult to assess. Whilst there has been increased attention to supporting systems, these efforts appear somewhat uncoordinated, disconnected and continue to be focused on accreditation in their design and in their delivery</w:t>
            </w:r>
          </w:p>
        </w:tc>
        <w:tc>
          <w:tcPr>
            <w:tcW w:w="1467" w:type="pct"/>
            <w:tcBorders>
              <w:bottom w:val="single" w:sz="4" w:space="0" w:color="auto"/>
            </w:tcBorders>
            <w:shd w:val="clear" w:color="auto" w:fill="FFFFFF" w:themeFill="background1"/>
          </w:tcPr>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While the pursuit of accreditation targets has exceeded expectations insofar as non-targeted madrasah are concerned (EOCO 3.1), there has been difficulty assessing EOCO 3.2 efficiency. This, combined with the delays in Phase 3 implementation and concerns over standardized Block Grants, has resulted in a ’downgrade’ from a 5 to a 4.</w:t>
            </w:r>
          </w:p>
        </w:tc>
      </w:tr>
      <w:tr w:rsidR="00D20962" w:rsidRPr="00D20962" w:rsidTr="00D20962">
        <w:trPr>
          <w:trHeight w:val="447"/>
          <w:jc w:val="center"/>
        </w:trPr>
        <w:tc>
          <w:tcPr>
            <w:tcW w:w="628" w:type="pct"/>
            <w:vAlign w:val="center"/>
          </w:tcPr>
          <w:p w:rsidR="00D20962" w:rsidRPr="00D20962" w:rsidRDefault="00D20962" w:rsidP="00D20962">
            <w:pPr>
              <w:rPr>
                <w:rFonts w:asciiTheme="minorHAnsi" w:hAnsiTheme="minorHAnsi"/>
                <w:b/>
                <w:sz w:val="20"/>
                <w:szCs w:val="20"/>
                <w:lang w:val="en-AU"/>
              </w:rPr>
            </w:pPr>
            <w:r w:rsidRPr="00D20962">
              <w:rPr>
                <w:rFonts w:asciiTheme="minorHAnsi" w:hAnsiTheme="minorHAnsi"/>
                <w:b/>
                <w:sz w:val="20"/>
                <w:szCs w:val="20"/>
                <w:lang w:val="en-AU"/>
              </w:rPr>
              <w:t>Effectiveness</w:t>
            </w:r>
          </w:p>
        </w:tc>
        <w:tc>
          <w:tcPr>
            <w:tcW w:w="392" w:type="pct"/>
            <w:shd w:val="clear" w:color="auto" w:fill="FFFF0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4</w:t>
            </w:r>
          </w:p>
        </w:tc>
        <w:tc>
          <w:tcPr>
            <w:tcW w:w="392" w:type="pct"/>
            <w:tcBorders>
              <w:bottom w:val="single" w:sz="4" w:space="0" w:color="auto"/>
            </w:tcBorders>
            <w:shd w:val="clear" w:color="auto" w:fill="FFFF0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4</w:t>
            </w:r>
          </w:p>
        </w:tc>
        <w:tc>
          <w:tcPr>
            <w:tcW w:w="2121" w:type="pct"/>
            <w:shd w:val="clear" w:color="auto" w:fill="FFFFFF" w:themeFill="background1"/>
          </w:tcPr>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 xml:space="preserve">While EP support has been effective in </w:t>
            </w:r>
            <w:r w:rsidRPr="00D20962">
              <w:rPr>
                <w:rFonts w:eastAsia="Calibri"/>
                <w:bCs/>
                <w:i/>
                <w:sz w:val="20"/>
                <w:szCs w:val="20"/>
                <w:lang w:val="en-AU"/>
              </w:rPr>
              <w:t>preparing madrasah for accreditation</w:t>
            </w:r>
            <w:r w:rsidRPr="00D20962">
              <w:rPr>
                <w:rFonts w:eastAsia="Calibri"/>
                <w:bCs/>
                <w:sz w:val="20"/>
                <w:szCs w:val="20"/>
                <w:lang w:val="en-AU"/>
              </w:rPr>
              <w:t xml:space="preserve"> (with very positive accreditation results from Phase 1), there is evidence from the EOPO 3 evaluation that the efforts to support accreditation may not result in improvements in quality.</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 xml:space="preserve">Support to </w:t>
            </w:r>
            <w:r w:rsidRPr="00D20962">
              <w:rPr>
                <w:rFonts w:eastAsia="Calibri"/>
                <w:bCs/>
                <w:i/>
                <w:sz w:val="20"/>
                <w:szCs w:val="20"/>
                <w:lang w:val="en-AU"/>
              </w:rPr>
              <w:t>strengthening systems for improving quality</w:t>
            </w:r>
            <w:r w:rsidRPr="00D20962">
              <w:rPr>
                <w:rFonts w:eastAsia="Calibri"/>
                <w:bCs/>
                <w:sz w:val="20"/>
                <w:szCs w:val="20"/>
                <w:lang w:val="en-AU"/>
              </w:rPr>
              <w:t xml:space="preserve"> has been limited, which necessarily constrains the contribution to EOPO 3.</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Attention is required to strengthen the capabilities of principals, mentors and supervisors as improvement in the quality of madrasah education services will depend on effective leadership and management capabilities of these education professionals.</w:t>
            </w:r>
          </w:p>
        </w:tc>
        <w:tc>
          <w:tcPr>
            <w:tcW w:w="1467" w:type="pct"/>
            <w:shd w:val="clear" w:color="auto" w:fill="FFFFFF" w:themeFill="background1"/>
          </w:tcPr>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Absence of a Grand Design which would provide a strategic perspective for madrasah quality improvement could impede the effectiveness of systems-related activities.</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It is noted that training for principals, supervisors and mentors in leadership and resource mobilization is proposed by C3 in the 2015 work plan.</w:t>
            </w:r>
          </w:p>
        </w:tc>
      </w:tr>
      <w:tr w:rsidR="00D20962" w:rsidRPr="00D20962" w:rsidTr="00D20962">
        <w:trPr>
          <w:trHeight w:val="1243"/>
          <w:jc w:val="center"/>
        </w:trPr>
        <w:tc>
          <w:tcPr>
            <w:tcW w:w="628" w:type="pct"/>
            <w:vAlign w:val="center"/>
          </w:tcPr>
          <w:p w:rsidR="00D20962" w:rsidRPr="00D20962" w:rsidRDefault="00D20962" w:rsidP="00D20962">
            <w:pPr>
              <w:rPr>
                <w:rFonts w:asciiTheme="minorHAnsi" w:hAnsiTheme="minorHAnsi"/>
                <w:b/>
                <w:sz w:val="20"/>
                <w:szCs w:val="20"/>
                <w:lang w:val="en-AU"/>
              </w:rPr>
            </w:pPr>
            <w:r w:rsidRPr="00D20962">
              <w:rPr>
                <w:rFonts w:asciiTheme="minorHAnsi" w:hAnsiTheme="minorHAnsi"/>
                <w:b/>
                <w:sz w:val="20"/>
                <w:szCs w:val="20"/>
                <w:lang w:val="en-AU"/>
              </w:rPr>
              <w:t>Impact</w:t>
            </w:r>
          </w:p>
        </w:tc>
        <w:tc>
          <w:tcPr>
            <w:tcW w:w="392" w:type="pct"/>
            <w:shd w:val="clear" w:color="auto" w:fill="auto"/>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TE</w:t>
            </w:r>
          </w:p>
        </w:tc>
        <w:tc>
          <w:tcPr>
            <w:tcW w:w="392" w:type="pct"/>
            <w:tcBorders>
              <w:bottom w:val="single" w:sz="4" w:space="0" w:color="auto"/>
            </w:tcBorders>
            <w:shd w:val="clear" w:color="auto" w:fill="FFC00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3</w:t>
            </w:r>
          </w:p>
        </w:tc>
        <w:tc>
          <w:tcPr>
            <w:tcW w:w="2121" w:type="pct"/>
            <w:shd w:val="clear" w:color="auto" w:fill="FFFFFF" w:themeFill="background1"/>
          </w:tcPr>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Tangible and observable gains in accreditation levels are evident at the individual ‘targeted’ and ‘non-targeted’ madrasah level. However, these gains in accreditation will not necessarily drive improvements in quality of madrasah educational services.</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 xml:space="preserve">Delays in the development of the Grand Design and the resultant </w:t>
            </w:r>
            <w:r w:rsidRPr="00D20962">
              <w:rPr>
                <w:rFonts w:eastAsia="Calibri"/>
                <w:bCs/>
                <w:sz w:val="20"/>
                <w:szCs w:val="20"/>
                <w:lang w:val="en-AU"/>
              </w:rPr>
              <w:lastRenderedPageBreak/>
              <w:t>change in focus of the GD from the strategic to the operational level and the over-emphasis on accreditation may limit the potential impact of EP support.</w:t>
            </w:r>
          </w:p>
        </w:tc>
        <w:tc>
          <w:tcPr>
            <w:tcW w:w="1467" w:type="pct"/>
            <w:shd w:val="clear" w:color="auto" w:fill="FFFFFF" w:themeFill="background1"/>
          </w:tcPr>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lastRenderedPageBreak/>
              <w:t>There is considerable opportunity to reach beyond the current provision of support (primarily for accreditation purposes) to madrasah, targeted districts and SNIPs.</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 xml:space="preserve">A clear distinction between accreditation and </w:t>
            </w:r>
            <w:r w:rsidRPr="00D20962">
              <w:rPr>
                <w:rFonts w:eastAsia="Calibri"/>
                <w:bCs/>
                <w:sz w:val="20"/>
                <w:szCs w:val="20"/>
                <w:lang w:val="en-AU"/>
              </w:rPr>
              <w:lastRenderedPageBreak/>
              <w:t>madrasah education quality needs to be made and adjustments made in implementation activities to increase the potential impact on quality and less so on accreditation gains.</w:t>
            </w:r>
          </w:p>
        </w:tc>
      </w:tr>
      <w:tr w:rsidR="00D20962" w:rsidRPr="00D20962" w:rsidTr="00D20962">
        <w:trPr>
          <w:trHeight w:val="274"/>
          <w:jc w:val="center"/>
        </w:trPr>
        <w:tc>
          <w:tcPr>
            <w:tcW w:w="628" w:type="pct"/>
            <w:vAlign w:val="center"/>
          </w:tcPr>
          <w:p w:rsidR="00D20962" w:rsidRPr="00D20962" w:rsidRDefault="00D20962" w:rsidP="00D20962">
            <w:pPr>
              <w:rPr>
                <w:rFonts w:asciiTheme="minorHAnsi" w:hAnsiTheme="minorHAnsi"/>
                <w:b/>
                <w:sz w:val="20"/>
                <w:szCs w:val="20"/>
                <w:lang w:val="en-AU"/>
              </w:rPr>
            </w:pPr>
            <w:r w:rsidRPr="00D20962">
              <w:rPr>
                <w:rFonts w:asciiTheme="minorHAnsi" w:hAnsiTheme="minorHAnsi"/>
                <w:b/>
                <w:sz w:val="20"/>
                <w:szCs w:val="20"/>
                <w:lang w:val="en-AU"/>
              </w:rPr>
              <w:lastRenderedPageBreak/>
              <w:t>Sustainability</w:t>
            </w:r>
          </w:p>
        </w:tc>
        <w:tc>
          <w:tcPr>
            <w:tcW w:w="392" w:type="pct"/>
            <w:shd w:val="clear" w:color="auto" w:fill="FF000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2</w:t>
            </w:r>
          </w:p>
        </w:tc>
        <w:tc>
          <w:tcPr>
            <w:tcW w:w="392" w:type="pct"/>
            <w:shd w:val="clear" w:color="auto" w:fill="FFC00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sz w:val="20"/>
                <w:szCs w:val="20"/>
                <w:lang w:val="en-AU"/>
              </w:rPr>
              <w:t>3</w:t>
            </w:r>
          </w:p>
        </w:tc>
        <w:tc>
          <w:tcPr>
            <w:tcW w:w="2121" w:type="pct"/>
            <w:shd w:val="clear" w:color="auto" w:fill="FFFFFF" w:themeFill="background1"/>
          </w:tcPr>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Changes at the individual madrasah level may be sustained.</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A range of positive ‘systemic’ signs are evident, e.g. the proposed MDC Regulation, ‘replication’ efforts and the transfer of UPPAM functions to sub-directorates of MoRA.</w:t>
            </w:r>
          </w:p>
          <w:p w:rsidR="00D20962" w:rsidRPr="00D20962" w:rsidRDefault="00D20962" w:rsidP="00D20962">
            <w:pPr>
              <w:numPr>
                <w:ilvl w:val="0"/>
                <w:numId w:val="15"/>
              </w:numPr>
              <w:ind w:left="195" w:hanging="195"/>
              <w:contextualSpacing/>
              <w:rPr>
                <w:rFonts w:eastAsia="Calibri"/>
                <w:bCs/>
                <w:sz w:val="20"/>
                <w:szCs w:val="20"/>
                <w:lang w:val="en-AU"/>
              </w:rPr>
            </w:pPr>
            <w:r w:rsidRPr="00D20962">
              <w:rPr>
                <w:rFonts w:eastAsia="Calibri"/>
                <w:bCs/>
                <w:sz w:val="20"/>
                <w:szCs w:val="20"/>
                <w:lang w:val="en-AU"/>
              </w:rPr>
              <w:t>However, these are offset by the lack of clarity about the benefits to be sustained, the absence of a comprehensive quality improvement strategy.</w:t>
            </w:r>
          </w:p>
        </w:tc>
        <w:tc>
          <w:tcPr>
            <w:tcW w:w="1467" w:type="pct"/>
            <w:shd w:val="clear" w:color="auto" w:fill="FFFFFF" w:themeFill="background1"/>
          </w:tcPr>
          <w:p w:rsidR="00D20962" w:rsidRPr="00D20962" w:rsidRDefault="00D20962" w:rsidP="00D20962">
            <w:pPr>
              <w:ind w:left="195"/>
              <w:contextualSpacing/>
              <w:rPr>
                <w:rFonts w:eastAsia="Calibri"/>
                <w:bCs/>
                <w:sz w:val="20"/>
                <w:szCs w:val="20"/>
                <w:lang w:val="en-AU"/>
              </w:rPr>
            </w:pPr>
          </w:p>
        </w:tc>
      </w:tr>
    </w:tbl>
    <w:p w:rsidR="00D20962" w:rsidRPr="00D20962" w:rsidRDefault="00D20962" w:rsidP="00D20962">
      <w:pPr>
        <w:rPr>
          <w:b/>
          <w:lang w:val="en-AU"/>
        </w:rPr>
      </w:pPr>
    </w:p>
    <w:p w:rsidR="00D20962" w:rsidRPr="00D20962" w:rsidRDefault="00D20962" w:rsidP="00D20962">
      <w:pPr>
        <w:rPr>
          <w:b/>
          <w:lang w:val="en-AU"/>
        </w:rPr>
      </w:pPr>
      <w:r w:rsidRPr="00D20962">
        <w:rPr>
          <w:lang w:val="en-AU"/>
        </w:rPr>
        <w:br w:type="page"/>
      </w:r>
    </w:p>
    <w:p w:rsidR="00D20962" w:rsidRPr="00D20962" w:rsidRDefault="00D20962" w:rsidP="00D20962">
      <w:pPr>
        <w:keepNext/>
        <w:spacing w:before="120" w:after="120"/>
        <w:ind w:left="86" w:right="43"/>
        <w:jc w:val="center"/>
        <w:rPr>
          <w:b/>
          <w:bCs/>
          <w:iCs/>
          <w:lang w:val="en-AU"/>
        </w:rPr>
      </w:pPr>
      <w:bookmarkStart w:id="43" w:name="_Toc412534588"/>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16</w:t>
      </w:r>
      <w:r w:rsidRPr="00D20962">
        <w:rPr>
          <w:b/>
          <w:lang w:val="en-GB"/>
        </w:rPr>
        <w:fldChar w:fldCharType="end"/>
      </w:r>
      <w:r w:rsidRPr="00D20962">
        <w:rPr>
          <w:b/>
          <w:bCs/>
          <w:lang w:val="en-AU"/>
        </w:rPr>
        <w:t>: Component 3 k</w:t>
      </w:r>
      <w:r w:rsidRPr="00D20962">
        <w:rPr>
          <w:b/>
          <w:bCs/>
          <w:iCs/>
          <w:lang w:val="en-AU"/>
        </w:rPr>
        <w:t>ey findings and recommendations</w:t>
      </w:r>
      <w:bookmarkEnd w:id="43"/>
    </w:p>
    <w:p w:rsidR="00D20962" w:rsidRPr="00D20962" w:rsidRDefault="00D20962" w:rsidP="00D20962">
      <w:pPr>
        <w:rPr>
          <w:lang w:val="en-AU"/>
        </w:rPr>
      </w:pPr>
    </w:p>
    <w:tbl>
      <w:tblPr>
        <w:tblStyle w:val="TableGrid3411"/>
        <w:tblW w:w="5000" w:type="pct"/>
        <w:tblLook w:val="04A0" w:firstRow="1" w:lastRow="0" w:firstColumn="1" w:lastColumn="0" w:noHBand="0" w:noVBand="1"/>
      </w:tblPr>
      <w:tblGrid>
        <w:gridCol w:w="4515"/>
        <w:gridCol w:w="5427"/>
        <w:gridCol w:w="1522"/>
        <w:gridCol w:w="2706"/>
      </w:tblGrid>
      <w:tr w:rsidR="00D20962" w:rsidRPr="00D20962" w:rsidTr="00D20962">
        <w:trPr>
          <w:trHeight w:val="438"/>
          <w:tblHeader/>
        </w:trPr>
        <w:tc>
          <w:tcPr>
            <w:tcW w:w="1593" w:type="pct"/>
            <w:tcBorders>
              <w:bottom w:val="single" w:sz="4" w:space="0" w:color="auto"/>
            </w:tcBorders>
            <w:shd w:val="clear" w:color="auto" w:fill="244061" w:themeFill="accent1" w:themeFillShade="80"/>
            <w:vAlign w:val="center"/>
          </w:tcPr>
          <w:p w:rsidR="00D20962" w:rsidRPr="00D20962" w:rsidRDefault="00D20962" w:rsidP="00D20962">
            <w:pPr>
              <w:jc w:val="center"/>
              <w:rPr>
                <w:rFonts w:asciiTheme="minorHAnsi" w:hAnsiTheme="minorHAnsi" w:cstheme="minorHAnsi"/>
                <w:b/>
                <w:color w:val="FFFFFF" w:themeColor="background1"/>
                <w:sz w:val="20"/>
                <w:szCs w:val="20"/>
                <w:lang w:val="en-AU"/>
              </w:rPr>
            </w:pPr>
            <w:r w:rsidRPr="00D20962">
              <w:rPr>
                <w:rFonts w:asciiTheme="minorHAnsi" w:hAnsiTheme="minorHAnsi" w:cstheme="minorHAnsi"/>
                <w:b/>
                <w:color w:val="FFFFFF" w:themeColor="background1"/>
                <w:sz w:val="20"/>
                <w:szCs w:val="20"/>
                <w:lang w:val="en-AU"/>
              </w:rPr>
              <w:t>Finding</w:t>
            </w:r>
          </w:p>
        </w:tc>
        <w:tc>
          <w:tcPr>
            <w:tcW w:w="1915" w:type="pct"/>
            <w:tcBorders>
              <w:bottom w:val="single" w:sz="4" w:space="0" w:color="auto"/>
            </w:tcBorders>
            <w:shd w:val="clear" w:color="auto" w:fill="244061" w:themeFill="accent1" w:themeFillShade="80"/>
            <w:vAlign w:val="center"/>
          </w:tcPr>
          <w:p w:rsidR="00D20962" w:rsidRPr="00D20962" w:rsidRDefault="00D20962" w:rsidP="00D20962">
            <w:pPr>
              <w:jc w:val="center"/>
              <w:rPr>
                <w:rFonts w:asciiTheme="minorHAnsi" w:hAnsiTheme="minorHAnsi" w:cstheme="minorHAnsi"/>
                <w:b/>
                <w:color w:val="FFFFFF" w:themeColor="background1"/>
                <w:sz w:val="20"/>
                <w:szCs w:val="20"/>
                <w:lang w:val="en-AU"/>
              </w:rPr>
            </w:pPr>
            <w:r w:rsidRPr="00D20962">
              <w:rPr>
                <w:rFonts w:asciiTheme="minorHAnsi" w:hAnsiTheme="minorHAnsi" w:cstheme="minorHAnsi"/>
                <w:b/>
                <w:color w:val="FFFFFF" w:themeColor="background1"/>
                <w:sz w:val="20"/>
                <w:szCs w:val="20"/>
                <w:lang w:val="en-AU"/>
              </w:rPr>
              <w:t>Recommendations</w:t>
            </w:r>
          </w:p>
        </w:tc>
        <w:tc>
          <w:tcPr>
            <w:tcW w:w="537" w:type="pct"/>
            <w:tcBorders>
              <w:bottom w:val="single" w:sz="4" w:space="0" w:color="auto"/>
            </w:tcBorders>
            <w:shd w:val="clear" w:color="auto" w:fill="244061" w:themeFill="accent1" w:themeFillShade="80"/>
            <w:vAlign w:val="center"/>
          </w:tcPr>
          <w:p w:rsidR="00D20962" w:rsidRPr="00D20962" w:rsidRDefault="00D20962" w:rsidP="00D20962">
            <w:pPr>
              <w:jc w:val="center"/>
              <w:rPr>
                <w:rFonts w:asciiTheme="minorHAnsi" w:hAnsiTheme="minorHAnsi" w:cstheme="minorHAnsi"/>
                <w:b/>
                <w:color w:val="FFFFFF" w:themeColor="background1"/>
                <w:sz w:val="20"/>
                <w:szCs w:val="20"/>
                <w:lang w:val="en-AU"/>
              </w:rPr>
            </w:pPr>
            <w:r w:rsidRPr="00D20962">
              <w:rPr>
                <w:rFonts w:asciiTheme="minorHAnsi" w:hAnsiTheme="minorHAnsi" w:cstheme="minorHAnsi"/>
                <w:b/>
                <w:color w:val="FFFFFF" w:themeColor="background1"/>
                <w:sz w:val="20"/>
                <w:szCs w:val="20"/>
                <w:lang w:val="en-AU"/>
              </w:rPr>
              <w:t>Level of Urgency</w:t>
            </w:r>
          </w:p>
        </w:tc>
        <w:tc>
          <w:tcPr>
            <w:tcW w:w="955" w:type="pct"/>
            <w:tcBorders>
              <w:bottom w:val="single" w:sz="4" w:space="0" w:color="auto"/>
            </w:tcBorders>
            <w:shd w:val="clear" w:color="auto" w:fill="244061" w:themeFill="accent1" w:themeFillShade="80"/>
            <w:vAlign w:val="center"/>
          </w:tcPr>
          <w:p w:rsidR="00D20962" w:rsidRPr="00D20962" w:rsidRDefault="00D20962" w:rsidP="00D20962">
            <w:pPr>
              <w:jc w:val="center"/>
              <w:rPr>
                <w:rFonts w:asciiTheme="minorHAnsi" w:hAnsiTheme="minorHAnsi" w:cstheme="minorHAnsi"/>
                <w:b/>
                <w:color w:val="FFFFFF" w:themeColor="background1"/>
                <w:sz w:val="20"/>
                <w:szCs w:val="20"/>
                <w:lang w:val="en-AU"/>
              </w:rPr>
            </w:pPr>
            <w:r w:rsidRPr="00D20962">
              <w:rPr>
                <w:rFonts w:asciiTheme="minorHAnsi" w:hAnsiTheme="minorHAnsi" w:cstheme="minorHAnsi"/>
                <w:b/>
                <w:color w:val="FFFFFF" w:themeColor="background1"/>
                <w:sz w:val="20"/>
                <w:szCs w:val="20"/>
                <w:lang w:val="en-AU"/>
              </w:rPr>
              <w:t>Prime Responsibility</w:t>
            </w:r>
          </w:p>
        </w:tc>
      </w:tr>
      <w:tr w:rsidR="00D20962" w:rsidRPr="00D20962" w:rsidTr="00D20962">
        <w:trPr>
          <w:trHeight w:val="758"/>
        </w:trPr>
        <w:tc>
          <w:tcPr>
            <w:tcW w:w="1593" w:type="pct"/>
            <w:shd w:val="clear" w:color="auto" w:fill="FFFFFF" w:themeFill="background1"/>
          </w:tcPr>
          <w:p w:rsidR="00D20962" w:rsidRPr="00D20962" w:rsidRDefault="00D20962" w:rsidP="00D20962">
            <w:pPr>
              <w:spacing w:beforeLines="60" w:before="144" w:after="60"/>
              <w:rPr>
                <w:sz w:val="20"/>
                <w:szCs w:val="20"/>
                <w:lang w:val="en-AU"/>
              </w:rPr>
            </w:pPr>
            <w:r w:rsidRPr="00D20962">
              <w:rPr>
                <w:sz w:val="20"/>
                <w:szCs w:val="20"/>
                <w:lang w:val="en-AU"/>
              </w:rPr>
              <w:t>Absence of a comprehensive strategy for the continuous improvement of madrasah (although there is a strategy for accreditation)</w:t>
            </w:r>
            <w:r w:rsidRPr="00D20962">
              <w:rPr>
                <w:sz w:val="20"/>
                <w:szCs w:val="20"/>
              </w:rPr>
              <w:t xml:space="preserve"> </w:t>
            </w:r>
            <w:r w:rsidRPr="00D20962">
              <w:rPr>
                <w:sz w:val="20"/>
                <w:szCs w:val="20"/>
                <w:lang w:val="en-AU"/>
              </w:rPr>
              <w:t>(see §4.4.5)</w:t>
            </w:r>
            <w:r w:rsidRPr="00D20962">
              <w:rPr>
                <w:rFonts w:asciiTheme="minorHAnsi" w:hAnsiTheme="minorHAnsi"/>
                <w:sz w:val="20"/>
                <w:szCs w:val="20"/>
                <w:lang w:val="en-AU"/>
              </w:rPr>
              <w:t>.</w:t>
            </w:r>
          </w:p>
        </w:tc>
        <w:tc>
          <w:tcPr>
            <w:tcW w:w="1915" w:type="pct"/>
            <w:shd w:val="clear" w:color="auto" w:fill="FFFFFF" w:themeFill="background1"/>
          </w:tcPr>
          <w:p w:rsidR="00D20962" w:rsidRPr="00D20962" w:rsidRDefault="00D20962" w:rsidP="00D20962">
            <w:pPr>
              <w:spacing w:before="120" w:after="60"/>
              <w:ind w:left="459" w:hanging="450"/>
              <w:rPr>
                <w:sz w:val="20"/>
                <w:szCs w:val="20"/>
                <w:lang w:val="en-AU"/>
              </w:rPr>
            </w:pPr>
            <w:r w:rsidRPr="00D20962">
              <w:rPr>
                <w:sz w:val="20"/>
                <w:szCs w:val="20"/>
                <w:lang w:val="en-AU"/>
              </w:rPr>
              <w:t>R12:</w:t>
            </w:r>
            <w:r w:rsidRPr="00D20962">
              <w:rPr>
                <w:sz w:val="20"/>
                <w:szCs w:val="20"/>
                <w:lang w:val="en-AU"/>
              </w:rPr>
              <w:tab/>
              <w:t>Priority should be given to assisting MoRA in the immediate development of a comprehensive ‘Grand Design’ or ‘Road Map’ that will guide future efforts to continuously improve the quality of madrasah.</w:t>
            </w:r>
          </w:p>
        </w:tc>
        <w:tc>
          <w:tcPr>
            <w:tcW w:w="537" w:type="pct"/>
            <w:tcBorders>
              <w:bottom w:val="single" w:sz="4" w:space="0" w:color="auto"/>
            </w:tcBorders>
            <w:shd w:val="clear" w:color="auto" w:fill="FF0000"/>
            <w:vAlign w:val="center"/>
          </w:tcPr>
          <w:p w:rsidR="00D20962" w:rsidRPr="00D20962" w:rsidRDefault="00D20962" w:rsidP="00D20962">
            <w:pPr>
              <w:jc w:val="center"/>
              <w:rPr>
                <w:sz w:val="20"/>
                <w:szCs w:val="20"/>
                <w:lang w:val="en-AU"/>
              </w:rPr>
            </w:pPr>
            <w:r w:rsidRPr="00D20962">
              <w:rPr>
                <w:sz w:val="20"/>
                <w:szCs w:val="20"/>
                <w:lang w:val="en-AU"/>
              </w:rPr>
              <w:t>***</w:t>
            </w:r>
          </w:p>
        </w:tc>
        <w:tc>
          <w:tcPr>
            <w:tcW w:w="955" w:type="pct"/>
          </w:tcPr>
          <w:p w:rsidR="00D20962" w:rsidRPr="00D20962" w:rsidRDefault="00D20962" w:rsidP="00D20962">
            <w:pPr>
              <w:rPr>
                <w:sz w:val="20"/>
                <w:szCs w:val="20"/>
                <w:lang w:val="en-AU"/>
              </w:rPr>
            </w:pPr>
            <w:r w:rsidRPr="00D20962">
              <w:rPr>
                <w:sz w:val="20"/>
                <w:szCs w:val="20"/>
                <w:lang w:val="en-AU"/>
              </w:rPr>
              <w:t xml:space="preserve">MoRA (with SSQ support and facilitation) </w:t>
            </w:r>
          </w:p>
        </w:tc>
      </w:tr>
      <w:tr w:rsidR="00D20962" w:rsidRPr="00D20962" w:rsidTr="00D20962">
        <w:trPr>
          <w:trHeight w:val="758"/>
        </w:trPr>
        <w:tc>
          <w:tcPr>
            <w:tcW w:w="1593" w:type="pct"/>
            <w:shd w:val="clear" w:color="auto" w:fill="FFFFFF" w:themeFill="background1"/>
          </w:tcPr>
          <w:p w:rsidR="00D20962" w:rsidRPr="00D20962" w:rsidRDefault="00D20962" w:rsidP="00D20962">
            <w:pPr>
              <w:spacing w:beforeLines="60" w:before="144" w:after="60"/>
              <w:rPr>
                <w:sz w:val="20"/>
                <w:szCs w:val="20"/>
                <w:lang w:val="en-AU"/>
              </w:rPr>
            </w:pPr>
            <w:r w:rsidRPr="00D20962">
              <w:rPr>
                <w:sz w:val="20"/>
                <w:szCs w:val="20"/>
                <w:lang w:val="en-AU"/>
              </w:rPr>
              <w:t>Lessons from the implementation of C3 that could inform the development of madrasah quality improvement systems at the national and sub-national level are not being systematically captured, analysed and discussed with MoRA for adaptation and/or adoption (see §4.4.2)</w:t>
            </w:r>
            <w:r w:rsidRPr="00D20962">
              <w:rPr>
                <w:rFonts w:asciiTheme="minorHAnsi" w:hAnsiTheme="minorHAnsi"/>
                <w:sz w:val="20"/>
                <w:szCs w:val="20"/>
                <w:lang w:val="en-AU"/>
              </w:rPr>
              <w:t>.</w:t>
            </w:r>
          </w:p>
        </w:tc>
        <w:tc>
          <w:tcPr>
            <w:tcW w:w="1915" w:type="pct"/>
            <w:shd w:val="clear" w:color="auto" w:fill="FFFFFF" w:themeFill="background1"/>
          </w:tcPr>
          <w:p w:rsidR="00D20962" w:rsidRPr="00D20962" w:rsidRDefault="00D20962" w:rsidP="00D20962">
            <w:pPr>
              <w:spacing w:before="120" w:after="60"/>
              <w:ind w:left="459" w:hanging="450"/>
              <w:rPr>
                <w:sz w:val="20"/>
                <w:szCs w:val="20"/>
                <w:lang w:val="en-AU"/>
              </w:rPr>
            </w:pPr>
            <w:r w:rsidRPr="00D20962">
              <w:rPr>
                <w:sz w:val="20"/>
                <w:szCs w:val="20"/>
                <w:lang w:val="en-AU"/>
              </w:rPr>
              <w:t xml:space="preserve">R13: </w:t>
            </w:r>
            <w:r w:rsidRPr="00D20962">
              <w:rPr>
                <w:sz w:val="20"/>
                <w:szCs w:val="20"/>
                <w:lang w:val="en-AU"/>
              </w:rPr>
              <w:tab/>
              <w:t>Lessons from the implementation of C3 – specifically those which contribute to a better understanding of the processes and systems required to improve quality – should be collated, analysed and presented for discussion and consideration as part of the ‘Grand Design’.</w:t>
            </w:r>
          </w:p>
        </w:tc>
        <w:tc>
          <w:tcPr>
            <w:tcW w:w="537" w:type="pct"/>
            <w:tcBorders>
              <w:bottom w:val="single" w:sz="4" w:space="0" w:color="auto"/>
            </w:tcBorders>
            <w:shd w:val="clear" w:color="auto" w:fill="FF0000"/>
            <w:vAlign w:val="center"/>
          </w:tcPr>
          <w:p w:rsidR="00D20962" w:rsidRPr="00D20962" w:rsidRDefault="00D20962" w:rsidP="00D20962">
            <w:pPr>
              <w:jc w:val="center"/>
              <w:rPr>
                <w:sz w:val="20"/>
                <w:szCs w:val="20"/>
                <w:lang w:val="en-AU"/>
              </w:rPr>
            </w:pPr>
            <w:r w:rsidRPr="00D20962">
              <w:rPr>
                <w:sz w:val="20"/>
                <w:szCs w:val="20"/>
                <w:lang w:val="en-AU"/>
              </w:rPr>
              <w:t>***</w:t>
            </w:r>
          </w:p>
        </w:tc>
        <w:tc>
          <w:tcPr>
            <w:tcW w:w="955" w:type="pct"/>
          </w:tcPr>
          <w:p w:rsidR="00D20962" w:rsidRPr="00D20962" w:rsidRDefault="00D20962" w:rsidP="00D20962">
            <w:pPr>
              <w:rPr>
                <w:sz w:val="20"/>
                <w:szCs w:val="20"/>
                <w:lang w:val="en-AU"/>
              </w:rPr>
            </w:pPr>
            <w:r w:rsidRPr="00D20962">
              <w:rPr>
                <w:sz w:val="20"/>
                <w:szCs w:val="20"/>
                <w:lang w:val="en-AU"/>
              </w:rPr>
              <w:t>MoRA (with support from SSQ)</w:t>
            </w:r>
          </w:p>
        </w:tc>
      </w:tr>
      <w:tr w:rsidR="00D20962" w:rsidRPr="00D20962" w:rsidTr="00D20962">
        <w:trPr>
          <w:trHeight w:val="961"/>
        </w:trPr>
        <w:tc>
          <w:tcPr>
            <w:tcW w:w="1593" w:type="pct"/>
            <w:tcBorders>
              <w:bottom w:val="single" w:sz="4" w:space="0" w:color="auto"/>
            </w:tcBorders>
            <w:shd w:val="clear" w:color="auto" w:fill="FFFFFF" w:themeFill="background1"/>
          </w:tcPr>
          <w:p w:rsidR="00D20962" w:rsidRPr="00D20962" w:rsidRDefault="00D20962" w:rsidP="00D20962">
            <w:pPr>
              <w:spacing w:beforeLines="60" w:before="144" w:after="60"/>
              <w:rPr>
                <w:sz w:val="20"/>
                <w:szCs w:val="20"/>
                <w:lang w:val="en-AU"/>
              </w:rPr>
            </w:pPr>
            <w:r w:rsidRPr="00D20962">
              <w:rPr>
                <w:sz w:val="20"/>
                <w:szCs w:val="20"/>
                <w:lang w:val="en-AU"/>
              </w:rPr>
              <w:t>The EOCO3.2 workstream lacks direction (see §4.4.3)</w:t>
            </w:r>
            <w:r w:rsidRPr="00D20962">
              <w:rPr>
                <w:rFonts w:asciiTheme="minorHAnsi" w:hAnsiTheme="minorHAnsi"/>
                <w:sz w:val="20"/>
                <w:szCs w:val="20"/>
                <w:lang w:val="en-AU"/>
              </w:rPr>
              <w:t>.</w:t>
            </w:r>
          </w:p>
        </w:tc>
        <w:tc>
          <w:tcPr>
            <w:tcW w:w="1915" w:type="pct"/>
            <w:tcBorders>
              <w:bottom w:val="single" w:sz="4" w:space="0" w:color="auto"/>
            </w:tcBorders>
            <w:shd w:val="clear" w:color="auto" w:fill="FFFFFF" w:themeFill="background1"/>
          </w:tcPr>
          <w:p w:rsidR="00D20962" w:rsidRPr="00D20962" w:rsidRDefault="00D20962" w:rsidP="00D20962">
            <w:pPr>
              <w:spacing w:before="120" w:after="60"/>
              <w:ind w:left="459" w:hanging="450"/>
              <w:rPr>
                <w:sz w:val="20"/>
                <w:szCs w:val="20"/>
                <w:lang w:val="en-AU"/>
              </w:rPr>
            </w:pPr>
            <w:r w:rsidRPr="00D20962">
              <w:rPr>
                <w:sz w:val="20"/>
                <w:szCs w:val="20"/>
                <w:lang w:val="en-AU"/>
              </w:rPr>
              <w:t>R14:</w:t>
            </w:r>
            <w:r w:rsidRPr="00D20962">
              <w:rPr>
                <w:sz w:val="20"/>
                <w:szCs w:val="20"/>
                <w:lang w:val="en-AU"/>
              </w:rPr>
              <w:tab/>
              <w:t xml:space="preserve">Priority initiatives identified by the ‘Grand Design’ should be supported with appropriate specialized technical assistance and adequate resources from C3 (and subsequent DFAT support). </w:t>
            </w:r>
          </w:p>
        </w:tc>
        <w:tc>
          <w:tcPr>
            <w:tcW w:w="537" w:type="pct"/>
            <w:tcBorders>
              <w:bottom w:val="single" w:sz="4" w:space="0" w:color="auto"/>
            </w:tcBorders>
            <w:shd w:val="clear" w:color="auto" w:fill="FF0000"/>
            <w:vAlign w:val="center"/>
          </w:tcPr>
          <w:p w:rsidR="00D20962" w:rsidRPr="00D20962" w:rsidRDefault="00D20962" w:rsidP="00D20962">
            <w:pPr>
              <w:jc w:val="center"/>
              <w:rPr>
                <w:sz w:val="20"/>
                <w:szCs w:val="20"/>
                <w:lang w:val="en-AU"/>
              </w:rPr>
            </w:pPr>
            <w:r w:rsidRPr="00D20962">
              <w:rPr>
                <w:sz w:val="20"/>
                <w:szCs w:val="20"/>
                <w:lang w:val="en-AU"/>
              </w:rPr>
              <w:t>***</w:t>
            </w:r>
          </w:p>
        </w:tc>
        <w:tc>
          <w:tcPr>
            <w:tcW w:w="955" w:type="pct"/>
          </w:tcPr>
          <w:p w:rsidR="00D20962" w:rsidRPr="00D20962" w:rsidRDefault="00D20962" w:rsidP="00D20962">
            <w:pPr>
              <w:rPr>
                <w:sz w:val="20"/>
                <w:szCs w:val="20"/>
                <w:lang w:val="en-AU"/>
              </w:rPr>
            </w:pPr>
            <w:r w:rsidRPr="00D20962">
              <w:rPr>
                <w:sz w:val="20"/>
                <w:szCs w:val="20"/>
                <w:lang w:val="en-AU"/>
              </w:rPr>
              <w:t>SSQ and DFAT</w:t>
            </w:r>
          </w:p>
        </w:tc>
      </w:tr>
      <w:tr w:rsidR="00D20962" w:rsidRPr="00D20962" w:rsidTr="00D20962">
        <w:trPr>
          <w:trHeight w:val="1327"/>
        </w:trPr>
        <w:tc>
          <w:tcPr>
            <w:tcW w:w="1593" w:type="pct"/>
            <w:shd w:val="clear" w:color="auto" w:fill="FFFFFF" w:themeFill="background1"/>
          </w:tcPr>
          <w:p w:rsidR="00D20962" w:rsidRPr="00D20962" w:rsidRDefault="00D20962" w:rsidP="00D20962">
            <w:pPr>
              <w:spacing w:beforeLines="60" w:before="144" w:after="60"/>
              <w:rPr>
                <w:sz w:val="20"/>
                <w:szCs w:val="20"/>
                <w:lang w:val="en-AU"/>
              </w:rPr>
            </w:pPr>
            <w:r w:rsidRPr="00D20962">
              <w:rPr>
                <w:sz w:val="20"/>
                <w:szCs w:val="20"/>
                <w:lang w:val="en-AU"/>
              </w:rPr>
              <w:t>The same level of Block Grant funding is provided to each madrasah regardless of requirements to meet accreditation standards (see §4.4.2)</w:t>
            </w:r>
            <w:r w:rsidRPr="00D20962">
              <w:rPr>
                <w:rFonts w:asciiTheme="minorHAnsi" w:hAnsiTheme="minorHAnsi"/>
                <w:sz w:val="20"/>
                <w:szCs w:val="20"/>
                <w:lang w:val="en-AU"/>
              </w:rPr>
              <w:t>.</w:t>
            </w:r>
          </w:p>
        </w:tc>
        <w:tc>
          <w:tcPr>
            <w:tcW w:w="1915" w:type="pct"/>
            <w:shd w:val="clear" w:color="auto" w:fill="FFFFFF" w:themeFill="background1"/>
          </w:tcPr>
          <w:p w:rsidR="00D20962" w:rsidRPr="00D20962" w:rsidRDefault="00D20962" w:rsidP="00D20962">
            <w:pPr>
              <w:spacing w:before="120" w:after="60"/>
              <w:ind w:left="459" w:hanging="450"/>
              <w:rPr>
                <w:sz w:val="20"/>
                <w:szCs w:val="20"/>
                <w:lang w:val="en-AU"/>
              </w:rPr>
            </w:pPr>
            <w:r w:rsidRPr="00D20962">
              <w:rPr>
                <w:sz w:val="20"/>
                <w:szCs w:val="20"/>
                <w:lang w:val="en-AU"/>
              </w:rPr>
              <w:t xml:space="preserve">R15: </w:t>
            </w:r>
            <w:r w:rsidRPr="00D20962">
              <w:rPr>
                <w:sz w:val="20"/>
                <w:szCs w:val="20"/>
                <w:lang w:val="en-AU"/>
              </w:rPr>
              <w:tab/>
              <w:t>An analysis of the appropriate levels of Block Grant funding required to meet accreditation standards and to improve the quality of education services provided should be conducted and this should take due account of different types and circumstances of madrasah.</w:t>
            </w:r>
          </w:p>
        </w:tc>
        <w:tc>
          <w:tcPr>
            <w:tcW w:w="537" w:type="pct"/>
            <w:shd w:val="clear" w:color="auto" w:fill="00B050"/>
            <w:vAlign w:val="center"/>
          </w:tcPr>
          <w:p w:rsidR="00D20962" w:rsidRPr="00D20962" w:rsidRDefault="00D20962" w:rsidP="00D20962">
            <w:pPr>
              <w:jc w:val="center"/>
              <w:rPr>
                <w:sz w:val="20"/>
                <w:szCs w:val="20"/>
                <w:lang w:val="en-AU"/>
              </w:rPr>
            </w:pPr>
            <w:r w:rsidRPr="00D20962">
              <w:rPr>
                <w:sz w:val="20"/>
                <w:szCs w:val="20"/>
                <w:lang w:val="en-AU"/>
              </w:rPr>
              <w:t>*</w:t>
            </w:r>
          </w:p>
        </w:tc>
        <w:tc>
          <w:tcPr>
            <w:tcW w:w="955" w:type="pct"/>
          </w:tcPr>
          <w:p w:rsidR="00D20962" w:rsidRPr="00D20962" w:rsidRDefault="00D20962" w:rsidP="00D20962">
            <w:pPr>
              <w:rPr>
                <w:sz w:val="20"/>
                <w:szCs w:val="20"/>
                <w:lang w:val="en-AU"/>
              </w:rPr>
            </w:pPr>
            <w:r w:rsidRPr="00D20962">
              <w:rPr>
                <w:sz w:val="20"/>
                <w:szCs w:val="20"/>
                <w:lang w:val="en-AU"/>
              </w:rPr>
              <w:t>MoRA (with support from SSQ)</w:t>
            </w:r>
          </w:p>
        </w:tc>
      </w:tr>
      <w:tr w:rsidR="00D20962" w:rsidRPr="00D20962" w:rsidTr="00D20962">
        <w:trPr>
          <w:trHeight w:val="567"/>
        </w:trPr>
        <w:tc>
          <w:tcPr>
            <w:tcW w:w="1593" w:type="pct"/>
            <w:shd w:val="clear" w:color="auto" w:fill="FFFFFF" w:themeFill="background1"/>
          </w:tcPr>
          <w:p w:rsidR="00D20962" w:rsidRPr="00D20962" w:rsidRDefault="00D20962" w:rsidP="00D20962">
            <w:pPr>
              <w:spacing w:beforeLines="60" w:before="144" w:after="60"/>
              <w:rPr>
                <w:sz w:val="20"/>
                <w:szCs w:val="20"/>
                <w:lang w:val="en-AU"/>
              </w:rPr>
            </w:pPr>
            <w:r w:rsidRPr="00D20962">
              <w:rPr>
                <w:sz w:val="20"/>
                <w:szCs w:val="20"/>
                <w:lang w:val="en-AU"/>
              </w:rPr>
              <w:t>Limited attention of training programs to strengthen the knowledge, skills and abilities of principals in leadership and community engagement (see §4.4.4)</w:t>
            </w:r>
            <w:r w:rsidRPr="00D20962">
              <w:rPr>
                <w:rFonts w:asciiTheme="minorHAnsi" w:hAnsiTheme="minorHAnsi"/>
                <w:sz w:val="20"/>
                <w:szCs w:val="20"/>
                <w:lang w:val="en-AU"/>
              </w:rPr>
              <w:t>.</w:t>
            </w:r>
          </w:p>
        </w:tc>
        <w:tc>
          <w:tcPr>
            <w:tcW w:w="1915" w:type="pct"/>
            <w:shd w:val="clear" w:color="auto" w:fill="FFFFFF" w:themeFill="background1"/>
          </w:tcPr>
          <w:p w:rsidR="00D20962" w:rsidRPr="00D20962" w:rsidRDefault="00D20962" w:rsidP="00D20962">
            <w:pPr>
              <w:spacing w:before="120" w:after="60"/>
              <w:ind w:left="459" w:hanging="450"/>
              <w:rPr>
                <w:sz w:val="20"/>
                <w:szCs w:val="20"/>
                <w:lang w:val="en-AU"/>
              </w:rPr>
            </w:pPr>
            <w:r w:rsidRPr="00D20962">
              <w:rPr>
                <w:sz w:val="20"/>
                <w:szCs w:val="20"/>
                <w:lang w:val="en-AU"/>
              </w:rPr>
              <w:t xml:space="preserve">R16: </w:t>
            </w:r>
            <w:r w:rsidRPr="00D20962">
              <w:rPr>
                <w:sz w:val="20"/>
                <w:szCs w:val="20"/>
                <w:lang w:val="en-AU"/>
              </w:rPr>
              <w:tab/>
              <w:t>Introduce Leadership and Community Engagement training and negotiate better engagement with ProDEP training programs.</w:t>
            </w:r>
          </w:p>
        </w:tc>
        <w:tc>
          <w:tcPr>
            <w:tcW w:w="537" w:type="pct"/>
            <w:shd w:val="clear" w:color="auto" w:fill="FFC000"/>
            <w:vAlign w:val="center"/>
          </w:tcPr>
          <w:p w:rsidR="00D20962" w:rsidRPr="00D20962" w:rsidRDefault="00D20962" w:rsidP="00D20962">
            <w:pPr>
              <w:jc w:val="center"/>
              <w:rPr>
                <w:sz w:val="20"/>
                <w:szCs w:val="20"/>
                <w:lang w:val="en-AU"/>
              </w:rPr>
            </w:pPr>
            <w:r w:rsidRPr="00D20962">
              <w:rPr>
                <w:sz w:val="20"/>
                <w:szCs w:val="20"/>
                <w:lang w:val="en-AU"/>
              </w:rPr>
              <w:t>**</w:t>
            </w:r>
          </w:p>
        </w:tc>
        <w:tc>
          <w:tcPr>
            <w:tcW w:w="955" w:type="pct"/>
          </w:tcPr>
          <w:p w:rsidR="00D20962" w:rsidRPr="00D20962" w:rsidRDefault="00D20962" w:rsidP="00D20962">
            <w:pPr>
              <w:rPr>
                <w:sz w:val="20"/>
                <w:szCs w:val="20"/>
                <w:lang w:val="en-AU"/>
              </w:rPr>
            </w:pPr>
            <w:r w:rsidRPr="00D20962">
              <w:rPr>
                <w:sz w:val="20"/>
                <w:szCs w:val="20"/>
                <w:lang w:val="en-AU"/>
              </w:rPr>
              <w:t>MoRA (with SSQ facilitation and assistance)</w:t>
            </w:r>
          </w:p>
        </w:tc>
      </w:tr>
      <w:tr w:rsidR="00D20962" w:rsidRPr="00D20962" w:rsidTr="00D20962">
        <w:trPr>
          <w:trHeight w:val="738"/>
        </w:trPr>
        <w:tc>
          <w:tcPr>
            <w:tcW w:w="1593" w:type="pct"/>
            <w:tcBorders>
              <w:bottom w:val="single" w:sz="4" w:space="0" w:color="auto"/>
            </w:tcBorders>
            <w:shd w:val="clear" w:color="auto" w:fill="FFFFFF" w:themeFill="background1"/>
          </w:tcPr>
          <w:p w:rsidR="00D20962" w:rsidRPr="00D20962" w:rsidRDefault="00D20962" w:rsidP="00D20962">
            <w:pPr>
              <w:spacing w:beforeLines="60" w:before="144" w:after="60"/>
              <w:rPr>
                <w:sz w:val="20"/>
                <w:szCs w:val="20"/>
                <w:lang w:val="en-AU"/>
              </w:rPr>
            </w:pPr>
            <w:r w:rsidRPr="00D20962">
              <w:rPr>
                <w:sz w:val="20"/>
                <w:szCs w:val="20"/>
                <w:lang w:val="en-AU"/>
              </w:rPr>
              <w:t>The quality of SNIP support and particularly the mentors, varies widely with weak mentors having little influence on quality improvement (see §4.4.4)</w:t>
            </w:r>
            <w:r w:rsidRPr="00D20962">
              <w:rPr>
                <w:rFonts w:asciiTheme="minorHAnsi" w:hAnsiTheme="minorHAnsi"/>
                <w:sz w:val="20"/>
                <w:szCs w:val="20"/>
                <w:lang w:val="en-AU"/>
              </w:rPr>
              <w:t>.</w:t>
            </w:r>
          </w:p>
        </w:tc>
        <w:tc>
          <w:tcPr>
            <w:tcW w:w="1915" w:type="pct"/>
            <w:tcBorders>
              <w:bottom w:val="single" w:sz="4" w:space="0" w:color="auto"/>
            </w:tcBorders>
            <w:shd w:val="clear" w:color="auto" w:fill="FFFFFF" w:themeFill="background1"/>
          </w:tcPr>
          <w:p w:rsidR="00D20962" w:rsidRPr="00D20962" w:rsidRDefault="00D20962" w:rsidP="00D20962">
            <w:pPr>
              <w:spacing w:before="120" w:after="60"/>
              <w:ind w:left="459" w:hanging="450"/>
              <w:rPr>
                <w:sz w:val="20"/>
                <w:szCs w:val="20"/>
                <w:lang w:val="en-AU"/>
              </w:rPr>
            </w:pPr>
            <w:r w:rsidRPr="00D20962">
              <w:rPr>
                <w:sz w:val="20"/>
                <w:szCs w:val="20"/>
                <w:lang w:val="en-AU"/>
              </w:rPr>
              <w:t xml:space="preserve">R17: </w:t>
            </w:r>
            <w:r w:rsidRPr="00D20962">
              <w:rPr>
                <w:sz w:val="20"/>
                <w:szCs w:val="20"/>
                <w:lang w:val="en-AU"/>
              </w:rPr>
              <w:tab/>
              <w:t>Ensure rigorous selection, professional development (including linking with ProDEP) and monitoring of mentors (and supervisors) and work to build a cadre of educational professionals for improving madrasah education quality.</w:t>
            </w:r>
          </w:p>
        </w:tc>
        <w:tc>
          <w:tcPr>
            <w:tcW w:w="537" w:type="pct"/>
            <w:shd w:val="clear" w:color="auto" w:fill="FFC000"/>
            <w:vAlign w:val="center"/>
          </w:tcPr>
          <w:p w:rsidR="00D20962" w:rsidRPr="00D20962" w:rsidRDefault="00D20962" w:rsidP="00D20962">
            <w:pPr>
              <w:jc w:val="center"/>
              <w:rPr>
                <w:sz w:val="20"/>
                <w:szCs w:val="20"/>
                <w:lang w:val="en-AU"/>
              </w:rPr>
            </w:pPr>
            <w:r w:rsidRPr="00D20962">
              <w:rPr>
                <w:sz w:val="20"/>
                <w:szCs w:val="20"/>
                <w:lang w:val="en-AU"/>
              </w:rPr>
              <w:t>**</w:t>
            </w:r>
          </w:p>
        </w:tc>
        <w:tc>
          <w:tcPr>
            <w:tcW w:w="955" w:type="pct"/>
          </w:tcPr>
          <w:p w:rsidR="00D20962" w:rsidRPr="00D20962" w:rsidRDefault="00D20962" w:rsidP="00D20962">
            <w:pPr>
              <w:rPr>
                <w:sz w:val="20"/>
                <w:szCs w:val="20"/>
                <w:lang w:val="en-AU"/>
              </w:rPr>
            </w:pPr>
            <w:r w:rsidRPr="00D20962">
              <w:rPr>
                <w:sz w:val="20"/>
                <w:szCs w:val="20"/>
                <w:lang w:val="en-AU"/>
              </w:rPr>
              <w:t>MoRA (with SSQ facilitation and assistance)</w:t>
            </w:r>
          </w:p>
        </w:tc>
      </w:tr>
    </w:tbl>
    <w:p w:rsidR="004B1032" w:rsidRPr="004B1032" w:rsidRDefault="00D20962" w:rsidP="004B1032">
      <w:pPr>
        <w:rPr>
          <w:lang w:val="en-AU"/>
        </w:rPr>
      </w:pPr>
      <w:r w:rsidRPr="00D20962">
        <w:rPr>
          <w:i/>
          <w:lang w:val="en-AU"/>
        </w:rPr>
        <w:t>Legend: Red (***) - high urgency; orange (**) - medium urgency; green (*) - low urgency</w:t>
      </w:r>
    </w:p>
    <w:p w:rsidR="0024400F" w:rsidRPr="00851EC7" w:rsidRDefault="0024400F" w:rsidP="00F6127C">
      <w:pPr>
        <w:spacing w:line="276" w:lineRule="auto"/>
        <w:jc w:val="both"/>
        <w:rPr>
          <w:lang w:val="en-AU"/>
        </w:rPr>
        <w:sectPr w:rsidR="0024400F" w:rsidRPr="00851EC7" w:rsidSect="00B7224C">
          <w:headerReference w:type="default" r:id="rId34"/>
          <w:pgSz w:w="16834" w:h="11909" w:orient="landscape" w:code="9"/>
          <w:pgMar w:top="1440" w:right="1440" w:bottom="1440" w:left="1440" w:header="432" w:footer="720" w:gutter="0"/>
          <w:cols w:space="720"/>
          <w:noEndnote/>
          <w:docGrid w:linePitch="360"/>
        </w:sectPr>
      </w:pPr>
    </w:p>
    <w:p w:rsidR="00D20962" w:rsidRPr="00D20962" w:rsidRDefault="00D20962" w:rsidP="00D20962">
      <w:pPr>
        <w:keepNext/>
        <w:numPr>
          <w:ilvl w:val="0"/>
          <w:numId w:val="7"/>
        </w:numPr>
        <w:spacing w:before="120" w:after="120"/>
        <w:ind w:hanging="720"/>
        <w:outlineLvl w:val="0"/>
        <w:rPr>
          <w:rFonts w:asciiTheme="minorHAnsi" w:hAnsiTheme="minorHAnsi" w:cstheme="minorHAnsi"/>
          <w:b/>
          <w:bCs/>
          <w:color w:val="003880"/>
          <w:kern w:val="32"/>
          <w:sz w:val="28"/>
          <w:szCs w:val="28"/>
          <w:lang w:val="en-AU"/>
        </w:rPr>
      </w:pPr>
      <w:bookmarkStart w:id="44" w:name="_Toc375124630"/>
      <w:bookmarkStart w:id="45" w:name="_Toc405450919"/>
      <w:bookmarkStart w:id="46" w:name="_Toc407779884"/>
      <w:r w:rsidRPr="00D20962">
        <w:rPr>
          <w:rFonts w:asciiTheme="minorHAnsi" w:hAnsiTheme="minorHAnsi" w:cstheme="minorHAnsi"/>
          <w:b/>
          <w:bCs/>
          <w:color w:val="003880"/>
          <w:kern w:val="32"/>
          <w:sz w:val="28"/>
          <w:szCs w:val="28"/>
          <w:lang w:val="en-AU"/>
        </w:rPr>
        <w:lastRenderedPageBreak/>
        <w:t>Component 4: Analytical and Capacity Development Partnership</w:t>
      </w:r>
      <w:bookmarkEnd w:id="44"/>
      <w:bookmarkEnd w:id="45"/>
      <w:bookmarkEnd w:id="46"/>
    </w:p>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 xml:space="preserve">An introduction </w:t>
      </w:r>
    </w:p>
    <w:p w:rsidR="00D20962" w:rsidRPr="00D20962" w:rsidRDefault="00D20962" w:rsidP="00D20962">
      <w:pPr>
        <w:keepNext/>
        <w:numPr>
          <w:ilvl w:val="2"/>
          <w:numId w:val="7"/>
        </w:numPr>
        <w:spacing w:before="120" w:after="120"/>
        <w:ind w:left="709" w:hanging="709"/>
        <w:outlineLvl w:val="2"/>
        <w:rPr>
          <w:bCs/>
          <w:color w:val="003880"/>
          <w:sz w:val="24"/>
          <w:szCs w:val="28"/>
          <w:lang w:val="en-AU"/>
        </w:rPr>
      </w:pPr>
      <w:r w:rsidRPr="00D20962">
        <w:rPr>
          <w:bCs/>
          <w:color w:val="003880"/>
          <w:sz w:val="24"/>
          <w:szCs w:val="28"/>
          <w:lang w:val="en-AU"/>
        </w:rPr>
        <w:t xml:space="preserve">The EP investment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Component 4 of the EP seeks to </w:t>
      </w:r>
      <w:r w:rsidRPr="00D20962">
        <w:rPr>
          <w:rFonts w:asciiTheme="minorHAnsi" w:hAnsiTheme="minorHAnsi" w:cstheme="minorHAnsi"/>
          <w:bCs/>
          <w:iCs/>
          <w:lang w:val="en-AU"/>
        </w:rPr>
        <w:t xml:space="preserve">promote the use of evidence in </w:t>
      </w:r>
      <w:r w:rsidRPr="00D20962">
        <w:rPr>
          <w:lang w:val="en-AU"/>
        </w:rPr>
        <w:t>the development and implementation of education sector policies, plans and budgets</w:t>
      </w:r>
      <w:r w:rsidRPr="00D20962">
        <w:rPr>
          <w:rFonts w:asciiTheme="minorHAnsi" w:hAnsiTheme="minorHAnsi" w:cstheme="minorHAnsi"/>
          <w:bCs/>
          <w:iCs/>
          <w:lang w:val="en-AU"/>
        </w:rPr>
        <w:t>.</w:t>
      </w:r>
      <w:r w:rsidRPr="00D20962">
        <w:rPr>
          <w:rFonts w:asciiTheme="minorHAnsi" w:hAnsiTheme="minorHAnsi" w:cstheme="minorHAnsi"/>
          <w:lang w:val="en-AU"/>
        </w:rPr>
        <w:t xml:space="preserve"> It does so through the activities of the Analytical and Capacity Development Partnership (ACDP): a facility that seeks to “promote education sector-wide policy research and dialogue”</w:t>
      </w:r>
      <w:r w:rsidRPr="00D20962">
        <w:rPr>
          <w:rFonts w:asciiTheme="minorHAnsi" w:hAnsiTheme="minorHAnsi" w:cstheme="minorHAnsi"/>
          <w:vertAlign w:val="superscript"/>
          <w:lang w:val="en-AU"/>
        </w:rPr>
        <w:endnoteReference w:id="72"/>
      </w:r>
      <w:r w:rsidRPr="00D20962">
        <w:rPr>
          <w:rFonts w:asciiTheme="minorHAnsi" w:hAnsiTheme="minorHAnsi" w:cstheme="minorHAnsi"/>
          <w:lang w:val="en-AU"/>
        </w:rPr>
        <w:t xml:space="preserve">. </w:t>
      </w:r>
      <w:r w:rsidRPr="00D20962">
        <w:rPr>
          <w:rFonts w:asciiTheme="minorHAnsi" w:hAnsiTheme="minorHAnsi" w:cstheme="minorHAnsi"/>
          <w:bCs/>
          <w:iCs/>
          <w:lang w:val="en-AU"/>
        </w:rPr>
        <w:t xml:space="preserve">The ACDP responds to requests made by relevant GoI ministries, most notably Bappenas, MoEC and MoRA. It does so by </w:t>
      </w:r>
      <w:r w:rsidRPr="00D20962">
        <w:rPr>
          <w:rFonts w:asciiTheme="minorHAnsi" w:hAnsiTheme="minorHAnsi" w:cstheme="minorHAnsi"/>
          <w:lang w:val="en-AU"/>
        </w:rPr>
        <w:t>delivering two types of activities</w:t>
      </w:r>
      <w:r w:rsidRPr="00D20962">
        <w:rPr>
          <w:rFonts w:asciiTheme="minorHAnsi" w:hAnsiTheme="minorHAnsi" w:cstheme="minorHAnsi"/>
          <w:vertAlign w:val="superscript"/>
          <w:lang w:val="en-AU"/>
        </w:rPr>
        <w:endnoteReference w:id="73"/>
      </w:r>
      <w:r w:rsidRPr="00D20962">
        <w:rPr>
          <w:rFonts w:asciiTheme="minorHAnsi" w:hAnsiTheme="minorHAnsi" w:cstheme="minorHAnsi"/>
          <w:lang w:val="en-AU"/>
        </w:rPr>
        <w:t>:</w:t>
      </w:r>
    </w:p>
    <w:p w:rsidR="00D20962" w:rsidRPr="00D20962" w:rsidRDefault="00D20962" w:rsidP="00D20962">
      <w:pPr>
        <w:numPr>
          <w:ilvl w:val="0"/>
          <w:numId w:val="9"/>
        </w:numPr>
        <w:spacing w:before="120" w:after="120" w:line="276" w:lineRule="auto"/>
        <w:contextualSpacing/>
        <w:rPr>
          <w:rFonts w:asciiTheme="minorHAnsi" w:eastAsia="Calibri" w:hAnsiTheme="minorHAnsi" w:cstheme="minorHAnsi"/>
          <w:lang w:val="en-AU"/>
        </w:rPr>
      </w:pPr>
      <w:r w:rsidRPr="00D20962">
        <w:rPr>
          <w:rFonts w:asciiTheme="minorHAnsi" w:eastAsia="Calibri" w:hAnsiTheme="minorHAnsi" w:cstheme="minorHAnsi"/>
          <w:lang w:val="en-AU"/>
        </w:rPr>
        <w:t>The delivery of demand-driven research and technical support, e.g. technical studies, reviews and assessments (predominantly)</w:t>
      </w:r>
      <w:r w:rsidRPr="00D20962">
        <w:rPr>
          <w:rFonts w:ascii="Times New Roman" w:eastAsia="Calibri" w:hAnsi="Times New Roman" w:cstheme="minorHAnsi"/>
          <w:vertAlign w:val="superscript"/>
          <w:lang w:val="en-AU"/>
        </w:rPr>
        <w:footnoteReference w:id="66"/>
      </w:r>
      <w:r w:rsidRPr="00D20962">
        <w:rPr>
          <w:rFonts w:asciiTheme="minorHAnsi" w:eastAsia="Calibri" w:hAnsiTheme="minorHAnsi" w:cstheme="minorHAnsi"/>
          <w:lang w:val="en-AU"/>
        </w:rPr>
        <w:t>; technical papers</w:t>
      </w:r>
      <w:r w:rsidRPr="00D20962">
        <w:rPr>
          <w:rFonts w:ascii="Times New Roman" w:eastAsia="Calibri" w:hAnsi="Times New Roman" w:cstheme="minorHAnsi"/>
          <w:vertAlign w:val="superscript"/>
          <w:lang w:val="en-AU"/>
        </w:rPr>
        <w:footnoteReference w:id="67"/>
      </w:r>
      <w:r w:rsidRPr="00D20962">
        <w:rPr>
          <w:rFonts w:asciiTheme="minorHAnsi" w:eastAsia="Calibri" w:hAnsiTheme="minorHAnsi" w:cstheme="minorHAnsi"/>
          <w:lang w:val="en-AU"/>
        </w:rPr>
        <w:t>; and, training</w:t>
      </w:r>
      <w:r w:rsidRPr="00D20962">
        <w:rPr>
          <w:rFonts w:ascii="Times New Roman" w:eastAsia="Calibri" w:hAnsi="Times New Roman" w:cstheme="minorHAnsi"/>
          <w:vertAlign w:val="superscript"/>
          <w:lang w:val="en-AU"/>
        </w:rPr>
        <w:footnoteReference w:id="68"/>
      </w:r>
      <w:r w:rsidRPr="00D20962">
        <w:rPr>
          <w:rFonts w:asciiTheme="minorHAnsi" w:eastAsia="Calibri" w:hAnsiTheme="minorHAnsi" w:cstheme="minorHAnsi"/>
          <w:lang w:val="en-AU"/>
        </w:rPr>
        <w:t>.</w:t>
      </w:r>
    </w:p>
    <w:p w:rsidR="00D20962" w:rsidRPr="00D20962" w:rsidRDefault="00D20962" w:rsidP="00D20962">
      <w:pPr>
        <w:numPr>
          <w:ilvl w:val="0"/>
          <w:numId w:val="9"/>
        </w:numPr>
        <w:spacing w:before="120" w:after="120" w:line="276" w:lineRule="auto"/>
        <w:contextualSpacing/>
        <w:rPr>
          <w:rFonts w:asciiTheme="minorHAnsi" w:eastAsia="Calibri" w:hAnsiTheme="minorHAnsi" w:cstheme="minorHAnsi"/>
          <w:lang w:val="en-AU"/>
        </w:rPr>
      </w:pPr>
      <w:r w:rsidRPr="00D20962">
        <w:rPr>
          <w:rFonts w:asciiTheme="minorHAnsi" w:eastAsia="Calibri" w:hAnsiTheme="minorHAnsi" w:cstheme="minorHAnsi"/>
          <w:lang w:val="en-AU"/>
        </w:rPr>
        <w:t>The organisation of technical meetings, focus group discussions and workshops at the request of GoI stakeholders</w:t>
      </w:r>
      <w:r w:rsidRPr="00D20962">
        <w:rPr>
          <w:rFonts w:ascii="Times New Roman" w:eastAsia="Calibri" w:hAnsi="Times New Roman" w:cstheme="minorHAnsi"/>
          <w:vertAlign w:val="superscript"/>
          <w:lang w:val="en-AU"/>
        </w:rPr>
        <w:footnoteReference w:id="69"/>
      </w:r>
      <w:r w:rsidRPr="00D20962">
        <w:rPr>
          <w:rFonts w:asciiTheme="minorHAnsi" w:eastAsia="Calibri" w:hAnsiTheme="minorHAnsi" w:cstheme="minorHAnsi"/>
          <w:lang w:val="en-AU"/>
        </w:rPr>
        <w:t>.</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These are delivered within three output areas, namely:</w:t>
      </w:r>
    </w:p>
    <w:p w:rsidR="00D20962" w:rsidRPr="00D20962" w:rsidRDefault="00D20962" w:rsidP="00D20962">
      <w:pPr>
        <w:numPr>
          <w:ilvl w:val="0"/>
          <w:numId w:val="9"/>
        </w:numPr>
        <w:spacing w:before="120" w:after="120" w:line="276" w:lineRule="auto"/>
        <w:contextualSpacing/>
        <w:rPr>
          <w:rFonts w:asciiTheme="minorHAnsi" w:eastAsia="Calibri" w:hAnsiTheme="minorHAnsi" w:cstheme="minorHAnsi"/>
          <w:lang w:val="en-AU"/>
        </w:rPr>
      </w:pPr>
      <w:r w:rsidRPr="00D20962">
        <w:rPr>
          <w:rFonts w:asciiTheme="minorHAnsi" w:eastAsia="Calibri" w:hAnsiTheme="minorHAnsi" w:cstheme="minorHAnsi"/>
          <w:lang w:val="en-AU"/>
        </w:rPr>
        <w:t>Legislative and regulatory reforms.</w:t>
      </w:r>
    </w:p>
    <w:p w:rsidR="00D20962" w:rsidRPr="00D20962" w:rsidRDefault="00D20962" w:rsidP="00D20962">
      <w:pPr>
        <w:numPr>
          <w:ilvl w:val="0"/>
          <w:numId w:val="9"/>
        </w:numPr>
        <w:spacing w:before="120" w:after="120" w:line="276" w:lineRule="auto"/>
        <w:contextualSpacing/>
        <w:rPr>
          <w:rFonts w:asciiTheme="minorHAnsi" w:eastAsia="Calibri" w:hAnsiTheme="minorHAnsi" w:cstheme="minorHAnsi"/>
          <w:lang w:val="en-AU"/>
        </w:rPr>
      </w:pPr>
      <w:r w:rsidRPr="00D20962">
        <w:rPr>
          <w:rFonts w:asciiTheme="minorHAnsi" w:eastAsia="Calibri" w:hAnsiTheme="minorHAnsi" w:cstheme="minorHAnsi"/>
          <w:lang w:val="en-AU"/>
        </w:rPr>
        <w:t>Capacity development and organisational change.</w:t>
      </w:r>
    </w:p>
    <w:p w:rsidR="00D20962" w:rsidRPr="00D20962" w:rsidRDefault="00D20962" w:rsidP="00D20962">
      <w:pPr>
        <w:numPr>
          <w:ilvl w:val="0"/>
          <w:numId w:val="9"/>
        </w:numPr>
        <w:spacing w:before="120" w:after="120" w:line="276" w:lineRule="auto"/>
        <w:contextualSpacing/>
        <w:rPr>
          <w:rFonts w:asciiTheme="minorHAnsi" w:eastAsia="Calibri" w:hAnsiTheme="minorHAnsi" w:cstheme="minorHAnsi"/>
          <w:lang w:val="en-AU"/>
        </w:rPr>
      </w:pPr>
      <w:r w:rsidRPr="00D20962">
        <w:rPr>
          <w:rFonts w:asciiTheme="minorHAnsi" w:eastAsia="Calibri" w:hAnsiTheme="minorHAnsi" w:cstheme="minorHAnsi"/>
          <w:lang w:val="en-AU"/>
        </w:rPr>
        <w:t>Information and communication systems.</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Participating decision-makers are expected to utilise ACDP analytical work in relevant policy, planning and budgeting processes (the End of Component Outcome) and then incorporate ACDP evidence in relevant education sector policies, regulation, plans and budgets (the End of Partnership Outcome 4). This, in turn, is expected to make a contribution to the three goals of the Education Partnership, most notably Goal 3: Education sector governance improves.</w:t>
      </w:r>
    </w:p>
    <w:p w:rsidR="00D20962" w:rsidRPr="00D20962" w:rsidRDefault="00D20962" w:rsidP="00D20962">
      <w:pPr>
        <w:keepNext/>
        <w:numPr>
          <w:ilvl w:val="2"/>
          <w:numId w:val="7"/>
        </w:numPr>
        <w:ind w:left="709" w:hanging="709"/>
        <w:outlineLvl w:val="2"/>
        <w:rPr>
          <w:bCs/>
          <w:color w:val="003880"/>
          <w:sz w:val="24"/>
          <w:szCs w:val="28"/>
          <w:lang w:val="en-AU"/>
        </w:rPr>
      </w:pPr>
      <w:r w:rsidRPr="00D20962">
        <w:rPr>
          <w:bCs/>
          <w:color w:val="003880"/>
          <w:sz w:val="24"/>
          <w:szCs w:val="28"/>
          <w:lang w:val="en-AU"/>
        </w:rPr>
        <w:t>The delivery mechanisms and support provided by the EP</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The Government of Australia and the European Union (EU) provide a total of approximately USD 50m</w:t>
      </w:r>
      <w:r w:rsidRPr="00D20962">
        <w:rPr>
          <w:rFonts w:ascii="Times New Roman" w:hAnsi="Times New Roman" w:cstheme="minorHAnsi"/>
          <w:vertAlign w:val="superscript"/>
          <w:lang w:val="en-AU"/>
        </w:rPr>
        <w:footnoteReference w:id="70"/>
      </w:r>
      <w:r w:rsidRPr="00D20962">
        <w:rPr>
          <w:rFonts w:asciiTheme="minorHAnsi" w:hAnsiTheme="minorHAnsi" w:cstheme="minorHAnsi"/>
          <w:lang w:val="en-AU"/>
        </w:rPr>
        <w:t xml:space="preserve"> to support implementation of the ACDP. The Government of Indonesia provides further contribution to the value of USD 5m in the form of office accommodation, transport, and remuneration and per diems for counterpart staff.</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The ACDP technical oversight group (ATOG) is co-chaired by the Deputy Minister of Human Resources and Culture in Bappenas, the Head of Balitbang (MoEC), and the Director General of Islamic Education (MoRA). The ATOG is scheduled to meet quarterly and is responsible for, </w:t>
      </w:r>
      <w:r w:rsidRPr="00D20962">
        <w:rPr>
          <w:rFonts w:asciiTheme="minorHAnsi" w:hAnsiTheme="minorHAnsi" w:cstheme="minorHAnsi"/>
          <w:i/>
          <w:lang w:val="en-AU"/>
        </w:rPr>
        <w:t>inter alia</w:t>
      </w:r>
      <w:r w:rsidRPr="00D20962">
        <w:rPr>
          <w:rFonts w:asciiTheme="minorHAnsi" w:hAnsiTheme="minorHAnsi" w:cstheme="minorHAnsi"/>
          <w:lang w:val="en-AU"/>
        </w:rPr>
        <w:t xml:space="preserve">, reviewing and approving ACDP’s annual work plan, approving reports, and organizing technical </w:t>
      </w:r>
      <w:r w:rsidRPr="00D20962">
        <w:rPr>
          <w:rFonts w:asciiTheme="minorHAnsi" w:hAnsiTheme="minorHAnsi" w:cstheme="minorHAnsi"/>
          <w:lang w:val="en-AU"/>
        </w:rPr>
        <w:lastRenderedPageBreak/>
        <w:t>dialogue between GoI, DFAT and the EU. ATOG membership includes senior officials from MoEC, MoRA, Bappenas, MoF, MoHA, DFAT and the EU.</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ACDP’s executing agency is MoEC’s National Office for Research and Development (Balitbang), with its Head acting as Director of the ACDP. The ACDP Program Manager, who is the Head of the Centre for Research and Policy at the Balitbang, is responsible for day-to-day management of the program, and this includes preparing the annual work plans and budgets and coordinating dissemination and publication of ACDP reports.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The Asian Development Bank (ADB) is responsible for managing and administering the ACDP on behalf of the Balitbang. The ADB has contracted an Operational Management Team (OMT) and a Core Advisory Team (CAT) to provide technical support to the implementation of the program, with both teams being based in the ACDP Secretariat at the Balitbang. The OMT provides administrative and management support services such that the agreed activities and outputs are delivered in a timely and professional manner. Its primary responsibilities include procurement and subsequent oversight of contracted services. The CAT supports the ACDP Program Director and Program Manager with the preparation and implementation of ACDP activities.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All contract activities are procured through a competitive bidding process either among prequalified Indefinite Delivery Contracts (IDC) consortia or individually recruited consultants.</w:t>
      </w:r>
    </w:p>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Context</w:t>
      </w:r>
    </w:p>
    <w:p w:rsidR="00D20962" w:rsidRPr="00D20962" w:rsidRDefault="00D20962" w:rsidP="00D20962">
      <w:pPr>
        <w:spacing w:before="120" w:after="120" w:line="276" w:lineRule="auto"/>
        <w:jc w:val="both"/>
        <w:rPr>
          <w:rFonts w:eastAsia="Calibri"/>
          <w:lang w:val="en-AU"/>
        </w:rPr>
      </w:pPr>
      <w:r w:rsidRPr="00D20962">
        <w:rPr>
          <w:rFonts w:eastAsia="Calibri"/>
          <w:lang w:val="en-AU"/>
        </w:rPr>
        <w:t>The ACDP started in January 2011 and is currently scheduled to close in December 2015. The policy and political environment within which ACDP operates has experienced a period of flux over the last twelve months. Following the installation of the new President in October 2014, the responsibilities of the former Ministry of Education and Culture have evolved, with the new Ministry of Culture and Elementary and Secondary Education handling the period up to and including senior secondary education, and the new Ministry of Research and Technology and Higher Education overseeing higher education and research. The mandate of the Ministry of Religious Affairs has remained unchanged, whilst Bappenas now reports directly to the President rather than the Coordinating Ministry of Economic Affairs.</w:t>
      </w:r>
    </w:p>
    <w:p w:rsidR="00D20962" w:rsidRPr="00D20962" w:rsidRDefault="00D20962" w:rsidP="00D20962">
      <w:pPr>
        <w:spacing w:before="120" w:after="120" w:line="276" w:lineRule="auto"/>
        <w:jc w:val="both"/>
        <w:rPr>
          <w:rFonts w:eastAsia="Calibri"/>
          <w:lang w:val="en-AU"/>
        </w:rPr>
      </w:pPr>
      <w:r w:rsidRPr="00D20962">
        <w:rPr>
          <w:rFonts w:eastAsia="Calibri"/>
          <w:lang w:val="en-AU"/>
        </w:rPr>
        <w:t>Throughout 2014, Bappenas led and coordinated preparatory activities for the upcoming Medium Term National Development Plan (RPJMN) (2015-19). The RPJMN will set new priorities within the framework of the longer-term RPJPN (2005-25). It will include national development strategies and policies, programs within technical ministries, a macroeconomic framework, and investment and financing policy. At the same time as the RPJMN was being drafted, the Ministries have been developing their Strategic Plans (</w:t>
      </w:r>
      <w:r w:rsidRPr="00D20962">
        <w:rPr>
          <w:rFonts w:eastAsia="Calibri"/>
          <w:i/>
          <w:lang w:val="en-AU"/>
        </w:rPr>
        <w:t>Renstras</w:t>
      </w:r>
      <w:r w:rsidRPr="00D20962">
        <w:rPr>
          <w:rFonts w:eastAsia="Calibri"/>
          <w:lang w:val="en-AU"/>
        </w:rPr>
        <w:t xml:space="preserve">) for 2015-19 (with support from the ACDP). These will be aligned with the RPJMN in due course.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A joint EU-DFAT mid-term review (MTR) was conducted in Q3-4 of 2014, with a view to providing partners with an </w:t>
      </w:r>
      <w:r w:rsidRPr="00D20962">
        <w:rPr>
          <w:lang w:val="en-AU"/>
        </w:rPr>
        <w:t>independent assessment of ACDP’s performance, and a se</w:t>
      </w:r>
      <w:r w:rsidRPr="00D20962">
        <w:rPr>
          <w:rFonts w:asciiTheme="minorHAnsi" w:hAnsiTheme="minorHAnsi" w:cstheme="minorHAnsi"/>
          <w:lang w:val="en-AU"/>
        </w:rPr>
        <w:t xml:space="preserve">t of key lessons and practical recommendations to guide ACDP’s future. The MTR team submitted their final report in October 2014. </w:t>
      </w:r>
    </w:p>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lastRenderedPageBreak/>
        <w:t>Achievements</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ACDP continues to make steady progress. At the beginning of December 2014 it had completed 24 activities in total. A further 13 activities were ongoing</w:t>
      </w:r>
      <w:r w:rsidRPr="00D20962">
        <w:rPr>
          <w:rFonts w:asciiTheme="minorHAnsi" w:hAnsiTheme="minorHAnsi" w:cstheme="minorHAnsi"/>
          <w:vertAlign w:val="superscript"/>
          <w:lang w:val="en-AU"/>
        </w:rPr>
        <w:endnoteReference w:id="74"/>
      </w:r>
      <w:r w:rsidRPr="00D20962">
        <w:rPr>
          <w:rFonts w:asciiTheme="minorHAnsi" w:hAnsiTheme="minorHAnsi" w:cstheme="minorHAnsi"/>
          <w:lang w:val="en-AU"/>
        </w:rPr>
        <w:t xml:space="preserve">. Together, these 37 activities constitute nearly USD 29m of contracted commitments (see </w:t>
      </w:r>
      <w:r w:rsidRPr="00D20962">
        <w:rPr>
          <w:rFonts w:asciiTheme="minorHAnsi" w:hAnsiTheme="minorHAnsi" w:cstheme="minorHAnsi"/>
          <w:lang w:val="en-AU"/>
        </w:rPr>
        <w:fldChar w:fldCharType="begin"/>
      </w:r>
      <w:r w:rsidRPr="00D20962">
        <w:rPr>
          <w:rFonts w:asciiTheme="minorHAnsi" w:hAnsiTheme="minorHAnsi" w:cstheme="minorHAnsi"/>
          <w:lang w:val="en-AU"/>
        </w:rPr>
        <w:instrText xml:space="preserve"> REF _Ref379642144 \h  \* MERGEFORMAT </w:instrText>
      </w:r>
      <w:r w:rsidRPr="00D20962">
        <w:rPr>
          <w:rFonts w:asciiTheme="minorHAnsi" w:hAnsiTheme="minorHAnsi" w:cstheme="minorHAnsi"/>
          <w:lang w:val="en-AU"/>
        </w:rPr>
      </w:r>
      <w:r w:rsidRPr="00D20962">
        <w:rPr>
          <w:rFonts w:asciiTheme="minorHAnsi" w:hAnsiTheme="minorHAnsi" w:cstheme="minorHAnsi"/>
          <w:lang w:val="en-AU"/>
        </w:rPr>
        <w:fldChar w:fldCharType="separate"/>
      </w:r>
      <w:r w:rsidR="004A0A8F" w:rsidRPr="004A0A8F">
        <w:rPr>
          <w:lang w:val="en-AU"/>
        </w:rPr>
        <w:t xml:space="preserve">Table </w:t>
      </w:r>
      <w:r w:rsidR="004A0A8F">
        <w:rPr>
          <w:b/>
          <w:noProof/>
          <w:lang w:val="en-GB"/>
        </w:rPr>
        <w:t>17</w:t>
      </w:r>
      <w:r w:rsidRPr="00D20962">
        <w:rPr>
          <w:rFonts w:asciiTheme="minorHAnsi" w:hAnsiTheme="minorHAnsi" w:cstheme="minorHAnsi"/>
          <w:lang w:val="en-AU"/>
        </w:rPr>
        <w:fldChar w:fldCharType="end"/>
      </w:r>
      <w:r w:rsidRPr="00D20962">
        <w:rPr>
          <w:rFonts w:asciiTheme="minorHAnsi" w:hAnsiTheme="minorHAnsi" w:cstheme="minorHAnsi"/>
          <w:lang w:val="en-AU"/>
        </w:rPr>
        <w:t>1</w:t>
      </w:r>
      <w:r w:rsidR="00F56EE4">
        <w:rPr>
          <w:rFonts w:asciiTheme="minorHAnsi" w:hAnsiTheme="minorHAnsi" w:cstheme="minorHAnsi"/>
          <w:lang w:val="en-AU"/>
        </w:rPr>
        <w:t>7</w:t>
      </w:r>
      <w:r w:rsidRPr="00D20962">
        <w:rPr>
          <w:rFonts w:asciiTheme="minorHAnsi" w:hAnsiTheme="minorHAnsi" w:cstheme="minorHAnsi"/>
          <w:lang w:val="en-AU"/>
        </w:rPr>
        <w:t xml:space="preserve">). </w:t>
      </w:r>
    </w:p>
    <w:p w:rsidR="00D20962" w:rsidRPr="00D20962" w:rsidRDefault="00D20962" w:rsidP="00D20962">
      <w:pPr>
        <w:keepNext/>
        <w:spacing w:before="120" w:after="120"/>
        <w:ind w:left="86" w:right="43"/>
        <w:jc w:val="center"/>
        <w:rPr>
          <w:b/>
          <w:lang w:val="en-AU"/>
        </w:rPr>
      </w:pPr>
      <w:bookmarkStart w:id="47" w:name="_Ref379642144"/>
      <w:bookmarkStart w:id="48" w:name="_Toc412534589"/>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17</w:t>
      </w:r>
      <w:r w:rsidRPr="00D20962">
        <w:rPr>
          <w:b/>
          <w:lang w:val="en-GB"/>
        </w:rPr>
        <w:fldChar w:fldCharType="end"/>
      </w:r>
      <w:bookmarkEnd w:id="47"/>
      <w:r w:rsidRPr="00D20962">
        <w:rPr>
          <w:b/>
          <w:lang w:val="en-AU"/>
        </w:rPr>
        <w:t>: Status in November 2014 compared to November 2013</w:t>
      </w:r>
      <w:bookmarkEnd w:id="48"/>
    </w:p>
    <w:tbl>
      <w:tblPr>
        <w:tblStyle w:val="TableGrid20"/>
        <w:tblW w:w="5000" w:type="pct"/>
        <w:jc w:val="center"/>
        <w:tblLook w:val="04A0" w:firstRow="1" w:lastRow="0" w:firstColumn="1" w:lastColumn="0" w:noHBand="0" w:noVBand="1"/>
      </w:tblPr>
      <w:tblGrid>
        <w:gridCol w:w="1951"/>
        <w:gridCol w:w="3687"/>
        <w:gridCol w:w="3607"/>
      </w:tblGrid>
      <w:tr w:rsidR="00D20962" w:rsidRPr="00D20962" w:rsidTr="00D20962">
        <w:trPr>
          <w:trHeight w:val="846"/>
          <w:jc w:val="center"/>
        </w:trPr>
        <w:tc>
          <w:tcPr>
            <w:tcW w:w="1055"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Theme</w:t>
            </w:r>
          </w:p>
        </w:tc>
        <w:tc>
          <w:tcPr>
            <w:tcW w:w="1994"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Status (30 November 2013)</w:t>
            </w:r>
          </w:p>
        </w:tc>
        <w:tc>
          <w:tcPr>
            <w:tcW w:w="1951"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Status (30 November 2014)</w:t>
            </w:r>
          </w:p>
        </w:tc>
      </w:tr>
      <w:tr w:rsidR="00D20962" w:rsidRPr="00D20962" w:rsidTr="00D20962">
        <w:trPr>
          <w:trHeight w:val="447"/>
          <w:jc w:val="center"/>
        </w:trPr>
        <w:tc>
          <w:tcPr>
            <w:tcW w:w="1055" w:type="pct"/>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Value of contracted commitments (USD)</w:t>
            </w:r>
          </w:p>
        </w:tc>
        <w:tc>
          <w:tcPr>
            <w:tcW w:w="1994"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19,629,052</w:t>
            </w:r>
          </w:p>
        </w:tc>
        <w:tc>
          <w:tcPr>
            <w:tcW w:w="1951"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28,708,071</w:t>
            </w:r>
          </w:p>
        </w:tc>
      </w:tr>
      <w:tr w:rsidR="00D20962" w:rsidRPr="00D20962" w:rsidTr="00D20962">
        <w:trPr>
          <w:trHeight w:val="447"/>
          <w:jc w:val="center"/>
        </w:trPr>
        <w:tc>
          <w:tcPr>
            <w:tcW w:w="1055" w:type="pct"/>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 of person-months procured through IDC consortia</w:t>
            </w:r>
          </w:p>
        </w:tc>
        <w:tc>
          <w:tcPr>
            <w:tcW w:w="1994"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687</w:t>
            </w:r>
          </w:p>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of which 140 person months (20%) are for international TA and 547 person months (80%) are for national TA</w:t>
            </w:r>
          </w:p>
        </w:tc>
        <w:tc>
          <w:tcPr>
            <w:tcW w:w="1951"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1,090</w:t>
            </w:r>
          </w:p>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of which 223 person months (21%) are for international TA and 867 person months (79%) are for national TA</w:t>
            </w:r>
          </w:p>
        </w:tc>
      </w:tr>
    </w:tbl>
    <w:p w:rsidR="00D20962" w:rsidRPr="00D20962" w:rsidRDefault="00D20962" w:rsidP="00D20962">
      <w:pPr>
        <w:spacing w:before="120" w:after="120"/>
        <w:jc w:val="center"/>
        <w:outlineLvl w:val="1"/>
        <w:rPr>
          <w:bCs/>
          <w:sz w:val="20"/>
          <w:szCs w:val="20"/>
          <w:lang w:val="en-AU"/>
        </w:rPr>
      </w:pPr>
      <w:r w:rsidRPr="00D20962">
        <w:rPr>
          <w:bCs/>
          <w:sz w:val="20"/>
          <w:szCs w:val="20"/>
          <w:lang w:val="en-AU"/>
        </w:rPr>
        <w:t>Source: 2013 APPR; ACDP data provided to POM by Alan Prouty, 15 December 2014</w:t>
      </w:r>
    </w:p>
    <w:p w:rsidR="00D20962" w:rsidRPr="00D20962" w:rsidRDefault="00D20962" w:rsidP="00D20962">
      <w:pPr>
        <w:spacing w:before="120" w:after="120" w:line="276" w:lineRule="auto"/>
        <w:jc w:val="both"/>
        <w:rPr>
          <w:lang w:val="en-AU"/>
        </w:rPr>
      </w:pPr>
      <w:r w:rsidRPr="00D20962">
        <w:rPr>
          <w:lang w:val="en-AU"/>
        </w:rPr>
        <w:t>The benefits have been shared across the three focal ministries. MoEC entities have been named as lead agencies in 65% of the 37 completed or ongoing activities to date; Bappenas in 44% of cases and MoRA in 38% of cases. However, of those 26 activities to date that have had a sole “lead agency”, MoEC has secured nearly 50% of the benefit (see Table 1</w:t>
      </w:r>
      <w:r w:rsidR="00F56EE4">
        <w:rPr>
          <w:lang w:val="en-AU"/>
        </w:rPr>
        <w:t>8</w:t>
      </w:r>
      <w:r w:rsidRPr="00D20962">
        <w:rPr>
          <w:lang w:val="en-AU"/>
        </w:rPr>
        <w:t>). Thirteen different MoEC entities have obtained support since 2011</w:t>
      </w:r>
      <w:r w:rsidRPr="00D20962">
        <w:rPr>
          <w:rFonts w:ascii="Times New Roman" w:hAnsi="Times New Roman"/>
          <w:vertAlign w:val="superscript"/>
          <w:lang w:val="en-AU"/>
        </w:rPr>
        <w:footnoteReference w:id="71"/>
      </w:r>
      <w:r w:rsidRPr="00D20962">
        <w:rPr>
          <w:lang w:val="en-AU"/>
        </w:rPr>
        <w:t>, with the Balitbang having been directly ‘targeted’ as a “lead agency” in at least eight of the 37 completed or ongoing activities to date.</w:t>
      </w:r>
    </w:p>
    <w:p w:rsidR="00D20962" w:rsidRPr="00D20962" w:rsidRDefault="00D20962" w:rsidP="00D20962">
      <w:pPr>
        <w:keepNext/>
        <w:spacing w:before="120" w:after="120"/>
        <w:ind w:left="86" w:right="43"/>
        <w:jc w:val="center"/>
        <w:rPr>
          <w:b/>
          <w:lang w:val="en-AU"/>
        </w:rPr>
      </w:pPr>
      <w:bookmarkStart w:id="49" w:name="_Toc412534590"/>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18</w:t>
      </w:r>
      <w:r w:rsidRPr="00D20962">
        <w:rPr>
          <w:b/>
          <w:lang w:val="en-GB"/>
        </w:rPr>
        <w:fldChar w:fldCharType="end"/>
      </w:r>
      <w:r w:rsidRPr="00D20962">
        <w:rPr>
          <w:b/>
          <w:lang w:val="en-AU"/>
        </w:rPr>
        <w:t>: Spread of beneficiary “lead agencies” across the focal ministries and provincial governments</w:t>
      </w:r>
      <w:bookmarkEnd w:id="49"/>
    </w:p>
    <w:tbl>
      <w:tblPr>
        <w:tblStyle w:val="TableGrid20"/>
        <w:tblW w:w="5000" w:type="pct"/>
        <w:jc w:val="center"/>
        <w:tblLook w:val="04A0" w:firstRow="1" w:lastRow="0" w:firstColumn="1" w:lastColumn="0" w:noHBand="0" w:noVBand="1"/>
      </w:tblPr>
      <w:tblGrid>
        <w:gridCol w:w="4117"/>
        <w:gridCol w:w="1110"/>
        <w:gridCol w:w="991"/>
        <w:gridCol w:w="991"/>
        <w:gridCol w:w="1119"/>
        <w:gridCol w:w="917"/>
      </w:tblGrid>
      <w:tr w:rsidR="00D20962" w:rsidRPr="00D20962" w:rsidTr="00D20962">
        <w:trPr>
          <w:trHeight w:val="846"/>
          <w:jc w:val="center"/>
        </w:trPr>
        <w:tc>
          <w:tcPr>
            <w:tcW w:w="2226"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p>
        </w:tc>
        <w:tc>
          <w:tcPr>
            <w:tcW w:w="600"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Bappenas</w:t>
            </w:r>
          </w:p>
        </w:tc>
        <w:tc>
          <w:tcPr>
            <w:tcW w:w="536"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MoEC</w:t>
            </w:r>
          </w:p>
        </w:tc>
        <w:tc>
          <w:tcPr>
            <w:tcW w:w="536"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MoRA</w:t>
            </w:r>
          </w:p>
        </w:tc>
        <w:tc>
          <w:tcPr>
            <w:tcW w:w="605"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Aceh</w:t>
            </w:r>
          </w:p>
        </w:tc>
        <w:tc>
          <w:tcPr>
            <w:tcW w:w="496"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Papua</w:t>
            </w:r>
          </w:p>
        </w:tc>
      </w:tr>
      <w:tr w:rsidR="00D20962" w:rsidRPr="00D20962" w:rsidTr="00D20962">
        <w:trPr>
          <w:trHeight w:val="434"/>
          <w:jc w:val="center"/>
        </w:trPr>
        <w:tc>
          <w:tcPr>
            <w:tcW w:w="2226" w:type="pct"/>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Incidence across all the completed or ongoing activities (n = 37)*</w:t>
            </w:r>
          </w:p>
        </w:tc>
        <w:tc>
          <w:tcPr>
            <w:tcW w:w="600"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15 (47%)</w:t>
            </w:r>
          </w:p>
        </w:tc>
        <w:tc>
          <w:tcPr>
            <w:tcW w:w="536"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24 (65%)</w:t>
            </w:r>
          </w:p>
        </w:tc>
        <w:tc>
          <w:tcPr>
            <w:tcW w:w="536"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13 (35%)</w:t>
            </w:r>
          </w:p>
        </w:tc>
        <w:tc>
          <w:tcPr>
            <w:tcW w:w="605"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 (3%)</w:t>
            </w:r>
          </w:p>
        </w:tc>
        <w:tc>
          <w:tcPr>
            <w:tcW w:w="496"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2 (5%)</w:t>
            </w:r>
          </w:p>
        </w:tc>
      </w:tr>
      <w:tr w:rsidR="00D20962" w:rsidRPr="00D20962" w:rsidTr="00D20962">
        <w:trPr>
          <w:trHeight w:val="434"/>
          <w:jc w:val="center"/>
        </w:trPr>
        <w:tc>
          <w:tcPr>
            <w:tcW w:w="2226" w:type="pct"/>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Incidence across the completed or ongoing activities where there is just one “lead agency” (n = 26/37)</w:t>
            </w:r>
          </w:p>
        </w:tc>
        <w:tc>
          <w:tcPr>
            <w:tcW w:w="600"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8 (31%)</w:t>
            </w:r>
          </w:p>
        </w:tc>
        <w:tc>
          <w:tcPr>
            <w:tcW w:w="536"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12 (46%)</w:t>
            </w:r>
          </w:p>
        </w:tc>
        <w:tc>
          <w:tcPr>
            <w:tcW w:w="536"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3 (12%)</w:t>
            </w:r>
          </w:p>
        </w:tc>
        <w:tc>
          <w:tcPr>
            <w:tcW w:w="605"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2 (8%)</w:t>
            </w:r>
          </w:p>
        </w:tc>
        <w:tc>
          <w:tcPr>
            <w:tcW w:w="496"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 (4%)</w:t>
            </w:r>
          </w:p>
        </w:tc>
      </w:tr>
    </w:tbl>
    <w:p w:rsidR="00D20962" w:rsidRPr="00D20962" w:rsidRDefault="00D20962" w:rsidP="00D20962">
      <w:pPr>
        <w:jc w:val="center"/>
        <w:rPr>
          <w:sz w:val="18"/>
          <w:szCs w:val="18"/>
          <w:lang w:val="en-AU"/>
        </w:rPr>
      </w:pPr>
      <w:r w:rsidRPr="00D20962">
        <w:rPr>
          <w:sz w:val="18"/>
          <w:szCs w:val="18"/>
          <w:lang w:val="en-AU"/>
        </w:rPr>
        <w:t>* i.e. in those studies where one or more than one lead agency is named.</w:t>
      </w:r>
    </w:p>
    <w:p w:rsidR="00D20962" w:rsidRPr="00D20962" w:rsidRDefault="00D20962" w:rsidP="00D20962">
      <w:pPr>
        <w:spacing w:before="120" w:after="120"/>
        <w:jc w:val="center"/>
        <w:outlineLvl w:val="1"/>
        <w:rPr>
          <w:bCs/>
          <w:sz w:val="20"/>
          <w:szCs w:val="20"/>
          <w:lang w:val="en-AU"/>
        </w:rPr>
      </w:pPr>
      <w:r w:rsidRPr="00D20962">
        <w:rPr>
          <w:bCs/>
          <w:sz w:val="20"/>
          <w:szCs w:val="20"/>
          <w:lang w:val="en-AU"/>
        </w:rPr>
        <w:t>Source: POM calculations based on ACDP’s mid-2014 report and as reviewed by John Virtue, 09 December 2014</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Examples of notable achievements in 2014 include:</w:t>
      </w:r>
    </w:p>
    <w:p w:rsidR="00D20962" w:rsidRPr="00D20962" w:rsidRDefault="00D20962" w:rsidP="00D20962">
      <w:pPr>
        <w:numPr>
          <w:ilvl w:val="0"/>
          <w:numId w:val="9"/>
        </w:numPr>
        <w:spacing w:before="120" w:after="120" w:line="276" w:lineRule="auto"/>
        <w:contextualSpacing/>
        <w:rPr>
          <w:rFonts w:asciiTheme="minorHAnsi" w:eastAsia="Calibri" w:hAnsiTheme="minorHAnsi" w:cstheme="minorHAnsi"/>
          <w:lang w:val="en-AU"/>
        </w:rPr>
      </w:pPr>
      <w:r w:rsidRPr="00D20962">
        <w:rPr>
          <w:rFonts w:asciiTheme="minorHAnsi" w:eastAsia="Calibri" w:hAnsiTheme="minorHAnsi" w:cstheme="minorHAnsi"/>
          <w:lang w:val="en-AU"/>
        </w:rPr>
        <w:t xml:space="preserve">Delivery of </w:t>
      </w:r>
      <w:r w:rsidRPr="00D20962">
        <w:rPr>
          <w:rFonts w:asciiTheme="minorHAnsi" w:eastAsia="Calibri" w:hAnsiTheme="minorHAnsi" w:cstheme="minorHAnsi"/>
          <w:i/>
          <w:lang w:val="en-AU"/>
        </w:rPr>
        <w:t>A</w:t>
      </w:r>
      <w:r w:rsidRPr="00D20962">
        <w:rPr>
          <w:rFonts w:asciiTheme="minorHAnsi" w:eastAsia="Calibri" w:hAnsiTheme="minorHAnsi" w:cstheme="minorHAnsi"/>
          <w:lang w:val="en-AU"/>
        </w:rPr>
        <w:t xml:space="preserve"> </w:t>
      </w:r>
      <w:r w:rsidRPr="00D20962">
        <w:rPr>
          <w:rFonts w:asciiTheme="minorHAnsi" w:eastAsia="Calibri" w:hAnsiTheme="minorHAnsi" w:cstheme="minorHAnsi"/>
          <w:i/>
          <w:lang w:val="en-AU"/>
        </w:rPr>
        <w:t>Paper on Higher Education Governance and Management</w:t>
      </w:r>
      <w:r w:rsidRPr="00D20962">
        <w:rPr>
          <w:rFonts w:asciiTheme="minorHAnsi" w:eastAsia="Calibri" w:hAnsiTheme="minorHAnsi" w:cstheme="minorHAnsi"/>
          <w:lang w:val="en-AU"/>
        </w:rPr>
        <w:t xml:space="preserve"> (ACDP 034F), which was presented at a high-level roundtable meeting in January 2014 as part of the preparation of the education chapter of the upcoming RPJMN. It is anticipated that aspects of the paper will be infused into the RPJMN (and presumably the </w:t>
      </w:r>
      <w:r w:rsidRPr="00D20962">
        <w:rPr>
          <w:rFonts w:asciiTheme="minorHAnsi" w:eastAsia="Calibri" w:hAnsiTheme="minorHAnsi" w:cstheme="minorHAnsi"/>
          <w:i/>
          <w:lang w:val="en-AU"/>
        </w:rPr>
        <w:t>Renstras</w:t>
      </w:r>
      <w:r w:rsidRPr="00D20962">
        <w:rPr>
          <w:rFonts w:asciiTheme="minorHAnsi" w:eastAsia="Calibri" w:hAnsiTheme="minorHAnsi" w:cstheme="minorHAnsi"/>
          <w:lang w:val="en-AU"/>
        </w:rPr>
        <w:t xml:space="preserve">) in due course. Additional </w:t>
      </w:r>
      <w:r w:rsidRPr="00D20962">
        <w:rPr>
          <w:rFonts w:asciiTheme="minorHAnsi" w:eastAsia="Calibri" w:hAnsiTheme="minorHAnsi" w:cstheme="minorHAnsi"/>
          <w:lang w:val="en-AU"/>
        </w:rPr>
        <w:lastRenderedPageBreak/>
        <w:t>support to the preparation of the RPJMN included identification of options to strengthen partnerships in sector governance (ACDP 034C) and analysis of the relationship between Minimum Service Standards and the quality of the learning environment (ACDP 034D)</w:t>
      </w:r>
      <w:r w:rsidRPr="00D20962">
        <w:rPr>
          <w:rFonts w:asciiTheme="minorHAnsi" w:eastAsia="Calibri" w:hAnsiTheme="minorHAnsi" w:cstheme="minorHAnsi"/>
          <w:vertAlign w:val="superscript"/>
          <w:lang w:val="en-AU"/>
        </w:rPr>
        <w:endnoteReference w:id="75"/>
      </w:r>
      <w:r w:rsidRPr="00D20962">
        <w:rPr>
          <w:rFonts w:asciiTheme="minorHAnsi" w:eastAsia="Calibri" w:hAnsiTheme="minorHAnsi" w:cstheme="minorHAnsi"/>
          <w:lang w:val="en-AU"/>
        </w:rPr>
        <w:t>.</w:t>
      </w:r>
    </w:p>
    <w:p w:rsidR="00D20962" w:rsidRPr="00D20962" w:rsidRDefault="00D20962" w:rsidP="00D20962">
      <w:pPr>
        <w:numPr>
          <w:ilvl w:val="0"/>
          <w:numId w:val="9"/>
        </w:numPr>
        <w:spacing w:before="120" w:after="120" w:line="276" w:lineRule="auto"/>
        <w:contextualSpacing/>
        <w:rPr>
          <w:rFonts w:eastAsia="Calibri"/>
          <w:lang w:val="en-AU"/>
        </w:rPr>
      </w:pPr>
      <w:r w:rsidRPr="00D20962">
        <w:rPr>
          <w:rFonts w:asciiTheme="minorHAnsi" w:eastAsia="Calibri" w:hAnsiTheme="minorHAnsi" w:cstheme="minorHAnsi"/>
          <w:lang w:val="en-AU"/>
        </w:rPr>
        <w:t>Delivery of</w:t>
      </w:r>
      <w:r w:rsidRPr="00D20962">
        <w:rPr>
          <w:rFonts w:asciiTheme="minorHAnsi" w:eastAsia="Calibri" w:hAnsiTheme="minorHAnsi" w:cstheme="minorHAnsi"/>
          <w:i/>
          <w:lang w:val="en-AU"/>
        </w:rPr>
        <w:t xml:space="preserve"> A Rapid Assessment of the Cash Transfer for Poor Students Program (BSM) </w:t>
      </w:r>
      <w:r w:rsidRPr="00D20962">
        <w:rPr>
          <w:rFonts w:asciiTheme="minorHAnsi" w:eastAsia="Calibri" w:hAnsiTheme="minorHAnsi" w:cstheme="minorHAnsi"/>
          <w:lang w:val="en-AU"/>
        </w:rPr>
        <w:t>(ACDP 038), which entailed fieldwork at 1712 schools and madrasah in six regions of the country over a three-month period. It provided a range of key findings and policy options that spoke to improved targeting and implementation. Bappenas has since proposed further analysis and review of key governance issues related to the BSM</w:t>
      </w:r>
      <w:r w:rsidRPr="00D20962">
        <w:rPr>
          <w:rFonts w:asciiTheme="minorHAnsi" w:eastAsia="Calibri" w:hAnsiTheme="minorHAnsi" w:cstheme="minorHAnsi"/>
          <w:vertAlign w:val="superscript"/>
          <w:lang w:val="en-AU"/>
        </w:rPr>
        <w:endnoteReference w:id="76"/>
      </w:r>
      <w:r w:rsidRPr="00D20962">
        <w:rPr>
          <w:rFonts w:asciiTheme="minorHAnsi" w:eastAsia="Calibri" w:hAnsiTheme="minorHAnsi" w:cstheme="minorHAnsi"/>
          <w:lang w:val="en-AU"/>
        </w:rPr>
        <w:t xml:space="preserve">. </w:t>
      </w:r>
    </w:p>
    <w:p w:rsidR="00D20962" w:rsidRPr="00D20962" w:rsidRDefault="00D20962" w:rsidP="00D20962">
      <w:pPr>
        <w:numPr>
          <w:ilvl w:val="0"/>
          <w:numId w:val="9"/>
        </w:numPr>
        <w:spacing w:before="120" w:after="120" w:line="276" w:lineRule="auto"/>
        <w:contextualSpacing/>
        <w:rPr>
          <w:rFonts w:eastAsia="Calibri"/>
          <w:lang w:val="en-AU"/>
        </w:rPr>
      </w:pPr>
      <w:r w:rsidRPr="00D20962">
        <w:rPr>
          <w:rFonts w:asciiTheme="minorHAnsi" w:eastAsia="Calibri" w:hAnsiTheme="minorHAnsi" w:cstheme="minorHAnsi"/>
          <w:lang w:val="en-AU"/>
        </w:rPr>
        <w:t xml:space="preserve">Delivery of a </w:t>
      </w:r>
      <w:r w:rsidRPr="00D20962">
        <w:rPr>
          <w:rFonts w:asciiTheme="minorHAnsi" w:eastAsia="Calibri" w:hAnsiTheme="minorHAnsi" w:cstheme="minorHAnsi"/>
          <w:i/>
          <w:lang w:val="en-AU"/>
        </w:rPr>
        <w:t>Teacher Absenteeism Study</w:t>
      </w:r>
      <w:r w:rsidRPr="00D20962">
        <w:rPr>
          <w:rFonts w:asciiTheme="minorHAnsi" w:eastAsia="Calibri" w:hAnsiTheme="minorHAnsi" w:cstheme="minorHAnsi"/>
          <w:lang w:val="en-AU"/>
        </w:rPr>
        <w:t xml:space="preserve"> (ACDP 011), which entailed fieldwork at 900 primary and junior secondary schools – reportedly the largest teacher absenteeism conducted in the world to date</w:t>
      </w:r>
      <w:r w:rsidRPr="00D20962">
        <w:rPr>
          <w:rFonts w:asciiTheme="minorHAnsi" w:eastAsia="Calibri" w:hAnsiTheme="minorHAnsi" w:cstheme="minorHAnsi"/>
          <w:vertAlign w:val="superscript"/>
          <w:lang w:val="en-AU"/>
        </w:rPr>
        <w:endnoteReference w:id="77"/>
      </w:r>
      <w:r w:rsidRPr="00D20962">
        <w:rPr>
          <w:rFonts w:asciiTheme="minorHAnsi" w:eastAsia="Calibri" w:hAnsiTheme="minorHAnsi" w:cstheme="minorHAnsi"/>
          <w:lang w:val="en-AU"/>
        </w:rPr>
        <w:t>.</w:t>
      </w:r>
    </w:p>
    <w:p w:rsidR="00D20962" w:rsidRPr="00D20962" w:rsidRDefault="00D20962" w:rsidP="00D20962">
      <w:pPr>
        <w:numPr>
          <w:ilvl w:val="0"/>
          <w:numId w:val="9"/>
        </w:numPr>
        <w:spacing w:before="120" w:after="120" w:line="276" w:lineRule="auto"/>
        <w:contextualSpacing/>
        <w:rPr>
          <w:rFonts w:eastAsia="Calibri"/>
          <w:lang w:val="en-AU"/>
        </w:rPr>
      </w:pPr>
      <w:r w:rsidRPr="00D20962">
        <w:rPr>
          <w:rFonts w:eastAsia="Calibri"/>
          <w:lang w:val="en-AU"/>
        </w:rPr>
        <w:t xml:space="preserve">Preparation of draft strategic plan as a key output within </w:t>
      </w:r>
      <w:r w:rsidRPr="00D20962">
        <w:rPr>
          <w:rFonts w:eastAsia="Calibri"/>
          <w:i/>
          <w:lang w:val="en-AU"/>
        </w:rPr>
        <w:t xml:space="preserve">Rural and Remote Area Education Strategic Planning for Tanah Papua </w:t>
      </w:r>
      <w:r w:rsidRPr="00D20962">
        <w:rPr>
          <w:rFonts w:eastAsia="Calibri"/>
          <w:lang w:val="en-AU"/>
        </w:rPr>
        <w:t>(ACDP 039), with the plan now being used to support policy options in the RPJMD</w:t>
      </w:r>
      <w:r w:rsidRPr="00D20962">
        <w:rPr>
          <w:rFonts w:ascii="Times New Roman" w:eastAsia="Calibri" w:hAnsi="Times New Roman"/>
          <w:vertAlign w:val="superscript"/>
          <w:lang w:val="en-AU"/>
        </w:rPr>
        <w:footnoteReference w:id="72"/>
      </w:r>
      <w:r w:rsidRPr="00D20962">
        <w:rPr>
          <w:rFonts w:eastAsia="Calibri"/>
          <w:lang w:val="en-AU"/>
        </w:rPr>
        <w:t xml:space="preserve">, </w:t>
      </w:r>
      <w:r w:rsidRPr="00D20962">
        <w:rPr>
          <w:rFonts w:eastAsia="Calibri"/>
          <w:i/>
          <w:lang w:val="en-AU"/>
        </w:rPr>
        <w:t>Renstra</w:t>
      </w:r>
      <w:r w:rsidRPr="00D20962">
        <w:rPr>
          <w:rFonts w:eastAsia="Calibri"/>
          <w:lang w:val="en-AU"/>
        </w:rPr>
        <w:t xml:space="preserve"> and the annual plan. The policy options may pave the way for mother tongue-based education and teacher training reforms in Papua</w:t>
      </w:r>
      <w:r w:rsidRPr="00D20962">
        <w:rPr>
          <w:rFonts w:asciiTheme="minorHAnsi" w:eastAsia="Calibri" w:hAnsiTheme="minorHAnsi" w:cstheme="minorHAnsi"/>
          <w:vertAlign w:val="superscript"/>
          <w:lang w:val="en-AU"/>
        </w:rPr>
        <w:endnoteReference w:id="78"/>
      </w:r>
      <w:r w:rsidRPr="00D20962">
        <w:rPr>
          <w:rFonts w:asciiTheme="minorHAnsi" w:eastAsia="Calibri" w:hAnsiTheme="minorHAnsi" w:cstheme="minorHAnsi"/>
          <w:lang w:val="en-AU"/>
        </w:rPr>
        <w:t>.</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Other notable deliverables include the </w:t>
      </w:r>
      <w:r w:rsidRPr="00D20962">
        <w:rPr>
          <w:rFonts w:asciiTheme="minorHAnsi" w:hAnsiTheme="minorHAnsi" w:cstheme="minorHAnsi"/>
          <w:i/>
          <w:lang w:val="en-AU"/>
        </w:rPr>
        <w:t>Overview of the Education Sector in Indonesia 2012</w:t>
      </w:r>
      <w:r w:rsidRPr="00D20962">
        <w:rPr>
          <w:rFonts w:asciiTheme="minorHAnsi" w:hAnsiTheme="minorHAnsi" w:cstheme="minorHAnsi"/>
          <w:lang w:val="en-AU"/>
        </w:rPr>
        <w:t xml:space="preserve"> (ACDP 002), which was praised by the OECD review team in mid-2014, and the </w:t>
      </w:r>
      <w:r w:rsidRPr="00D20962">
        <w:rPr>
          <w:rFonts w:asciiTheme="minorHAnsi" w:hAnsiTheme="minorHAnsi" w:cstheme="minorHAnsi"/>
          <w:i/>
          <w:lang w:val="en-AU"/>
        </w:rPr>
        <w:t xml:space="preserve">School and Madrasah Principals and Supervisors Competencies Baseline Study </w:t>
      </w:r>
      <w:r w:rsidRPr="00D20962">
        <w:rPr>
          <w:rFonts w:asciiTheme="minorHAnsi" w:hAnsiTheme="minorHAnsi" w:cstheme="minorHAnsi"/>
          <w:lang w:val="en-AU"/>
        </w:rPr>
        <w:t xml:space="preserve">(ACDP 007), which provided validation and impetus to the ProDEP, which commenced under GoI leadership in 2014 (see Section 3 of this report).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Besides the demand-driven research activities, ACDP organised and facilitated a number of meetings for key GoI stakeholders during which key policy constraints and opportunities were discussed (see Table </w:t>
      </w:r>
      <w:r w:rsidR="00F56EE4">
        <w:rPr>
          <w:rFonts w:asciiTheme="minorHAnsi" w:hAnsiTheme="minorHAnsi" w:cstheme="minorHAnsi"/>
          <w:lang w:val="en-AU"/>
        </w:rPr>
        <w:t>19</w:t>
      </w:r>
      <w:r w:rsidRPr="00D20962">
        <w:rPr>
          <w:rFonts w:asciiTheme="minorHAnsi" w:hAnsiTheme="minorHAnsi" w:cstheme="minorHAnsi"/>
          <w:lang w:val="en-AU"/>
        </w:rPr>
        <w:t>).</w:t>
      </w:r>
    </w:p>
    <w:p w:rsidR="00D20962" w:rsidRPr="00D20962" w:rsidRDefault="00D20962" w:rsidP="00D20962">
      <w:pPr>
        <w:keepNext/>
        <w:spacing w:before="120" w:after="120"/>
        <w:ind w:left="86" w:right="43"/>
        <w:jc w:val="center"/>
        <w:rPr>
          <w:b/>
          <w:lang w:val="en-AU"/>
        </w:rPr>
      </w:pPr>
      <w:bookmarkStart w:id="50" w:name="_Toc412534591"/>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19</w:t>
      </w:r>
      <w:r w:rsidRPr="00D20962">
        <w:rPr>
          <w:b/>
          <w:lang w:val="en-GB"/>
        </w:rPr>
        <w:fldChar w:fldCharType="end"/>
      </w:r>
      <w:r w:rsidRPr="00D20962">
        <w:rPr>
          <w:b/>
          <w:lang w:val="en-AU"/>
        </w:rPr>
        <w:t>: Levels of participation in ACDP activities</w:t>
      </w:r>
      <w:bookmarkEnd w:id="50"/>
    </w:p>
    <w:p w:rsidR="00D20962" w:rsidRPr="00D20962" w:rsidRDefault="00D20962" w:rsidP="00D20962">
      <w:pPr>
        <w:rPr>
          <w:lang w:val="en-AU"/>
        </w:rPr>
      </w:pPr>
    </w:p>
    <w:tbl>
      <w:tblPr>
        <w:tblStyle w:val="TableGrid20"/>
        <w:tblW w:w="5000" w:type="pct"/>
        <w:jc w:val="center"/>
        <w:tblLook w:val="04A0" w:firstRow="1" w:lastRow="0" w:firstColumn="1" w:lastColumn="0" w:noHBand="0" w:noVBand="1"/>
      </w:tblPr>
      <w:tblGrid>
        <w:gridCol w:w="4644"/>
        <w:gridCol w:w="2269"/>
        <w:gridCol w:w="2332"/>
      </w:tblGrid>
      <w:tr w:rsidR="00D20962" w:rsidRPr="00D20962" w:rsidTr="00D20962">
        <w:trPr>
          <w:trHeight w:val="846"/>
          <w:jc w:val="center"/>
        </w:trPr>
        <w:tc>
          <w:tcPr>
            <w:tcW w:w="2512"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p>
        </w:tc>
        <w:tc>
          <w:tcPr>
            <w:tcW w:w="1227"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Events held</w:t>
            </w:r>
          </w:p>
        </w:tc>
        <w:tc>
          <w:tcPr>
            <w:tcW w:w="1262"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Stakeholders involved</w:t>
            </w:r>
          </w:p>
        </w:tc>
      </w:tr>
      <w:tr w:rsidR="00D20962" w:rsidRPr="00D20962" w:rsidTr="00D20962">
        <w:trPr>
          <w:trHeight w:val="434"/>
          <w:jc w:val="center"/>
        </w:trPr>
        <w:tc>
          <w:tcPr>
            <w:tcW w:w="2512" w:type="pct"/>
            <w:shd w:val="clear" w:color="auto" w:fill="FFFFFF" w:themeFill="background1"/>
            <w:vAlign w:val="center"/>
          </w:tcPr>
          <w:p w:rsidR="00D20962" w:rsidRPr="00D20962" w:rsidRDefault="00D20962" w:rsidP="00D20962">
            <w:pPr>
              <w:rPr>
                <w:b/>
                <w:lang w:val="en-AU"/>
              </w:rPr>
            </w:pPr>
            <w:r w:rsidRPr="00D20962">
              <w:rPr>
                <w:b/>
                <w:lang w:val="en-AU"/>
              </w:rPr>
              <w:t>Activity-stream #1: Research work/studies</w:t>
            </w:r>
          </w:p>
        </w:tc>
        <w:tc>
          <w:tcPr>
            <w:tcW w:w="1227"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79 (53%)</w:t>
            </w:r>
          </w:p>
        </w:tc>
        <w:tc>
          <w:tcPr>
            <w:tcW w:w="1262"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2,639 (48%)</w:t>
            </w:r>
          </w:p>
        </w:tc>
      </w:tr>
      <w:tr w:rsidR="00D20962" w:rsidRPr="00D20962" w:rsidTr="00D20962">
        <w:trPr>
          <w:trHeight w:val="434"/>
          <w:jc w:val="center"/>
        </w:trPr>
        <w:tc>
          <w:tcPr>
            <w:tcW w:w="2512" w:type="pct"/>
            <w:shd w:val="clear" w:color="auto" w:fill="FFFFFF" w:themeFill="background1"/>
            <w:vAlign w:val="center"/>
          </w:tcPr>
          <w:p w:rsidR="00D20962" w:rsidRPr="00D20962" w:rsidRDefault="00D20962" w:rsidP="00D20962">
            <w:pPr>
              <w:rPr>
                <w:b/>
                <w:lang w:val="en-AU"/>
              </w:rPr>
            </w:pPr>
            <w:r w:rsidRPr="00D20962">
              <w:rPr>
                <w:b/>
                <w:lang w:val="en-AU"/>
              </w:rPr>
              <w:t>Activity-stream #2: Meetings, FGDs, workshops</w:t>
            </w:r>
          </w:p>
        </w:tc>
        <w:tc>
          <w:tcPr>
            <w:tcW w:w="1227"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71 (47%)</w:t>
            </w:r>
          </w:p>
        </w:tc>
        <w:tc>
          <w:tcPr>
            <w:tcW w:w="1262"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2,887 (52%)</w:t>
            </w:r>
          </w:p>
        </w:tc>
      </w:tr>
      <w:tr w:rsidR="00D20962" w:rsidRPr="00D20962" w:rsidTr="00D20962">
        <w:trPr>
          <w:trHeight w:val="434"/>
          <w:jc w:val="center"/>
        </w:trPr>
        <w:tc>
          <w:tcPr>
            <w:tcW w:w="2512" w:type="pct"/>
            <w:shd w:val="clear" w:color="auto" w:fill="FFFFFF" w:themeFill="background1"/>
            <w:vAlign w:val="center"/>
          </w:tcPr>
          <w:p w:rsidR="00D20962" w:rsidRPr="00D20962" w:rsidRDefault="00D20962" w:rsidP="00D20962">
            <w:pPr>
              <w:rPr>
                <w:b/>
                <w:lang w:val="en-AU"/>
              </w:rPr>
            </w:pPr>
            <w:r w:rsidRPr="00D20962">
              <w:rPr>
                <w:b/>
                <w:lang w:val="en-AU"/>
              </w:rPr>
              <w:t>TOTAL</w:t>
            </w:r>
          </w:p>
        </w:tc>
        <w:tc>
          <w:tcPr>
            <w:tcW w:w="1227"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150</w:t>
            </w:r>
          </w:p>
        </w:tc>
        <w:tc>
          <w:tcPr>
            <w:tcW w:w="1262"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5,526</w:t>
            </w:r>
          </w:p>
        </w:tc>
      </w:tr>
    </w:tbl>
    <w:p w:rsidR="00D20962" w:rsidRPr="00D20962" w:rsidRDefault="00D20962" w:rsidP="00D20962">
      <w:pPr>
        <w:spacing w:before="120" w:after="120"/>
        <w:jc w:val="center"/>
        <w:outlineLvl w:val="1"/>
        <w:rPr>
          <w:bCs/>
          <w:sz w:val="20"/>
          <w:szCs w:val="20"/>
          <w:lang w:val="en-AU"/>
        </w:rPr>
      </w:pPr>
      <w:r w:rsidRPr="00D20962">
        <w:rPr>
          <w:bCs/>
          <w:sz w:val="20"/>
          <w:szCs w:val="20"/>
          <w:lang w:val="en-AU"/>
        </w:rPr>
        <w:t xml:space="preserve">Source: </w:t>
      </w:r>
      <w:r w:rsidR="004349D3">
        <w:rPr>
          <w:bCs/>
          <w:sz w:val="20"/>
          <w:szCs w:val="20"/>
          <w:lang w:val="en-AU"/>
        </w:rPr>
        <w:t>ACDP</w:t>
      </w:r>
    </w:p>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Analysis</w:t>
      </w:r>
    </w:p>
    <w:p w:rsidR="00D20962" w:rsidRPr="00D20962" w:rsidRDefault="00D20962" w:rsidP="00D20962">
      <w:pPr>
        <w:keepNext/>
        <w:numPr>
          <w:ilvl w:val="2"/>
          <w:numId w:val="7"/>
        </w:numPr>
        <w:spacing w:line="276" w:lineRule="auto"/>
        <w:ind w:left="709" w:hanging="709"/>
        <w:jc w:val="both"/>
        <w:outlineLvl w:val="2"/>
        <w:rPr>
          <w:bCs/>
          <w:color w:val="003880"/>
          <w:sz w:val="24"/>
          <w:szCs w:val="28"/>
          <w:lang w:val="en-AU"/>
        </w:rPr>
      </w:pPr>
      <w:r w:rsidRPr="00D20962">
        <w:rPr>
          <w:bCs/>
          <w:color w:val="003880"/>
          <w:sz w:val="24"/>
          <w:szCs w:val="28"/>
          <w:lang w:val="en-AU"/>
        </w:rPr>
        <w:t>Relevance</w:t>
      </w:r>
    </w:p>
    <w:p w:rsidR="00D20962" w:rsidRPr="00D20962" w:rsidRDefault="00D20962" w:rsidP="00D20962">
      <w:pPr>
        <w:spacing w:before="120" w:after="120" w:line="276" w:lineRule="auto"/>
        <w:jc w:val="both"/>
        <w:rPr>
          <w:color w:val="FF0000"/>
          <w:lang w:val="en-AU"/>
        </w:rPr>
      </w:pPr>
      <w:r w:rsidRPr="00D20962">
        <w:rPr>
          <w:lang w:val="en-AU"/>
        </w:rPr>
        <w:t>From an external relevance perspective, ACDP has performed well. From an Indonesia perspective, the new government is seeking to make policy-making “more evidence-based”</w:t>
      </w:r>
      <w:r w:rsidRPr="00D20962">
        <w:rPr>
          <w:vertAlign w:val="superscript"/>
          <w:lang w:val="en-AU"/>
        </w:rPr>
        <w:endnoteReference w:id="79"/>
      </w:r>
      <w:r w:rsidRPr="00D20962">
        <w:rPr>
          <w:lang w:val="en-AU"/>
        </w:rPr>
        <w:t>. Moreover, whilst data on the number expressions of interest or proposals received by ACDP are not readily available</w:t>
      </w:r>
      <w:r w:rsidRPr="00D20962">
        <w:rPr>
          <w:vertAlign w:val="superscript"/>
          <w:lang w:val="en-AU"/>
        </w:rPr>
        <w:endnoteReference w:id="80"/>
      </w:r>
      <w:r w:rsidRPr="00D20962">
        <w:rPr>
          <w:lang w:val="en-AU"/>
        </w:rPr>
        <w:t>, there is evidence of demand and of ACDP’s response to the same. There have been year-on-year increases in the number of activities financed by ACDP (see Table 2</w:t>
      </w:r>
      <w:r w:rsidR="00F56EE4">
        <w:rPr>
          <w:lang w:val="en-AU"/>
        </w:rPr>
        <w:t>0</w:t>
      </w:r>
      <w:r w:rsidRPr="00D20962">
        <w:rPr>
          <w:lang w:val="en-AU"/>
        </w:rPr>
        <w:t>) and an increase in the number of “lead agencies” (or clients) supported by ACDP (see Table 2</w:t>
      </w:r>
      <w:r w:rsidR="00F56EE4">
        <w:rPr>
          <w:lang w:val="en-AU"/>
        </w:rPr>
        <w:t>1</w:t>
      </w:r>
      <w:r w:rsidRPr="00D20962">
        <w:rPr>
          <w:lang w:val="en-AU"/>
        </w:rPr>
        <w:t xml:space="preserve">). </w:t>
      </w:r>
    </w:p>
    <w:p w:rsidR="00D20962" w:rsidRPr="00D20962" w:rsidRDefault="00D20962" w:rsidP="00D20962">
      <w:pPr>
        <w:keepNext/>
        <w:spacing w:before="120" w:after="120"/>
        <w:ind w:left="86" w:right="43"/>
        <w:jc w:val="center"/>
        <w:rPr>
          <w:b/>
          <w:lang w:val="en-AU"/>
        </w:rPr>
      </w:pPr>
      <w:bookmarkStart w:id="51" w:name="_Toc412534592"/>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20</w:t>
      </w:r>
      <w:r w:rsidRPr="00D20962">
        <w:rPr>
          <w:b/>
          <w:lang w:val="en-GB"/>
        </w:rPr>
        <w:fldChar w:fldCharType="end"/>
      </w:r>
      <w:r w:rsidRPr="00D20962">
        <w:rPr>
          <w:b/>
          <w:lang w:val="en-AU"/>
        </w:rPr>
        <w:t>: ACDP activities/year</w:t>
      </w:r>
      <w:bookmarkEnd w:id="51"/>
    </w:p>
    <w:tbl>
      <w:tblPr>
        <w:tblStyle w:val="TableGrid20"/>
        <w:tblW w:w="5000" w:type="pct"/>
        <w:jc w:val="center"/>
        <w:tblLook w:val="04A0" w:firstRow="1" w:lastRow="0" w:firstColumn="1" w:lastColumn="0" w:noHBand="0" w:noVBand="1"/>
      </w:tblPr>
      <w:tblGrid>
        <w:gridCol w:w="4645"/>
        <w:gridCol w:w="1133"/>
        <w:gridCol w:w="1133"/>
        <w:gridCol w:w="1226"/>
        <w:gridCol w:w="1108"/>
      </w:tblGrid>
      <w:tr w:rsidR="00D20962" w:rsidRPr="00D20962" w:rsidTr="00D20962">
        <w:trPr>
          <w:trHeight w:val="846"/>
          <w:jc w:val="center"/>
        </w:trPr>
        <w:tc>
          <w:tcPr>
            <w:tcW w:w="2512"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p>
        </w:tc>
        <w:tc>
          <w:tcPr>
            <w:tcW w:w="613"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2011</w:t>
            </w:r>
          </w:p>
        </w:tc>
        <w:tc>
          <w:tcPr>
            <w:tcW w:w="613"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2012</w:t>
            </w:r>
          </w:p>
        </w:tc>
        <w:tc>
          <w:tcPr>
            <w:tcW w:w="663"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2013</w:t>
            </w:r>
          </w:p>
        </w:tc>
        <w:tc>
          <w:tcPr>
            <w:tcW w:w="599"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2014</w:t>
            </w:r>
          </w:p>
        </w:tc>
      </w:tr>
      <w:tr w:rsidR="00D20962" w:rsidRPr="00D20962" w:rsidTr="00D20962">
        <w:trPr>
          <w:trHeight w:val="434"/>
          <w:jc w:val="center"/>
        </w:trPr>
        <w:tc>
          <w:tcPr>
            <w:tcW w:w="2512" w:type="pct"/>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Total number of research activities started</w:t>
            </w:r>
          </w:p>
        </w:tc>
        <w:tc>
          <w:tcPr>
            <w:tcW w:w="61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7</w:t>
            </w:r>
          </w:p>
        </w:tc>
        <w:tc>
          <w:tcPr>
            <w:tcW w:w="61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8</w:t>
            </w:r>
          </w:p>
        </w:tc>
        <w:tc>
          <w:tcPr>
            <w:tcW w:w="66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10</w:t>
            </w:r>
          </w:p>
        </w:tc>
        <w:tc>
          <w:tcPr>
            <w:tcW w:w="599"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12</w:t>
            </w:r>
          </w:p>
        </w:tc>
      </w:tr>
      <w:tr w:rsidR="00D20962" w:rsidRPr="00D20962" w:rsidTr="00D20962">
        <w:trPr>
          <w:trHeight w:val="434"/>
          <w:jc w:val="center"/>
        </w:trPr>
        <w:tc>
          <w:tcPr>
            <w:tcW w:w="2512" w:type="pct"/>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USD value of research activities started</w:t>
            </w:r>
          </w:p>
        </w:tc>
        <w:tc>
          <w:tcPr>
            <w:tcW w:w="61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4,210,072</w:t>
            </w:r>
          </w:p>
        </w:tc>
        <w:tc>
          <w:tcPr>
            <w:tcW w:w="61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4,480,039</w:t>
            </w:r>
          </w:p>
        </w:tc>
        <w:tc>
          <w:tcPr>
            <w:tcW w:w="66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5,505,823</w:t>
            </w:r>
          </w:p>
        </w:tc>
        <w:tc>
          <w:tcPr>
            <w:tcW w:w="599"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6,050,438</w:t>
            </w:r>
          </w:p>
        </w:tc>
      </w:tr>
      <w:tr w:rsidR="00D20962" w:rsidRPr="00D20962" w:rsidTr="00D20962">
        <w:trPr>
          <w:trHeight w:val="434"/>
          <w:jc w:val="center"/>
        </w:trPr>
        <w:tc>
          <w:tcPr>
            <w:tcW w:w="2512" w:type="pct"/>
            <w:vAlign w:val="center"/>
          </w:tcPr>
          <w:p w:rsidR="00D20962" w:rsidRPr="00D20962" w:rsidRDefault="00D20962" w:rsidP="00D20962">
            <w:pPr>
              <w:spacing w:before="60" w:after="60"/>
              <w:rPr>
                <w:color w:val="FF0000"/>
                <w:lang w:val="en-AU"/>
              </w:rPr>
            </w:pPr>
            <w:r w:rsidRPr="00D20962">
              <w:rPr>
                <w:rFonts w:asciiTheme="minorHAnsi" w:hAnsiTheme="minorHAnsi"/>
                <w:b/>
                <w:lang w:val="en-AU"/>
              </w:rPr>
              <w:t xml:space="preserve">Average USD value of the research activities </w:t>
            </w:r>
          </w:p>
        </w:tc>
        <w:tc>
          <w:tcPr>
            <w:tcW w:w="61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601,439</w:t>
            </w:r>
          </w:p>
        </w:tc>
        <w:tc>
          <w:tcPr>
            <w:tcW w:w="61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560,005</w:t>
            </w:r>
          </w:p>
        </w:tc>
        <w:tc>
          <w:tcPr>
            <w:tcW w:w="663"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550,582</w:t>
            </w:r>
          </w:p>
        </w:tc>
        <w:tc>
          <w:tcPr>
            <w:tcW w:w="599"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504,203</w:t>
            </w:r>
          </w:p>
        </w:tc>
      </w:tr>
    </w:tbl>
    <w:p w:rsidR="00D20962" w:rsidRPr="00D20962" w:rsidRDefault="00D20962" w:rsidP="00D20962">
      <w:pPr>
        <w:spacing w:before="120" w:after="120"/>
        <w:jc w:val="center"/>
        <w:outlineLvl w:val="1"/>
        <w:rPr>
          <w:bCs/>
          <w:sz w:val="20"/>
          <w:szCs w:val="20"/>
          <w:lang w:val="en-AU"/>
        </w:rPr>
      </w:pPr>
      <w:r w:rsidRPr="00D20962">
        <w:rPr>
          <w:bCs/>
          <w:sz w:val="20"/>
          <w:szCs w:val="20"/>
          <w:lang w:val="en-AU"/>
        </w:rPr>
        <w:t xml:space="preserve">Source: POM calculations based on ACDP’s mid-2014 report and as reviewed by John Virtue, </w:t>
      </w:r>
      <w:r w:rsidRPr="00D20962">
        <w:rPr>
          <w:bCs/>
          <w:sz w:val="20"/>
          <w:szCs w:val="20"/>
          <w:lang w:val="en-AU"/>
        </w:rPr>
        <w:br/>
        <w:t>09 December 2014</w:t>
      </w:r>
    </w:p>
    <w:p w:rsidR="00D20962" w:rsidRPr="00D20962" w:rsidRDefault="00D20962" w:rsidP="00D20962">
      <w:pPr>
        <w:spacing w:before="120" w:after="120"/>
        <w:jc w:val="both"/>
        <w:rPr>
          <w:lang w:val="en-AU"/>
        </w:rPr>
      </w:pPr>
    </w:p>
    <w:p w:rsidR="00D20962" w:rsidRPr="00D20962" w:rsidRDefault="00D20962" w:rsidP="00D20962">
      <w:pPr>
        <w:keepNext/>
        <w:spacing w:before="120" w:after="120"/>
        <w:ind w:left="86" w:right="43"/>
        <w:jc w:val="center"/>
        <w:rPr>
          <w:b/>
          <w:lang w:val="en-AU"/>
        </w:rPr>
      </w:pPr>
      <w:bookmarkStart w:id="52" w:name="_Toc412534593"/>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21</w:t>
      </w:r>
      <w:r w:rsidRPr="00D20962">
        <w:rPr>
          <w:b/>
          <w:lang w:val="en-GB"/>
        </w:rPr>
        <w:fldChar w:fldCharType="end"/>
      </w:r>
      <w:r w:rsidRPr="00D20962">
        <w:rPr>
          <w:b/>
          <w:lang w:val="en-AU"/>
        </w:rPr>
        <w:t>: Number of lead agencies/year</w:t>
      </w:r>
      <w:bookmarkEnd w:id="52"/>
    </w:p>
    <w:tbl>
      <w:tblPr>
        <w:tblStyle w:val="TableGrid20"/>
        <w:tblW w:w="5000" w:type="pct"/>
        <w:jc w:val="center"/>
        <w:tblLook w:val="04A0" w:firstRow="1" w:lastRow="0" w:firstColumn="1" w:lastColumn="0" w:noHBand="0" w:noVBand="1"/>
      </w:tblPr>
      <w:tblGrid>
        <w:gridCol w:w="4645"/>
        <w:gridCol w:w="1133"/>
        <w:gridCol w:w="1135"/>
        <w:gridCol w:w="1278"/>
        <w:gridCol w:w="1054"/>
      </w:tblGrid>
      <w:tr w:rsidR="00D20962" w:rsidRPr="00D20962" w:rsidTr="00D20962">
        <w:trPr>
          <w:trHeight w:val="846"/>
          <w:jc w:val="center"/>
        </w:trPr>
        <w:tc>
          <w:tcPr>
            <w:tcW w:w="2512"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p>
        </w:tc>
        <w:tc>
          <w:tcPr>
            <w:tcW w:w="613"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2011</w:t>
            </w:r>
          </w:p>
        </w:tc>
        <w:tc>
          <w:tcPr>
            <w:tcW w:w="614"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2012</w:t>
            </w:r>
          </w:p>
        </w:tc>
        <w:tc>
          <w:tcPr>
            <w:tcW w:w="691"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2013</w:t>
            </w:r>
          </w:p>
        </w:tc>
        <w:tc>
          <w:tcPr>
            <w:tcW w:w="570"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2014</w:t>
            </w:r>
          </w:p>
        </w:tc>
      </w:tr>
      <w:tr w:rsidR="00D20962" w:rsidRPr="00D20962" w:rsidTr="00D20962">
        <w:trPr>
          <w:trHeight w:val="434"/>
          <w:jc w:val="center"/>
        </w:trPr>
        <w:tc>
          <w:tcPr>
            <w:tcW w:w="2512" w:type="pct"/>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 of “lead agencies” supported*</w:t>
            </w:r>
          </w:p>
        </w:tc>
        <w:tc>
          <w:tcPr>
            <w:tcW w:w="613"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6</w:t>
            </w:r>
          </w:p>
        </w:tc>
        <w:tc>
          <w:tcPr>
            <w:tcW w:w="614"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9</w:t>
            </w:r>
          </w:p>
        </w:tc>
        <w:tc>
          <w:tcPr>
            <w:tcW w:w="691"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10</w:t>
            </w:r>
          </w:p>
        </w:tc>
        <w:tc>
          <w:tcPr>
            <w:tcW w:w="570"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18"/>
                <w:szCs w:val="18"/>
                <w:lang w:val="en-AU"/>
              </w:rPr>
            </w:pPr>
            <w:r w:rsidRPr="00D20962">
              <w:rPr>
                <w:rFonts w:asciiTheme="minorHAnsi" w:hAnsiTheme="minorHAnsi"/>
                <w:sz w:val="18"/>
                <w:szCs w:val="18"/>
                <w:lang w:val="en-AU"/>
              </w:rPr>
              <w:t>10</w:t>
            </w:r>
          </w:p>
        </w:tc>
      </w:tr>
    </w:tbl>
    <w:p w:rsidR="00D20962" w:rsidRPr="00D20962" w:rsidRDefault="00D20962" w:rsidP="00D20962">
      <w:pPr>
        <w:jc w:val="center"/>
        <w:rPr>
          <w:sz w:val="18"/>
          <w:szCs w:val="18"/>
          <w:lang w:val="en-AU"/>
        </w:rPr>
      </w:pPr>
      <w:r w:rsidRPr="00D20962">
        <w:rPr>
          <w:sz w:val="18"/>
          <w:szCs w:val="18"/>
          <w:lang w:val="en-AU"/>
        </w:rPr>
        <w:t>* A lead agency might have been benefited from more than one activity during the year but they are only counted once in the table</w:t>
      </w:r>
    </w:p>
    <w:p w:rsidR="00D20962" w:rsidRPr="00D20962" w:rsidRDefault="00D20962" w:rsidP="00D20962">
      <w:pPr>
        <w:spacing w:before="120" w:after="120"/>
        <w:jc w:val="center"/>
        <w:outlineLvl w:val="1"/>
        <w:rPr>
          <w:bCs/>
          <w:sz w:val="20"/>
          <w:szCs w:val="20"/>
          <w:lang w:val="en-AU"/>
        </w:rPr>
      </w:pPr>
      <w:r w:rsidRPr="00D20962">
        <w:rPr>
          <w:bCs/>
          <w:sz w:val="20"/>
          <w:szCs w:val="20"/>
          <w:lang w:val="en-AU"/>
        </w:rPr>
        <w:t>Source: POM calculations based on ACDP’s mid-2014 report and as reviewed by John Virtue,</w:t>
      </w:r>
      <w:r w:rsidRPr="00D20962">
        <w:rPr>
          <w:bCs/>
          <w:sz w:val="20"/>
          <w:szCs w:val="20"/>
          <w:lang w:val="en-AU"/>
        </w:rPr>
        <w:br/>
        <w:t xml:space="preserve"> 09 December 2014</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From the perspective of the Government of Australia, the objective of ACDP is in line with DFAT’s broader commitment to support evidence-informed decision-making. In the context of the Indonesia country program, ACDP is one of several DFAT knowledge-to-policy (K2P) investments, with the others including the Knowledge Sector Initiative (KSI), support provided to TNP2K through the DFAT-funded Poverty Reduction Support Facility, and, in the education sector, the upcoming INOVASI program.</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Whilst ACDP demonstrates strong external relevance, POM’s view of ACDP’s internal relevance is more circumspect. The existing deliverables provide a necessary foundation for the pursuit of evidence utilisation (i.e. the EOCO) but POM questions the extent to which the design and current approach is sufficient insofar as the attainment of the EOPO is concerned. This will be discussed in the following sections (e.g. Effectiveness).</w:t>
      </w:r>
    </w:p>
    <w:p w:rsidR="00D20962" w:rsidRPr="00D20962" w:rsidRDefault="00D20962" w:rsidP="00D20962">
      <w:pPr>
        <w:keepNext/>
        <w:numPr>
          <w:ilvl w:val="2"/>
          <w:numId w:val="7"/>
        </w:numPr>
        <w:spacing w:line="276" w:lineRule="auto"/>
        <w:ind w:left="709" w:hanging="709"/>
        <w:jc w:val="both"/>
        <w:outlineLvl w:val="2"/>
        <w:rPr>
          <w:bCs/>
          <w:color w:val="003880"/>
          <w:sz w:val="24"/>
          <w:szCs w:val="28"/>
          <w:lang w:val="en-AU"/>
        </w:rPr>
      </w:pPr>
      <w:r w:rsidRPr="00D20962">
        <w:rPr>
          <w:bCs/>
          <w:color w:val="003880"/>
          <w:sz w:val="24"/>
          <w:szCs w:val="28"/>
          <w:lang w:val="en-AU"/>
        </w:rPr>
        <w:t xml:space="preserve">Efficiency </w:t>
      </w:r>
    </w:p>
    <w:p w:rsidR="00D20962" w:rsidRPr="00D20962" w:rsidRDefault="00D20962" w:rsidP="00D20962">
      <w:pPr>
        <w:spacing w:before="120" w:after="120" w:line="276" w:lineRule="auto"/>
        <w:jc w:val="both"/>
        <w:rPr>
          <w:lang w:val="en-AU"/>
        </w:rPr>
      </w:pPr>
      <w:r w:rsidRPr="00D20962">
        <w:rPr>
          <w:bCs/>
          <w:color w:val="000000" w:themeColor="text1"/>
          <w:lang w:val="en-AU"/>
        </w:rPr>
        <w:t>POM notes the concerns raised in the MTR about the procurement process (e.g. with regards to the consortia’s poor sight of the pipeline and the current method of procurement not being “set up for rapid response contracts”</w:t>
      </w:r>
      <w:r w:rsidRPr="00D20962">
        <w:rPr>
          <w:bCs/>
          <w:color w:val="000000" w:themeColor="text1"/>
          <w:vertAlign w:val="superscript"/>
          <w:lang w:val="en-AU"/>
        </w:rPr>
        <w:endnoteReference w:id="81"/>
      </w:r>
      <w:r w:rsidRPr="00D20962">
        <w:rPr>
          <w:bCs/>
          <w:color w:val="000000" w:themeColor="text1"/>
          <w:lang w:val="en-AU"/>
        </w:rPr>
        <w:t xml:space="preserve">). For POM, however, this is one aspect of a broader set of issues </w:t>
      </w:r>
      <w:r w:rsidRPr="00D20962">
        <w:rPr>
          <w:bCs/>
          <w:lang w:val="en-AU"/>
        </w:rPr>
        <w:t xml:space="preserve">concerning responsiveness – critically important given that the </w:t>
      </w:r>
      <w:r w:rsidRPr="00D20962">
        <w:rPr>
          <w:lang w:val="en-AU"/>
        </w:rPr>
        <w:t xml:space="preserve">relevance and utility of individual outputs inevitably declines should windows of opportunity be missed. </w:t>
      </w:r>
    </w:p>
    <w:p w:rsidR="00D20962" w:rsidRPr="00D20962" w:rsidRDefault="00D20962" w:rsidP="00D20962">
      <w:pPr>
        <w:spacing w:before="120" w:after="120" w:line="276" w:lineRule="auto"/>
        <w:jc w:val="both"/>
        <w:rPr>
          <w:lang w:val="en-AU"/>
        </w:rPr>
      </w:pPr>
      <w:r w:rsidRPr="00D20962">
        <w:rPr>
          <w:lang w:val="en-AU"/>
        </w:rPr>
        <w:t>ACDP’s record insofar as responsiveness is concerned appears to be mixed. On a positive note, the considerable attention provided to the identification and planning of activities is often warranted and valued. Similarly, ACDP has been able to ‘turn-around’ ToR very quickly. From an implementation perspective, the CAT has a proven track record of ‘stepping in’ in cases of under-</w:t>
      </w:r>
      <w:r w:rsidRPr="00D20962">
        <w:rPr>
          <w:lang w:val="en-AU"/>
        </w:rPr>
        <w:lastRenderedPageBreak/>
        <w:t>performing service providers</w:t>
      </w:r>
      <w:r w:rsidRPr="00D20962">
        <w:rPr>
          <w:vertAlign w:val="superscript"/>
          <w:lang w:val="en-AU"/>
        </w:rPr>
        <w:endnoteReference w:id="82"/>
      </w:r>
      <w:r w:rsidRPr="00D20962">
        <w:rPr>
          <w:lang w:val="en-AU"/>
        </w:rPr>
        <w:t xml:space="preserve"> and its commitment to provide GoI partners with good quality deliverables is praiseworthy (as also noted in the MTR). </w:t>
      </w:r>
    </w:p>
    <w:p w:rsidR="00D20962" w:rsidRPr="00D20962" w:rsidRDefault="00D20962" w:rsidP="00D20962">
      <w:pPr>
        <w:spacing w:before="120" w:after="120" w:line="276" w:lineRule="auto"/>
        <w:jc w:val="both"/>
        <w:rPr>
          <w:color w:val="000000" w:themeColor="text1"/>
          <w:lang w:val="en-AU"/>
        </w:rPr>
      </w:pPr>
      <w:r w:rsidRPr="00D20962">
        <w:rPr>
          <w:lang w:val="en-AU"/>
        </w:rPr>
        <w:t>These positives are counter-balanced by areas of concern. The need for the CAT to ‘step in’ in cases of under-performance speaks to the variable quality of some service providers, which may in turn raise questions about procurement. Moreover, the act of ‘stepping in’ may have an adverse effect on other duties expected of the CAT staff members. Several stakeholders – within and outside the Secretariat – have expressed concern about the overall production time, i.e. from conception of an idea to receipt of the final product</w:t>
      </w:r>
      <w:r w:rsidRPr="00D20962">
        <w:rPr>
          <w:vertAlign w:val="superscript"/>
          <w:lang w:val="en-AU"/>
        </w:rPr>
        <w:endnoteReference w:id="83"/>
      </w:r>
      <w:r w:rsidRPr="00D20962">
        <w:rPr>
          <w:lang w:val="en-AU"/>
        </w:rPr>
        <w:t>. The concerns are not necessarily focused on the length of the implementation period – stakeholders know what ACDP does and does not offer – but rather concern about the perceived long lead-in times. On occasion, the overall production timetable has meant that opportunities have been missed</w:t>
      </w:r>
      <w:r w:rsidRPr="00D20962">
        <w:rPr>
          <w:vertAlign w:val="superscript"/>
          <w:lang w:val="en-AU"/>
        </w:rPr>
        <w:endnoteReference w:id="84"/>
      </w:r>
      <w:r w:rsidRPr="00D20962">
        <w:rPr>
          <w:lang w:val="en-AU"/>
        </w:rPr>
        <w:t xml:space="preserve">. Whilst it is unknown whether the production timetable has resulted in some agencies and individuals not seeking </w:t>
      </w:r>
      <w:r w:rsidRPr="00D20962">
        <w:rPr>
          <w:color w:val="000000" w:themeColor="text1"/>
          <w:lang w:val="en-AU"/>
        </w:rPr>
        <w:t xml:space="preserve">assistance (i.e. whether there is latent, untapped demand), POM believes it is prudent for ACDP to consider the circumstances in which an output or product is ‘good enough’ so as to safeguard efficient and effective performance, and relevance and utility, elsewhere. </w:t>
      </w:r>
    </w:p>
    <w:p w:rsidR="00D20962" w:rsidRPr="00D20962" w:rsidRDefault="00D20962" w:rsidP="00D20962">
      <w:pPr>
        <w:spacing w:before="120" w:after="120" w:line="276" w:lineRule="auto"/>
        <w:jc w:val="both"/>
        <w:rPr>
          <w:lang w:val="en-AU"/>
        </w:rPr>
      </w:pPr>
      <w:r w:rsidRPr="00D20962">
        <w:rPr>
          <w:lang w:val="en-AU"/>
        </w:rPr>
        <w:t>From a portfolio perspective, POM notes that ACDP’s allocation of financial expenditure to particular output areas is approximate, recognizing that most studies are complex and can contribute to multiple outputs. As such, one cannot draw conclusions about relative priorities and trend data. Nevertheless, it is interesting to note that the original allocation to Output 1 (legislative and regulatory forms) was about USD 7.8m, whereas that to Output 2 (capacity development and organisational change) was about USD 23.4m. POM notes that the relative weighting of the outputs was revised in the ACDP Financing Plan, with Output 1 growing to USD 20m and Output 2 shrinking to about USD 14.9m</w:t>
      </w:r>
      <w:r w:rsidRPr="00D20962">
        <w:rPr>
          <w:vertAlign w:val="superscript"/>
          <w:lang w:val="en-AU"/>
        </w:rPr>
        <w:endnoteReference w:id="85"/>
      </w:r>
      <w:r w:rsidRPr="00D20962">
        <w:rPr>
          <w:lang w:val="en-AU"/>
        </w:rPr>
        <w:t>. The reasons are not evident to POM but the reallocation is consistent with the EOPO of ACDP evidence being “incorporated in relevant education sector policies, regulations, plans and budgets”.</w:t>
      </w:r>
    </w:p>
    <w:p w:rsidR="00D20962" w:rsidRPr="00D20962" w:rsidRDefault="00D20962" w:rsidP="00D20962">
      <w:pPr>
        <w:rPr>
          <w:lang w:val="en-AU"/>
        </w:rPr>
      </w:pPr>
    </w:p>
    <w:p w:rsidR="00D20962" w:rsidRPr="00D20962" w:rsidRDefault="00D20962" w:rsidP="00D20962">
      <w:pPr>
        <w:keepNext/>
        <w:numPr>
          <w:ilvl w:val="2"/>
          <w:numId w:val="7"/>
        </w:numPr>
        <w:spacing w:line="276" w:lineRule="auto"/>
        <w:ind w:left="709" w:hanging="709"/>
        <w:jc w:val="both"/>
        <w:outlineLvl w:val="2"/>
        <w:rPr>
          <w:bCs/>
          <w:color w:val="003880"/>
          <w:sz w:val="24"/>
          <w:szCs w:val="28"/>
          <w:lang w:val="en-AU"/>
        </w:rPr>
      </w:pPr>
      <w:r w:rsidRPr="00D20962">
        <w:rPr>
          <w:bCs/>
          <w:color w:val="003880"/>
          <w:sz w:val="24"/>
          <w:szCs w:val="28"/>
          <w:lang w:val="en-AU"/>
        </w:rPr>
        <w:t>Effectiveness</w:t>
      </w:r>
    </w:p>
    <w:p w:rsidR="00D20962" w:rsidRPr="00D20962" w:rsidRDefault="00D20962" w:rsidP="00D20962">
      <w:pPr>
        <w:spacing w:before="120" w:after="120" w:line="276" w:lineRule="auto"/>
        <w:jc w:val="both"/>
        <w:rPr>
          <w:lang w:val="en-AU"/>
        </w:rPr>
      </w:pPr>
      <w:r w:rsidRPr="00D20962">
        <w:rPr>
          <w:lang w:val="en-AU"/>
        </w:rPr>
        <w:t>From a delivery perspective, ACDP’s six-monthly and annual reports only make reference to one of its two delivery arms, i.e. that of research activities. The reports make no reference to the number, nature, role and results associated with its second activity-stream, i.e. that of facilitating meetings, focus group discussions and workshops that are not directly linked with the research activities</w:t>
      </w:r>
      <w:r w:rsidRPr="00D20962">
        <w:rPr>
          <w:rFonts w:asciiTheme="minorHAnsi" w:hAnsiTheme="minorHAnsi" w:cstheme="minorHAnsi"/>
          <w:lang w:val="en-AU"/>
        </w:rPr>
        <w:t xml:space="preserve">. </w:t>
      </w:r>
      <w:r w:rsidRPr="00D20962">
        <w:rPr>
          <w:lang w:val="en-AU"/>
        </w:rPr>
        <w:t>As such, it is not possible for POM to comment about the actual or potential effectiveness of the external meetings, other than to say that one civil servant did express acknowledgement and gratitude for the insights they offered during the RJPMN planning processes</w:t>
      </w:r>
      <w:r w:rsidRPr="00D20962">
        <w:rPr>
          <w:vertAlign w:val="superscript"/>
          <w:lang w:val="en-AU"/>
        </w:rPr>
        <w:endnoteReference w:id="86"/>
      </w:r>
      <w:r w:rsidRPr="00D20962">
        <w:rPr>
          <w:lang w:val="en-AU"/>
        </w:rPr>
        <w:t>.</w:t>
      </w:r>
      <w:r w:rsidRPr="00D20962">
        <w:rPr>
          <w:rFonts w:asciiTheme="minorHAnsi" w:hAnsiTheme="minorHAnsi" w:cstheme="minorHAnsi"/>
          <w:lang w:val="en-AU"/>
        </w:rPr>
        <w:t xml:space="preserve"> I</w:t>
      </w:r>
      <w:r w:rsidRPr="00D20962">
        <w:rPr>
          <w:lang w:val="en-AU"/>
        </w:rPr>
        <w:t>f ACDP believes that its second activity-stream is important and that it should be valued by external parties</w:t>
      </w:r>
      <w:r w:rsidRPr="00D20962">
        <w:rPr>
          <w:vertAlign w:val="superscript"/>
          <w:lang w:val="en-AU"/>
        </w:rPr>
        <w:endnoteReference w:id="87"/>
      </w:r>
      <w:r w:rsidRPr="00D20962">
        <w:rPr>
          <w:lang w:val="en-AU"/>
        </w:rPr>
        <w:t>, this must be reflected in ACDP’s own reporting and tracking of results.</w:t>
      </w:r>
    </w:p>
    <w:p w:rsidR="00D20962" w:rsidRPr="00D20962" w:rsidRDefault="00D20962" w:rsidP="00D20962">
      <w:pPr>
        <w:spacing w:before="120" w:after="120" w:line="276" w:lineRule="auto"/>
        <w:jc w:val="both"/>
        <w:rPr>
          <w:rFonts w:asciiTheme="minorHAnsi" w:hAnsiTheme="minorHAnsi" w:cstheme="minorHAnsi"/>
          <w:lang w:val="en-AU"/>
        </w:rPr>
      </w:pPr>
      <w:r w:rsidRPr="00D20962">
        <w:rPr>
          <w:lang w:val="en-AU"/>
        </w:rPr>
        <w:t>Insofar as the research activities are concerned, it is noted that ACDP has sought to diversify its product offering with the introduction, in 2013, of so-called “rapid responses” (see Table 2</w:t>
      </w:r>
      <w:r w:rsidR="00F56EE4">
        <w:rPr>
          <w:lang w:val="en-AU"/>
        </w:rPr>
        <w:t>2</w:t>
      </w:r>
      <w:r w:rsidRPr="00D20962">
        <w:rPr>
          <w:lang w:val="en-AU"/>
        </w:rPr>
        <w:t>)</w:t>
      </w:r>
      <w:r w:rsidRPr="00D20962">
        <w:rPr>
          <w:vertAlign w:val="superscript"/>
          <w:lang w:val="en-AU"/>
        </w:rPr>
        <w:endnoteReference w:id="88"/>
      </w:r>
      <w:r w:rsidRPr="00D20962">
        <w:rPr>
          <w:lang w:val="en-AU"/>
        </w:rPr>
        <w:t xml:space="preserve">. Their emergence is positive. However, there is a danger that their contribution to the overall make-up of ACDP’s portfolio is over-stated. The MTR reports that about 30% of ACDP research can be considered as “rapid response” studies. POM finds no evidence of this. POM believes that no more than 14% of studies to date have been titled “rapid responses”, with the implementation phase </w:t>
      </w:r>
      <w:r w:rsidRPr="00D20962">
        <w:rPr>
          <w:lang w:val="en-AU"/>
        </w:rPr>
        <w:lastRenderedPageBreak/>
        <w:t>typically ranging from one month to three and a half months in duration. POM advises that ACDP will track the results and relative merits of rapid compared to non-rapid activities in due course.</w:t>
      </w:r>
    </w:p>
    <w:p w:rsidR="00D20962" w:rsidRPr="00D20962" w:rsidRDefault="00D20962" w:rsidP="00D20962">
      <w:pPr>
        <w:keepNext/>
        <w:spacing w:before="120" w:after="120"/>
        <w:ind w:left="86" w:right="43"/>
        <w:jc w:val="center"/>
        <w:rPr>
          <w:b/>
          <w:lang w:val="en-AU"/>
        </w:rPr>
      </w:pPr>
      <w:bookmarkStart w:id="53" w:name="_Toc412534594"/>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22</w:t>
      </w:r>
      <w:r w:rsidRPr="00D20962">
        <w:rPr>
          <w:b/>
          <w:lang w:val="en-GB"/>
        </w:rPr>
        <w:fldChar w:fldCharType="end"/>
      </w:r>
      <w:r w:rsidRPr="00D20962">
        <w:rPr>
          <w:b/>
          <w:lang w:val="en-AU"/>
        </w:rPr>
        <w:t>: Rapid responses within ACDP’s portfolio of completing and ongoing research activities (by start year)</w:t>
      </w:r>
      <w:bookmarkEnd w:id="53"/>
    </w:p>
    <w:tbl>
      <w:tblPr>
        <w:tblStyle w:val="TableGrid20"/>
        <w:tblW w:w="5000" w:type="pct"/>
        <w:jc w:val="center"/>
        <w:tblLook w:val="04A0" w:firstRow="1" w:lastRow="0" w:firstColumn="1" w:lastColumn="0" w:noHBand="0" w:noVBand="1"/>
      </w:tblPr>
      <w:tblGrid>
        <w:gridCol w:w="3602"/>
        <w:gridCol w:w="1501"/>
        <w:gridCol w:w="1000"/>
        <w:gridCol w:w="1082"/>
        <w:gridCol w:w="1082"/>
        <w:gridCol w:w="978"/>
      </w:tblGrid>
      <w:tr w:rsidR="00D20962" w:rsidRPr="00D20962" w:rsidTr="00D20962">
        <w:trPr>
          <w:trHeight w:val="846"/>
          <w:jc w:val="center"/>
        </w:trPr>
        <w:tc>
          <w:tcPr>
            <w:tcW w:w="1948"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p>
        </w:tc>
        <w:tc>
          <w:tcPr>
            <w:tcW w:w="812"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2011</w:t>
            </w:r>
          </w:p>
        </w:tc>
        <w:tc>
          <w:tcPr>
            <w:tcW w:w="541"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2012</w:t>
            </w:r>
          </w:p>
        </w:tc>
        <w:tc>
          <w:tcPr>
            <w:tcW w:w="585"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2013</w:t>
            </w:r>
          </w:p>
        </w:tc>
        <w:tc>
          <w:tcPr>
            <w:tcW w:w="585"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2014</w:t>
            </w:r>
          </w:p>
        </w:tc>
        <w:tc>
          <w:tcPr>
            <w:tcW w:w="529" w:type="pct"/>
            <w:shd w:val="clear" w:color="auto" w:fill="17365D" w:themeFill="text2" w:themeFillShade="BF"/>
            <w:vAlign w:val="center"/>
          </w:tcPr>
          <w:p w:rsidR="00D20962" w:rsidRPr="00D20962" w:rsidRDefault="00D20962" w:rsidP="00D20962">
            <w:pPr>
              <w:spacing w:before="60" w:after="60"/>
              <w:jc w:val="center"/>
              <w:rPr>
                <w:rFonts w:asciiTheme="minorHAnsi" w:hAnsiTheme="minorHAnsi"/>
                <w:b/>
                <w:lang w:val="en-AU"/>
              </w:rPr>
            </w:pPr>
            <w:r w:rsidRPr="00D20962">
              <w:rPr>
                <w:rFonts w:asciiTheme="minorHAnsi" w:hAnsiTheme="minorHAnsi"/>
                <w:b/>
                <w:lang w:val="en-AU"/>
              </w:rPr>
              <w:t>Total</w:t>
            </w:r>
          </w:p>
        </w:tc>
      </w:tr>
      <w:tr w:rsidR="00D20962" w:rsidRPr="00D20962" w:rsidTr="00D20962">
        <w:trPr>
          <w:trHeight w:val="434"/>
          <w:jc w:val="center"/>
        </w:trPr>
        <w:tc>
          <w:tcPr>
            <w:tcW w:w="1948" w:type="pct"/>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 of rapid response activities</w:t>
            </w:r>
          </w:p>
        </w:tc>
        <w:tc>
          <w:tcPr>
            <w:tcW w:w="812"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0</w:t>
            </w:r>
          </w:p>
        </w:tc>
        <w:tc>
          <w:tcPr>
            <w:tcW w:w="541"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0</w:t>
            </w:r>
          </w:p>
        </w:tc>
        <w:tc>
          <w:tcPr>
            <w:tcW w:w="585"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4*</w:t>
            </w:r>
          </w:p>
        </w:tc>
        <w:tc>
          <w:tcPr>
            <w:tcW w:w="585"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1**</w:t>
            </w:r>
          </w:p>
        </w:tc>
        <w:tc>
          <w:tcPr>
            <w:tcW w:w="529"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5</w:t>
            </w:r>
          </w:p>
        </w:tc>
      </w:tr>
      <w:tr w:rsidR="00D20962" w:rsidRPr="00D20962" w:rsidTr="00D20962">
        <w:trPr>
          <w:trHeight w:val="434"/>
          <w:jc w:val="center"/>
        </w:trPr>
        <w:tc>
          <w:tcPr>
            <w:tcW w:w="1948" w:type="pct"/>
            <w:vAlign w:val="center"/>
          </w:tcPr>
          <w:p w:rsidR="00D20962" w:rsidRPr="00D20962" w:rsidRDefault="00D20962" w:rsidP="00D20962">
            <w:pPr>
              <w:spacing w:before="60" w:after="60"/>
              <w:rPr>
                <w:rFonts w:asciiTheme="minorHAnsi" w:hAnsiTheme="minorHAnsi"/>
                <w:b/>
                <w:lang w:val="en-AU"/>
              </w:rPr>
            </w:pPr>
            <w:r w:rsidRPr="00D20962">
              <w:rPr>
                <w:rFonts w:asciiTheme="minorHAnsi" w:hAnsiTheme="minorHAnsi"/>
                <w:b/>
                <w:lang w:val="en-AU"/>
              </w:rPr>
              <w:t># of non-rapid response activities</w:t>
            </w:r>
          </w:p>
        </w:tc>
        <w:tc>
          <w:tcPr>
            <w:tcW w:w="812"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7</w:t>
            </w:r>
          </w:p>
        </w:tc>
        <w:tc>
          <w:tcPr>
            <w:tcW w:w="541"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8</w:t>
            </w:r>
          </w:p>
        </w:tc>
        <w:tc>
          <w:tcPr>
            <w:tcW w:w="585"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10</w:t>
            </w:r>
          </w:p>
        </w:tc>
        <w:tc>
          <w:tcPr>
            <w:tcW w:w="585"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12</w:t>
            </w:r>
          </w:p>
        </w:tc>
        <w:tc>
          <w:tcPr>
            <w:tcW w:w="529"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37</w:t>
            </w:r>
          </w:p>
        </w:tc>
      </w:tr>
      <w:tr w:rsidR="00D20962" w:rsidRPr="00D20962" w:rsidTr="00D20962">
        <w:trPr>
          <w:trHeight w:val="434"/>
          <w:jc w:val="center"/>
        </w:trPr>
        <w:tc>
          <w:tcPr>
            <w:tcW w:w="1948" w:type="pct"/>
            <w:vAlign w:val="center"/>
          </w:tcPr>
          <w:p w:rsidR="00D20962" w:rsidRPr="00D20962" w:rsidRDefault="00D20962" w:rsidP="00D20962">
            <w:pPr>
              <w:spacing w:before="60" w:after="60"/>
              <w:rPr>
                <w:color w:val="FF0000"/>
                <w:lang w:val="en-AU"/>
              </w:rPr>
            </w:pPr>
            <w:r w:rsidRPr="00D20962">
              <w:rPr>
                <w:rFonts w:asciiTheme="minorHAnsi" w:hAnsiTheme="minorHAnsi"/>
                <w:b/>
                <w:lang w:val="en-AU"/>
              </w:rPr>
              <w:t xml:space="preserve">Rapid responses as a % of total activities </w:t>
            </w:r>
          </w:p>
        </w:tc>
        <w:tc>
          <w:tcPr>
            <w:tcW w:w="812"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0%</w:t>
            </w:r>
          </w:p>
        </w:tc>
        <w:tc>
          <w:tcPr>
            <w:tcW w:w="541"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0%</w:t>
            </w:r>
          </w:p>
        </w:tc>
        <w:tc>
          <w:tcPr>
            <w:tcW w:w="585"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40%</w:t>
            </w:r>
          </w:p>
        </w:tc>
        <w:tc>
          <w:tcPr>
            <w:tcW w:w="585"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8%</w:t>
            </w:r>
          </w:p>
        </w:tc>
        <w:tc>
          <w:tcPr>
            <w:tcW w:w="529" w:type="pct"/>
            <w:shd w:val="clear" w:color="auto" w:fill="FFFFFF" w:themeFill="background1"/>
            <w:vAlign w:val="center"/>
          </w:tcPr>
          <w:p w:rsidR="00D20962" w:rsidRPr="00D20962" w:rsidRDefault="00D20962" w:rsidP="00D20962">
            <w:pPr>
              <w:jc w:val="center"/>
              <w:rPr>
                <w:sz w:val="18"/>
                <w:szCs w:val="18"/>
                <w:lang w:val="en-AU"/>
              </w:rPr>
            </w:pPr>
            <w:r w:rsidRPr="00D20962">
              <w:rPr>
                <w:sz w:val="18"/>
                <w:szCs w:val="18"/>
                <w:lang w:val="en-AU"/>
              </w:rPr>
              <w:t>14%</w:t>
            </w:r>
          </w:p>
        </w:tc>
      </w:tr>
    </w:tbl>
    <w:p w:rsidR="00D20962" w:rsidRPr="00D20962" w:rsidRDefault="00D20962" w:rsidP="00D20962">
      <w:pPr>
        <w:spacing w:before="120" w:after="120"/>
        <w:jc w:val="center"/>
        <w:rPr>
          <w:i/>
          <w:sz w:val="18"/>
          <w:szCs w:val="18"/>
          <w:lang w:val="en-AU"/>
        </w:rPr>
      </w:pPr>
      <w:r w:rsidRPr="00D20962">
        <w:rPr>
          <w:i/>
          <w:sz w:val="18"/>
          <w:szCs w:val="18"/>
          <w:lang w:val="en-AU"/>
        </w:rPr>
        <w:t>* ACDP 013A; 034D; 034F; 038; ** ACDP 041A</w:t>
      </w:r>
    </w:p>
    <w:p w:rsidR="00D20962" w:rsidRPr="00D20962" w:rsidRDefault="00D20962" w:rsidP="00D20962">
      <w:pPr>
        <w:spacing w:before="120" w:after="120"/>
        <w:jc w:val="center"/>
        <w:outlineLvl w:val="1"/>
        <w:rPr>
          <w:bCs/>
          <w:sz w:val="20"/>
          <w:szCs w:val="20"/>
          <w:lang w:val="en-AU"/>
        </w:rPr>
      </w:pPr>
      <w:r w:rsidRPr="00D20962">
        <w:rPr>
          <w:bCs/>
          <w:sz w:val="20"/>
          <w:szCs w:val="20"/>
          <w:lang w:val="en-AU"/>
        </w:rPr>
        <w:t xml:space="preserve">Source: POM calculations based on ACDP’s mid-2014 report and pipeline, and as reviewed by John Virtue, </w:t>
      </w:r>
      <w:r w:rsidRPr="00D20962">
        <w:rPr>
          <w:bCs/>
          <w:sz w:val="20"/>
          <w:szCs w:val="20"/>
          <w:lang w:val="en-AU"/>
        </w:rPr>
        <w:br/>
        <w:t>09 December 2014</w:t>
      </w:r>
    </w:p>
    <w:p w:rsidR="00D20962" w:rsidRPr="00D20962" w:rsidRDefault="00D20962" w:rsidP="00D20962">
      <w:pPr>
        <w:spacing w:before="120" w:after="120" w:line="276" w:lineRule="auto"/>
        <w:jc w:val="both"/>
        <w:rPr>
          <w:lang w:val="en-AU"/>
        </w:rPr>
      </w:pPr>
      <w:r w:rsidRPr="00D20962">
        <w:rPr>
          <w:lang w:val="en-AU"/>
        </w:rPr>
        <w:t xml:space="preserve">Clearly, ACDP and its partners cannot and should not guarantee that every activity will be a success, i.e. it is improbable that all findings, options and/or recommendations will be actioned by GoI. Any such expectation would be unrealistic. The political and institutional environment evolves and therefore needs and priorities change and agendas shift. As such, partners need to regard ACDP activities as a portfolio of investments. Some investments will do well; others will not. The relevance and utility of some may fade with time; others will develop slowly and gain relevance and utility with time. </w:t>
      </w:r>
    </w:p>
    <w:p w:rsidR="00D20962" w:rsidRPr="00D20962" w:rsidRDefault="00D20962" w:rsidP="00D20962">
      <w:pPr>
        <w:spacing w:before="120" w:after="120" w:line="276" w:lineRule="auto"/>
        <w:jc w:val="both"/>
        <w:rPr>
          <w:lang w:val="en-AU"/>
        </w:rPr>
      </w:pPr>
      <w:r w:rsidRPr="00D20962">
        <w:rPr>
          <w:lang w:val="en-AU"/>
        </w:rPr>
        <w:t>In line with the notion of ACDP managing an investment portfolio, individual activities are displaying varying degrees of success. In some areas, ACDP has secured apparent ‘big wins’ in which evidence has been both utilised (EOCO) and then incorporated (EOPO) into key frameworks. By way of example:</w:t>
      </w:r>
    </w:p>
    <w:p w:rsidR="00D20962" w:rsidRPr="00D20962" w:rsidRDefault="00D20962" w:rsidP="00D20962">
      <w:pPr>
        <w:numPr>
          <w:ilvl w:val="0"/>
          <w:numId w:val="9"/>
        </w:numPr>
        <w:spacing w:before="120" w:after="120" w:line="276" w:lineRule="auto"/>
        <w:contextualSpacing/>
        <w:rPr>
          <w:rFonts w:asciiTheme="minorHAnsi" w:eastAsia="Calibri" w:hAnsiTheme="minorHAnsi" w:cstheme="minorHAnsi"/>
          <w:lang w:val="en-AU"/>
        </w:rPr>
      </w:pPr>
      <w:r w:rsidRPr="00D20962">
        <w:rPr>
          <w:rFonts w:asciiTheme="minorHAnsi" w:eastAsia="Calibri" w:hAnsiTheme="minorHAnsi" w:cstheme="minorHAnsi"/>
          <w:lang w:val="en-AU"/>
        </w:rPr>
        <w:t xml:space="preserve">Evidence and proposals made within ACDP 034 have been incorporated into the technocratic draft of the RPJMN, with potential upsides for the content of the MoEC and MoRA </w:t>
      </w:r>
      <w:r w:rsidRPr="00D20962">
        <w:rPr>
          <w:rFonts w:asciiTheme="minorHAnsi" w:eastAsia="Calibri" w:hAnsiTheme="minorHAnsi" w:cstheme="minorHAnsi"/>
          <w:i/>
          <w:lang w:val="en-AU"/>
        </w:rPr>
        <w:t>Renstras</w:t>
      </w:r>
      <w:r w:rsidRPr="00D20962">
        <w:rPr>
          <w:rFonts w:asciiTheme="minorHAnsi" w:eastAsia="Calibri" w:hAnsiTheme="minorHAnsi" w:cstheme="minorHAnsi"/>
          <w:lang w:val="en-AU"/>
        </w:rPr>
        <w:t xml:space="preserve">. </w:t>
      </w:r>
    </w:p>
    <w:p w:rsidR="00D20962" w:rsidRPr="00D20962" w:rsidRDefault="00D20962" w:rsidP="00D20962">
      <w:pPr>
        <w:numPr>
          <w:ilvl w:val="0"/>
          <w:numId w:val="9"/>
        </w:numPr>
        <w:spacing w:before="120" w:after="120" w:line="276" w:lineRule="auto"/>
        <w:contextualSpacing/>
        <w:rPr>
          <w:rFonts w:eastAsia="Calibri"/>
          <w:lang w:val="en-AU"/>
        </w:rPr>
      </w:pPr>
      <w:r w:rsidRPr="00D20962">
        <w:rPr>
          <w:rFonts w:eastAsia="Calibri"/>
          <w:lang w:val="en-AU"/>
        </w:rPr>
        <w:t xml:space="preserve">The ACDP study, </w:t>
      </w:r>
      <w:r w:rsidRPr="00D20962">
        <w:rPr>
          <w:rFonts w:eastAsia="Calibri"/>
          <w:i/>
          <w:lang w:val="en-AU"/>
        </w:rPr>
        <w:t xml:space="preserve">Rural and Remote Area Education Strategic Planning for Tanah Papua </w:t>
      </w:r>
      <w:r w:rsidRPr="00D20962">
        <w:rPr>
          <w:rFonts w:eastAsia="Calibri"/>
          <w:lang w:val="en-AU"/>
        </w:rPr>
        <w:t xml:space="preserve">(ACDP 039), has been used during the preparation of the provincial </w:t>
      </w:r>
      <w:r w:rsidRPr="00D20962">
        <w:rPr>
          <w:rFonts w:eastAsia="Calibri"/>
          <w:i/>
          <w:lang w:val="en-AU"/>
        </w:rPr>
        <w:t>Renstras</w:t>
      </w:r>
      <w:r w:rsidRPr="00D20962">
        <w:rPr>
          <w:rFonts w:eastAsia="Calibri"/>
          <w:lang w:val="en-AU"/>
        </w:rPr>
        <w:t xml:space="preserve"> and the </w:t>
      </w:r>
      <w:r w:rsidRPr="00D20962">
        <w:rPr>
          <w:rFonts w:eastAsia="Calibri"/>
          <w:i/>
          <w:lang w:val="en-AU"/>
        </w:rPr>
        <w:t xml:space="preserve">Pendidikan Integratif Komunitas Adat Terpencil (PIKAT). </w:t>
      </w:r>
      <w:r w:rsidRPr="00D20962">
        <w:rPr>
          <w:rFonts w:eastAsia="Calibri"/>
          <w:lang w:val="en-AU"/>
        </w:rPr>
        <w:t xml:space="preserve">The evidence has also been used as a central reference for “revitalisation” of the </w:t>
      </w:r>
      <w:r w:rsidRPr="00D20962">
        <w:rPr>
          <w:rFonts w:eastAsia="Calibri"/>
          <w:i/>
          <w:lang w:val="en-AU"/>
        </w:rPr>
        <w:t>Fakultas Keguruan dan Ilmu Pendidikan</w:t>
      </w:r>
      <w:r w:rsidRPr="00D20962">
        <w:rPr>
          <w:rFonts w:eastAsia="Calibri"/>
          <w:lang w:val="en-AU"/>
        </w:rPr>
        <w:t xml:space="preserve"> (FKIP) of the University of Cendrawasih</w:t>
      </w:r>
      <w:r w:rsidRPr="00D20962">
        <w:rPr>
          <w:rFonts w:asciiTheme="minorHAnsi" w:eastAsia="Calibri" w:hAnsiTheme="minorHAnsi" w:cstheme="minorHAnsi"/>
          <w:vertAlign w:val="superscript"/>
          <w:lang w:val="en-AU"/>
        </w:rPr>
        <w:endnoteReference w:id="89"/>
      </w:r>
      <w:r w:rsidRPr="00D20962">
        <w:rPr>
          <w:rFonts w:asciiTheme="minorHAnsi" w:eastAsia="Calibri" w:hAnsiTheme="minorHAnsi" w:cstheme="minorHAnsi"/>
          <w:lang w:val="en-AU"/>
        </w:rPr>
        <w:t>.</w:t>
      </w:r>
    </w:p>
    <w:p w:rsidR="00D20962" w:rsidRPr="00D20962" w:rsidRDefault="00D20962" w:rsidP="00D20962">
      <w:pPr>
        <w:spacing w:before="120" w:after="120" w:line="276" w:lineRule="auto"/>
        <w:jc w:val="both"/>
        <w:rPr>
          <w:lang w:val="en-AU"/>
        </w:rPr>
      </w:pPr>
      <w:r w:rsidRPr="00D20962">
        <w:rPr>
          <w:lang w:val="en-AU"/>
        </w:rPr>
        <w:t xml:space="preserve">Such successes are counter-balanced by those activities which are deemed to be less successful or which may develop only very slowly. Cases in point include a </w:t>
      </w:r>
      <w:r w:rsidRPr="00D20962">
        <w:rPr>
          <w:i/>
          <w:lang w:val="en-AU"/>
        </w:rPr>
        <w:t>Review of a Decade of Gender Mainstreaming in Education</w:t>
      </w:r>
      <w:r w:rsidRPr="00D20962">
        <w:rPr>
          <w:lang w:val="en-AU"/>
        </w:rPr>
        <w:t xml:space="preserve"> (ACDP 005), the focus of and client base for which might have been too broad to enable real traction, and the </w:t>
      </w:r>
      <w:r w:rsidRPr="00D20962">
        <w:rPr>
          <w:i/>
          <w:lang w:val="en-AU"/>
        </w:rPr>
        <w:t>General Senior Secondary Education Financing Study</w:t>
      </w:r>
      <w:r w:rsidRPr="00D20962">
        <w:rPr>
          <w:lang w:val="en-AU"/>
        </w:rPr>
        <w:t xml:space="preserve"> (ACDP 004), the quality of which is considered to be comparatively poor</w:t>
      </w:r>
      <w:r w:rsidRPr="00D20962">
        <w:rPr>
          <w:vertAlign w:val="superscript"/>
          <w:lang w:val="en-AU"/>
        </w:rPr>
        <w:endnoteReference w:id="90"/>
      </w:r>
      <w:r w:rsidRPr="00D20962">
        <w:rPr>
          <w:lang w:val="en-AU"/>
        </w:rPr>
        <w:t>.</w:t>
      </w:r>
    </w:p>
    <w:p w:rsidR="00D20962" w:rsidRPr="00D20962" w:rsidRDefault="00D20962" w:rsidP="00D20962">
      <w:pPr>
        <w:spacing w:before="120" w:after="120" w:line="276" w:lineRule="auto"/>
        <w:jc w:val="both"/>
        <w:rPr>
          <w:lang w:val="en-AU"/>
        </w:rPr>
      </w:pPr>
      <w:r w:rsidRPr="00D20962">
        <w:rPr>
          <w:lang w:val="en-AU"/>
        </w:rPr>
        <w:t xml:space="preserve">Nevertheless, with there being signs of evidence incorporation, ACDP can rightly claim to have contributed to its EOPO target. The question then becomes one of sufficiency: is ACDP delivering enough? POM believes not. At present, POM cannot point to a ‘critical mass’ of reported change at the level of incorporation, i.e. at the EOPO. Moreover, where change has occurred, it is frequently </w:t>
      </w:r>
      <w:r w:rsidRPr="00D20962">
        <w:rPr>
          <w:lang w:val="en-AU"/>
        </w:rPr>
        <w:lastRenderedPageBreak/>
        <w:t>unclear h</w:t>
      </w:r>
      <w:r w:rsidRPr="00D20962">
        <w:rPr>
          <w:rFonts w:asciiTheme="minorHAnsi" w:hAnsiTheme="minorHAnsi" w:cstheme="minorHAnsi"/>
          <w:lang w:val="en-AU"/>
        </w:rPr>
        <w:t>ow much has changed and the importance of that change; ACDP’s role in supporting the change process; and, the</w:t>
      </w:r>
      <w:r w:rsidRPr="00D20962">
        <w:rPr>
          <w:lang w:val="en-AU"/>
        </w:rPr>
        <w:t xml:space="preserve"> contribution of others to the changes described. POM’s ongoing evaluation of EOPO 4 will illuminate the extent and nature of drivers of change in due course but the comparative case study of four activities will only examine less than 10% of ACDP’s activities. It is imperative, therefore, that ACDP and its partners help to articulate what results have been achieved and the process by which they were realised. Tracking and reporting results in K2P programs has its challenges, both technical and political-institutional</w:t>
      </w:r>
      <w:r w:rsidRPr="00D20962">
        <w:rPr>
          <w:rFonts w:ascii="Times New Roman" w:hAnsi="Times New Roman"/>
          <w:vertAlign w:val="superscript"/>
          <w:lang w:val="en-AU"/>
        </w:rPr>
        <w:footnoteReference w:id="73"/>
      </w:r>
      <w:r w:rsidRPr="00D20962">
        <w:rPr>
          <w:lang w:val="en-AU"/>
        </w:rPr>
        <w:t xml:space="preserve">. That necessitates making a real commitment to monitoring and to sharing experience. To date, however, ACDP’s USD 300,000 budget-line for M&amp;E remains unutilised, despite ACDP having expensed or committed nearly USD 29m elsewhere. Opportunities to share experience with other K2P programs, such as the KSI, remain unexploited. </w:t>
      </w:r>
    </w:p>
    <w:p w:rsidR="00D20962" w:rsidRPr="00D20962" w:rsidRDefault="00D20962" w:rsidP="00D20962">
      <w:pPr>
        <w:spacing w:before="120" w:after="120" w:line="276" w:lineRule="auto"/>
        <w:jc w:val="both"/>
        <w:rPr>
          <w:lang w:val="en-AU"/>
        </w:rPr>
      </w:pPr>
      <w:r w:rsidRPr="00D20962">
        <w:rPr>
          <w:lang w:val="en-AU"/>
        </w:rPr>
        <w:t>The question of expectation is central to any evaluation of ACDP’s success. The Secretariat, the ADB, the EU, DFAT and GOI are guided by the ADB Technical Assistance Report of May 2010. It, and the subsequent ACDP M&amp;E Strategy of July 2012, state that ACDP’s “outcome will be to contribute to the government’s efforts to strengthen the education system and sustain organisational performance over the next 15 years by modernizing the system, improving service empowerment, and enabling better regional and international competitiveness”</w:t>
      </w:r>
      <w:r w:rsidRPr="00D20962">
        <w:rPr>
          <w:vertAlign w:val="superscript"/>
          <w:lang w:val="en-AU"/>
        </w:rPr>
        <w:endnoteReference w:id="91"/>
      </w:r>
      <w:r w:rsidRPr="00D20962">
        <w:rPr>
          <w:lang w:val="en-AU"/>
        </w:rPr>
        <w:t xml:space="preserve">. </w:t>
      </w:r>
      <w:r w:rsidRPr="00D20962">
        <w:rPr>
          <w:rFonts w:asciiTheme="minorHAnsi" w:hAnsiTheme="minorHAnsi" w:cstheme="minorHAnsi"/>
          <w:lang w:val="en-AU"/>
        </w:rPr>
        <w:t>POM continues to regard that framing of the ACDP outcome and the absence of suitable performance indicators and targets as cause for concern</w:t>
      </w:r>
      <w:r w:rsidRPr="00D20962">
        <w:rPr>
          <w:rFonts w:ascii="Times New Roman" w:hAnsi="Times New Roman" w:cstheme="minorHAnsi"/>
          <w:vertAlign w:val="superscript"/>
          <w:lang w:val="en-AU"/>
        </w:rPr>
        <w:footnoteReference w:id="74"/>
      </w:r>
      <w:r w:rsidRPr="00D20962">
        <w:rPr>
          <w:rFonts w:asciiTheme="minorHAnsi" w:hAnsiTheme="minorHAnsi" w:cstheme="minorHAnsi"/>
          <w:lang w:val="en-AU"/>
        </w:rPr>
        <w:t>.In response to this situation, POM and ACDP developed a Performance Milestone Framework in the first half of 2014 that spoke to the EP’s logic architecture</w:t>
      </w:r>
      <w:r w:rsidRPr="00D20962">
        <w:rPr>
          <w:lang w:val="en-AU"/>
        </w:rPr>
        <w:t xml:space="preserve">. </w:t>
      </w:r>
      <w:r w:rsidRPr="00D20962">
        <w:t>The PMF, and the associated targets and milestones, were subsequently approved by DFAT in late 2014.</w:t>
      </w:r>
      <w:r w:rsidRPr="00D20962">
        <w:rPr>
          <w:lang w:val="en-AU"/>
        </w:rPr>
        <w:t xml:space="preserve"> </w:t>
      </w:r>
    </w:p>
    <w:p w:rsidR="00D20962" w:rsidRPr="00D20962" w:rsidRDefault="00D20962" w:rsidP="00D20962">
      <w:pPr>
        <w:spacing w:before="120" w:after="120" w:line="276" w:lineRule="auto"/>
        <w:jc w:val="both"/>
        <w:rPr>
          <w:lang w:val="en-AU"/>
        </w:rPr>
      </w:pPr>
      <w:r w:rsidRPr="00D20962">
        <w:rPr>
          <w:lang w:val="en-AU"/>
        </w:rPr>
        <w:t>Notwithstanding the emergence of the PMF, POM is aware that the ACDP, ADB, GoI, EU and DFAT remain guided by the ADB TA Report: it is what guided the 2014 MTR and it is what informs legal and financing arrangements between the respective parties. POM notes that the Secretariat continues to believe that it is appropriate that they be expected to “inform” at an outcome-level, though POM also acknowledges that the Secretariat believes that all parties are committed to seeing ACDP realize policy gains and that it seeks itself playing a role in terms of facilitating the utilization and incorporation of evidence. Whilst this is welcomed, all parties must acknowledge that outcome statements inform stakeholders’ understanding of both expectations and respective roles and responsibilities, and shape the tactics deployed in the pursuit of those objectives. Should ACDP’s objective be to inform, then it would be regarded as being highly effective. Should it be to advocate for the utilisation and incorporation of evidence in key policy processes, then POM’s view of its current effectiveness is more circumspect</w:t>
      </w:r>
      <w:r w:rsidRPr="00D20962">
        <w:rPr>
          <w:rFonts w:ascii="Times New Roman" w:hAnsi="Times New Roman"/>
          <w:vertAlign w:val="superscript"/>
          <w:lang w:val="en-AU"/>
        </w:rPr>
        <w:footnoteReference w:id="75"/>
      </w:r>
      <w:r w:rsidRPr="00D20962">
        <w:rPr>
          <w:lang w:val="en-AU"/>
        </w:rPr>
        <w:t xml:space="preserve">. </w:t>
      </w:r>
    </w:p>
    <w:p w:rsidR="00D20962" w:rsidRPr="00D20962" w:rsidRDefault="00D20962" w:rsidP="00D20962">
      <w:pPr>
        <w:keepNext/>
        <w:numPr>
          <w:ilvl w:val="2"/>
          <w:numId w:val="7"/>
        </w:numPr>
        <w:spacing w:line="276" w:lineRule="auto"/>
        <w:ind w:left="709" w:hanging="709"/>
        <w:jc w:val="both"/>
        <w:outlineLvl w:val="2"/>
        <w:rPr>
          <w:bCs/>
          <w:color w:val="003880"/>
          <w:sz w:val="24"/>
          <w:szCs w:val="28"/>
          <w:lang w:val="en-AU"/>
        </w:rPr>
      </w:pPr>
      <w:r w:rsidRPr="00D20962">
        <w:rPr>
          <w:bCs/>
          <w:color w:val="003880"/>
          <w:sz w:val="24"/>
          <w:szCs w:val="28"/>
          <w:lang w:val="en-AU"/>
        </w:rPr>
        <w:t>Impact</w:t>
      </w:r>
    </w:p>
    <w:p w:rsidR="00D20962" w:rsidRPr="00D20962" w:rsidRDefault="00D20962" w:rsidP="00D20962">
      <w:pPr>
        <w:spacing w:before="120" w:after="120" w:line="276" w:lineRule="auto"/>
        <w:jc w:val="both"/>
        <w:rPr>
          <w:lang w:val="en-AU"/>
        </w:rPr>
      </w:pPr>
      <w:r w:rsidRPr="00D20962">
        <w:rPr>
          <w:lang w:val="en-AU"/>
        </w:rPr>
        <w:t xml:space="preserve">As POM noted in its 2013 APPR, should evidence be provided at the right time, in the right format, and to the right people, there is tremendous potential for activities to deliver long-term benefits. POM remains of that view. By way of example, should critical evidence and options or recommendations contained in ACDP 034 be incorporated in the RPJMN, and the MoEC and MoRA </w:t>
      </w:r>
      <w:r w:rsidRPr="00D20962">
        <w:rPr>
          <w:i/>
          <w:lang w:val="en-AU"/>
        </w:rPr>
        <w:lastRenderedPageBreak/>
        <w:t>Renstras</w:t>
      </w:r>
      <w:r w:rsidRPr="00D20962">
        <w:rPr>
          <w:lang w:val="en-AU"/>
        </w:rPr>
        <w:t>, ACDP may make an important contribution to the trajectory of the education sector until 2019 and potentially beyond. Equally, with its annual budget of +/- IDR 11 trillion or AUD 1.1bn any contribution to the improved performance of the BSM mechanism would offer considerable impact and value for money.</w:t>
      </w:r>
    </w:p>
    <w:p w:rsidR="00D20962" w:rsidRPr="00D20962" w:rsidRDefault="00D20962" w:rsidP="00D20962">
      <w:pPr>
        <w:spacing w:before="120" w:after="120" w:line="276" w:lineRule="auto"/>
        <w:jc w:val="both"/>
        <w:rPr>
          <w:lang w:val="en-AU"/>
        </w:rPr>
      </w:pPr>
      <w:r w:rsidRPr="00D20962">
        <w:rPr>
          <w:lang w:val="en-AU"/>
        </w:rPr>
        <w:t xml:space="preserve">As it stands, POM believes there remains untapped potential for ACDP to deliver greater impact; to cement the potential gains. At least two opportunities exist. Looking back, it is probable that the back catalogue of concluded activities holds unrealised potential. As previously noted, some activities might be ‘slow burners’ that requiring nurturing. The relevance of others might have been weak at the time of eventual delivery (e.g. because of a change in GoI personnel or policy). However, relevance and potential utility can change. Institutional and political realities are fluid, and therefore ACDP’s back catalogue of concluded activities must not be overlooked at the expense of the ongoing and pipeline activities. For optimal utility and value for money, ACDP’s portfolio must be strategically managed, the relevance of earlier investments be tracked (in case new opportunities emerge), and effort must be made to conduct ‘meta-analysis’ and to re-package evidence to target stakeholders. </w:t>
      </w:r>
    </w:p>
    <w:p w:rsidR="00D20962" w:rsidRPr="00D20962" w:rsidRDefault="00D20962" w:rsidP="00D20962">
      <w:pPr>
        <w:spacing w:before="120" w:after="120" w:line="276" w:lineRule="auto"/>
        <w:jc w:val="both"/>
        <w:rPr>
          <w:lang w:val="en-AU"/>
        </w:rPr>
      </w:pPr>
      <w:r w:rsidRPr="00D20962">
        <w:rPr>
          <w:lang w:val="en-AU"/>
        </w:rPr>
        <w:t xml:space="preserve">Looking forward, ACDP needs sight of GoI’s ongoing and planned research outputs. Despite the CAT’s apparent efforts, the Secretariat reportedly does not have access to the Centre for Policy Research’s or </w:t>
      </w:r>
      <w:r w:rsidRPr="00D20962">
        <w:rPr>
          <w:i/>
          <w:lang w:val="en-AU"/>
        </w:rPr>
        <w:t>Puslitjak</w:t>
      </w:r>
      <w:r w:rsidRPr="00D20962">
        <w:rPr>
          <w:lang w:val="en-AU"/>
        </w:rPr>
        <w:t>’s annual research pipeline (worth USD 3.7m in 2014</w:t>
      </w:r>
      <w:r w:rsidRPr="00D20962">
        <w:rPr>
          <w:vertAlign w:val="superscript"/>
          <w:lang w:val="en-AU"/>
        </w:rPr>
        <w:endnoteReference w:id="92"/>
      </w:r>
      <w:r w:rsidRPr="00D20962">
        <w:rPr>
          <w:lang w:val="en-AU"/>
        </w:rPr>
        <w:t>). Neither did the MTR team</w:t>
      </w:r>
      <w:r w:rsidRPr="00D20962">
        <w:rPr>
          <w:vertAlign w:val="superscript"/>
          <w:lang w:val="en-AU"/>
        </w:rPr>
        <w:endnoteReference w:id="93"/>
      </w:r>
      <w:r w:rsidRPr="00D20962">
        <w:rPr>
          <w:lang w:val="en-AU"/>
        </w:rPr>
        <w:t xml:space="preserve">. This should be a cause for concern, even though the </w:t>
      </w:r>
      <w:r w:rsidRPr="00D20962">
        <w:rPr>
          <w:i/>
          <w:lang w:val="en-AU"/>
        </w:rPr>
        <w:t>Puslitjak</w:t>
      </w:r>
      <w:r w:rsidRPr="00D20962">
        <w:rPr>
          <w:lang w:val="en-AU"/>
        </w:rPr>
        <w:t xml:space="preserve"> Director and researchers participate in ACDP events and receive benefit from technical assistance (e.g. in the form of a Statistician and an IT Specialist).</w:t>
      </w:r>
    </w:p>
    <w:p w:rsidR="00D20962" w:rsidRPr="00D20962" w:rsidRDefault="00D20962" w:rsidP="00D20962">
      <w:pPr>
        <w:spacing w:before="120" w:after="120" w:line="276" w:lineRule="auto"/>
        <w:jc w:val="both"/>
        <w:rPr>
          <w:lang w:val="en-AU"/>
        </w:rPr>
      </w:pPr>
      <w:r w:rsidRPr="00D20962">
        <w:rPr>
          <w:lang w:val="en-AU"/>
        </w:rPr>
        <w:t xml:space="preserve">On a separate level, ACDP needs to look beyond the mere provision of evidence, i.e. the production of outputs. Assuming ACDP is committed to the attainment of the EOCO and the EOPO, it needs to make a conscious effort to promote and to advocate; to actively position ACDP, its services and its evidence so that it can maximise the return on the investment (all the while recognising the respective roles of GoI and ACDP in decision-making processes). In reality, the role that ACDP plays should differ in accordance with the task and </w:t>
      </w:r>
      <w:r w:rsidR="00F56EE4">
        <w:rPr>
          <w:lang w:val="en-AU"/>
        </w:rPr>
        <w:t>client in question (see Figure 4</w:t>
      </w:r>
      <w:r w:rsidRPr="00D20962">
        <w:rPr>
          <w:lang w:val="en-AU"/>
        </w:rPr>
        <w:t>). Tactics should vary but all the while with a clear line of sight on the attainment of ACDP’s objective. However, as noted above, perceptions of the effectiveness and impact of the investment will ultimately be shaped by what is expected of it and POM continues to believe that ACDP could offer more.</w:t>
      </w:r>
    </w:p>
    <w:p w:rsidR="00D20962" w:rsidRPr="00D20962" w:rsidRDefault="00D20962" w:rsidP="00D20962">
      <w:pPr>
        <w:rPr>
          <w:b/>
          <w:lang w:val="en-AU"/>
        </w:rPr>
      </w:pPr>
      <w:r w:rsidRPr="00D20962">
        <w:rPr>
          <w:lang w:val="en-AU"/>
        </w:rPr>
        <w:br w:type="page"/>
      </w:r>
    </w:p>
    <w:p w:rsidR="00D20962" w:rsidRPr="00D20962" w:rsidRDefault="00D20962" w:rsidP="00D20962">
      <w:pPr>
        <w:keepNext/>
        <w:spacing w:before="120" w:after="120"/>
        <w:ind w:left="86" w:right="43"/>
        <w:jc w:val="center"/>
        <w:rPr>
          <w:b/>
          <w:lang w:val="en-AU"/>
        </w:rPr>
      </w:pPr>
      <w:bookmarkStart w:id="54" w:name="_Toc412534764"/>
      <w:r w:rsidRPr="00D20962">
        <w:rPr>
          <w:b/>
          <w:lang w:val="en-GB"/>
        </w:rPr>
        <w:lastRenderedPageBreak/>
        <w:t xml:space="preserve">Figure </w:t>
      </w:r>
      <w:r w:rsidRPr="00D20962">
        <w:rPr>
          <w:b/>
          <w:lang w:val="en-GB"/>
        </w:rPr>
        <w:fldChar w:fldCharType="begin"/>
      </w:r>
      <w:r w:rsidRPr="00D20962">
        <w:rPr>
          <w:b/>
          <w:lang w:val="en-GB"/>
        </w:rPr>
        <w:instrText xml:space="preserve"> SEQ Figure \* ARABIC </w:instrText>
      </w:r>
      <w:r w:rsidRPr="00D20962">
        <w:rPr>
          <w:b/>
          <w:lang w:val="en-GB"/>
        </w:rPr>
        <w:fldChar w:fldCharType="separate"/>
      </w:r>
      <w:r w:rsidR="004A0A8F">
        <w:rPr>
          <w:b/>
          <w:noProof/>
          <w:lang w:val="en-GB"/>
        </w:rPr>
        <w:t>4</w:t>
      </w:r>
      <w:r w:rsidRPr="00D20962">
        <w:rPr>
          <w:b/>
          <w:lang w:val="en-GB"/>
        </w:rPr>
        <w:fldChar w:fldCharType="end"/>
      </w:r>
      <w:r w:rsidRPr="00D20962">
        <w:rPr>
          <w:b/>
          <w:lang w:val="en-AU"/>
        </w:rPr>
        <w:t>: ACDP’s objectives and associated functions</w:t>
      </w:r>
      <w:bookmarkEnd w:id="54"/>
    </w:p>
    <w:p w:rsidR="00D20962" w:rsidRPr="00D20962" w:rsidRDefault="00D20962" w:rsidP="00D20962">
      <w:pPr>
        <w:spacing w:before="120" w:after="120" w:line="276" w:lineRule="auto"/>
        <w:jc w:val="both"/>
        <w:rPr>
          <w:lang w:val="en-AU"/>
        </w:rPr>
      </w:pPr>
    </w:p>
    <w:p w:rsidR="00D20962" w:rsidRPr="00D20962" w:rsidRDefault="00D20962" w:rsidP="00D20962">
      <w:pPr>
        <w:spacing w:before="120" w:after="120" w:line="276" w:lineRule="auto"/>
        <w:jc w:val="both"/>
        <w:rPr>
          <w:lang w:val="en-AU"/>
        </w:rPr>
      </w:pPr>
      <w:r w:rsidRPr="00D20962">
        <w:rPr>
          <w:noProof/>
          <w:lang w:val="en-AU" w:eastAsia="en-AU"/>
        </w:rPr>
        <w:drawing>
          <wp:inline distT="0" distB="0" distL="0" distR="0" wp14:anchorId="3BF83931" wp14:editId="3CB6E3A5">
            <wp:extent cx="5268108" cy="3133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8773" cy="3134121"/>
                    </a:xfrm>
                    <a:prstGeom prst="rect">
                      <a:avLst/>
                    </a:prstGeom>
                    <a:noFill/>
                  </pic:spPr>
                </pic:pic>
              </a:graphicData>
            </a:graphic>
          </wp:inline>
        </w:drawing>
      </w:r>
    </w:p>
    <w:p w:rsidR="00D20962" w:rsidRPr="00D20962" w:rsidRDefault="00D20962" w:rsidP="00D20962">
      <w:pPr>
        <w:spacing w:before="120" w:after="120" w:line="276" w:lineRule="auto"/>
        <w:jc w:val="both"/>
        <w:rPr>
          <w:lang w:val="en-AU"/>
        </w:rPr>
      </w:pPr>
    </w:p>
    <w:p w:rsidR="00D20962" w:rsidRPr="00F56EE4" w:rsidRDefault="00D20962" w:rsidP="00F56EE4">
      <w:pPr>
        <w:tabs>
          <w:tab w:val="left" w:pos="567"/>
        </w:tabs>
        <w:spacing w:before="120" w:after="120" w:line="276" w:lineRule="auto"/>
        <w:ind w:left="567" w:hanging="567"/>
        <w:rPr>
          <w:sz w:val="18"/>
          <w:szCs w:val="18"/>
          <w:lang w:val="en-AU"/>
        </w:rPr>
      </w:pPr>
      <w:r w:rsidRPr="00F56EE4">
        <w:rPr>
          <w:sz w:val="18"/>
          <w:szCs w:val="18"/>
          <w:lang w:val="en-AU"/>
        </w:rPr>
        <w:t xml:space="preserve">Note: </w:t>
      </w:r>
      <w:r w:rsidR="00F56EE4">
        <w:rPr>
          <w:sz w:val="18"/>
          <w:szCs w:val="18"/>
          <w:lang w:val="en-AU"/>
        </w:rPr>
        <w:tab/>
        <w:t>T</w:t>
      </w:r>
      <w:r w:rsidRPr="00F56EE4">
        <w:rPr>
          <w:sz w:val="18"/>
          <w:szCs w:val="18"/>
          <w:lang w:val="en-AU"/>
        </w:rPr>
        <w:t>he shaded bars denote different activities, with ACDP’s objective and associated functions varying from case to case. Should a client have direct access to policy and decision-making processes then ACDP’s objective of evidence incorporation may be realised by ACDP merely informing, aggregating and compiling evidence. In other cases, ACDP may need to play a stronger intermediary role, in which it helps to share ideas or even promotes or advocates for evidence utilisation.</w:t>
      </w:r>
    </w:p>
    <w:p w:rsidR="00D20962" w:rsidRPr="00D20962" w:rsidRDefault="00D20962" w:rsidP="00D20962">
      <w:pPr>
        <w:keepNext/>
        <w:numPr>
          <w:ilvl w:val="2"/>
          <w:numId w:val="7"/>
        </w:numPr>
        <w:spacing w:line="276" w:lineRule="auto"/>
        <w:ind w:left="709" w:hanging="709"/>
        <w:jc w:val="both"/>
        <w:outlineLvl w:val="2"/>
        <w:rPr>
          <w:bCs/>
          <w:color w:val="003880"/>
          <w:sz w:val="24"/>
          <w:szCs w:val="28"/>
          <w:lang w:val="en-AU"/>
        </w:rPr>
      </w:pPr>
      <w:r w:rsidRPr="00D20962">
        <w:rPr>
          <w:bCs/>
          <w:color w:val="003880"/>
          <w:sz w:val="24"/>
          <w:szCs w:val="28"/>
          <w:lang w:val="en-AU"/>
        </w:rPr>
        <w:t>Sustainability</w:t>
      </w:r>
    </w:p>
    <w:p w:rsidR="00D20962" w:rsidRPr="00D20962" w:rsidRDefault="00D20962" w:rsidP="00D20962">
      <w:pPr>
        <w:spacing w:before="120" w:after="120" w:line="276" w:lineRule="auto"/>
        <w:jc w:val="both"/>
        <w:rPr>
          <w:lang w:val="en-AU"/>
        </w:rPr>
      </w:pPr>
      <w:r w:rsidRPr="00D20962">
        <w:rPr>
          <w:lang w:val="en-AU"/>
        </w:rPr>
        <w:t xml:space="preserve">In last year’s APPR, POM observed that “ACDP was conceived as a means to an end; the Secretariat will not be sustained after the lifetime of the donor investment. Nevertheless, ACDP and therefore the GoI will secure sustained benefits if recommendations made within specific ACDP deliverables are acted upon”. POM’s view of C4 sustainability has evolved over the last year, in part to reflect the revised Analytical Framework of September 2014 but also in recognition of ACDP’s institutional base and its close engagement with a range of GoI stakeholders. Whilst there exists potential for activities to deliver considerable impact, POM believes that there is a risk that ACDP will generate limited sustained benefit at an institutional level. POM also now considers that this would be a missed opportunity and believes that ACDP should be tasked to move in that direction. ACDP’s interest in designing a ‘policy research capacity development’ initiative in mid-2014 is encouraging, even if it were intended to focus on policy research and not on institutional sustainability </w:t>
      </w:r>
      <w:r w:rsidRPr="00D20962">
        <w:rPr>
          <w:i/>
          <w:lang w:val="en-AU"/>
        </w:rPr>
        <w:t>per se</w:t>
      </w:r>
      <w:r w:rsidRPr="00D20962">
        <w:rPr>
          <w:lang w:val="en-AU"/>
        </w:rPr>
        <w:t>.</w:t>
      </w:r>
    </w:p>
    <w:p w:rsidR="00D20962" w:rsidRPr="00D20962" w:rsidRDefault="00D20962" w:rsidP="00D20962">
      <w:pPr>
        <w:spacing w:before="120" w:after="120" w:line="276" w:lineRule="auto"/>
        <w:jc w:val="both"/>
        <w:rPr>
          <w:lang w:val="en-AU"/>
        </w:rPr>
      </w:pPr>
      <w:r w:rsidRPr="00D20962">
        <w:rPr>
          <w:lang w:val="en-AU"/>
        </w:rPr>
        <w:t xml:space="preserve">POM is concerned that any existing potential for institutional sustainability will go unrealised because of the apparent lack of discussion about – perhaps even aspiration for – an institutional legacy. Consideration of any institutional legacy has at least two component parts. First, it concerns the rules, norms, customs and practices that enable or disable evidence-informed decision-making within government structures, and the potential for ACDP to support changes to levels of awareness, understanding, behaviour, approach and commitment over its lifetime. Secondly, it concerns the institutional home within which ACDP resides. ACDP’s current location and assignment to MoEC’s </w:t>
      </w:r>
      <w:r w:rsidRPr="00D20962">
        <w:rPr>
          <w:lang w:val="en-AU"/>
        </w:rPr>
        <w:lastRenderedPageBreak/>
        <w:t xml:space="preserve">Balitbang may have upsides in terms of support to MoEC’s mandate but, should there be aspirations for ACDP to leave a lasting institutional footprint insofar as sectoral planning and implementation is concerned, it may be necessary to consider whether ACDP’s current formal attachment to just one of the three line ministries and outside of the Bappenas structure creates limitations (despite the make-up of the TOG membership). </w:t>
      </w:r>
    </w:p>
    <w:p w:rsidR="00D20962" w:rsidRPr="00D20962" w:rsidRDefault="00D20962" w:rsidP="00D20962">
      <w:pPr>
        <w:spacing w:before="120" w:after="120" w:line="276" w:lineRule="auto"/>
        <w:jc w:val="both"/>
        <w:rPr>
          <w:lang w:val="en-AU"/>
        </w:rPr>
      </w:pPr>
    </w:p>
    <w:p w:rsidR="00D20962" w:rsidRPr="00D20962" w:rsidRDefault="00D20962" w:rsidP="00D20962">
      <w:pPr>
        <w:keepNext/>
        <w:numPr>
          <w:ilvl w:val="1"/>
          <w:numId w:val="7"/>
        </w:numPr>
        <w:spacing w:before="120" w:after="120" w:line="276" w:lineRule="auto"/>
        <w:ind w:hanging="720"/>
        <w:jc w:val="both"/>
        <w:outlineLvl w:val="1"/>
        <w:rPr>
          <w:b/>
          <w:bCs/>
          <w:iCs/>
          <w:color w:val="003880"/>
          <w:sz w:val="24"/>
          <w:szCs w:val="24"/>
          <w:lang w:val="en-AU"/>
        </w:rPr>
      </w:pPr>
      <w:r w:rsidRPr="00D20962">
        <w:rPr>
          <w:b/>
          <w:color w:val="003880"/>
          <w:sz w:val="24"/>
          <w:szCs w:val="24"/>
          <w:lang w:val="en-AU"/>
        </w:rPr>
        <w:t>Summary and recommendations</w:t>
      </w:r>
      <w:r w:rsidRPr="00D20962">
        <w:rPr>
          <w:b/>
          <w:bCs/>
          <w:iCs/>
          <w:color w:val="003880"/>
          <w:sz w:val="24"/>
          <w:szCs w:val="24"/>
          <w:lang w:val="en-AU"/>
        </w:rPr>
        <w:t xml:space="preserve"> </w:t>
      </w:r>
    </w:p>
    <w:p w:rsidR="00D20962" w:rsidRPr="00D20962" w:rsidRDefault="00D20962" w:rsidP="00D20962">
      <w:pPr>
        <w:spacing w:before="120" w:after="120" w:line="276" w:lineRule="auto"/>
        <w:jc w:val="both"/>
        <w:rPr>
          <w:lang w:val="en-AU"/>
        </w:rPr>
      </w:pPr>
      <w:r w:rsidRPr="00D20962">
        <w:rPr>
          <w:lang w:val="en-AU"/>
        </w:rPr>
        <w:t>A summary table of component performance by DAC criteria is presented in Table 2</w:t>
      </w:r>
      <w:r w:rsidR="00F56EE4">
        <w:rPr>
          <w:lang w:val="en-AU"/>
        </w:rPr>
        <w:t>3</w:t>
      </w:r>
      <w:r w:rsidRPr="00D20962">
        <w:rPr>
          <w:lang w:val="en-AU"/>
        </w:rPr>
        <w:t>, below. The rating scale used with the previous DFAT Quality Reporting System (QRS) and the upcoming Aid Quality Checks (AQC) system has been adopted. Recommendations for improvement and, in particular, what measures are needed to increase the likelihood of achieving the EOPO 4 are provided in Table 2</w:t>
      </w:r>
      <w:r w:rsidR="00F56EE4">
        <w:rPr>
          <w:lang w:val="en-AU"/>
        </w:rPr>
        <w:t>4</w:t>
      </w:r>
      <w:r w:rsidRPr="00D20962">
        <w:rPr>
          <w:lang w:val="en-AU"/>
        </w:rPr>
        <w:t>, below.</w:t>
      </w:r>
    </w:p>
    <w:p w:rsidR="00D20962" w:rsidRPr="00D20962" w:rsidRDefault="00D20962" w:rsidP="00D20962">
      <w:pPr>
        <w:spacing w:before="120" w:after="120" w:line="276" w:lineRule="auto"/>
        <w:jc w:val="both"/>
        <w:rPr>
          <w:lang w:val="en-AU"/>
        </w:rPr>
        <w:sectPr w:rsidR="00D20962" w:rsidRPr="00D20962" w:rsidSect="00E259CD">
          <w:headerReference w:type="default" r:id="rId36"/>
          <w:pgSz w:w="11909" w:h="16834" w:code="9"/>
          <w:pgMar w:top="1440" w:right="1440" w:bottom="1440" w:left="1440" w:header="432" w:footer="720" w:gutter="0"/>
          <w:cols w:space="720"/>
          <w:noEndnote/>
          <w:docGrid w:linePitch="360"/>
        </w:sectPr>
      </w:pPr>
    </w:p>
    <w:p w:rsidR="00D20962" w:rsidRPr="00D20962" w:rsidRDefault="00D20962" w:rsidP="00D20962">
      <w:pPr>
        <w:keepNext/>
        <w:spacing w:before="120" w:after="120"/>
        <w:ind w:left="86" w:right="43"/>
        <w:jc w:val="center"/>
        <w:rPr>
          <w:bCs/>
          <w:i/>
          <w:iCs/>
          <w:lang w:val="en-AU"/>
        </w:rPr>
      </w:pPr>
      <w:bookmarkStart w:id="55" w:name="_Toc412534595"/>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23</w:t>
      </w:r>
      <w:r w:rsidRPr="00D20962">
        <w:rPr>
          <w:b/>
          <w:lang w:val="en-GB"/>
        </w:rPr>
        <w:fldChar w:fldCharType="end"/>
      </w:r>
      <w:r w:rsidRPr="00D20962">
        <w:rPr>
          <w:b/>
          <w:bCs/>
          <w:lang w:val="en-AU"/>
        </w:rPr>
        <w:t xml:space="preserve">: </w:t>
      </w:r>
      <w:r w:rsidRPr="00D20962">
        <w:rPr>
          <w:b/>
          <w:bCs/>
          <w:iCs/>
          <w:lang w:val="en-AU"/>
        </w:rPr>
        <w:t>Component 4 scorecard</w:t>
      </w:r>
      <w:bookmarkEnd w:id="55"/>
    </w:p>
    <w:tbl>
      <w:tblPr>
        <w:tblStyle w:val="TableGrid20"/>
        <w:tblW w:w="5446" w:type="pct"/>
        <w:jc w:val="center"/>
        <w:tblLook w:val="04A0" w:firstRow="1" w:lastRow="0" w:firstColumn="1" w:lastColumn="0" w:noHBand="0" w:noVBand="1"/>
      </w:tblPr>
      <w:tblGrid>
        <w:gridCol w:w="1678"/>
        <w:gridCol w:w="1263"/>
        <w:gridCol w:w="1263"/>
        <w:gridCol w:w="5609"/>
        <w:gridCol w:w="5621"/>
      </w:tblGrid>
      <w:tr w:rsidR="00D20962" w:rsidRPr="00D20962" w:rsidTr="00D20962">
        <w:trPr>
          <w:trHeight w:val="434"/>
          <w:jc w:val="center"/>
        </w:trPr>
        <w:tc>
          <w:tcPr>
            <w:tcW w:w="544" w:type="pct"/>
            <w:shd w:val="clear" w:color="auto" w:fill="244061" w:themeFill="accent1" w:themeFillShade="80"/>
            <w:vAlign w:val="center"/>
          </w:tcPr>
          <w:p w:rsidR="00D20962" w:rsidRPr="00D20962" w:rsidRDefault="00D20962" w:rsidP="00D20962">
            <w:pPr>
              <w:jc w:val="center"/>
              <w:rPr>
                <w:rFonts w:asciiTheme="minorHAnsi" w:hAnsiTheme="minorHAnsi"/>
                <w:sz w:val="20"/>
                <w:szCs w:val="20"/>
                <w:lang w:val="en-AU"/>
              </w:rPr>
            </w:pPr>
            <w:r w:rsidRPr="00D20962">
              <w:rPr>
                <w:rFonts w:asciiTheme="minorHAnsi" w:hAnsiTheme="minorHAnsi"/>
                <w:b/>
                <w:sz w:val="20"/>
                <w:szCs w:val="20"/>
                <w:lang w:val="en-AU"/>
              </w:rPr>
              <w:t>DAC Criterion</w:t>
            </w:r>
          </w:p>
        </w:tc>
        <w:tc>
          <w:tcPr>
            <w:tcW w:w="409"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2013 Score</w:t>
            </w:r>
          </w:p>
        </w:tc>
        <w:tc>
          <w:tcPr>
            <w:tcW w:w="409" w:type="pct"/>
            <w:tcBorders>
              <w:bottom w:val="single" w:sz="4" w:space="0" w:color="auto"/>
            </w:tcBorders>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2014 Score</w:t>
            </w:r>
          </w:p>
        </w:tc>
        <w:tc>
          <w:tcPr>
            <w:tcW w:w="1817"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Justification</w:t>
            </w:r>
          </w:p>
        </w:tc>
        <w:tc>
          <w:tcPr>
            <w:tcW w:w="1821" w:type="pct"/>
            <w:shd w:val="clear" w:color="auto" w:fill="244061" w:themeFill="accent1" w:themeFillShade="80"/>
            <w:vAlign w:val="center"/>
          </w:tcPr>
          <w:p w:rsidR="00D20962" w:rsidRPr="00D20962" w:rsidRDefault="00D20962" w:rsidP="00D20962">
            <w:pPr>
              <w:jc w:val="center"/>
              <w:rPr>
                <w:rFonts w:asciiTheme="minorHAnsi" w:hAnsiTheme="minorHAnsi"/>
                <w:b/>
                <w:sz w:val="20"/>
                <w:szCs w:val="20"/>
                <w:lang w:val="en-AU"/>
              </w:rPr>
            </w:pPr>
            <w:r w:rsidRPr="00D20962">
              <w:rPr>
                <w:rFonts w:asciiTheme="minorHAnsi" w:hAnsiTheme="minorHAnsi"/>
                <w:b/>
                <w:sz w:val="20"/>
                <w:szCs w:val="20"/>
                <w:lang w:val="en-AU"/>
              </w:rPr>
              <w:t>Comments</w:t>
            </w:r>
          </w:p>
        </w:tc>
      </w:tr>
      <w:tr w:rsidR="00D20962" w:rsidRPr="00D20962" w:rsidTr="00D20962">
        <w:trPr>
          <w:trHeight w:val="447"/>
          <w:jc w:val="center"/>
        </w:trPr>
        <w:tc>
          <w:tcPr>
            <w:tcW w:w="544"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t>Relevance</w:t>
            </w:r>
          </w:p>
        </w:tc>
        <w:tc>
          <w:tcPr>
            <w:tcW w:w="409" w:type="pct"/>
            <w:shd w:val="clear" w:color="auto" w:fill="FFFF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4</w:t>
            </w:r>
          </w:p>
        </w:tc>
        <w:tc>
          <w:tcPr>
            <w:tcW w:w="409" w:type="pct"/>
            <w:tcBorders>
              <w:bottom w:val="single" w:sz="4" w:space="0" w:color="auto"/>
            </w:tcBorders>
            <w:shd w:val="clear" w:color="auto" w:fill="FFFF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4</w:t>
            </w:r>
          </w:p>
        </w:tc>
        <w:tc>
          <w:tcPr>
            <w:tcW w:w="1817" w:type="pct"/>
            <w:shd w:val="clear" w:color="auto" w:fill="FFFFFF" w:themeFill="background1"/>
          </w:tcPr>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High external relevance. ACDP is in line with GoI policy needs and is in keeping with DFAT’s commitment to support Knowledge-to-Policy measures. GoI reportedly sees utilisation as an important objective of ACDP.</w:t>
            </w:r>
          </w:p>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However, POM remains concerned about the delivery of ACDP from an internal relevance perspective. The deliverables provide the necessary building blocks for the attainment of the EOCO but the current activities – the current tactics – are insufficient should partners be seeking to deliver a ‘critical mass’ of change at the EOPO level</w:t>
            </w:r>
          </w:p>
        </w:tc>
        <w:tc>
          <w:tcPr>
            <w:tcW w:w="1821" w:type="pct"/>
            <w:shd w:val="clear" w:color="auto" w:fill="FFFFFF" w:themeFill="background1"/>
          </w:tcPr>
          <w:p w:rsidR="00D20962" w:rsidRPr="00D20962" w:rsidRDefault="00D20962" w:rsidP="00D20962">
            <w:pPr>
              <w:numPr>
                <w:ilvl w:val="0"/>
                <w:numId w:val="16"/>
              </w:numPr>
              <w:spacing w:before="120" w:after="12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ACDP would score a 5 if considered from an external relevance perspective alone.</w:t>
            </w:r>
          </w:p>
          <w:p w:rsidR="00D20962" w:rsidRPr="00D20962" w:rsidRDefault="00D20962" w:rsidP="00D20962">
            <w:pPr>
              <w:numPr>
                <w:ilvl w:val="0"/>
                <w:numId w:val="16"/>
              </w:numPr>
              <w:spacing w:before="120" w:after="12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POM notes the Secretariat’s willingness to appoint an M&amp;E resource and the role of the MTR in facilitating that change.</w:t>
            </w:r>
          </w:p>
        </w:tc>
      </w:tr>
      <w:tr w:rsidR="00D20962" w:rsidRPr="00D20962" w:rsidTr="00D20962">
        <w:trPr>
          <w:trHeight w:val="434"/>
          <w:jc w:val="center"/>
        </w:trPr>
        <w:tc>
          <w:tcPr>
            <w:tcW w:w="544"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t>Efficiency</w:t>
            </w:r>
          </w:p>
        </w:tc>
        <w:tc>
          <w:tcPr>
            <w:tcW w:w="409" w:type="pct"/>
            <w:shd w:val="clear" w:color="auto" w:fill="FFC0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3</w:t>
            </w:r>
          </w:p>
        </w:tc>
        <w:tc>
          <w:tcPr>
            <w:tcW w:w="409" w:type="pct"/>
            <w:tcBorders>
              <w:bottom w:val="single" w:sz="4" w:space="0" w:color="auto"/>
            </w:tcBorders>
            <w:shd w:val="clear" w:color="auto" w:fill="FFC0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3</w:t>
            </w:r>
          </w:p>
        </w:tc>
        <w:tc>
          <w:tcPr>
            <w:tcW w:w="1817" w:type="pct"/>
            <w:tcBorders>
              <w:bottom w:val="single" w:sz="4" w:space="0" w:color="auto"/>
            </w:tcBorders>
            <w:shd w:val="clear" w:color="auto" w:fill="FFFFFF" w:themeFill="background1"/>
          </w:tcPr>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Continued evidence of mixed performance and responsiveness.</w:t>
            </w:r>
          </w:p>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ACDP displays a strong QA function. Attention paid to the design phase is often valued and warranted. However, the positives are offset by frequently voiced concern about the overall production timetable.</w:t>
            </w:r>
          </w:p>
        </w:tc>
        <w:tc>
          <w:tcPr>
            <w:tcW w:w="1821" w:type="pct"/>
            <w:tcBorders>
              <w:bottom w:val="single" w:sz="4" w:space="0" w:color="auto"/>
            </w:tcBorders>
            <w:shd w:val="clear" w:color="auto" w:fill="FFFFFF" w:themeFill="background1"/>
          </w:tcPr>
          <w:p w:rsidR="00D20962" w:rsidRPr="00D20962" w:rsidRDefault="00D20962" w:rsidP="00D20962">
            <w:pPr>
              <w:numPr>
                <w:ilvl w:val="0"/>
                <w:numId w:val="16"/>
              </w:numPr>
              <w:spacing w:before="60" w:after="60" w:line="276" w:lineRule="auto"/>
              <w:ind w:left="417"/>
              <w:contextualSpacing/>
              <w:rPr>
                <w:rFonts w:eastAsia="Calibri"/>
                <w:lang w:val="en-AU"/>
              </w:rPr>
            </w:pPr>
            <w:r w:rsidRPr="00D20962">
              <w:rPr>
                <w:rFonts w:asciiTheme="minorHAnsi" w:eastAsia="Calibri" w:hAnsiTheme="minorHAnsi"/>
                <w:sz w:val="20"/>
                <w:szCs w:val="20"/>
                <w:lang w:val="en-AU"/>
              </w:rPr>
              <w:t>The Performance Milestone Framework was approved in late 2014 so there has been insufficient time (and evidence gathering) to make detailed comment about progress against output-level targets. As such, the 2014 APPR speaks to the spirit and not the letter of the PMF.</w:t>
            </w:r>
          </w:p>
        </w:tc>
      </w:tr>
      <w:tr w:rsidR="00D20962" w:rsidRPr="00D20962" w:rsidTr="00D20962">
        <w:trPr>
          <w:trHeight w:val="447"/>
          <w:jc w:val="center"/>
        </w:trPr>
        <w:tc>
          <w:tcPr>
            <w:tcW w:w="544"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t>Effectiveness</w:t>
            </w:r>
          </w:p>
        </w:tc>
        <w:tc>
          <w:tcPr>
            <w:tcW w:w="409" w:type="pct"/>
            <w:shd w:val="clear" w:color="auto" w:fill="FFFF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4</w:t>
            </w:r>
          </w:p>
        </w:tc>
        <w:tc>
          <w:tcPr>
            <w:tcW w:w="409" w:type="pct"/>
            <w:tcBorders>
              <w:bottom w:val="single" w:sz="4" w:space="0" w:color="auto"/>
            </w:tcBorders>
            <w:shd w:val="clear" w:color="auto" w:fill="FFFF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4</w:t>
            </w:r>
          </w:p>
        </w:tc>
        <w:tc>
          <w:tcPr>
            <w:tcW w:w="1817" w:type="pct"/>
            <w:shd w:val="clear" w:color="auto" w:fill="FFFFFF" w:themeFill="background1"/>
          </w:tcPr>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Pockets of success, with reported evidence of both utilisation (EOCO) and incorporation (EOPO). Nevertheless, there is insufficient evidence of a ‘critical mass’ of reported change at the EOPO level.</w:t>
            </w:r>
          </w:p>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 xml:space="preserve">POM continues to believe that ACDP holds untapped potential and feels that there remains scope to improve the return on the investment. </w:t>
            </w:r>
          </w:p>
        </w:tc>
        <w:tc>
          <w:tcPr>
            <w:tcW w:w="1821" w:type="pct"/>
            <w:shd w:val="clear" w:color="auto" w:fill="FFFFFF" w:themeFill="background1"/>
          </w:tcPr>
          <w:p w:rsidR="00D20962" w:rsidRPr="00D20962" w:rsidRDefault="00D20962" w:rsidP="00D20962">
            <w:pPr>
              <w:numPr>
                <w:ilvl w:val="0"/>
                <w:numId w:val="16"/>
              </w:numPr>
              <w:spacing w:before="120" w:after="12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The scores refer to the outcome – the EOPO – statement used by the EP, not that used by the ADB.</w:t>
            </w:r>
          </w:p>
          <w:p w:rsidR="00D20962" w:rsidRPr="00D20962" w:rsidRDefault="00D20962" w:rsidP="00D20962">
            <w:pPr>
              <w:numPr>
                <w:ilvl w:val="0"/>
                <w:numId w:val="16"/>
              </w:numPr>
              <w:spacing w:before="120" w:after="12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POM notes the Secretariat’s willingness to appoint an M&amp;E resource and the role of the MTR in facilitating that change.</w:t>
            </w:r>
          </w:p>
          <w:p w:rsidR="00D20962" w:rsidRPr="00D20962" w:rsidRDefault="00D20962" w:rsidP="00D20962">
            <w:pPr>
              <w:spacing w:before="120" w:after="120" w:line="276" w:lineRule="auto"/>
              <w:ind w:left="417"/>
              <w:contextualSpacing/>
              <w:rPr>
                <w:rFonts w:asciiTheme="minorHAnsi" w:eastAsia="Calibri" w:hAnsiTheme="minorHAnsi"/>
                <w:sz w:val="20"/>
                <w:szCs w:val="20"/>
                <w:lang w:val="en-AU"/>
              </w:rPr>
            </w:pPr>
          </w:p>
        </w:tc>
      </w:tr>
      <w:tr w:rsidR="00D20962" w:rsidRPr="00D20962" w:rsidTr="00D20962">
        <w:trPr>
          <w:trHeight w:val="447"/>
          <w:jc w:val="center"/>
        </w:trPr>
        <w:tc>
          <w:tcPr>
            <w:tcW w:w="544"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t>Impact</w:t>
            </w:r>
          </w:p>
        </w:tc>
        <w:tc>
          <w:tcPr>
            <w:tcW w:w="409" w:type="pct"/>
            <w:shd w:val="clear" w:color="auto" w:fill="FFFFFF" w:themeFill="background1"/>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TE</w:t>
            </w:r>
          </w:p>
        </w:tc>
        <w:tc>
          <w:tcPr>
            <w:tcW w:w="409" w:type="pct"/>
            <w:tcBorders>
              <w:bottom w:val="single" w:sz="4" w:space="0" w:color="auto"/>
            </w:tcBorders>
            <w:shd w:val="clear" w:color="auto" w:fill="FFC000"/>
            <w:vAlign w:val="center"/>
          </w:tcPr>
          <w:p w:rsidR="00D20962" w:rsidRPr="00D20962" w:rsidRDefault="00D20962" w:rsidP="00D20962">
            <w:pPr>
              <w:spacing w:before="60" w:after="60"/>
              <w:jc w:val="center"/>
              <w:rPr>
                <w:rFonts w:asciiTheme="minorHAnsi" w:hAnsiTheme="minorHAnsi"/>
                <w:sz w:val="20"/>
                <w:szCs w:val="20"/>
                <w:highlight w:val="yellow"/>
                <w:lang w:val="en-AU"/>
              </w:rPr>
            </w:pPr>
            <w:r w:rsidRPr="00D20962">
              <w:rPr>
                <w:rFonts w:asciiTheme="minorHAnsi" w:hAnsiTheme="minorHAnsi"/>
                <w:sz w:val="20"/>
                <w:szCs w:val="20"/>
                <w:lang w:val="en-AU"/>
              </w:rPr>
              <w:t>3</w:t>
            </w:r>
          </w:p>
        </w:tc>
        <w:tc>
          <w:tcPr>
            <w:tcW w:w="1817" w:type="pct"/>
            <w:shd w:val="clear" w:color="auto" w:fill="FFFFFF" w:themeFill="background1"/>
          </w:tcPr>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 xml:space="preserve">Considerable potential exists, e.g. see support to BSM and Papua. </w:t>
            </w:r>
          </w:p>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After four years of implementation one might expect to see greater signs of early indications of impact.</w:t>
            </w:r>
          </w:p>
        </w:tc>
        <w:tc>
          <w:tcPr>
            <w:tcW w:w="1821" w:type="pct"/>
            <w:shd w:val="clear" w:color="auto" w:fill="FFFFFF" w:themeFill="background1"/>
          </w:tcPr>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Should a greater number of activities display potential to generate long-term benefits, the score may increase in future years.</w:t>
            </w:r>
          </w:p>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 xml:space="preserve">Attention is frequently made to improvements to the capacities and competencies of national consultants but </w:t>
            </w:r>
            <w:r w:rsidRPr="00D20962">
              <w:rPr>
                <w:rFonts w:asciiTheme="minorHAnsi" w:eastAsia="Calibri" w:hAnsiTheme="minorHAnsi"/>
                <w:sz w:val="20"/>
                <w:szCs w:val="20"/>
                <w:lang w:val="en-AU"/>
              </w:rPr>
              <w:lastRenderedPageBreak/>
              <w:t>there is no evidence that this is routinely measured and nor is it seen as an intended direct effect of the investment.</w:t>
            </w:r>
          </w:p>
        </w:tc>
      </w:tr>
      <w:tr w:rsidR="00D20962" w:rsidRPr="00D20962" w:rsidTr="00D20962">
        <w:trPr>
          <w:trHeight w:val="447"/>
          <w:jc w:val="center"/>
        </w:trPr>
        <w:tc>
          <w:tcPr>
            <w:tcW w:w="544" w:type="pct"/>
            <w:vAlign w:val="center"/>
          </w:tcPr>
          <w:p w:rsidR="00D20962" w:rsidRPr="00D20962" w:rsidRDefault="00D20962" w:rsidP="00D20962">
            <w:pPr>
              <w:spacing w:before="60" w:after="60"/>
              <w:rPr>
                <w:rFonts w:asciiTheme="minorHAnsi" w:hAnsiTheme="minorHAnsi"/>
                <w:b/>
                <w:sz w:val="20"/>
                <w:szCs w:val="20"/>
                <w:lang w:val="en-AU"/>
              </w:rPr>
            </w:pPr>
            <w:r w:rsidRPr="00D20962">
              <w:rPr>
                <w:rFonts w:asciiTheme="minorHAnsi" w:hAnsiTheme="minorHAnsi"/>
                <w:b/>
                <w:sz w:val="20"/>
                <w:szCs w:val="20"/>
                <w:lang w:val="en-AU"/>
              </w:rPr>
              <w:lastRenderedPageBreak/>
              <w:t>Sustainability</w:t>
            </w:r>
          </w:p>
        </w:tc>
        <w:tc>
          <w:tcPr>
            <w:tcW w:w="409" w:type="pct"/>
            <w:shd w:val="clear" w:color="auto" w:fill="FFFF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4</w:t>
            </w:r>
          </w:p>
        </w:tc>
        <w:tc>
          <w:tcPr>
            <w:tcW w:w="409" w:type="pct"/>
            <w:shd w:val="clear" w:color="auto" w:fill="FF0000"/>
            <w:vAlign w:val="center"/>
          </w:tcPr>
          <w:p w:rsidR="00D20962" w:rsidRPr="00D20962" w:rsidRDefault="00D20962" w:rsidP="00D20962">
            <w:pPr>
              <w:spacing w:before="60" w:after="60"/>
              <w:jc w:val="center"/>
              <w:rPr>
                <w:rFonts w:asciiTheme="minorHAnsi" w:hAnsiTheme="minorHAnsi"/>
                <w:sz w:val="20"/>
                <w:szCs w:val="20"/>
                <w:lang w:val="en-AU"/>
              </w:rPr>
            </w:pPr>
            <w:r w:rsidRPr="00D20962">
              <w:rPr>
                <w:rFonts w:asciiTheme="minorHAnsi" w:hAnsiTheme="minorHAnsi"/>
                <w:sz w:val="20"/>
                <w:szCs w:val="20"/>
                <w:lang w:val="en-AU"/>
              </w:rPr>
              <w:t>2</w:t>
            </w:r>
          </w:p>
        </w:tc>
        <w:tc>
          <w:tcPr>
            <w:tcW w:w="1817" w:type="pct"/>
            <w:shd w:val="clear" w:color="auto" w:fill="FFFFFF" w:themeFill="background1"/>
          </w:tcPr>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 xml:space="preserve">Sustainability not foreseen in the ADB design document </w:t>
            </w:r>
          </w:p>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 xml:space="preserve">Lack of discussion about any expected institutional legacy. </w:t>
            </w:r>
          </w:p>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Represents a missed opportunity to generate a better return on the USD 50m investment.</w:t>
            </w:r>
          </w:p>
        </w:tc>
        <w:tc>
          <w:tcPr>
            <w:tcW w:w="1821" w:type="pct"/>
            <w:shd w:val="clear" w:color="auto" w:fill="FFFFFF" w:themeFill="background1"/>
          </w:tcPr>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GoI stakeholders seemingly regard ACDP as being of several outlets for research work. Upon completion, the ACDP option will be removed from the ‘menu’.</w:t>
            </w:r>
          </w:p>
          <w:p w:rsidR="00D20962" w:rsidRPr="00D20962" w:rsidRDefault="00D20962" w:rsidP="00D20962">
            <w:pPr>
              <w:numPr>
                <w:ilvl w:val="0"/>
                <w:numId w:val="16"/>
              </w:numPr>
              <w:spacing w:before="60" w:after="60" w:line="276" w:lineRule="auto"/>
              <w:ind w:left="417"/>
              <w:contextualSpacing/>
              <w:rPr>
                <w:rFonts w:asciiTheme="minorHAnsi" w:eastAsia="Calibri" w:hAnsiTheme="minorHAnsi"/>
                <w:sz w:val="20"/>
                <w:szCs w:val="20"/>
                <w:lang w:val="en-AU"/>
              </w:rPr>
            </w:pPr>
            <w:r w:rsidRPr="00D20962">
              <w:rPr>
                <w:rFonts w:asciiTheme="minorHAnsi" w:eastAsia="Calibri" w:hAnsiTheme="minorHAnsi"/>
                <w:sz w:val="20"/>
                <w:szCs w:val="20"/>
                <w:lang w:val="en-AU"/>
              </w:rPr>
              <w:t xml:space="preserve">POM’s understanding of sustainability within/of ACDP has evolved over the last year, hence the change in score. In 2013 POM restricted its consideration to the likelihood of activities delivering sustained benefit. </w:t>
            </w:r>
          </w:p>
        </w:tc>
      </w:tr>
    </w:tbl>
    <w:p w:rsidR="00D20962" w:rsidRPr="00D20962" w:rsidRDefault="00D20962" w:rsidP="00D20962">
      <w:pPr>
        <w:keepNext/>
        <w:spacing w:before="240" w:after="240"/>
        <w:ind w:left="85" w:right="45"/>
        <w:jc w:val="center"/>
        <w:rPr>
          <w:b/>
          <w:lang w:val="en-GB"/>
        </w:rPr>
      </w:pPr>
      <w:r w:rsidRPr="00D20962">
        <w:rPr>
          <w:b/>
          <w:lang w:val="en-AU"/>
        </w:rPr>
        <w:br w:type="page"/>
      </w:r>
    </w:p>
    <w:p w:rsidR="00D20962" w:rsidRPr="00D20962" w:rsidRDefault="00D20962" w:rsidP="00D20962">
      <w:pPr>
        <w:keepNext/>
        <w:spacing w:before="120" w:after="120"/>
        <w:ind w:left="86" w:right="43"/>
        <w:jc w:val="center"/>
        <w:rPr>
          <w:b/>
          <w:bCs/>
          <w:lang w:val="en-AU"/>
        </w:rPr>
      </w:pPr>
      <w:bookmarkStart w:id="56" w:name="_Toc412534596"/>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24</w:t>
      </w:r>
      <w:r w:rsidRPr="00D20962">
        <w:rPr>
          <w:b/>
          <w:lang w:val="en-GB"/>
        </w:rPr>
        <w:fldChar w:fldCharType="end"/>
      </w:r>
      <w:r w:rsidRPr="00D20962">
        <w:rPr>
          <w:b/>
          <w:bCs/>
          <w:lang w:val="en-AU"/>
        </w:rPr>
        <w:t>: Component 4 key findings and recommendations</w:t>
      </w:r>
      <w:bookmarkEnd w:id="56"/>
    </w:p>
    <w:p w:rsidR="00D20962" w:rsidRPr="00D20962" w:rsidRDefault="00D20962" w:rsidP="00D20962">
      <w:pPr>
        <w:rPr>
          <w:lang w:val="en-AU"/>
        </w:rPr>
      </w:pPr>
    </w:p>
    <w:tbl>
      <w:tblPr>
        <w:tblStyle w:val="TableGrid361"/>
        <w:tblW w:w="5000" w:type="pct"/>
        <w:tblLook w:val="04A0" w:firstRow="1" w:lastRow="0" w:firstColumn="1" w:lastColumn="0" w:noHBand="0" w:noVBand="1"/>
      </w:tblPr>
      <w:tblGrid>
        <w:gridCol w:w="4314"/>
        <w:gridCol w:w="5507"/>
        <w:gridCol w:w="877"/>
        <w:gridCol w:w="3472"/>
      </w:tblGrid>
      <w:tr w:rsidR="00D20962" w:rsidRPr="00D20962" w:rsidTr="00D20962">
        <w:trPr>
          <w:trHeight w:val="567"/>
          <w:tblHeader/>
        </w:trPr>
        <w:tc>
          <w:tcPr>
            <w:tcW w:w="1522"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jc w:val="center"/>
              <w:rPr>
                <w:rFonts w:asciiTheme="minorHAnsi" w:hAnsiTheme="minorHAnsi" w:cstheme="minorHAnsi"/>
                <w:b/>
                <w:color w:val="FFFFFF" w:themeColor="background1"/>
                <w:sz w:val="20"/>
                <w:szCs w:val="20"/>
                <w:lang w:val="en-AU"/>
              </w:rPr>
            </w:pPr>
            <w:r w:rsidRPr="00D20962">
              <w:rPr>
                <w:rFonts w:asciiTheme="minorHAnsi" w:hAnsiTheme="minorHAnsi" w:cstheme="minorHAnsi"/>
                <w:b/>
                <w:color w:val="FFFFFF" w:themeColor="background1"/>
                <w:sz w:val="20"/>
                <w:szCs w:val="20"/>
                <w:lang w:val="en-AU"/>
              </w:rPr>
              <w:t>Findings</w:t>
            </w:r>
          </w:p>
        </w:tc>
        <w:tc>
          <w:tcPr>
            <w:tcW w:w="1943"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jc w:val="center"/>
              <w:rPr>
                <w:rFonts w:asciiTheme="minorHAnsi" w:hAnsiTheme="minorHAnsi" w:cstheme="minorHAnsi"/>
                <w:b/>
                <w:color w:val="FFFFFF" w:themeColor="background1"/>
                <w:sz w:val="20"/>
                <w:szCs w:val="20"/>
                <w:lang w:val="en-AU"/>
              </w:rPr>
            </w:pPr>
            <w:r w:rsidRPr="00D20962">
              <w:rPr>
                <w:rFonts w:asciiTheme="minorHAnsi" w:hAnsiTheme="minorHAnsi" w:cstheme="minorHAnsi"/>
                <w:b/>
                <w:color w:val="FFFFFF" w:themeColor="background1"/>
                <w:sz w:val="20"/>
                <w:szCs w:val="20"/>
                <w:lang w:val="en-AU"/>
              </w:rPr>
              <w:t>Recommendations</w:t>
            </w:r>
          </w:p>
        </w:tc>
        <w:tc>
          <w:tcPr>
            <w:tcW w:w="309"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jc w:val="center"/>
              <w:rPr>
                <w:rFonts w:asciiTheme="minorHAnsi" w:hAnsiTheme="minorHAnsi" w:cstheme="minorHAnsi"/>
                <w:b/>
                <w:color w:val="FFFFFF" w:themeColor="background1"/>
                <w:sz w:val="20"/>
                <w:szCs w:val="20"/>
                <w:lang w:val="en-AU"/>
              </w:rPr>
            </w:pPr>
            <w:r w:rsidRPr="00D20962">
              <w:rPr>
                <w:rFonts w:asciiTheme="minorHAnsi" w:hAnsiTheme="minorHAnsi" w:cstheme="minorHAnsi"/>
                <w:b/>
                <w:color w:val="FFFFFF" w:themeColor="background1"/>
                <w:sz w:val="20"/>
                <w:szCs w:val="20"/>
                <w:lang w:val="en-AU"/>
              </w:rPr>
              <w:t>Level of urgency</w:t>
            </w:r>
          </w:p>
        </w:tc>
        <w:tc>
          <w:tcPr>
            <w:tcW w:w="1225"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jc w:val="center"/>
              <w:rPr>
                <w:rFonts w:asciiTheme="minorHAnsi" w:hAnsiTheme="minorHAnsi" w:cstheme="minorHAnsi"/>
                <w:b/>
                <w:color w:val="FFFFFF" w:themeColor="background1"/>
                <w:sz w:val="20"/>
                <w:szCs w:val="20"/>
                <w:lang w:val="en-AU"/>
              </w:rPr>
            </w:pPr>
            <w:r w:rsidRPr="00D20962">
              <w:rPr>
                <w:rFonts w:asciiTheme="minorHAnsi" w:hAnsiTheme="minorHAnsi" w:cstheme="minorHAnsi"/>
                <w:b/>
                <w:color w:val="FFFFFF" w:themeColor="background1"/>
                <w:sz w:val="20"/>
                <w:szCs w:val="20"/>
                <w:lang w:val="en-AU"/>
              </w:rPr>
              <w:t>Prime Responsibility</w:t>
            </w:r>
          </w:p>
        </w:tc>
      </w:tr>
      <w:tr w:rsidR="00D20962" w:rsidRPr="00D20962" w:rsidTr="00D20962">
        <w:trPr>
          <w:trHeight w:val="1216"/>
        </w:trPr>
        <w:tc>
          <w:tcPr>
            <w:tcW w:w="1522" w:type="pct"/>
            <w:shd w:val="clear" w:color="auto" w:fill="FFFFFF" w:themeFill="background1"/>
          </w:tcPr>
          <w:p w:rsidR="00D20962" w:rsidRPr="00D20962" w:rsidRDefault="00D20962" w:rsidP="00D20962">
            <w:pPr>
              <w:spacing w:before="120" w:after="120"/>
              <w:rPr>
                <w:sz w:val="20"/>
                <w:szCs w:val="20"/>
                <w:lang w:val="en-AU"/>
              </w:rPr>
            </w:pPr>
            <w:r w:rsidRPr="00D20962">
              <w:rPr>
                <w:sz w:val="20"/>
                <w:szCs w:val="20"/>
                <w:lang w:val="en-AU"/>
              </w:rPr>
              <w:t xml:space="preserve">The ACDP is guided by the ADB TA Report of May 2010. EP Logic Architecture and the EP PMF have limited traction beyond POM and DFAT, and may not have been seen by all ACDP stakeholders (see §5.4.3). </w:t>
            </w:r>
          </w:p>
        </w:tc>
        <w:tc>
          <w:tcPr>
            <w:tcW w:w="1943" w:type="pct"/>
            <w:vMerge w:val="restart"/>
            <w:shd w:val="clear" w:color="auto" w:fill="FFFFFF" w:themeFill="background1"/>
          </w:tcPr>
          <w:p w:rsidR="00D20962" w:rsidRPr="00D20962" w:rsidRDefault="00D20962" w:rsidP="00D20962">
            <w:pPr>
              <w:spacing w:before="120" w:after="120"/>
              <w:ind w:left="459" w:hanging="450"/>
              <w:rPr>
                <w:sz w:val="20"/>
                <w:szCs w:val="20"/>
                <w:lang w:val="en-AU"/>
              </w:rPr>
            </w:pPr>
            <w:r w:rsidRPr="00D20962">
              <w:rPr>
                <w:sz w:val="20"/>
                <w:szCs w:val="20"/>
                <w:lang w:val="en-AU"/>
              </w:rPr>
              <w:t xml:space="preserve">R18: </w:t>
            </w:r>
            <w:r w:rsidRPr="00D20962">
              <w:rPr>
                <w:sz w:val="20"/>
                <w:szCs w:val="20"/>
                <w:lang w:val="en-AU"/>
              </w:rPr>
              <w:tab/>
              <w:t>The ADB TA Report and ACDP M&amp;E Strategy should be reviewed and updated to include suitable success metrics.</w:t>
            </w:r>
          </w:p>
        </w:tc>
        <w:tc>
          <w:tcPr>
            <w:tcW w:w="309" w:type="pct"/>
            <w:vMerge w:val="restart"/>
            <w:shd w:val="clear" w:color="auto" w:fill="FF0000"/>
            <w:vAlign w:val="center"/>
          </w:tcPr>
          <w:p w:rsidR="00D20962" w:rsidRPr="00D20962" w:rsidRDefault="00D20962" w:rsidP="00D20962">
            <w:pPr>
              <w:spacing w:before="120" w:after="120"/>
              <w:jc w:val="center"/>
              <w:rPr>
                <w:sz w:val="20"/>
                <w:szCs w:val="20"/>
                <w:lang w:val="en-AU"/>
              </w:rPr>
            </w:pPr>
            <w:r w:rsidRPr="00D20962">
              <w:rPr>
                <w:sz w:val="20"/>
                <w:szCs w:val="20"/>
                <w:lang w:val="en-AU"/>
              </w:rPr>
              <w:t>***</w:t>
            </w:r>
          </w:p>
        </w:tc>
        <w:tc>
          <w:tcPr>
            <w:tcW w:w="1225" w:type="pct"/>
            <w:vMerge w:val="restart"/>
          </w:tcPr>
          <w:p w:rsidR="00D20962" w:rsidRPr="00D20962" w:rsidRDefault="00D20962" w:rsidP="00D20962">
            <w:pPr>
              <w:spacing w:before="120" w:after="120"/>
              <w:rPr>
                <w:sz w:val="20"/>
                <w:szCs w:val="20"/>
                <w:lang w:val="en-AU"/>
              </w:rPr>
            </w:pPr>
            <w:r w:rsidRPr="00D20962">
              <w:rPr>
                <w:sz w:val="20"/>
                <w:szCs w:val="20"/>
                <w:lang w:val="en-AU"/>
              </w:rPr>
              <w:t>ACDP Secretariat and the ADB (with support from the GoI, EU, DFAT and POM)</w:t>
            </w:r>
          </w:p>
        </w:tc>
      </w:tr>
      <w:tr w:rsidR="00D20962" w:rsidRPr="00D20962" w:rsidTr="00D20962">
        <w:trPr>
          <w:trHeight w:val="1216"/>
        </w:trPr>
        <w:tc>
          <w:tcPr>
            <w:tcW w:w="1522" w:type="pct"/>
            <w:shd w:val="clear" w:color="auto" w:fill="FFFFFF" w:themeFill="background1"/>
          </w:tcPr>
          <w:p w:rsidR="00D20962" w:rsidRPr="00D20962" w:rsidRDefault="00D20962" w:rsidP="00D20962">
            <w:pPr>
              <w:spacing w:before="120" w:after="120"/>
              <w:rPr>
                <w:sz w:val="20"/>
                <w:szCs w:val="20"/>
                <w:lang w:val="en-AU"/>
              </w:rPr>
            </w:pPr>
            <w:r w:rsidRPr="00D20962">
              <w:rPr>
                <w:sz w:val="20"/>
                <w:szCs w:val="20"/>
                <w:lang w:val="en-AU"/>
              </w:rPr>
              <w:t>The framing of ACDP’s outcome statement and the absence of suitable performance indicators and targets in the ADB TA Report and the ACDP M&amp;E Strategy provide insufficient clarity about what is expected of ACDP at an outcomes level (see §5.4.3)</w:t>
            </w:r>
          </w:p>
        </w:tc>
        <w:tc>
          <w:tcPr>
            <w:tcW w:w="1943" w:type="pct"/>
            <w:vMerge/>
            <w:shd w:val="clear" w:color="auto" w:fill="FFFFFF" w:themeFill="background1"/>
          </w:tcPr>
          <w:p w:rsidR="00D20962" w:rsidRPr="00D20962" w:rsidRDefault="00D20962" w:rsidP="00D20962">
            <w:pPr>
              <w:spacing w:before="120" w:after="120"/>
              <w:ind w:left="459" w:hanging="450"/>
              <w:rPr>
                <w:sz w:val="20"/>
                <w:szCs w:val="20"/>
                <w:lang w:val="en-AU"/>
              </w:rPr>
            </w:pPr>
          </w:p>
        </w:tc>
        <w:tc>
          <w:tcPr>
            <w:tcW w:w="309" w:type="pct"/>
            <w:vMerge/>
            <w:tcBorders>
              <w:bottom w:val="single" w:sz="4" w:space="0" w:color="auto"/>
            </w:tcBorders>
            <w:shd w:val="clear" w:color="auto" w:fill="FF0000"/>
            <w:vAlign w:val="center"/>
          </w:tcPr>
          <w:p w:rsidR="00D20962" w:rsidRPr="00D20962" w:rsidRDefault="00D20962" w:rsidP="00D20962">
            <w:pPr>
              <w:spacing w:before="120" w:after="120"/>
              <w:jc w:val="center"/>
              <w:rPr>
                <w:sz w:val="20"/>
                <w:szCs w:val="20"/>
                <w:lang w:val="en-AU"/>
              </w:rPr>
            </w:pPr>
          </w:p>
        </w:tc>
        <w:tc>
          <w:tcPr>
            <w:tcW w:w="1225" w:type="pct"/>
            <w:vMerge/>
          </w:tcPr>
          <w:p w:rsidR="00D20962" w:rsidRPr="00D20962" w:rsidDel="00751D1D" w:rsidRDefault="00D20962" w:rsidP="00D20962">
            <w:pPr>
              <w:spacing w:before="120" w:after="120"/>
              <w:rPr>
                <w:sz w:val="20"/>
                <w:szCs w:val="20"/>
                <w:lang w:val="en-AU"/>
              </w:rPr>
            </w:pPr>
          </w:p>
        </w:tc>
      </w:tr>
      <w:tr w:rsidR="00D20962" w:rsidRPr="00D20962" w:rsidTr="00D20962">
        <w:trPr>
          <w:trHeight w:val="1173"/>
        </w:trPr>
        <w:tc>
          <w:tcPr>
            <w:tcW w:w="1522" w:type="pct"/>
          </w:tcPr>
          <w:p w:rsidR="00D20962" w:rsidRPr="00D20962" w:rsidRDefault="00D20962" w:rsidP="00D20962">
            <w:pPr>
              <w:spacing w:before="120" w:after="120"/>
              <w:rPr>
                <w:sz w:val="20"/>
                <w:szCs w:val="20"/>
                <w:lang w:val="en-AU"/>
              </w:rPr>
            </w:pPr>
            <w:r w:rsidRPr="00D20962">
              <w:rPr>
                <w:sz w:val="20"/>
                <w:szCs w:val="20"/>
                <w:lang w:val="en-AU"/>
              </w:rPr>
              <w:t>ACDP holds untapped potential but this will go unrealised so long as investments are considered on an activity-by-activity basis (see §5.4.3)</w:t>
            </w:r>
          </w:p>
        </w:tc>
        <w:tc>
          <w:tcPr>
            <w:tcW w:w="1943" w:type="pct"/>
          </w:tcPr>
          <w:p w:rsidR="00D20962" w:rsidRPr="00D20962" w:rsidRDefault="00D20962" w:rsidP="00D20962">
            <w:pPr>
              <w:spacing w:before="120" w:after="120"/>
              <w:ind w:left="459" w:hanging="448"/>
              <w:rPr>
                <w:sz w:val="20"/>
                <w:szCs w:val="20"/>
                <w:lang w:val="en-AU"/>
              </w:rPr>
            </w:pPr>
            <w:r w:rsidRPr="00D20962">
              <w:rPr>
                <w:sz w:val="20"/>
                <w:szCs w:val="20"/>
                <w:lang w:val="en-AU"/>
              </w:rPr>
              <w:t xml:space="preserve">R19: </w:t>
            </w:r>
            <w:r w:rsidRPr="00D20962">
              <w:rPr>
                <w:sz w:val="20"/>
                <w:szCs w:val="20"/>
                <w:lang w:val="en-AU"/>
              </w:rPr>
              <w:tab/>
              <w:t>The portfolio of investments should be managed more strategically such that the Secretariat looks beyond output-level deliverables to the pursuit of the agreed outcomes, for example by maximising the potential of its ‘back catalogue’ of concluded activities and by exploiting the synergies between activities.</w:t>
            </w:r>
          </w:p>
        </w:tc>
        <w:tc>
          <w:tcPr>
            <w:tcW w:w="309" w:type="pct"/>
            <w:tcBorders>
              <w:bottom w:val="single" w:sz="4" w:space="0" w:color="auto"/>
            </w:tcBorders>
            <w:shd w:val="clear" w:color="auto" w:fill="FF0000"/>
            <w:vAlign w:val="center"/>
          </w:tcPr>
          <w:p w:rsidR="00D20962" w:rsidRPr="00D20962" w:rsidRDefault="00D20962" w:rsidP="00D20962">
            <w:pPr>
              <w:spacing w:before="120" w:after="120"/>
              <w:jc w:val="center"/>
              <w:rPr>
                <w:sz w:val="20"/>
                <w:szCs w:val="20"/>
                <w:lang w:val="en-AU"/>
              </w:rPr>
            </w:pPr>
            <w:r w:rsidRPr="00D20962">
              <w:rPr>
                <w:sz w:val="20"/>
                <w:szCs w:val="20"/>
                <w:lang w:val="en-AU"/>
              </w:rPr>
              <w:t>***</w:t>
            </w:r>
          </w:p>
        </w:tc>
        <w:tc>
          <w:tcPr>
            <w:tcW w:w="1225" w:type="pct"/>
          </w:tcPr>
          <w:p w:rsidR="00D20962" w:rsidRPr="00D20962" w:rsidRDefault="00D20962" w:rsidP="00D20962">
            <w:pPr>
              <w:spacing w:before="120" w:after="120"/>
              <w:rPr>
                <w:sz w:val="20"/>
                <w:szCs w:val="20"/>
                <w:lang w:val="en-AU"/>
              </w:rPr>
            </w:pPr>
            <w:r w:rsidRPr="00D20962">
              <w:rPr>
                <w:sz w:val="20"/>
                <w:szCs w:val="20"/>
                <w:lang w:val="en-AU"/>
              </w:rPr>
              <w:t xml:space="preserve">ACDP Secretariat (with direction and guidance provided by DFAT, the EU and GoI as appropriate) </w:t>
            </w:r>
          </w:p>
        </w:tc>
      </w:tr>
      <w:tr w:rsidR="00D20962" w:rsidRPr="00D20962" w:rsidTr="00D20962">
        <w:trPr>
          <w:trHeight w:val="1173"/>
        </w:trPr>
        <w:tc>
          <w:tcPr>
            <w:tcW w:w="1522" w:type="pct"/>
          </w:tcPr>
          <w:p w:rsidR="00D20962" w:rsidRPr="00D20962" w:rsidRDefault="00D20962" w:rsidP="00D20962">
            <w:pPr>
              <w:spacing w:before="120" w:after="120"/>
              <w:rPr>
                <w:sz w:val="20"/>
                <w:szCs w:val="20"/>
                <w:lang w:val="en-AU"/>
              </w:rPr>
            </w:pPr>
            <w:r w:rsidRPr="00D20962">
              <w:rPr>
                <w:sz w:val="20"/>
                <w:szCs w:val="20"/>
                <w:lang w:val="en-AU"/>
              </w:rPr>
              <w:t>ACDP’s tracking and reporting of results is weak (see §5.4.3)</w:t>
            </w:r>
          </w:p>
        </w:tc>
        <w:tc>
          <w:tcPr>
            <w:tcW w:w="1943" w:type="pct"/>
          </w:tcPr>
          <w:p w:rsidR="00D20962" w:rsidRPr="00D20962" w:rsidRDefault="00D20962" w:rsidP="00D20962">
            <w:pPr>
              <w:spacing w:before="120" w:after="120"/>
              <w:ind w:left="459" w:hanging="450"/>
              <w:rPr>
                <w:sz w:val="20"/>
                <w:szCs w:val="20"/>
                <w:lang w:val="en-AU"/>
              </w:rPr>
            </w:pPr>
            <w:r w:rsidRPr="00D20962">
              <w:rPr>
                <w:sz w:val="20"/>
                <w:szCs w:val="20"/>
                <w:lang w:val="en-AU"/>
              </w:rPr>
              <w:t xml:space="preserve">R20: </w:t>
            </w:r>
            <w:r w:rsidRPr="00D20962">
              <w:rPr>
                <w:sz w:val="20"/>
                <w:szCs w:val="20"/>
                <w:lang w:val="en-AU"/>
              </w:rPr>
              <w:tab/>
              <w:t>The ACDP Secretariat should invest in full-time, dedicated M&amp;E resources so as to improve results tracking and reporting, and to facilitate learning, continuous improvement and strategic management of its portfolio.</w:t>
            </w:r>
          </w:p>
        </w:tc>
        <w:tc>
          <w:tcPr>
            <w:tcW w:w="309" w:type="pct"/>
            <w:tcBorders>
              <w:bottom w:val="single" w:sz="4" w:space="0" w:color="auto"/>
            </w:tcBorders>
            <w:shd w:val="clear" w:color="auto" w:fill="FF0000"/>
            <w:vAlign w:val="center"/>
          </w:tcPr>
          <w:p w:rsidR="00D20962" w:rsidRPr="00D20962" w:rsidRDefault="00D20962" w:rsidP="00D20962">
            <w:pPr>
              <w:spacing w:before="120" w:after="120"/>
              <w:jc w:val="center"/>
              <w:rPr>
                <w:sz w:val="20"/>
                <w:szCs w:val="20"/>
                <w:lang w:val="en-AU"/>
              </w:rPr>
            </w:pPr>
            <w:r w:rsidRPr="00D20962">
              <w:rPr>
                <w:sz w:val="20"/>
                <w:szCs w:val="20"/>
                <w:lang w:val="en-AU"/>
              </w:rPr>
              <w:t>***</w:t>
            </w:r>
          </w:p>
        </w:tc>
        <w:tc>
          <w:tcPr>
            <w:tcW w:w="1225" w:type="pct"/>
          </w:tcPr>
          <w:p w:rsidR="00D20962" w:rsidRPr="00D20962" w:rsidRDefault="00D20962" w:rsidP="00D20962">
            <w:pPr>
              <w:spacing w:before="120" w:after="120"/>
              <w:rPr>
                <w:sz w:val="20"/>
                <w:szCs w:val="20"/>
                <w:lang w:val="en-AU"/>
              </w:rPr>
            </w:pPr>
            <w:r w:rsidRPr="00D20962">
              <w:rPr>
                <w:sz w:val="20"/>
                <w:szCs w:val="20"/>
                <w:lang w:val="en-AU"/>
              </w:rPr>
              <w:t>ACDP Secretariat and ADB (with input from DFAT, the EU and GoI as appropriate)</w:t>
            </w:r>
          </w:p>
        </w:tc>
      </w:tr>
      <w:tr w:rsidR="00D20962" w:rsidRPr="00D20962" w:rsidTr="00D20962">
        <w:trPr>
          <w:trHeight w:val="384"/>
        </w:trPr>
        <w:tc>
          <w:tcPr>
            <w:tcW w:w="1522" w:type="pct"/>
          </w:tcPr>
          <w:p w:rsidR="00D20962" w:rsidRPr="00D20962" w:rsidRDefault="00D20962" w:rsidP="00D20962">
            <w:pPr>
              <w:spacing w:before="120" w:after="120"/>
              <w:ind w:firstLine="9"/>
              <w:rPr>
                <w:sz w:val="20"/>
                <w:szCs w:val="20"/>
                <w:lang w:val="en-AU"/>
              </w:rPr>
            </w:pPr>
            <w:r w:rsidRPr="00D20962">
              <w:rPr>
                <w:sz w:val="20"/>
                <w:szCs w:val="20"/>
                <w:lang w:val="en-AU"/>
              </w:rPr>
              <w:t>Prospects for institutional sustainability may go unrealised so long as limited attention is paid to defining and pursuing any institutional legacy (see §5.4.5)</w:t>
            </w:r>
          </w:p>
        </w:tc>
        <w:tc>
          <w:tcPr>
            <w:tcW w:w="1943" w:type="pct"/>
          </w:tcPr>
          <w:p w:rsidR="00D20962" w:rsidRPr="00D20962" w:rsidRDefault="00D20962" w:rsidP="00D20962">
            <w:pPr>
              <w:spacing w:before="120" w:after="120"/>
              <w:ind w:left="459" w:hanging="450"/>
              <w:rPr>
                <w:sz w:val="20"/>
                <w:szCs w:val="20"/>
                <w:lang w:val="en-AU"/>
              </w:rPr>
            </w:pPr>
            <w:r w:rsidRPr="00D20962">
              <w:rPr>
                <w:sz w:val="20"/>
                <w:szCs w:val="20"/>
                <w:lang w:val="en-AU"/>
              </w:rPr>
              <w:t xml:space="preserve">R21: </w:t>
            </w:r>
            <w:r w:rsidRPr="00D20962">
              <w:rPr>
                <w:sz w:val="20"/>
                <w:szCs w:val="20"/>
                <w:lang w:val="en-AU"/>
              </w:rPr>
              <w:tab/>
              <w:t>Institutional partners should, as part of the negotiations concerning the proposed budget-neutral extension of ACDP, reach a shared understanding or agreement about:</w:t>
            </w:r>
          </w:p>
          <w:p w:rsidR="00D20962" w:rsidRPr="00D20962" w:rsidRDefault="00D20962" w:rsidP="00D20962">
            <w:pPr>
              <w:numPr>
                <w:ilvl w:val="0"/>
                <w:numId w:val="28"/>
              </w:numPr>
              <w:spacing w:before="120" w:after="120" w:line="276" w:lineRule="auto"/>
              <w:contextualSpacing/>
              <w:rPr>
                <w:sz w:val="20"/>
                <w:szCs w:val="20"/>
                <w:lang w:val="en-AU"/>
              </w:rPr>
            </w:pPr>
            <w:r w:rsidRPr="00D20962">
              <w:rPr>
                <w:sz w:val="20"/>
                <w:szCs w:val="20"/>
                <w:lang w:val="en-AU"/>
              </w:rPr>
              <w:t xml:space="preserve">the nature of any intended institutional legacy; </w:t>
            </w:r>
          </w:p>
          <w:p w:rsidR="00D20962" w:rsidRPr="00D20962" w:rsidRDefault="00D20962" w:rsidP="00D20962">
            <w:pPr>
              <w:numPr>
                <w:ilvl w:val="0"/>
                <w:numId w:val="28"/>
              </w:numPr>
              <w:spacing w:before="120" w:after="120" w:line="276" w:lineRule="auto"/>
              <w:contextualSpacing/>
              <w:rPr>
                <w:sz w:val="20"/>
                <w:szCs w:val="20"/>
                <w:lang w:val="en-AU"/>
              </w:rPr>
            </w:pPr>
            <w:r w:rsidRPr="00D20962">
              <w:rPr>
                <w:sz w:val="20"/>
                <w:szCs w:val="20"/>
                <w:lang w:val="en-AU"/>
              </w:rPr>
              <w:lastRenderedPageBreak/>
              <w:t xml:space="preserve">whether ACDP’s current institutional home is the most appropriate to attain that legacy; </w:t>
            </w:r>
          </w:p>
          <w:p w:rsidR="00D20962" w:rsidRPr="00D20962" w:rsidRDefault="00D20962" w:rsidP="00D20962">
            <w:pPr>
              <w:numPr>
                <w:ilvl w:val="0"/>
                <w:numId w:val="28"/>
              </w:numPr>
              <w:spacing w:before="120" w:after="120" w:line="276" w:lineRule="auto"/>
              <w:contextualSpacing/>
              <w:rPr>
                <w:sz w:val="20"/>
                <w:szCs w:val="20"/>
                <w:lang w:val="en-AU"/>
              </w:rPr>
            </w:pPr>
            <w:r w:rsidRPr="00D20962">
              <w:rPr>
                <w:sz w:val="20"/>
                <w:szCs w:val="20"/>
                <w:lang w:val="en-AU"/>
              </w:rPr>
              <w:t>what supporting measures are required by GoI to pursue any intended institutional legacy; and</w:t>
            </w:r>
          </w:p>
          <w:p w:rsidR="00D20962" w:rsidRPr="00D20962" w:rsidRDefault="00D20962" w:rsidP="00D20962">
            <w:pPr>
              <w:numPr>
                <w:ilvl w:val="0"/>
                <w:numId w:val="28"/>
              </w:numPr>
              <w:spacing w:before="120" w:after="120" w:line="276" w:lineRule="auto"/>
              <w:contextualSpacing/>
              <w:rPr>
                <w:sz w:val="20"/>
                <w:szCs w:val="20"/>
                <w:lang w:val="en-AU"/>
              </w:rPr>
            </w:pPr>
            <w:r w:rsidRPr="00D20962">
              <w:rPr>
                <w:sz w:val="20"/>
                <w:szCs w:val="20"/>
                <w:lang w:val="en-AU"/>
              </w:rPr>
              <w:t>what is expected of ACDP to build the necessary foundations for that legacy.</w:t>
            </w:r>
          </w:p>
        </w:tc>
        <w:tc>
          <w:tcPr>
            <w:tcW w:w="309" w:type="pct"/>
            <w:tcBorders>
              <w:bottom w:val="single" w:sz="4" w:space="0" w:color="auto"/>
            </w:tcBorders>
            <w:shd w:val="clear" w:color="auto" w:fill="FFC000"/>
            <w:vAlign w:val="center"/>
          </w:tcPr>
          <w:p w:rsidR="00D20962" w:rsidRPr="00D20962" w:rsidRDefault="00D20962" w:rsidP="00D20962">
            <w:pPr>
              <w:spacing w:before="120" w:after="120"/>
              <w:jc w:val="center"/>
              <w:rPr>
                <w:sz w:val="20"/>
                <w:szCs w:val="20"/>
                <w:lang w:val="en-AU"/>
              </w:rPr>
            </w:pPr>
            <w:r w:rsidRPr="00D20962">
              <w:rPr>
                <w:sz w:val="20"/>
                <w:szCs w:val="20"/>
                <w:lang w:val="en-AU"/>
              </w:rPr>
              <w:lastRenderedPageBreak/>
              <w:t>**</w:t>
            </w:r>
          </w:p>
        </w:tc>
        <w:tc>
          <w:tcPr>
            <w:tcW w:w="1225" w:type="pct"/>
          </w:tcPr>
          <w:p w:rsidR="00D20962" w:rsidRPr="00D20962" w:rsidRDefault="00D20962" w:rsidP="00D20962">
            <w:pPr>
              <w:spacing w:before="120" w:after="120"/>
              <w:rPr>
                <w:sz w:val="20"/>
                <w:szCs w:val="20"/>
                <w:lang w:val="en-AU"/>
              </w:rPr>
            </w:pPr>
            <w:r w:rsidRPr="00D20962">
              <w:rPr>
                <w:sz w:val="20"/>
                <w:szCs w:val="20"/>
                <w:lang w:val="en-AU"/>
              </w:rPr>
              <w:t>GoI, DFAT and the EU (with input from the ADB)</w:t>
            </w:r>
          </w:p>
        </w:tc>
      </w:tr>
    </w:tbl>
    <w:p w:rsidR="00D20962" w:rsidRPr="00D20962" w:rsidRDefault="00D20962" w:rsidP="00D20962">
      <w:pPr>
        <w:rPr>
          <w:i/>
          <w:lang w:val="en-AU"/>
        </w:rPr>
      </w:pPr>
    </w:p>
    <w:p w:rsidR="00123F1E" w:rsidRPr="00123F1E" w:rsidRDefault="00D20962" w:rsidP="00D20962">
      <w:pPr>
        <w:rPr>
          <w:i/>
          <w:lang w:val="en-AU"/>
        </w:rPr>
      </w:pPr>
      <w:r w:rsidRPr="00D20962">
        <w:rPr>
          <w:i/>
          <w:lang w:val="en-AU"/>
        </w:rPr>
        <w:t>NB: Red (***) - high urgency; orange (**) - medium urgency; green (*) - low urgency</w:t>
      </w:r>
    </w:p>
    <w:p w:rsidR="00123F1E" w:rsidRPr="00123F1E" w:rsidRDefault="00123F1E" w:rsidP="00123F1E">
      <w:pPr>
        <w:rPr>
          <w:i/>
          <w:lang w:val="en-AU"/>
        </w:rPr>
      </w:pPr>
    </w:p>
    <w:p w:rsidR="00123F1E" w:rsidRPr="00123F1E" w:rsidRDefault="00123F1E" w:rsidP="00123F1E">
      <w:pPr>
        <w:rPr>
          <w:i/>
          <w:lang w:val="en-AU"/>
        </w:rPr>
      </w:pPr>
    </w:p>
    <w:p w:rsidR="00B7224C" w:rsidRPr="00851EC7" w:rsidRDefault="00B7224C" w:rsidP="00B7224C">
      <w:pPr>
        <w:rPr>
          <w:lang w:val="en-AU"/>
        </w:rPr>
        <w:sectPr w:rsidR="00B7224C" w:rsidRPr="00851EC7" w:rsidSect="00245A84">
          <w:headerReference w:type="default" r:id="rId37"/>
          <w:footnotePr>
            <w:numRestart w:val="eachSect"/>
          </w:footnotePr>
          <w:endnotePr>
            <w:numRestart w:val="eachSect"/>
          </w:endnotePr>
          <w:pgSz w:w="16834" w:h="11909" w:orient="landscape" w:code="9"/>
          <w:pgMar w:top="1440" w:right="1440" w:bottom="1440" w:left="1440" w:header="432" w:footer="720" w:gutter="0"/>
          <w:cols w:space="720"/>
          <w:noEndnote/>
          <w:docGrid w:linePitch="360"/>
        </w:sectPr>
      </w:pPr>
    </w:p>
    <w:p w:rsidR="00245A84" w:rsidRPr="00851EC7" w:rsidRDefault="00B7224C" w:rsidP="00493CE3">
      <w:pPr>
        <w:rPr>
          <w:b/>
          <w:color w:val="FFFFFF" w:themeColor="background1"/>
          <w:sz w:val="36"/>
          <w:szCs w:val="36"/>
          <w:lang w:val="en-AU"/>
        </w:rPr>
      </w:pPr>
      <w:r w:rsidRPr="00851EC7">
        <w:rPr>
          <w:noProof/>
          <w:color w:val="000000" w:themeColor="text1"/>
          <w:sz w:val="28"/>
          <w:szCs w:val="28"/>
          <w:lang w:val="en-AU" w:eastAsia="en-AU"/>
        </w:rPr>
        <w:lastRenderedPageBreak/>
        <w:drawing>
          <wp:anchor distT="0" distB="0" distL="114300" distR="114300" simplePos="0" relativeHeight="251689984" behindDoc="1" locked="0" layoutInCell="1" allowOverlap="1" wp14:anchorId="4F47F86C" wp14:editId="17122C04">
            <wp:simplePos x="0" y="0"/>
            <wp:positionH relativeFrom="page">
              <wp:posOffset>-7620</wp:posOffset>
            </wp:positionH>
            <wp:positionV relativeFrom="page">
              <wp:posOffset>2540</wp:posOffset>
            </wp:positionV>
            <wp:extent cx="7580630" cy="10709275"/>
            <wp:effectExtent l="0" t="0" r="1270" b="0"/>
            <wp:wrapNone/>
            <wp:docPr id="33" name="Picture 33"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A84" w:rsidRPr="00851EC7">
        <w:rPr>
          <w:noProof/>
          <w:color w:val="000000" w:themeColor="text1"/>
          <w:sz w:val="28"/>
          <w:szCs w:val="28"/>
          <w:lang w:val="en-AU" w:eastAsia="en-AU"/>
        </w:rPr>
        <w:drawing>
          <wp:anchor distT="0" distB="0" distL="114300" distR="114300" simplePos="0" relativeHeight="251679744" behindDoc="1" locked="0" layoutInCell="1" allowOverlap="1" wp14:anchorId="2F2F54B2" wp14:editId="45D0EFD4">
            <wp:simplePos x="0" y="0"/>
            <wp:positionH relativeFrom="page">
              <wp:posOffset>-7620</wp:posOffset>
            </wp:positionH>
            <wp:positionV relativeFrom="page">
              <wp:posOffset>2540</wp:posOffset>
            </wp:positionV>
            <wp:extent cx="7580630" cy="10709275"/>
            <wp:effectExtent l="0" t="0" r="1270" b="0"/>
            <wp:wrapNone/>
            <wp:docPr id="15" name="Picture 15"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A84" w:rsidRPr="00851EC7" w:rsidRDefault="00245A84" w:rsidP="00245A84">
      <w:pPr>
        <w:tabs>
          <w:tab w:val="left" w:pos="2977"/>
        </w:tabs>
        <w:ind w:left="2880"/>
        <w:rPr>
          <w:b/>
          <w:color w:val="FFFFFF" w:themeColor="background1"/>
          <w:sz w:val="36"/>
          <w:szCs w:val="36"/>
          <w:lang w:val="en-AU"/>
        </w:rPr>
      </w:pPr>
    </w:p>
    <w:p w:rsidR="00245A84" w:rsidRPr="00851EC7" w:rsidRDefault="00245A84" w:rsidP="00245A84">
      <w:pPr>
        <w:tabs>
          <w:tab w:val="left" w:pos="2977"/>
        </w:tabs>
        <w:ind w:left="2880"/>
        <w:rPr>
          <w:b/>
          <w:color w:val="FFFFFF" w:themeColor="background1"/>
          <w:sz w:val="36"/>
          <w:szCs w:val="36"/>
          <w:lang w:val="en-AU"/>
        </w:rPr>
      </w:pPr>
    </w:p>
    <w:p w:rsidR="00245A84" w:rsidRPr="00851EC7" w:rsidRDefault="00245A84" w:rsidP="00245A84">
      <w:pPr>
        <w:tabs>
          <w:tab w:val="left" w:pos="2977"/>
        </w:tabs>
        <w:ind w:left="2880"/>
        <w:rPr>
          <w:b/>
          <w:color w:val="FFFFFF" w:themeColor="background1"/>
          <w:sz w:val="36"/>
          <w:szCs w:val="36"/>
          <w:lang w:val="en-AU"/>
        </w:rPr>
      </w:pPr>
    </w:p>
    <w:p w:rsidR="00245A84" w:rsidRPr="00851EC7" w:rsidRDefault="00245A84" w:rsidP="00245A84">
      <w:pPr>
        <w:tabs>
          <w:tab w:val="left" w:pos="2977"/>
        </w:tabs>
        <w:ind w:left="2880"/>
        <w:rPr>
          <w:b/>
          <w:color w:val="FFFFFF" w:themeColor="background1"/>
          <w:sz w:val="36"/>
          <w:szCs w:val="36"/>
          <w:lang w:val="en-AU"/>
        </w:rPr>
      </w:pPr>
    </w:p>
    <w:p w:rsidR="00245A84" w:rsidRPr="00851EC7" w:rsidRDefault="00245A84" w:rsidP="00245A84">
      <w:pPr>
        <w:tabs>
          <w:tab w:val="left" w:pos="2977"/>
        </w:tabs>
        <w:ind w:left="2880"/>
        <w:rPr>
          <w:b/>
          <w:color w:val="FFFFFF" w:themeColor="background1"/>
          <w:sz w:val="36"/>
          <w:szCs w:val="36"/>
          <w:lang w:val="en-AU"/>
        </w:rPr>
      </w:pPr>
    </w:p>
    <w:p w:rsidR="00245A84" w:rsidRPr="00851EC7" w:rsidRDefault="00245A84" w:rsidP="00245A84">
      <w:pPr>
        <w:tabs>
          <w:tab w:val="left" w:pos="2977"/>
        </w:tabs>
        <w:ind w:left="2880"/>
        <w:rPr>
          <w:b/>
          <w:color w:val="FFFFFF" w:themeColor="background1"/>
          <w:sz w:val="36"/>
          <w:szCs w:val="36"/>
          <w:lang w:val="en-AU"/>
        </w:rPr>
      </w:pPr>
    </w:p>
    <w:p w:rsidR="00245A84" w:rsidRPr="00851EC7" w:rsidRDefault="00245A84" w:rsidP="00245A84">
      <w:pPr>
        <w:tabs>
          <w:tab w:val="left" w:pos="2977"/>
        </w:tabs>
        <w:ind w:left="2880"/>
        <w:rPr>
          <w:b/>
          <w:color w:val="FFFFFF" w:themeColor="background1"/>
          <w:sz w:val="36"/>
          <w:szCs w:val="36"/>
          <w:lang w:val="en-AU"/>
        </w:rPr>
      </w:pPr>
    </w:p>
    <w:p w:rsidR="00245A84" w:rsidRPr="00851EC7" w:rsidRDefault="002D621D" w:rsidP="00245A84">
      <w:pPr>
        <w:tabs>
          <w:tab w:val="left" w:pos="2977"/>
        </w:tabs>
        <w:ind w:left="2880"/>
        <w:rPr>
          <w:b/>
          <w:color w:val="FFFFFF" w:themeColor="background1"/>
          <w:sz w:val="36"/>
          <w:szCs w:val="36"/>
          <w:lang w:val="en-AU"/>
        </w:rPr>
      </w:pPr>
      <w:r w:rsidRPr="00851EC7">
        <w:rPr>
          <w:b/>
          <w:color w:val="FFFFFF" w:themeColor="background1"/>
          <w:sz w:val="36"/>
          <w:szCs w:val="36"/>
          <w:lang w:val="en-AU"/>
        </w:rPr>
        <w:t xml:space="preserve">Part B: </w:t>
      </w:r>
      <w:r w:rsidR="00062CCA" w:rsidRPr="00851EC7">
        <w:rPr>
          <w:b/>
          <w:color w:val="FFFFFF" w:themeColor="background1"/>
          <w:sz w:val="36"/>
          <w:szCs w:val="36"/>
          <w:lang w:val="en-AU"/>
        </w:rPr>
        <w:t>Zooming out</w:t>
      </w:r>
    </w:p>
    <w:p w:rsidR="00245A84" w:rsidRPr="00851EC7" w:rsidRDefault="00245A84" w:rsidP="00245A84">
      <w:pPr>
        <w:tabs>
          <w:tab w:val="left" w:pos="2977"/>
        </w:tabs>
        <w:ind w:left="2880"/>
        <w:rPr>
          <w:b/>
          <w:color w:val="FFFFFF" w:themeColor="background1"/>
          <w:sz w:val="36"/>
          <w:szCs w:val="36"/>
          <w:lang w:val="en-AU"/>
        </w:rPr>
      </w:pPr>
    </w:p>
    <w:p w:rsidR="00245A84" w:rsidRPr="00851EC7" w:rsidRDefault="00537938" w:rsidP="00245A84">
      <w:pPr>
        <w:tabs>
          <w:tab w:val="left" w:pos="2977"/>
        </w:tabs>
        <w:ind w:left="2880"/>
        <w:rPr>
          <w:b/>
          <w:i/>
          <w:color w:val="FFFFFF" w:themeColor="background1"/>
          <w:sz w:val="32"/>
          <w:szCs w:val="32"/>
          <w:lang w:val="en-AU"/>
        </w:rPr>
      </w:pPr>
      <w:r>
        <w:rPr>
          <w:b/>
          <w:i/>
          <w:color w:val="FFFFFF" w:themeColor="background1"/>
          <w:sz w:val="32"/>
          <w:szCs w:val="32"/>
          <w:lang w:val="en-AU"/>
        </w:rPr>
        <w:t>Program Oversight</w:t>
      </w:r>
    </w:p>
    <w:p w:rsidR="00245A84" w:rsidRPr="00851EC7" w:rsidRDefault="00245A84" w:rsidP="00245A84">
      <w:pPr>
        <w:rPr>
          <w:lang w:val="en-AU"/>
        </w:rPr>
        <w:sectPr w:rsidR="00245A84" w:rsidRPr="00851EC7" w:rsidSect="00245A84">
          <w:headerReference w:type="default" r:id="rId38"/>
          <w:footnotePr>
            <w:numRestart w:val="eachSect"/>
          </w:footnotePr>
          <w:endnotePr>
            <w:numRestart w:val="eachSect"/>
          </w:endnotePr>
          <w:pgSz w:w="11909" w:h="16834" w:code="9"/>
          <w:pgMar w:top="1440" w:right="1440" w:bottom="1440" w:left="1440" w:header="432" w:footer="720" w:gutter="0"/>
          <w:cols w:space="720"/>
          <w:noEndnote/>
          <w:docGrid w:linePitch="360"/>
        </w:sectPr>
      </w:pPr>
    </w:p>
    <w:p w:rsidR="00D20962" w:rsidRPr="00D20962" w:rsidRDefault="00D20962" w:rsidP="00D20962">
      <w:pPr>
        <w:keepNext/>
        <w:numPr>
          <w:ilvl w:val="0"/>
          <w:numId w:val="7"/>
        </w:numPr>
        <w:spacing w:before="120" w:after="120"/>
        <w:ind w:hanging="720"/>
        <w:outlineLvl w:val="0"/>
        <w:rPr>
          <w:rFonts w:asciiTheme="minorHAnsi" w:hAnsiTheme="minorHAnsi" w:cstheme="minorHAnsi"/>
          <w:b/>
          <w:bCs/>
          <w:color w:val="003880"/>
          <w:kern w:val="32"/>
          <w:sz w:val="28"/>
          <w:szCs w:val="28"/>
          <w:lang w:val="en-AU"/>
        </w:rPr>
      </w:pPr>
      <w:bookmarkStart w:id="57" w:name="_Ref405977359"/>
      <w:bookmarkStart w:id="58" w:name="_Toc407779885"/>
      <w:bookmarkStart w:id="59" w:name="_Toc375124631"/>
      <w:r w:rsidRPr="00D20962">
        <w:rPr>
          <w:rFonts w:asciiTheme="minorHAnsi" w:hAnsiTheme="minorHAnsi" w:cstheme="minorHAnsi"/>
          <w:b/>
          <w:bCs/>
          <w:color w:val="003880"/>
          <w:kern w:val="32"/>
          <w:sz w:val="28"/>
          <w:szCs w:val="28"/>
          <w:lang w:val="en-AU"/>
        </w:rPr>
        <w:lastRenderedPageBreak/>
        <w:t>Program Oversight</w:t>
      </w:r>
      <w:bookmarkEnd w:id="57"/>
      <w:bookmarkEnd w:id="58"/>
    </w:p>
    <w:bookmarkEnd w:id="59"/>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An introduction</w:t>
      </w:r>
    </w:p>
    <w:p w:rsidR="00D20962" w:rsidRPr="00D20962" w:rsidRDefault="00D20962" w:rsidP="00D20962">
      <w:pPr>
        <w:spacing w:before="120" w:after="120" w:line="276" w:lineRule="auto"/>
        <w:jc w:val="both"/>
        <w:rPr>
          <w:bCs/>
          <w:lang w:val="en-AU"/>
        </w:rPr>
      </w:pPr>
      <w:r w:rsidRPr="00D20962">
        <w:rPr>
          <w:bCs/>
          <w:lang w:val="en-AU"/>
        </w:rPr>
        <w:t xml:space="preserve">The EP is delivered through a blend of aid modalities, including earmarked budget support (C1, C2), project support (C3), and a financial </w:t>
      </w:r>
      <w:r w:rsidRPr="00D20962">
        <w:rPr>
          <w:lang w:val="en-AU"/>
        </w:rPr>
        <w:t>contribution</w:t>
      </w:r>
      <w:r w:rsidRPr="00D20962">
        <w:rPr>
          <w:bCs/>
          <w:lang w:val="en-AU"/>
        </w:rPr>
        <w:t xml:space="preserve"> as part of multi-donor support (C4). At a day-to-day level, the EP is managed by the Basic Education Unit of the Development Cooperation Section of the Jakarta Office of DFAT.</w:t>
      </w:r>
    </w:p>
    <w:p w:rsidR="00D20962" w:rsidRPr="00D20962" w:rsidRDefault="00D20962" w:rsidP="00D20962">
      <w:pPr>
        <w:spacing w:before="120" w:after="120" w:line="276" w:lineRule="auto"/>
        <w:jc w:val="both"/>
        <w:rPr>
          <w:bCs/>
          <w:lang w:val="en-AU"/>
        </w:rPr>
      </w:pPr>
      <w:r w:rsidRPr="00D20962">
        <w:rPr>
          <w:bCs/>
          <w:lang w:val="en-AU"/>
        </w:rPr>
        <w:t>An EP Governance Oversight Group (GOG) is mandated to meet at least once every six months. It is responsible for aligning the program with emerging sectoral priorities; monitoring performance against the targets set in the ESSP Joint Results Framework (JRF); facilitating GoI, DFAT and EU involvement and support for ESSP monitoring and evaluation processes; and, providing high level strategic responses to monitoring reports so as to guide program direction.</w:t>
      </w:r>
      <w:r w:rsidRPr="00D20962" w:rsidDel="009D6EEC">
        <w:rPr>
          <w:bCs/>
          <w:lang w:val="en-AU"/>
        </w:rPr>
        <w:t xml:space="preserve"> </w:t>
      </w:r>
    </w:p>
    <w:p w:rsidR="00D20962" w:rsidRPr="00D20962" w:rsidRDefault="00D20962" w:rsidP="00D20962">
      <w:pPr>
        <w:spacing w:before="120" w:after="120" w:line="276" w:lineRule="auto"/>
        <w:jc w:val="both"/>
        <w:rPr>
          <w:bCs/>
          <w:lang w:val="en-AU"/>
        </w:rPr>
      </w:pPr>
      <w:r w:rsidRPr="00D20962">
        <w:rPr>
          <w:bCs/>
          <w:lang w:val="en-AU"/>
        </w:rPr>
        <w:t>In addition to the GOG, four Technical Oversight Groups</w:t>
      </w:r>
      <w:r w:rsidRPr="00D20962">
        <w:rPr>
          <w:rFonts w:ascii="Times New Roman" w:hAnsi="Times New Roman"/>
          <w:bCs/>
          <w:vertAlign w:val="superscript"/>
          <w:lang w:val="en-AU"/>
        </w:rPr>
        <w:footnoteReference w:id="76"/>
      </w:r>
      <w:r w:rsidRPr="00D20962">
        <w:rPr>
          <w:bCs/>
          <w:lang w:val="en-AU"/>
        </w:rPr>
        <w:t xml:space="preserve"> (TOGs) have been established, one under each of the four EP components. They are responsible for approving workplans and procurement plans; the coordination and approval of major technical reports; and, ongoing management, monitoring and oversight of the delivery of the EP. The TOGs are scheduled to meet every three months.</w:t>
      </w:r>
    </w:p>
    <w:p w:rsidR="00D20962" w:rsidRPr="00D20962" w:rsidRDefault="00D20962" w:rsidP="00D20962">
      <w:pPr>
        <w:tabs>
          <w:tab w:val="num" w:pos="720"/>
        </w:tabs>
        <w:spacing w:before="120" w:after="120"/>
        <w:rPr>
          <w:bCs/>
          <w:lang w:val="en-AU"/>
        </w:rPr>
      </w:pPr>
    </w:p>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Context</w:t>
      </w:r>
    </w:p>
    <w:p w:rsidR="00D20962" w:rsidRPr="00D20962" w:rsidRDefault="00D20962" w:rsidP="00D20962">
      <w:pPr>
        <w:spacing w:before="120" w:after="120" w:line="276" w:lineRule="auto"/>
        <w:jc w:val="both"/>
        <w:rPr>
          <w:lang w:val="en-AU"/>
        </w:rPr>
      </w:pPr>
      <w:r w:rsidRPr="00D20962">
        <w:rPr>
          <w:lang w:val="en-AU"/>
        </w:rPr>
        <w:t xml:space="preserve">2014 has been a period of relative uncertainty and change for both institutional partners. From a national perspective, the third Indonesian presidential election was held in July 2014, with the General Elections Commission announcing a victory for Joko Widodo. He and his vice-president, Jusuf Kalla, were sworn in on 20 October 2014, for a five-year term. The presidential election was preceded by a general election held in April 2014 to renew the mandate of the national and regional legislatures. In Australia, a federal election was held in September 2013 in which the incumbent Labour Party government was defeated by the Liberal/National Coalition opposition. </w:t>
      </w:r>
    </w:p>
    <w:p w:rsidR="00D20962" w:rsidRPr="00D20962" w:rsidRDefault="00D20962" w:rsidP="00D20962">
      <w:pPr>
        <w:spacing w:before="120" w:after="120" w:line="276" w:lineRule="auto"/>
        <w:jc w:val="both"/>
        <w:rPr>
          <w:lang w:val="en-AU"/>
        </w:rPr>
      </w:pPr>
      <w:r w:rsidRPr="00D20962">
        <w:rPr>
          <w:lang w:val="en-AU"/>
        </w:rPr>
        <w:t xml:space="preserve">Whilst the ramifications of the political changes in Indonesia are only just starting to be felt, the change in Australian government at the end of </w:t>
      </w:r>
      <w:r w:rsidRPr="00D20962">
        <w:rPr>
          <w:bCs/>
          <w:lang w:val="en-AU"/>
        </w:rPr>
        <w:t>2013</w:t>
      </w:r>
      <w:r w:rsidRPr="00D20962">
        <w:rPr>
          <w:lang w:val="en-AU"/>
        </w:rPr>
        <w:t xml:space="preserve"> has already led to significant reorganisation and refocusing of international development assistance with the absorption of AusAID within the Department of Foreign Affairs and Trade. During 2014, a new development policy and a new performance framework were released, introducing key shifts in the aid program. The associated new strategic framework identified the purpose of the Australian aid program as “promoting Australia’s national interests by contributing to sustainable economic growth and poverty reduction”</w:t>
      </w:r>
      <w:r w:rsidRPr="00D20962">
        <w:rPr>
          <w:vertAlign w:val="superscript"/>
          <w:lang w:val="en-AU"/>
        </w:rPr>
        <w:endnoteReference w:id="94"/>
      </w:r>
      <w:r w:rsidRPr="00D20962">
        <w:rPr>
          <w:lang w:val="en-AU"/>
        </w:rPr>
        <w:t xml:space="preserve">. This requires a foundation of strong </w:t>
      </w:r>
      <w:r w:rsidRPr="00D20962">
        <w:rPr>
          <w:bCs/>
          <w:lang w:val="en-AU"/>
        </w:rPr>
        <w:t>human development and therefore improved education services re</w:t>
      </w:r>
      <w:r w:rsidRPr="00D20962">
        <w:rPr>
          <w:lang w:val="en-AU"/>
        </w:rPr>
        <w:t xml:space="preserve">mains essential to both building a skilled and competitive workforce and to lifting living standards. </w:t>
      </w:r>
    </w:p>
    <w:p w:rsidR="00D20962" w:rsidRPr="00D20962" w:rsidDel="005D07D5" w:rsidRDefault="00D20962" w:rsidP="00D20962">
      <w:pPr>
        <w:spacing w:before="120" w:after="120" w:line="276" w:lineRule="auto"/>
        <w:jc w:val="both"/>
        <w:rPr>
          <w:lang w:val="en-AU"/>
        </w:rPr>
      </w:pPr>
      <w:r w:rsidRPr="00D20962">
        <w:rPr>
          <w:lang w:val="en-AU"/>
        </w:rPr>
        <w:t>With respect to timeframe, the EP is around two-</w:t>
      </w:r>
      <w:r w:rsidRPr="00D20962">
        <w:rPr>
          <w:bCs/>
          <w:lang w:val="en-AU"/>
        </w:rPr>
        <w:t>thirds</w:t>
      </w:r>
      <w:r w:rsidRPr="00D20962">
        <w:rPr>
          <w:lang w:val="en-AU"/>
        </w:rPr>
        <w:t xml:space="preserve"> complete (40 months out of 60). DFAT is expecting or is considering requests for budget-neutral extensions to all components. Table 2</w:t>
      </w:r>
      <w:r w:rsidR="00F56EE4">
        <w:rPr>
          <w:lang w:val="en-AU"/>
        </w:rPr>
        <w:t>5</w:t>
      </w:r>
      <w:r w:rsidRPr="00D20962">
        <w:rPr>
          <w:lang w:val="en-AU"/>
        </w:rPr>
        <w:t xml:space="preserve"> </w:t>
      </w:r>
      <w:r w:rsidRPr="00D20962">
        <w:rPr>
          <w:lang w:val="en-AU"/>
        </w:rPr>
        <w:lastRenderedPageBreak/>
        <w:t xml:space="preserve">indicates that around 50% of the overall budget has been expensed, i.e. funds have left GoA accounts. </w:t>
      </w:r>
    </w:p>
    <w:p w:rsidR="00D20962" w:rsidRPr="00D20962" w:rsidRDefault="00D20962" w:rsidP="00D20962">
      <w:pPr>
        <w:keepNext/>
        <w:spacing w:before="120" w:after="120"/>
        <w:ind w:left="86" w:right="43"/>
        <w:jc w:val="center"/>
        <w:rPr>
          <w:rFonts w:eastAsiaTheme="minorEastAsia"/>
          <w:b/>
          <w:lang w:val="en-AU"/>
        </w:rPr>
      </w:pPr>
      <w:bookmarkStart w:id="60" w:name="_Toc412534597"/>
      <w:r w:rsidRPr="00D20962">
        <w:rPr>
          <w:b/>
          <w:lang w:val="en-GB"/>
        </w:rPr>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25</w:t>
      </w:r>
      <w:r w:rsidRPr="00D20962">
        <w:rPr>
          <w:b/>
          <w:lang w:val="en-GB"/>
        </w:rPr>
        <w:fldChar w:fldCharType="end"/>
      </w:r>
      <w:r w:rsidRPr="00D20962">
        <w:rPr>
          <w:rFonts w:eastAsiaTheme="minorEastAsia"/>
          <w:b/>
          <w:lang w:val="en-AU"/>
        </w:rPr>
        <w:t>: Education Partnership Expenditure (as at 10 November 2014)</w:t>
      </w:r>
      <w:bookmarkEnd w:id="60"/>
    </w:p>
    <w:tbl>
      <w:tblPr>
        <w:tblW w:w="7060" w:type="dxa"/>
        <w:jc w:val="center"/>
        <w:tblInd w:w="93" w:type="dxa"/>
        <w:tblLook w:val="04A0" w:firstRow="1" w:lastRow="0" w:firstColumn="1" w:lastColumn="0" w:noHBand="0" w:noVBand="1"/>
      </w:tblPr>
      <w:tblGrid>
        <w:gridCol w:w="1260"/>
        <w:gridCol w:w="2580"/>
        <w:gridCol w:w="2160"/>
        <w:gridCol w:w="1060"/>
      </w:tblGrid>
      <w:tr w:rsidR="00D20962" w:rsidRPr="00D20962" w:rsidTr="00D20962">
        <w:trPr>
          <w:trHeight w:val="580"/>
          <w:jc w:val="center"/>
        </w:trPr>
        <w:tc>
          <w:tcPr>
            <w:tcW w:w="1260"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rsidR="00D20962" w:rsidRPr="00D20962" w:rsidRDefault="00D20962" w:rsidP="00D20962">
            <w:pPr>
              <w:jc w:val="center"/>
              <w:rPr>
                <w:b/>
                <w:bCs/>
                <w:color w:val="FFFFFF" w:themeColor="background1"/>
                <w:lang w:val="en-AU"/>
              </w:rPr>
            </w:pPr>
            <w:r w:rsidRPr="00D20962">
              <w:rPr>
                <w:b/>
                <w:bCs/>
                <w:color w:val="FFFFFF" w:themeColor="background1"/>
                <w:lang w:val="en-AU"/>
              </w:rPr>
              <w:t>AUD (millions)</w:t>
            </w:r>
          </w:p>
        </w:tc>
        <w:tc>
          <w:tcPr>
            <w:tcW w:w="2580"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rsidR="00D20962" w:rsidRPr="00D20962" w:rsidRDefault="00D20962" w:rsidP="00D20962">
            <w:pPr>
              <w:jc w:val="center"/>
              <w:rPr>
                <w:b/>
                <w:bCs/>
                <w:color w:val="FFFFFF" w:themeColor="background1"/>
                <w:lang w:val="en-AU"/>
              </w:rPr>
            </w:pPr>
            <w:r w:rsidRPr="00D20962">
              <w:rPr>
                <w:b/>
                <w:bCs/>
                <w:color w:val="FFFFFF" w:themeColor="background1"/>
                <w:lang w:val="en-AU"/>
              </w:rPr>
              <w:t>Overall budget</w:t>
            </w:r>
          </w:p>
          <w:p w:rsidR="00D20962" w:rsidRPr="00D20962" w:rsidRDefault="00D20962" w:rsidP="00D20962">
            <w:pPr>
              <w:jc w:val="center"/>
              <w:rPr>
                <w:b/>
                <w:bCs/>
                <w:color w:val="FFFFFF" w:themeColor="background1"/>
                <w:lang w:val="en-AU"/>
              </w:rPr>
            </w:pPr>
            <w:r w:rsidRPr="00D20962">
              <w:rPr>
                <w:b/>
                <w:bCs/>
                <w:color w:val="FFFFFF" w:themeColor="background1"/>
                <w:lang w:val="en-AU"/>
              </w:rPr>
              <w:t>(June 2011 – June 2016)</w:t>
            </w:r>
          </w:p>
        </w:tc>
        <w:tc>
          <w:tcPr>
            <w:tcW w:w="2160"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rsidR="00D20962" w:rsidRPr="00D20962" w:rsidRDefault="00D20962" w:rsidP="00D20962">
            <w:pPr>
              <w:jc w:val="center"/>
              <w:rPr>
                <w:b/>
                <w:bCs/>
                <w:color w:val="FFFFFF" w:themeColor="background1"/>
                <w:lang w:val="en-AU"/>
              </w:rPr>
            </w:pPr>
            <w:r w:rsidRPr="00D20962">
              <w:rPr>
                <w:b/>
                <w:bCs/>
                <w:color w:val="FFFFFF" w:themeColor="background1"/>
                <w:lang w:val="en-AU"/>
              </w:rPr>
              <w:t xml:space="preserve">Current spend </w:t>
            </w:r>
          </w:p>
          <w:p w:rsidR="00D20962" w:rsidRPr="00D20962" w:rsidRDefault="00D20962" w:rsidP="00D20962">
            <w:pPr>
              <w:jc w:val="center"/>
              <w:rPr>
                <w:b/>
                <w:bCs/>
                <w:color w:val="FFFFFF" w:themeColor="background1"/>
                <w:lang w:val="en-AU"/>
              </w:rPr>
            </w:pPr>
            <w:r w:rsidRPr="00D20962">
              <w:rPr>
                <w:b/>
                <w:bCs/>
                <w:color w:val="FFFFFF" w:themeColor="background1"/>
                <w:lang w:val="en-AU"/>
              </w:rPr>
              <w:t>(as at 10/11/14)</w:t>
            </w:r>
          </w:p>
        </w:tc>
        <w:tc>
          <w:tcPr>
            <w:tcW w:w="1060" w:type="dxa"/>
            <w:tcBorders>
              <w:top w:val="single" w:sz="8" w:space="0" w:color="auto"/>
              <w:left w:val="nil"/>
              <w:bottom w:val="nil"/>
              <w:right w:val="single" w:sz="8" w:space="0" w:color="auto"/>
            </w:tcBorders>
            <w:shd w:val="clear" w:color="auto" w:fill="365F91" w:themeFill="accent1" w:themeFillShade="BF"/>
            <w:vAlign w:val="center"/>
            <w:hideMark/>
          </w:tcPr>
          <w:p w:rsidR="00D20962" w:rsidRPr="00D20962" w:rsidRDefault="00D20962" w:rsidP="00D20962">
            <w:pPr>
              <w:jc w:val="center"/>
              <w:rPr>
                <w:b/>
                <w:bCs/>
                <w:color w:val="FFFFFF" w:themeColor="background1"/>
                <w:lang w:val="en-AU"/>
              </w:rPr>
            </w:pPr>
            <w:r w:rsidRPr="00D20962">
              <w:rPr>
                <w:b/>
                <w:bCs/>
                <w:color w:val="FFFFFF" w:themeColor="background1"/>
                <w:lang w:val="en-AU"/>
              </w:rPr>
              <w:t xml:space="preserve">% spent </w:t>
            </w:r>
          </w:p>
        </w:tc>
      </w:tr>
      <w:tr w:rsidR="00D20962" w:rsidRPr="00D20962" w:rsidTr="00D20962">
        <w:trPr>
          <w:trHeight w:val="405"/>
          <w:jc w:val="center"/>
        </w:trPr>
        <w:tc>
          <w:tcPr>
            <w:tcW w:w="1260" w:type="dxa"/>
            <w:tcBorders>
              <w:top w:val="nil"/>
              <w:left w:val="single" w:sz="8" w:space="0" w:color="auto"/>
              <w:bottom w:val="single" w:sz="8" w:space="0" w:color="auto"/>
              <w:right w:val="single" w:sz="8" w:space="0" w:color="auto"/>
            </w:tcBorders>
            <w:shd w:val="clear" w:color="auto" w:fill="auto"/>
            <w:vAlign w:val="center"/>
            <w:hideMark/>
          </w:tcPr>
          <w:p w:rsidR="00D20962" w:rsidRPr="00D20962" w:rsidRDefault="00D20962" w:rsidP="00D20962">
            <w:pPr>
              <w:jc w:val="center"/>
              <w:rPr>
                <w:b/>
                <w:bCs/>
                <w:color w:val="000000"/>
                <w:lang w:val="en-AU"/>
              </w:rPr>
            </w:pPr>
            <w:r w:rsidRPr="00D20962">
              <w:rPr>
                <w:b/>
                <w:bCs/>
                <w:color w:val="000000"/>
                <w:lang w:val="en-AU"/>
              </w:rPr>
              <w:t>C1</w:t>
            </w:r>
          </w:p>
        </w:tc>
        <w:tc>
          <w:tcPr>
            <w:tcW w:w="258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color w:val="000000"/>
                <w:lang w:val="en-AU"/>
              </w:rPr>
            </w:pPr>
            <w:r w:rsidRPr="00D20962">
              <w:rPr>
                <w:color w:val="000000"/>
                <w:lang w:val="en-AU"/>
              </w:rPr>
              <w:t>$239,000,000</w:t>
            </w:r>
            <w:r w:rsidRPr="00D20962">
              <w:rPr>
                <w:rFonts w:ascii="Times New Roman" w:hAnsi="Times New Roman"/>
                <w:color w:val="000000"/>
                <w:vertAlign w:val="superscript"/>
                <w:lang w:val="en-AU"/>
              </w:rPr>
              <w:footnoteReference w:id="77"/>
            </w:r>
          </w:p>
        </w:tc>
        <w:tc>
          <w:tcPr>
            <w:tcW w:w="216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color w:val="000000"/>
                <w:lang w:val="en-AU"/>
              </w:rPr>
            </w:pPr>
            <w:r w:rsidRPr="00D20962">
              <w:rPr>
                <w:color w:val="000000"/>
                <w:lang w:val="en-AU"/>
              </w:rPr>
              <w:t>$134,799,695</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rsidR="00D20962" w:rsidRPr="00D20962" w:rsidRDefault="00D20962" w:rsidP="00D20962">
            <w:pPr>
              <w:jc w:val="right"/>
              <w:rPr>
                <w:color w:val="000000"/>
                <w:lang w:val="en-AU"/>
              </w:rPr>
            </w:pPr>
            <w:r w:rsidRPr="00D20962">
              <w:rPr>
                <w:color w:val="000000"/>
                <w:lang w:val="en-AU"/>
              </w:rPr>
              <w:t>56.40%</w:t>
            </w:r>
          </w:p>
        </w:tc>
      </w:tr>
      <w:tr w:rsidR="00D20962" w:rsidRPr="00D20962" w:rsidTr="00D20962">
        <w:trPr>
          <w:trHeight w:val="405"/>
          <w:jc w:val="center"/>
        </w:trPr>
        <w:tc>
          <w:tcPr>
            <w:tcW w:w="1260" w:type="dxa"/>
            <w:tcBorders>
              <w:top w:val="nil"/>
              <w:left w:val="single" w:sz="8" w:space="0" w:color="auto"/>
              <w:bottom w:val="single" w:sz="8" w:space="0" w:color="auto"/>
              <w:right w:val="single" w:sz="8" w:space="0" w:color="auto"/>
            </w:tcBorders>
            <w:shd w:val="clear" w:color="auto" w:fill="auto"/>
            <w:vAlign w:val="center"/>
            <w:hideMark/>
          </w:tcPr>
          <w:p w:rsidR="00D20962" w:rsidRPr="00D20962" w:rsidRDefault="00D20962" w:rsidP="00D20962">
            <w:pPr>
              <w:jc w:val="center"/>
              <w:rPr>
                <w:b/>
                <w:bCs/>
                <w:color w:val="000000"/>
                <w:lang w:val="en-AU"/>
              </w:rPr>
            </w:pPr>
            <w:r w:rsidRPr="00D20962">
              <w:rPr>
                <w:b/>
                <w:bCs/>
                <w:color w:val="000000"/>
                <w:lang w:val="en-AU"/>
              </w:rPr>
              <w:t>C2</w:t>
            </w:r>
          </w:p>
        </w:tc>
        <w:tc>
          <w:tcPr>
            <w:tcW w:w="258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color w:val="000000"/>
                <w:lang w:val="en-AU"/>
              </w:rPr>
            </w:pPr>
            <w:r w:rsidRPr="00D20962">
              <w:rPr>
                <w:color w:val="000000"/>
                <w:lang w:val="en-AU"/>
              </w:rPr>
              <w:t>$179,726,512</w:t>
            </w:r>
          </w:p>
        </w:tc>
        <w:tc>
          <w:tcPr>
            <w:tcW w:w="216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color w:val="000000"/>
                <w:lang w:val="en-AU"/>
              </w:rPr>
            </w:pPr>
            <w:r w:rsidRPr="00D20962">
              <w:rPr>
                <w:color w:val="000000"/>
                <w:lang w:val="en-AU"/>
              </w:rPr>
              <w:t>$77,583,308</w:t>
            </w:r>
          </w:p>
        </w:tc>
        <w:tc>
          <w:tcPr>
            <w:tcW w:w="1060" w:type="dxa"/>
            <w:tcBorders>
              <w:top w:val="nil"/>
              <w:left w:val="nil"/>
              <w:bottom w:val="single" w:sz="8" w:space="0" w:color="auto"/>
              <w:right w:val="single" w:sz="8" w:space="0" w:color="auto"/>
            </w:tcBorders>
            <w:shd w:val="clear" w:color="auto" w:fill="auto"/>
            <w:noWrap/>
            <w:vAlign w:val="center"/>
            <w:hideMark/>
          </w:tcPr>
          <w:p w:rsidR="00D20962" w:rsidRPr="00D20962" w:rsidRDefault="00D20962" w:rsidP="00D20962">
            <w:pPr>
              <w:jc w:val="right"/>
              <w:rPr>
                <w:color w:val="000000"/>
                <w:lang w:val="en-AU"/>
              </w:rPr>
            </w:pPr>
            <w:r w:rsidRPr="00D20962">
              <w:rPr>
                <w:color w:val="000000"/>
                <w:lang w:val="en-AU"/>
              </w:rPr>
              <w:t>43.17%</w:t>
            </w:r>
          </w:p>
        </w:tc>
      </w:tr>
      <w:tr w:rsidR="00D20962" w:rsidRPr="00D20962" w:rsidTr="00D20962">
        <w:trPr>
          <w:trHeight w:val="405"/>
          <w:jc w:val="center"/>
        </w:trPr>
        <w:tc>
          <w:tcPr>
            <w:tcW w:w="1260" w:type="dxa"/>
            <w:tcBorders>
              <w:top w:val="nil"/>
              <w:left w:val="single" w:sz="8" w:space="0" w:color="auto"/>
              <w:bottom w:val="single" w:sz="8" w:space="0" w:color="auto"/>
              <w:right w:val="single" w:sz="8" w:space="0" w:color="auto"/>
            </w:tcBorders>
            <w:shd w:val="clear" w:color="auto" w:fill="auto"/>
            <w:vAlign w:val="center"/>
            <w:hideMark/>
          </w:tcPr>
          <w:p w:rsidR="00D20962" w:rsidRPr="00D20962" w:rsidRDefault="00D20962" w:rsidP="00D20962">
            <w:pPr>
              <w:jc w:val="center"/>
              <w:rPr>
                <w:b/>
                <w:bCs/>
                <w:color w:val="000000"/>
                <w:lang w:val="en-AU"/>
              </w:rPr>
            </w:pPr>
            <w:r w:rsidRPr="00D20962">
              <w:rPr>
                <w:b/>
                <w:bCs/>
                <w:color w:val="000000"/>
                <w:lang w:val="en-AU"/>
              </w:rPr>
              <w:t>C3</w:t>
            </w:r>
          </w:p>
        </w:tc>
        <w:tc>
          <w:tcPr>
            <w:tcW w:w="258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color w:val="000000"/>
                <w:lang w:val="en-AU"/>
              </w:rPr>
            </w:pPr>
            <w:r w:rsidRPr="00D20962">
              <w:rPr>
                <w:color w:val="000000"/>
                <w:lang w:val="en-AU"/>
              </w:rPr>
              <w:t>$48,426,296</w:t>
            </w:r>
          </w:p>
        </w:tc>
        <w:tc>
          <w:tcPr>
            <w:tcW w:w="216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color w:val="000000"/>
                <w:lang w:val="en-AU"/>
              </w:rPr>
            </w:pPr>
            <w:r w:rsidRPr="00D20962">
              <w:rPr>
                <w:color w:val="000000"/>
                <w:lang w:val="en-AU"/>
              </w:rPr>
              <w:t>$26,779,781</w:t>
            </w:r>
          </w:p>
        </w:tc>
        <w:tc>
          <w:tcPr>
            <w:tcW w:w="1060" w:type="dxa"/>
            <w:tcBorders>
              <w:top w:val="nil"/>
              <w:left w:val="nil"/>
              <w:bottom w:val="single" w:sz="8" w:space="0" w:color="auto"/>
              <w:right w:val="single" w:sz="8" w:space="0" w:color="auto"/>
            </w:tcBorders>
            <w:shd w:val="clear" w:color="auto" w:fill="auto"/>
            <w:noWrap/>
            <w:vAlign w:val="center"/>
            <w:hideMark/>
          </w:tcPr>
          <w:p w:rsidR="00D20962" w:rsidRPr="00D20962" w:rsidRDefault="00D20962" w:rsidP="00D20962">
            <w:pPr>
              <w:jc w:val="right"/>
              <w:rPr>
                <w:color w:val="000000"/>
                <w:lang w:val="en-AU"/>
              </w:rPr>
            </w:pPr>
            <w:r w:rsidRPr="00D20962">
              <w:rPr>
                <w:color w:val="000000"/>
                <w:lang w:val="en-AU"/>
              </w:rPr>
              <w:t>55.30%</w:t>
            </w:r>
          </w:p>
        </w:tc>
      </w:tr>
      <w:tr w:rsidR="00D20962" w:rsidRPr="00D20962" w:rsidTr="00D20962">
        <w:trPr>
          <w:trHeight w:val="405"/>
          <w:jc w:val="center"/>
        </w:trPr>
        <w:tc>
          <w:tcPr>
            <w:tcW w:w="1260" w:type="dxa"/>
            <w:tcBorders>
              <w:top w:val="nil"/>
              <w:left w:val="single" w:sz="8" w:space="0" w:color="auto"/>
              <w:bottom w:val="single" w:sz="8" w:space="0" w:color="auto"/>
              <w:right w:val="single" w:sz="8" w:space="0" w:color="auto"/>
            </w:tcBorders>
            <w:shd w:val="clear" w:color="auto" w:fill="auto"/>
            <w:vAlign w:val="center"/>
            <w:hideMark/>
          </w:tcPr>
          <w:p w:rsidR="00D20962" w:rsidRPr="00D20962" w:rsidRDefault="00D20962" w:rsidP="00D20962">
            <w:pPr>
              <w:jc w:val="center"/>
              <w:rPr>
                <w:b/>
                <w:bCs/>
                <w:color w:val="000000"/>
                <w:lang w:val="en-AU"/>
              </w:rPr>
            </w:pPr>
            <w:r w:rsidRPr="00D20962">
              <w:rPr>
                <w:b/>
                <w:bCs/>
                <w:color w:val="000000"/>
                <w:lang w:val="en-AU"/>
              </w:rPr>
              <w:t>C4</w:t>
            </w:r>
          </w:p>
        </w:tc>
        <w:tc>
          <w:tcPr>
            <w:tcW w:w="258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color w:val="000000"/>
                <w:lang w:val="en-AU"/>
              </w:rPr>
            </w:pPr>
            <w:r w:rsidRPr="00D20962">
              <w:rPr>
                <w:color w:val="000000"/>
                <w:lang w:val="en-AU"/>
              </w:rPr>
              <w:t>$25,000,000</w:t>
            </w:r>
          </w:p>
        </w:tc>
        <w:tc>
          <w:tcPr>
            <w:tcW w:w="216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color w:val="000000"/>
                <w:lang w:val="en-AU"/>
              </w:rPr>
            </w:pPr>
            <w:r w:rsidRPr="00D20962">
              <w:rPr>
                <w:color w:val="000000"/>
                <w:lang w:val="en-AU"/>
              </w:rPr>
              <w:t>$20,000,000</w:t>
            </w:r>
          </w:p>
        </w:tc>
        <w:tc>
          <w:tcPr>
            <w:tcW w:w="1060" w:type="dxa"/>
            <w:tcBorders>
              <w:top w:val="nil"/>
              <w:left w:val="nil"/>
              <w:bottom w:val="single" w:sz="8" w:space="0" w:color="auto"/>
              <w:right w:val="single" w:sz="8" w:space="0" w:color="auto"/>
            </w:tcBorders>
            <w:shd w:val="clear" w:color="auto" w:fill="auto"/>
            <w:noWrap/>
            <w:vAlign w:val="center"/>
            <w:hideMark/>
          </w:tcPr>
          <w:p w:rsidR="00D20962" w:rsidRPr="00D20962" w:rsidRDefault="00D20962" w:rsidP="00D20962">
            <w:pPr>
              <w:jc w:val="right"/>
              <w:rPr>
                <w:color w:val="000000"/>
                <w:lang w:val="en-AU"/>
              </w:rPr>
            </w:pPr>
            <w:r w:rsidRPr="00D20962">
              <w:rPr>
                <w:color w:val="000000"/>
                <w:lang w:val="en-AU"/>
              </w:rPr>
              <w:t>80.00%</w:t>
            </w:r>
          </w:p>
        </w:tc>
      </w:tr>
      <w:tr w:rsidR="00D20962" w:rsidRPr="00D20962" w:rsidTr="00D20962">
        <w:trPr>
          <w:trHeight w:val="405"/>
          <w:jc w:val="center"/>
        </w:trPr>
        <w:tc>
          <w:tcPr>
            <w:tcW w:w="1260" w:type="dxa"/>
            <w:tcBorders>
              <w:top w:val="nil"/>
              <w:left w:val="single" w:sz="8" w:space="0" w:color="auto"/>
              <w:bottom w:val="single" w:sz="8" w:space="0" w:color="auto"/>
              <w:right w:val="single" w:sz="8" w:space="0" w:color="auto"/>
            </w:tcBorders>
            <w:shd w:val="clear" w:color="auto" w:fill="auto"/>
            <w:vAlign w:val="center"/>
          </w:tcPr>
          <w:p w:rsidR="00D20962" w:rsidRPr="00D20962" w:rsidRDefault="00D20962" w:rsidP="00D20962">
            <w:pPr>
              <w:jc w:val="center"/>
              <w:rPr>
                <w:b/>
                <w:bCs/>
                <w:color w:val="000000"/>
                <w:lang w:val="en-AU"/>
              </w:rPr>
            </w:pPr>
            <w:r w:rsidRPr="00D20962">
              <w:rPr>
                <w:b/>
                <w:bCs/>
                <w:color w:val="000000"/>
                <w:lang w:val="en-AU"/>
              </w:rPr>
              <w:t>Support</w:t>
            </w:r>
          </w:p>
        </w:tc>
        <w:tc>
          <w:tcPr>
            <w:tcW w:w="2580" w:type="dxa"/>
            <w:tcBorders>
              <w:top w:val="nil"/>
              <w:left w:val="nil"/>
              <w:bottom w:val="single" w:sz="8" w:space="0" w:color="auto"/>
              <w:right w:val="single" w:sz="8" w:space="0" w:color="auto"/>
            </w:tcBorders>
            <w:shd w:val="clear" w:color="auto" w:fill="auto"/>
            <w:vAlign w:val="center"/>
          </w:tcPr>
          <w:p w:rsidR="00D20962" w:rsidRPr="00D20962" w:rsidRDefault="00D20962" w:rsidP="00D20962">
            <w:pPr>
              <w:jc w:val="right"/>
              <w:rPr>
                <w:color w:val="000000"/>
                <w:lang w:val="en-AU"/>
              </w:rPr>
            </w:pPr>
            <w:r w:rsidRPr="00D20962">
              <w:rPr>
                <w:color w:val="000000"/>
                <w:lang w:val="en-AU"/>
              </w:rPr>
              <w:t>$31,847,192</w:t>
            </w:r>
          </w:p>
        </w:tc>
        <w:tc>
          <w:tcPr>
            <w:tcW w:w="2160" w:type="dxa"/>
            <w:tcBorders>
              <w:top w:val="nil"/>
              <w:left w:val="nil"/>
              <w:bottom w:val="single" w:sz="8" w:space="0" w:color="auto"/>
              <w:right w:val="single" w:sz="8" w:space="0" w:color="auto"/>
            </w:tcBorders>
            <w:shd w:val="clear" w:color="auto" w:fill="auto"/>
            <w:vAlign w:val="center"/>
          </w:tcPr>
          <w:p w:rsidR="00D20962" w:rsidRPr="00D20962" w:rsidRDefault="00D20962" w:rsidP="00D20962">
            <w:pPr>
              <w:jc w:val="right"/>
              <w:rPr>
                <w:color w:val="000000"/>
                <w:lang w:val="en-AU"/>
              </w:rPr>
            </w:pPr>
            <w:r w:rsidRPr="00D20962">
              <w:rPr>
                <w:color w:val="000000"/>
                <w:lang w:val="en-AU"/>
              </w:rPr>
              <w:t>12,394,956</w:t>
            </w:r>
          </w:p>
        </w:tc>
        <w:tc>
          <w:tcPr>
            <w:tcW w:w="1060" w:type="dxa"/>
            <w:tcBorders>
              <w:top w:val="nil"/>
              <w:left w:val="nil"/>
              <w:bottom w:val="single" w:sz="8" w:space="0" w:color="auto"/>
              <w:right w:val="single" w:sz="8" w:space="0" w:color="auto"/>
            </w:tcBorders>
            <w:shd w:val="clear" w:color="auto" w:fill="auto"/>
            <w:noWrap/>
            <w:vAlign w:val="center"/>
          </w:tcPr>
          <w:p w:rsidR="00D20962" w:rsidRPr="00D20962" w:rsidRDefault="00D20962" w:rsidP="00D20962">
            <w:pPr>
              <w:jc w:val="right"/>
              <w:rPr>
                <w:color w:val="000000"/>
                <w:lang w:val="en-AU"/>
              </w:rPr>
            </w:pPr>
            <w:r w:rsidRPr="00D20962">
              <w:rPr>
                <w:color w:val="000000"/>
                <w:lang w:val="en-AU"/>
              </w:rPr>
              <w:t>38.92%</w:t>
            </w:r>
          </w:p>
        </w:tc>
      </w:tr>
      <w:tr w:rsidR="00D20962" w:rsidRPr="00D20962" w:rsidTr="00D20962">
        <w:trPr>
          <w:trHeight w:val="405"/>
          <w:jc w:val="center"/>
        </w:trPr>
        <w:tc>
          <w:tcPr>
            <w:tcW w:w="1260" w:type="dxa"/>
            <w:tcBorders>
              <w:top w:val="nil"/>
              <w:left w:val="single" w:sz="8" w:space="0" w:color="auto"/>
              <w:bottom w:val="single" w:sz="8" w:space="0" w:color="auto"/>
              <w:right w:val="single" w:sz="8" w:space="0" w:color="auto"/>
            </w:tcBorders>
            <w:shd w:val="clear" w:color="auto" w:fill="auto"/>
            <w:vAlign w:val="center"/>
            <w:hideMark/>
          </w:tcPr>
          <w:p w:rsidR="00D20962" w:rsidRPr="00D20962" w:rsidRDefault="00D20962" w:rsidP="00D20962">
            <w:pPr>
              <w:jc w:val="center"/>
              <w:rPr>
                <w:b/>
                <w:bCs/>
                <w:color w:val="000000"/>
                <w:lang w:val="en-AU"/>
              </w:rPr>
            </w:pPr>
            <w:r w:rsidRPr="00D20962">
              <w:rPr>
                <w:b/>
                <w:bCs/>
                <w:color w:val="000000"/>
                <w:lang w:val="en-AU"/>
              </w:rPr>
              <w:t>Total</w:t>
            </w:r>
          </w:p>
        </w:tc>
        <w:tc>
          <w:tcPr>
            <w:tcW w:w="258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b/>
                <w:bCs/>
                <w:color w:val="000000"/>
                <w:lang w:val="en-AU"/>
              </w:rPr>
            </w:pPr>
            <w:r w:rsidRPr="00D20962">
              <w:rPr>
                <w:b/>
                <w:bCs/>
                <w:color w:val="000000"/>
                <w:lang w:val="en-AU"/>
              </w:rPr>
              <w:t>$524,000,000</w:t>
            </w:r>
          </w:p>
        </w:tc>
        <w:tc>
          <w:tcPr>
            <w:tcW w:w="2160" w:type="dxa"/>
            <w:tcBorders>
              <w:top w:val="nil"/>
              <w:left w:val="nil"/>
              <w:bottom w:val="single" w:sz="8" w:space="0" w:color="auto"/>
              <w:right w:val="single" w:sz="8" w:space="0" w:color="auto"/>
            </w:tcBorders>
            <w:shd w:val="clear" w:color="auto" w:fill="auto"/>
            <w:vAlign w:val="center"/>
            <w:hideMark/>
          </w:tcPr>
          <w:p w:rsidR="00D20962" w:rsidRPr="00D20962" w:rsidRDefault="00D20962" w:rsidP="00D20962">
            <w:pPr>
              <w:jc w:val="right"/>
              <w:rPr>
                <w:b/>
                <w:bCs/>
                <w:color w:val="000000"/>
                <w:lang w:val="en-AU"/>
              </w:rPr>
            </w:pPr>
            <w:r w:rsidRPr="00D20962">
              <w:rPr>
                <w:b/>
                <w:bCs/>
                <w:color w:val="000000"/>
                <w:lang w:val="en-AU"/>
              </w:rPr>
              <w:t>$271,557,739</w:t>
            </w:r>
          </w:p>
        </w:tc>
        <w:tc>
          <w:tcPr>
            <w:tcW w:w="1060" w:type="dxa"/>
            <w:tcBorders>
              <w:top w:val="nil"/>
              <w:left w:val="nil"/>
              <w:bottom w:val="single" w:sz="8" w:space="0" w:color="auto"/>
              <w:right w:val="single" w:sz="8" w:space="0" w:color="auto"/>
            </w:tcBorders>
            <w:shd w:val="clear" w:color="auto" w:fill="auto"/>
            <w:noWrap/>
            <w:vAlign w:val="center"/>
            <w:hideMark/>
          </w:tcPr>
          <w:p w:rsidR="00D20962" w:rsidRPr="00D20962" w:rsidRDefault="00D20962" w:rsidP="00D20962">
            <w:pPr>
              <w:jc w:val="right"/>
              <w:rPr>
                <w:b/>
                <w:bCs/>
                <w:color w:val="000000"/>
                <w:lang w:val="en-AU"/>
              </w:rPr>
            </w:pPr>
            <w:r w:rsidRPr="00D20962">
              <w:rPr>
                <w:b/>
                <w:bCs/>
                <w:color w:val="000000"/>
                <w:lang w:val="en-AU"/>
              </w:rPr>
              <w:t>51.82%</w:t>
            </w:r>
          </w:p>
        </w:tc>
      </w:tr>
    </w:tbl>
    <w:p w:rsidR="00D20962" w:rsidRPr="00D20962" w:rsidRDefault="00D20962" w:rsidP="00D20962">
      <w:pPr>
        <w:spacing w:before="120" w:after="120"/>
        <w:jc w:val="center"/>
        <w:outlineLvl w:val="1"/>
        <w:rPr>
          <w:bCs/>
          <w:sz w:val="20"/>
          <w:szCs w:val="20"/>
          <w:lang w:val="en-AU"/>
        </w:rPr>
      </w:pPr>
      <w:r w:rsidRPr="00D20962">
        <w:rPr>
          <w:bCs/>
          <w:sz w:val="20"/>
          <w:szCs w:val="20"/>
          <w:lang w:val="en-AU"/>
        </w:rPr>
        <w:t xml:space="preserve">Source: </w:t>
      </w:r>
      <w:r w:rsidR="00A33B71">
        <w:rPr>
          <w:bCs/>
          <w:sz w:val="20"/>
          <w:szCs w:val="20"/>
          <w:lang w:val="en-AU"/>
        </w:rPr>
        <w:t>DFAT</w:t>
      </w:r>
    </w:p>
    <w:p w:rsidR="00D20962" w:rsidRPr="00D20962" w:rsidRDefault="00D20962" w:rsidP="00D20962">
      <w:pPr>
        <w:jc w:val="center"/>
        <w:rPr>
          <w:i/>
          <w:sz w:val="18"/>
          <w:szCs w:val="18"/>
          <w:lang w:val="en-AU"/>
        </w:rPr>
      </w:pPr>
    </w:p>
    <w:p w:rsidR="00D20962" w:rsidRPr="00D20962" w:rsidRDefault="00D20962" w:rsidP="00D20962">
      <w:pPr>
        <w:spacing w:before="120" w:after="120" w:line="276" w:lineRule="auto"/>
        <w:jc w:val="both"/>
        <w:rPr>
          <w:lang w:val="en-AU"/>
        </w:rPr>
      </w:pPr>
      <w:r w:rsidRPr="00D20962">
        <w:rPr>
          <w:lang w:val="en-AU"/>
        </w:rPr>
        <w:t xml:space="preserve">The Education Partnership now finds itself part of an evolving DFAT aid investment portfolio that will be articulated in the upcoming country Aid </w:t>
      </w:r>
      <w:r w:rsidRPr="00D20962">
        <w:rPr>
          <w:bCs/>
          <w:lang w:val="en-AU"/>
        </w:rPr>
        <w:t>Investment</w:t>
      </w:r>
      <w:r w:rsidRPr="00D20962">
        <w:rPr>
          <w:lang w:val="en-AU"/>
        </w:rPr>
        <w:t xml:space="preserve"> Plan (AIP) for Indonesia. The external relevance of each specific component has been discussed in earlier sections of this report, but it seems that the place of the Education Partnership as a flagship program within Australia’s development portfolio in Indonesia will depend upon how the investment resonates with the objectives of the new AIP. The EP’s focus on education quality (through Component 2 and Component 3) is likely to remain relevant to DFAT objectives as will the higher-level focus of Component 4 on improved sector governance. However, given GoI’s achievements in the area of access and its own transition to a focus on quality, support to GoI‘s access agenda is of less relevance to GoA and, as such, is unlikely to be a focus of the AIP. </w:t>
      </w:r>
    </w:p>
    <w:p w:rsidR="00D20962" w:rsidRPr="00D20962" w:rsidRDefault="00D20962" w:rsidP="00D20962">
      <w:pPr>
        <w:spacing w:before="120" w:after="120" w:line="276" w:lineRule="auto"/>
        <w:jc w:val="both"/>
        <w:rPr>
          <w:lang w:val="en-AU"/>
        </w:rPr>
      </w:pPr>
      <w:r w:rsidRPr="00D20962">
        <w:rPr>
          <w:lang w:val="en-AU"/>
        </w:rPr>
        <w:t xml:space="preserve">In summary, it is evident that the next phase of DFAT aid investments will be aligned with both Australia’s and Indonesia’s evolving development </w:t>
      </w:r>
      <w:r w:rsidRPr="00D20962">
        <w:rPr>
          <w:bCs/>
          <w:lang w:val="en-AU"/>
        </w:rPr>
        <w:t>agenda</w:t>
      </w:r>
      <w:r w:rsidRPr="00D20962">
        <w:rPr>
          <w:lang w:val="en-AU"/>
        </w:rPr>
        <w:t>. As such, it is possible that the EP (or specific investments therein) could find itself being relatively marginalised. POM considers this would represent a missed opportunity. With at least 20 months remaining – over 30 months if extensions are granted - t</w:t>
      </w:r>
      <w:r w:rsidRPr="00D20962" w:rsidDel="005D07D5">
        <w:rPr>
          <w:lang w:val="en-AU"/>
        </w:rPr>
        <w:t>here is considerable time left on the program</w:t>
      </w:r>
      <w:r w:rsidRPr="00D20962">
        <w:rPr>
          <w:lang w:val="en-AU"/>
        </w:rPr>
        <w:t xml:space="preserve"> to optimise EP results. Furthermore, with about</w:t>
      </w:r>
      <w:r w:rsidRPr="00D20962" w:rsidDel="005D07D5">
        <w:rPr>
          <w:lang w:val="en-AU"/>
        </w:rPr>
        <w:t xml:space="preserve"> AUD 250m to be committed over the remaining period of the program</w:t>
      </w:r>
      <w:r w:rsidRPr="00D20962">
        <w:rPr>
          <w:lang w:val="en-AU"/>
        </w:rPr>
        <w:t xml:space="preserve">, there remains opportunity for partners to invest wisely. The foundations have been laid. The challenge now is to ensure the continued relevance of the EP to the evolving development agendas of both countries, to </w:t>
      </w:r>
      <w:r w:rsidRPr="00D20962" w:rsidDel="005D07D5">
        <w:rPr>
          <w:lang w:val="en-AU"/>
        </w:rPr>
        <w:t>maximize the</w:t>
      </w:r>
      <w:r w:rsidRPr="00D20962">
        <w:rPr>
          <w:lang w:val="en-AU"/>
        </w:rPr>
        <w:t xml:space="preserve"> developmental return on the investment being made and to capture and learn lessons for future programming.</w:t>
      </w:r>
      <w:r w:rsidRPr="00D20962" w:rsidDel="005D07D5">
        <w:rPr>
          <w:lang w:val="en-AU"/>
        </w:rPr>
        <w:t xml:space="preserve"> </w:t>
      </w:r>
    </w:p>
    <w:p w:rsidR="00D20962" w:rsidRPr="00D20962" w:rsidRDefault="00D20962" w:rsidP="00D20962">
      <w:pPr>
        <w:keepNext/>
        <w:numPr>
          <w:ilvl w:val="1"/>
          <w:numId w:val="7"/>
        </w:numPr>
        <w:spacing w:before="120" w:after="120"/>
        <w:ind w:hanging="720"/>
        <w:outlineLvl w:val="1"/>
        <w:rPr>
          <w:b/>
          <w:bCs/>
          <w:iCs/>
          <w:color w:val="003880"/>
          <w:sz w:val="24"/>
          <w:szCs w:val="24"/>
          <w:lang w:val="en-AU"/>
        </w:rPr>
      </w:pPr>
      <w:r w:rsidRPr="00D20962">
        <w:rPr>
          <w:b/>
          <w:bCs/>
          <w:iCs/>
          <w:color w:val="003880"/>
          <w:sz w:val="24"/>
          <w:szCs w:val="24"/>
          <w:lang w:val="en-AU"/>
        </w:rPr>
        <w:t>Analysis</w:t>
      </w:r>
    </w:p>
    <w:p w:rsidR="00D20962" w:rsidRPr="00D20962" w:rsidRDefault="00D20962" w:rsidP="00D20962">
      <w:pPr>
        <w:keepNext/>
        <w:numPr>
          <w:ilvl w:val="2"/>
          <w:numId w:val="7"/>
        </w:numPr>
        <w:spacing w:before="120" w:after="120"/>
        <w:ind w:left="709" w:hanging="709"/>
        <w:outlineLvl w:val="2"/>
        <w:rPr>
          <w:bCs/>
          <w:color w:val="003880"/>
          <w:sz w:val="24"/>
          <w:szCs w:val="28"/>
          <w:lang w:val="en-AU"/>
        </w:rPr>
      </w:pPr>
      <w:r w:rsidRPr="00D20962">
        <w:rPr>
          <w:bCs/>
          <w:color w:val="003880"/>
          <w:sz w:val="24"/>
          <w:szCs w:val="28"/>
          <w:lang w:val="en-AU"/>
        </w:rPr>
        <w:t xml:space="preserve">Program delivery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lang w:val="en-AU"/>
        </w:rPr>
        <w:t xml:space="preserve">POM has previously acknowledged the range of delivery arrangements within the EP and has argued that </w:t>
      </w:r>
      <w:r w:rsidRPr="00D20962">
        <w:rPr>
          <w:rFonts w:asciiTheme="minorHAnsi" w:hAnsiTheme="minorHAnsi" w:cstheme="minorHAnsi"/>
          <w:lang w:val="en-AU"/>
        </w:rPr>
        <w:t xml:space="preserve">they were ‘appropriate for purpose’. POM continues to believe that the modalities offer good </w:t>
      </w:r>
      <w:r w:rsidRPr="00D20962">
        <w:rPr>
          <w:rFonts w:asciiTheme="minorHAnsi" w:hAnsiTheme="minorHAnsi" w:cstheme="minorHAnsi"/>
          <w:lang w:val="en-AU"/>
        </w:rPr>
        <w:lastRenderedPageBreak/>
        <w:t xml:space="preserve">opportunity to pilot and trial initiatives through </w:t>
      </w:r>
      <w:r w:rsidRPr="00D20962">
        <w:rPr>
          <w:bCs/>
          <w:lang w:val="en-AU"/>
        </w:rPr>
        <w:t>project</w:t>
      </w:r>
      <w:r w:rsidRPr="00D20962">
        <w:rPr>
          <w:rFonts w:asciiTheme="minorHAnsi" w:hAnsiTheme="minorHAnsi" w:cstheme="minorHAnsi"/>
          <w:lang w:val="en-AU"/>
        </w:rPr>
        <w:t xml:space="preserve"> support and to build capacity through systems development, whilst instilling and supporting GoI ownership. That should, in principle, increase the likelihood of long-term impact and sustainability, whilst also guaranteeing delivery of outputs. </w:t>
      </w:r>
    </w:p>
    <w:p w:rsidR="00D20962" w:rsidRPr="00D20962" w:rsidRDefault="00D20962" w:rsidP="00D20962">
      <w:pPr>
        <w:spacing w:before="120" w:after="120" w:line="276" w:lineRule="auto"/>
        <w:jc w:val="both"/>
        <w:rPr>
          <w:lang w:val="en-AU"/>
        </w:rPr>
      </w:pPr>
      <w:r w:rsidRPr="00D20962">
        <w:rPr>
          <w:lang w:val="en-AU"/>
        </w:rPr>
        <w:t>Insights garnered over more than three years of implementation would suggest that the prospects for facilitating sustainable, systemic change are more prevalent where the investment is not only designed to deliver such change but also where it works in partnership with and through partner (government) systems</w:t>
      </w:r>
      <w:r w:rsidRPr="00D20962">
        <w:rPr>
          <w:rFonts w:ascii="Times New Roman" w:hAnsi="Times New Roman"/>
          <w:vertAlign w:val="superscript"/>
          <w:lang w:val="en-AU"/>
        </w:rPr>
        <w:footnoteReference w:id="78"/>
      </w:r>
      <w:r w:rsidRPr="00D20962">
        <w:rPr>
          <w:lang w:val="en-AU"/>
        </w:rPr>
        <w:t xml:space="preserve">. Whilst Component 1 and </w:t>
      </w:r>
      <w:r w:rsidRPr="00D20962">
        <w:rPr>
          <w:bCs/>
          <w:lang w:val="en-AU"/>
        </w:rPr>
        <w:t>Component</w:t>
      </w:r>
      <w:r w:rsidRPr="00D20962">
        <w:rPr>
          <w:lang w:val="en-AU"/>
        </w:rPr>
        <w:t xml:space="preserve"> 2 are at very different stages of maturity, they both display positive signs of national ownership and good prospects for delivering sustained benefits over the long-term. </w:t>
      </w:r>
    </w:p>
    <w:p w:rsidR="00D20962" w:rsidRPr="00D20962" w:rsidRDefault="00D20962" w:rsidP="00D20962">
      <w:pPr>
        <w:spacing w:before="120" w:after="120" w:line="276" w:lineRule="auto"/>
        <w:jc w:val="both"/>
        <w:rPr>
          <w:lang w:val="en-AU"/>
        </w:rPr>
      </w:pPr>
      <w:r w:rsidRPr="00D20962">
        <w:rPr>
          <w:lang w:val="en-AU"/>
        </w:rPr>
        <w:t xml:space="preserve">Conversely, experience would suggest that opportunities to secure systemic change and longer-term results are often harder to exploit when implementing </w:t>
      </w:r>
      <w:r w:rsidRPr="00D20962">
        <w:rPr>
          <w:bCs/>
          <w:lang w:val="en-AU"/>
        </w:rPr>
        <w:t>partners</w:t>
      </w:r>
      <w:r w:rsidRPr="00D20962">
        <w:rPr>
          <w:lang w:val="en-AU"/>
        </w:rPr>
        <w:t xml:space="preserve"> are external to government structures and/or where they are regarded by key stakeholders as being fixed-term “projects”. Although this modality can offer quick, short-term gains, they appear to offer fewer opportunities for institutional sustainability. Components 3 and 4 are cases in point. Both operate in a “projectised” arrangement and both have realized demonstrable results but neither was originally designed to deliver systemic change or institutional sustainability</w:t>
      </w:r>
    </w:p>
    <w:p w:rsidR="00D20962" w:rsidRPr="00D20962" w:rsidRDefault="00D20962" w:rsidP="00D20962">
      <w:pPr>
        <w:spacing w:before="120" w:after="120" w:line="276" w:lineRule="auto"/>
        <w:jc w:val="both"/>
        <w:rPr>
          <w:lang w:val="en-AU"/>
        </w:rPr>
      </w:pPr>
      <w:r w:rsidRPr="00D20962">
        <w:rPr>
          <w:lang w:val="en-AU"/>
        </w:rPr>
        <w:t xml:space="preserve">Component 3 is now taking up the challenge and is </w:t>
      </w:r>
      <w:r w:rsidRPr="00D20962">
        <w:rPr>
          <w:bCs/>
          <w:lang w:val="en-AU"/>
        </w:rPr>
        <w:t>seeking</w:t>
      </w:r>
      <w:r w:rsidRPr="00D20962">
        <w:rPr>
          <w:lang w:val="en-AU"/>
        </w:rPr>
        <w:t xml:space="preserve"> to cement its progress both within the broader objective of improved madrasah education quality and within a sustainable institutional framework (refer to Section 4). Whilst ACDP has clearly developed very good networks with the lead agencies for which it provides services, it has paid comparatively limited attention to developing the capacity of Balitbang, its designated counterpart. Opinions differ as to the extent of institutional sustainability originally intended within Component 4, but POM now considers it an urgent priority to seek agreement between the institutional partners on the intended legacy of the investment in the ACDP. </w:t>
      </w:r>
    </w:p>
    <w:p w:rsidR="00D20962" w:rsidRPr="00D20962" w:rsidRDefault="00D20962" w:rsidP="00D20962">
      <w:pPr>
        <w:spacing w:before="120" w:after="120" w:line="276" w:lineRule="auto"/>
        <w:jc w:val="both"/>
        <w:rPr>
          <w:lang w:val="en-AU"/>
        </w:rPr>
      </w:pPr>
      <w:r w:rsidRPr="00D20962">
        <w:rPr>
          <w:lang w:val="en-AU"/>
        </w:rPr>
        <w:t xml:space="preserve">Whilst the approach of Working in Partner Systems (WiPs) offers the advantages alluded to above, it is also recognized that there are concerns about WiPS </w:t>
      </w:r>
      <w:r w:rsidRPr="00D20962">
        <w:rPr>
          <w:bCs/>
          <w:lang w:val="en-AU"/>
        </w:rPr>
        <w:t>with</w:t>
      </w:r>
      <w:r w:rsidRPr="00D20962">
        <w:rPr>
          <w:lang w:val="en-AU"/>
        </w:rPr>
        <w:t xml:space="preserve"> respect to accountability. For that reason, POM is tasked to conduct a series of financial audits and compliance reviews to provide DFAT with evidence such that it can protect and be held accountable for its investment. </w:t>
      </w:r>
      <w:r w:rsidRPr="00D20962">
        <w:rPr>
          <w:color w:val="000000" w:themeColor="text1"/>
          <w:lang w:val="en-AU"/>
        </w:rPr>
        <w:t>The focus of the audit program is now on those Australian funds that are managed through partner government systems and which are bound by the processes outlined in the associated Grant Agreements between the two governments.</w:t>
      </w:r>
      <w:r w:rsidRPr="00D20962">
        <w:rPr>
          <w:lang w:val="en-AU"/>
        </w:rPr>
        <w:t xml:space="preserve"> POM’s Consolidated Audit Report 2013</w:t>
      </w:r>
      <w:r w:rsidRPr="00D20962">
        <w:rPr>
          <w:vertAlign w:val="superscript"/>
          <w:lang w:val="en-AU"/>
        </w:rPr>
        <w:endnoteReference w:id="95"/>
      </w:r>
      <w:r w:rsidRPr="00D20962">
        <w:rPr>
          <w:lang w:val="en-AU"/>
        </w:rPr>
        <w:t xml:space="preserve"> noted the h</w:t>
      </w:r>
      <w:r w:rsidRPr="00D20962">
        <w:rPr>
          <w:color w:val="000000" w:themeColor="text1"/>
          <w:lang w:val="en-AU"/>
        </w:rPr>
        <w:t>igh levels of non-compliance with rigorous procedures across those components audited by POM. However, it also noted that the non-compliance should not be considered to be symptomatic of a high degree of fraud. On balance, and given the low level of materiality of specific occurrences of non-compliance, the positive developmental impact afforded by the WiPS approach outweighs any significant accountability concerns.</w:t>
      </w:r>
    </w:p>
    <w:p w:rsidR="00D20962" w:rsidRPr="00D20962" w:rsidRDefault="00D20962" w:rsidP="00D20962">
      <w:pPr>
        <w:keepNext/>
        <w:numPr>
          <w:ilvl w:val="2"/>
          <w:numId w:val="7"/>
        </w:numPr>
        <w:ind w:left="709" w:hanging="709"/>
        <w:outlineLvl w:val="2"/>
        <w:rPr>
          <w:bCs/>
          <w:color w:val="003880"/>
          <w:sz w:val="24"/>
          <w:szCs w:val="28"/>
          <w:lang w:val="en-AU"/>
        </w:rPr>
      </w:pPr>
      <w:r w:rsidRPr="00D20962">
        <w:rPr>
          <w:bCs/>
          <w:color w:val="003880"/>
          <w:sz w:val="24"/>
          <w:szCs w:val="28"/>
          <w:lang w:val="en-AU"/>
        </w:rPr>
        <w:t>Program management</w:t>
      </w:r>
    </w:p>
    <w:p w:rsidR="00D20962" w:rsidRPr="00D20962" w:rsidRDefault="00D20962" w:rsidP="00D20962">
      <w:pPr>
        <w:spacing w:before="120" w:after="120" w:line="276" w:lineRule="auto"/>
        <w:jc w:val="both"/>
        <w:rPr>
          <w:rFonts w:asciiTheme="minorHAnsi" w:hAnsiTheme="minorHAnsi"/>
          <w:lang w:val="en-AU"/>
        </w:rPr>
      </w:pPr>
      <w:r w:rsidRPr="00D20962">
        <w:rPr>
          <w:rFonts w:asciiTheme="minorHAnsi" w:hAnsiTheme="minorHAnsi"/>
          <w:lang w:val="en-AU"/>
        </w:rPr>
        <w:t xml:space="preserve">In terms of </w:t>
      </w:r>
      <w:r w:rsidRPr="00D20962">
        <w:rPr>
          <w:rFonts w:asciiTheme="minorHAnsi" w:hAnsiTheme="minorHAnsi"/>
          <w:bCs/>
          <w:lang w:val="en-AU"/>
        </w:rPr>
        <w:t xml:space="preserve">direct or transactional management </w:t>
      </w:r>
      <w:r w:rsidRPr="00D20962">
        <w:rPr>
          <w:rFonts w:asciiTheme="minorHAnsi" w:hAnsiTheme="minorHAnsi"/>
          <w:lang w:val="en-AU"/>
        </w:rPr>
        <w:t xml:space="preserve">of the EP, implementing and institutional partners have demonstrated a strong commitment to timely, responsive and prudent delivery of program outputs. They have also increasingly demonstrated a commitment to achieving the EOCOs. This </w:t>
      </w:r>
      <w:r w:rsidRPr="00D20962">
        <w:rPr>
          <w:rFonts w:asciiTheme="minorHAnsi" w:hAnsiTheme="minorHAnsi"/>
          <w:lang w:val="en-AU"/>
        </w:rPr>
        <w:lastRenderedPageBreak/>
        <w:t xml:space="preserve">positive assessment mirrors the generally commendable performance of individual components with respect to efficiency in so far as the attainment of output and EOCO PMF targets is concerned. </w:t>
      </w:r>
    </w:p>
    <w:p w:rsidR="00D20962" w:rsidRPr="00D20962" w:rsidRDefault="00D20962" w:rsidP="00D20962">
      <w:pPr>
        <w:spacing w:before="120" w:after="120" w:line="276" w:lineRule="auto"/>
        <w:jc w:val="both"/>
        <w:rPr>
          <w:rFonts w:asciiTheme="minorHAnsi" w:hAnsiTheme="minorHAnsi"/>
          <w:lang w:val="en-AU"/>
        </w:rPr>
      </w:pPr>
      <w:r w:rsidRPr="00D20962">
        <w:rPr>
          <w:rFonts w:asciiTheme="minorHAnsi" w:hAnsiTheme="minorHAnsi"/>
          <w:lang w:val="en-AU"/>
        </w:rPr>
        <w:t xml:space="preserve">Relationships between the managers and the implementing agencies are strong and all parties should take credit for the incremental adjustments and improvements that have characterized program implementation. In particular, the ‘traditional’ managing contractor arrangement typified by the School Systems and Quality (SSQ) contract has permitted flexibility and adaptive management despite the somewhat inflexible EP design. There has </w:t>
      </w:r>
      <w:r w:rsidRPr="00D20962">
        <w:rPr>
          <w:bCs/>
          <w:lang w:val="en-AU"/>
        </w:rPr>
        <w:t>been</w:t>
      </w:r>
      <w:r w:rsidRPr="00D20962">
        <w:rPr>
          <w:rFonts w:asciiTheme="minorHAnsi" w:hAnsiTheme="minorHAnsi"/>
          <w:lang w:val="en-AU"/>
        </w:rPr>
        <w:t xml:space="preserve"> less evident flexibility within the management arrangements of Component 4, which might be explained by the ADB’s status as an ‘elevated’ implementing partner: one of a donor and peer to the EU and DFAT, yet one that is also contractually obliged by the EU and DFAT to deliver an agreed scope of services to GoI. </w:t>
      </w:r>
    </w:p>
    <w:p w:rsidR="00D20962" w:rsidRPr="00D20962" w:rsidRDefault="00D20962" w:rsidP="00D20962">
      <w:pPr>
        <w:spacing w:before="120" w:after="120" w:line="276" w:lineRule="auto"/>
        <w:jc w:val="both"/>
        <w:rPr>
          <w:rFonts w:asciiTheme="minorHAnsi" w:hAnsiTheme="minorHAnsi"/>
          <w:lang w:val="en-AU"/>
        </w:rPr>
      </w:pPr>
      <w:r w:rsidRPr="00D20962">
        <w:rPr>
          <w:rFonts w:asciiTheme="minorHAnsi" w:hAnsiTheme="minorHAnsi"/>
          <w:lang w:val="en-AU"/>
        </w:rPr>
        <w:t xml:space="preserve">POM believes that the degree and nature of strategic or transformational </w:t>
      </w:r>
      <w:r w:rsidRPr="00D20962">
        <w:rPr>
          <w:rFonts w:asciiTheme="minorHAnsi" w:hAnsiTheme="minorHAnsi"/>
          <w:i/>
          <w:lang w:val="en-AU"/>
        </w:rPr>
        <w:t>engagement</w:t>
      </w:r>
      <w:r w:rsidRPr="00D20962">
        <w:rPr>
          <w:rFonts w:asciiTheme="minorHAnsi" w:hAnsiTheme="minorHAnsi"/>
          <w:lang w:val="en-AU"/>
        </w:rPr>
        <w:t xml:space="preserve"> between institutional partners has improved in 2014. Positive examples include the clarification of school construction targets; the launch and increased visibility of ProDEP; and the commitment to the development of a madrasah quality improvement </w:t>
      </w:r>
      <w:r w:rsidRPr="00D20962">
        <w:rPr>
          <w:bCs/>
          <w:lang w:val="en-AU"/>
        </w:rPr>
        <w:t>strategy</w:t>
      </w:r>
      <w:r w:rsidRPr="00D20962">
        <w:rPr>
          <w:rFonts w:asciiTheme="minorHAnsi" w:hAnsiTheme="minorHAnsi"/>
          <w:lang w:val="en-AU"/>
        </w:rPr>
        <w:t>. Strong strategic engagement between institutional partners will translate, through the provision of clear, strategic direction to implementing partners, into an increased contribution to end of partnership outcomes and, hence, program effectiveness and impact. Items requiring attention in the near future include:</w:t>
      </w:r>
    </w:p>
    <w:p w:rsidR="00D20962" w:rsidRPr="00D20962" w:rsidRDefault="00D20962" w:rsidP="00D20962">
      <w:pPr>
        <w:numPr>
          <w:ilvl w:val="1"/>
          <w:numId w:val="29"/>
        </w:numPr>
        <w:spacing w:line="276" w:lineRule="auto"/>
        <w:ind w:left="851" w:hanging="425"/>
        <w:contextualSpacing/>
        <w:rPr>
          <w:rFonts w:asciiTheme="minorHAnsi" w:hAnsiTheme="minorHAnsi"/>
          <w:lang w:val="en-AU"/>
        </w:rPr>
      </w:pPr>
      <w:r w:rsidRPr="00D20962">
        <w:rPr>
          <w:rFonts w:asciiTheme="minorHAnsi" w:hAnsiTheme="minorHAnsi"/>
          <w:lang w:val="en-AU"/>
        </w:rPr>
        <w:t>The expectations of the respective partners around:</w:t>
      </w:r>
    </w:p>
    <w:p w:rsidR="00D20962" w:rsidRPr="00D20962" w:rsidRDefault="00D20962" w:rsidP="00D20962">
      <w:pPr>
        <w:numPr>
          <w:ilvl w:val="1"/>
          <w:numId w:val="30"/>
        </w:numPr>
        <w:spacing w:line="276" w:lineRule="auto"/>
        <w:contextualSpacing/>
        <w:jc w:val="both"/>
        <w:rPr>
          <w:rFonts w:asciiTheme="minorHAnsi" w:hAnsiTheme="minorHAnsi"/>
          <w:lang w:val="en-AU"/>
        </w:rPr>
      </w:pPr>
      <w:r w:rsidRPr="00D20962">
        <w:rPr>
          <w:rFonts w:asciiTheme="minorHAnsi" w:hAnsiTheme="minorHAnsi"/>
          <w:lang w:val="en-AU"/>
        </w:rPr>
        <w:t>The extent and mechanisms for MoRA engagement in the management of ProDEP and the participation of madrasah principals in CPD (C2).</w:t>
      </w:r>
    </w:p>
    <w:p w:rsidR="00D20962" w:rsidRPr="00D20962" w:rsidRDefault="00D20962" w:rsidP="00D20962">
      <w:pPr>
        <w:numPr>
          <w:ilvl w:val="1"/>
          <w:numId w:val="30"/>
        </w:numPr>
        <w:spacing w:line="276" w:lineRule="auto"/>
        <w:contextualSpacing/>
        <w:jc w:val="both"/>
        <w:rPr>
          <w:rFonts w:asciiTheme="minorHAnsi" w:hAnsiTheme="minorHAnsi"/>
          <w:lang w:val="en-AU"/>
        </w:rPr>
      </w:pPr>
      <w:r w:rsidRPr="00D20962">
        <w:rPr>
          <w:rFonts w:asciiTheme="minorHAnsi" w:hAnsiTheme="minorHAnsi"/>
          <w:lang w:val="en-AU"/>
        </w:rPr>
        <w:t>The nature and extent of, and the necessary support to, systemic change in MoRA and the development of a strategy to support continuous improvement of Madrasah quality (C3).</w:t>
      </w:r>
    </w:p>
    <w:p w:rsidR="00D20962" w:rsidRPr="00D20962" w:rsidRDefault="00D20962" w:rsidP="00D20962">
      <w:pPr>
        <w:numPr>
          <w:ilvl w:val="1"/>
          <w:numId w:val="30"/>
        </w:numPr>
        <w:spacing w:line="276" w:lineRule="auto"/>
        <w:contextualSpacing/>
        <w:jc w:val="both"/>
        <w:rPr>
          <w:rFonts w:asciiTheme="minorHAnsi" w:hAnsiTheme="minorHAnsi"/>
          <w:lang w:val="en-AU"/>
        </w:rPr>
      </w:pPr>
      <w:r w:rsidRPr="00D20962">
        <w:rPr>
          <w:rFonts w:asciiTheme="minorHAnsi" w:hAnsiTheme="minorHAnsi"/>
          <w:lang w:val="en-AU"/>
        </w:rPr>
        <w:t xml:space="preserve">The nature and degree of expected results accruing from ACDP and the role of ACDP in the pursuit of those results (C4). </w:t>
      </w:r>
    </w:p>
    <w:p w:rsidR="00D20962" w:rsidRPr="00D20962" w:rsidRDefault="00D20962" w:rsidP="00D20962">
      <w:pPr>
        <w:numPr>
          <w:ilvl w:val="1"/>
          <w:numId w:val="29"/>
        </w:numPr>
        <w:spacing w:line="276" w:lineRule="auto"/>
        <w:ind w:left="851" w:hanging="425"/>
        <w:contextualSpacing/>
        <w:jc w:val="both"/>
        <w:rPr>
          <w:rFonts w:asciiTheme="minorHAnsi" w:hAnsiTheme="minorHAnsi"/>
          <w:lang w:val="en-AU"/>
        </w:rPr>
      </w:pPr>
      <w:r w:rsidRPr="00D20962">
        <w:rPr>
          <w:rFonts w:asciiTheme="minorHAnsi" w:hAnsiTheme="minorHAnsi"/>
          <w:lang w:val="en-AU"/>
        </w:rPr>
        <w:t xml:space="preserve">The affordability, means and/or appetite to sustain a range of initiatives: </w:t>
      </w:r>
    </w:p>
    <w:p w:rsidR="00D20962" w:rsidRPr="00D20962" w:rsidRDefault="00D20962" w:rsidP="00D20962">
      <w:pPr>
        <w:numPr>
          <w:ilvl w:val="1"/>
          <w:numId w:val="30"/>
        </w:numPr>
        <w:spacing w:line="276" w:lineRule="auto"/>
        <w:contextualSpacing/>
        <w:jc w:val="both"/>
        <w:rPr>
          <w:rFonts w:asciiTheme="minorHAnsi" w:hAnsiTheme="minorHAnsi"/>
          <w:lang w:val="en-AU"/>
        </w:rPr>
      </w:pPr>
      <w:r w:rsidRPr="00D20962">
        <w:rPr>
          <w:rFonts w:asciiTheme="minorHAnsi" w:hAnsiTheme="minorHAnsi"/>
          <w:lang w:val="en-AU"/>
        </w:rPr>
        <w:t>The field monitoring system, Complaints Handling System, access planning training, site selection processes and NSIP (C1).</w:t>
      </w:r>
    </w:p>
    <w:p w:rsidR="00D20962" w:rsidRPr="00D20962" w:rsidRDefault="00D20962" w:rsidP="00D20962">
      <w:pPr>
        <w:numPr>
          <w:ilvl w:val="1"/>
          <w:numId w:val="30"/>
        </w:numPr>
        <w:spacing w:line="276" w:lineRule="auto"/>
        <w:contextualSpacing/>
        <w:jc w:val="both"/>
        <w:rPr>
          <w:rFonts w:asciiTheme="minorHAnsi" w:hAnsiTheme="minorHAnsi"/>
          <w:lang w:val="en-AU"/>
        </w:rPr>
      </w:pPr>
      <w:r w:rsidRPr="00D20962">
        <w:rPr>
          <w:rFonts w:asciiTheme="minorHAnsi" w:hAnsiTheme="minorHAnsi"/>
          <w:lang w:val="en-AU"/>
        </w:rPr>
        <w:t xml:space="preserve">The implementation of ProDEP (C2). </w:t>
      </w:r>
    </w:p>
    <w:p w:rsidR="00D20962" w:rsidRPr="00D20962" w:rsidRDefault="00D20962" w:rsidP="00D20962">
      <w:pPr>
        <w:numPr>
          <w:ilvl w:val="1"/>
          <w:numId w:val="30"/>
        </w:numPr>
        <w:spacing w:line="276" w:lineRule="auto"/>
        <w:contextualSpacing/>
        <w:jc w:val="both"/>
        <w:rPr>
          <w:rFonts w:asciiTheme="minorHAnsi" w:hAnsiTheme="minorHAnsi"/>
          <w:lang w:val="en-AU"/>
        </w:rPr>
      </w:pPr>
      <w:r w:rsidRPr="00D20962">
        <w:rPr>
          <w:rFonts w:asciiTheme="minorHAnsi" w:hAnsiTheme="minorHAnsi"/>
          <w:lang w:val="en-AU"/>
        </w:rPr>
        <w:t xml:space="preserve">The madrasah quality improvement strategy (C3). </w:t>
      </w:r>
    </w:p>
    <w:p w:rsidR="00D20962" w:rsidRPr="00D20962" w:rsidRDefault="00D20962" w:rsidP="00D20962">
      <w:pPr>
        <w:numPr>
          <w:ilvl w:val="1"/>
          <w:numId w:val="30"/>
        </w:numPr>
        <w:spacing w:line="276" w:lineRule="auto"/>
        <w:contextualSpacing/>
        <w:jc w:val="both"/>
        <w:rPr>
          <w:rFonts w:asciiTheme="minorHAnsi" w:hAnsiTheme="minorHAnsi"/>
          <w:lang w:val="en-AU"/>
        </w:rPr>
      </w:pPr>
      <w:r w:rsidRPr="00D20962">
        <w:rPr>
          <w:rFonts w:asciiTheme="minorHAnsi" w:hAnsiTheme="minorHAnsi"/>
          <w:lang w:val="en-AU"/>
        </w:rPr>
        <w:t xml:space="preserve">The current model of outsourced evidence collection and analysis (C4). </w:t>
      </w:r>
    </w:p>
    <w:p w:rsidR="00D20962" w:rsidRPr="00D20962" w:rsidRDefault="00D20962" w:rsidP="00D20962">
      <w:pPr>
        <w:rPr>
          <w:lang w:val="en-AU"/>
        </w:rPr>
      </w:pPr>
    </w:p>
    <w:p w:rsidR="00D20962" w:rsidRPr="00D20962" w:rsidRDefault="00D20962" w:rsidP="00D20962">
      <w:pPr>
        <w:keepNext/>
        <w:numPr>
          <w:ilvl w:val="2"/>
          <w:numId w:val="7"/>
        </w:numPr>
        <w:ind w:left="709" w:hanging="709"/>
        <w:outlineLvl w:val="2"/>
        <w:rPr>
          <w:bCs/>
          <w:color w:val="003880"/>
          <w:sz w:val="24"/>
          <w:szCs w:val="28"/>
          <w:lang w:val="en-AU"/>
        </w:rPr>
      </w:pPr>
      <w:r w:rsidRPr="00D20962">
        <w:rPr>
          <w:bCs/>
          <w:color w:val="003880"/>
          <w:sz w:val="24"/>
          <w:szCs w:val="28"/>
          <w:lang w:val="en-AU"/>
        </w:rPr>
        <w:t>Program governance</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An elaborate governance structure has been developed for the EP. POM has commented before</w:t>
      </w:r>
      <w:r w:rsidRPr="00D20962">
        <w:rPr>
          <w:rFonts w:asciiTheme="minorHAnsi" w:hAnsiTheme="minorHAnsi" w:cstheme="minorHAnsi"/>
          <w:vertAlign w:val="superscript"/>
          <w:lang w:val="en-AU"/>
        </w:rPr>
        <w:endnoteReference w:id="96"/>
      </w:r>
      <w:r w:rsidRPr="00D20962">
        <w:rPr>
          <w:rFonts w:asciiTheme="minorHAnsi" w:hAnsiTheme="minorHAnsi" w:cstheme="minorHAnsi"/>
          <w:lang w:val="en-AU"/>
        </w:rPr>
        <w:t xml:space="preserve"> that the complex structure is probably inevitable and may be necessary given the range of actors and agencies involved in the EP. The quality of collaboration and engagement at the GOG and TOGs has reportedly improved in 2014</w:t>
      </w:r>
      <w:r w:rsidRPr="00D20962">
        <w:rPr>
          <w:rFonts w:asciiTheme="minorHAnsi" w:hAnsiTheme="minorHAnsi" w:cstheme="minorHAnsi"/>
          <w:vertAlign w:val="superscript"/>
          <w:lang w:val="en-AU"/>
        </w:rPr>
        <w:endnoteReference w:id="97"/>
      </w:r>
      <w:r w:rsidRPr="00D20962">
        <w:rPr>
          <w:rFonts w:asciiTheme="minorHAnsi" w:hAnsiTheme="minorHAnsi" w:cstheme="minorHAnsi"/>
          <w:lang w:val="en-AU"/>
        </w:rPr>
        <w:t xml:space="preserve">, but the frequency of interaction remains sub-optimal. </w:t>
      </w:r>
    </w:p>
    <w:p w:rsidR="00D20962" w:rsidRPr="00D20962" w:rsidRDefault="00D20962" w:rsidP="00D20962">
      <w:pPr>
        <w:spacing w:before="120" w:after="120" w:line="276" w:lineRule="auto"/>
        <w:jc w:val="both"/>
        <w:rPr>
          <w:lang w:val="en-AU"/>
        </w:rPr>
      </w:pPr>
      <w:r w:rsidRPr="00D20962">
        <w:rPr>
          <w:lang w:val="en-AU"/>
        </w:rPr>
        <w:t>During 2014, one GOG meeting was held</w:t>
      </w:r>
      <w:r w:rsidRPr="00D20962">
        <w:rPr>
          <w:vertAlign w:val="superscript"/>
          <w:lang w:val="en-AU"/>
        </w:rPr>
        <w:footnoteReference w:id="79"/>
      </w:r>
      <w:r w:rsidRPr="00D20962">
        <w:rPr>
          <w:vertAlign w:val="superscript"/>
          <w:lang w:val="en-AU"/>
        </w:rPr>
        <w:t xml:space="preserve"> </w:t>
      </w:r>
      <w:r w:rsidRPr="00D20962">
        <w:rPr>
          <w:lang w:val="en-AU"/>
        </w:rPr>
        <w:t>and five TOG meetings were held</w:t>
      </w:r>
      <w:r w:rsidRPr="00D20962">
        <w:rPr>
          <w:vertAlign w:val="superscript"/>
          <w:lang w:val="en-AU"/>
        </w:rPr>
        <w:footnoteReference w:id="80"/>
      </w:r>
      <w:r w:rsidRPr="00D20962">
        <w:rPr>
          <w:lang w:val="en-AU"/>
        </w:rPr>
        <w:t xml:space="preserve">. This represents only 50% and 30% respectively of the prescribed number of </w:t>
      </w:r>
      <w:r w:rsidRPr="00D20962">
        <w:rPr>
          <w:bCs/>
          <w:lang w:val="en-AU"/>
        </w:rPr>
        <w:t>meetings</w:t>
      </w:r>
      <w:r w:rsidRPr="00D20962">
        <w:rPr>
          <w:lang w:val="en-AU"/>
        </w:rPr>
        <w:t xml:space="preserve">. It may well be that the quarterly </w:t>
      </w:r>
      <w:r w:rsidRPr="00D20962">
        <w:rPr>
          <w:lang w:val="en-AU"/>
        </w:rPr>
        <w:lastRenderedPageBreak/>
        <w:t xml:space="preserve">schedule for TOG meetings is unrealistic and unwarranted, especially given the seniority of and the demands upon the key participants in the meetings. </w:t>
      </w:r>
    </w:p>
    <w:p w:rsidR="00D20962" w:rsidRPr="00D20962" w:rsidRDefault="00D20962" w:rsidP="00D20962">
      <w:pPr>
        <w:spacing w:before="120" w:after="120" w:line="276" w:lineRule="auto"/>
        <w:jc w:val="both"/>
        <w:rPr>
          <w:lang w:val="en-AU"/>
        </w:rPr>
      </w:pPr>
      <w:r w:rsidRPr="00D20962">
        <w:rPr>
          <w:rFonts w:asciiTheme="minorHAnsi" w:hAnsiTheme="minorHAnsi"/>
          <w:lang w:val="en-AU"/>
        </w:rPr>
        <w:t>POM has previously promoted the utilisation of the governance forums to discuss EP and component performance</w:t>
      </w:r>
      <w:r w:rsidRPr="00D20962">
        <w:rPr>
          <w:rFonts w:asciiTheme="minorHAnsi" w:hAnsiTheme="minorHAnsi"/>
          <w:vertAlign w:val="superscript"/>
          <w:lang w:val="en-AU"/>
        </w:rPr>
        <w:endnoteReference w:id="98"/>
      </w:r>
      <w:r w:rsidRPr="00D20962">
        <w:rPr>
          <w:rFonts w:asciiTheme="minorHAnsi" w:hAnsiTheme="minorHAnsi"/>
          <w:lang w:val="en-AU"/>
        </w:rPr>
        <w:t xml:space="preserve">.The discussion about the 2013 </w:t>
      </w:r>
      <w:r w:rsidRPr="00D20962">
        <w:rPr>
          <w:bCs/>
          <w:lang w:val="en-AU"/>
        </w:rPr>
        <w:t>Annual</w:t>
      </w:r>
      <w:r w:rsidRPr="00D20962">
        <w:rPr>
          <w:rFonts w:asciiTheme="minorHAnsi" w:hAnsiTheme="minorHAnsi"/>
          <w:lang w:val="en-AU"/>
        </w:rPr>
        <w:t xml:space="preserve"> Partnership Performance Report at the ITOG</w:t>
      </w:r>
      <w:r w:rsidRPr="00D20962">
        <w:rPr>
          <w:rFonts w:asciiTheme="minorHAnsi" w:hAnsiTheme="minorHAnsi"/>
          <w:vertAlign w:val="superscript"/>
          <w:lang w:val="en-AU"/>
        </w:rPr>
        <w:endnoteReference w:id="99"/>
      </w:r>
      <w:r w:rsidRPr="00D20962">
        <w:rPr>
          <w:rFonts w:asciiTheme="minorHAnsi" w:hAnsiTheme="minorHAnsi"/>
          <w:lang w:val="en-AU"/>
        </w:rPr>
        <w:t>, the SDTOG</w:t>
      </w:r>
      <w:r w:rsidRPr="00D20962">
        <w:rPr>
          <w:rFonts w:asciiTheme="minorHAnsi" w:hAnsiTheme="minorHAnsi"/>
          <w:vertAlign w:val="superscript"/>
          <w:lang w:val="en-AU"/>
        </w:rPr>
        <w:endnoteReference w:id="100"/>
      </w:r>
      <w:r w:rsidRPr="00D20962">
        <w:rPr>
          <w:rFonts w:asciiTheme="minorHAnsi" w:hAnsiTheme="minorHAnsi"/>
          <w:lang w:val="en-AU"/>
        </w:rPr>
        <w:t xml:space="preserve"> and the ATOG</w:t>
      </w:r>
      <w:r w:rsidRPr="00D20962">
        <w:rPr>
          <w:rFonts w:asciiTheme="minorHAnsi" w:hAnsiTheme="minorHAnsi"/>
          <w:vertAlign w:val="superscript"/>
          <w:lang w:val="en-AU"/>
        </w:rPr>
        <w:endnoteReference w:id="101"/>
      </w:r>
      <w:r w:rsidRPr="00D20962">
        <w:rPr>
          <w:rFonts w:asciiTheme="minorHAnsi" w:hAnsiTheme="minorHAnsi"/>
          <w:lang w:val="en-AU"/>
        </w:rPr>
        <w:t xml:space="preserve"> provided important opportunities to assess the sufficiency of results realised to date and the future direction of the current investment. This formal platform for POM communication about the performance of the EP provides an excellent adjunct to the less formal methods utilised. </w:t>
      </w:r>
    </w:p>
    <w:p w:rsidR="00D20962" w:rsidRPr="00D20962" w:rsidRDefault="00D20962" w:rsidP="00D20962">
      <w:pPr>
        <w:spacing w:before="120" w:after="120" w:line="276" w:lineRule="auto"/>
        <w:jc w:val="both"/>
        <w:rPr>
          <w:rFonts w:asciiTheme="minorHAnsi" w:hAnsiTheme="minorHAnsi"/>
          <w:lang w:val="en-AU"/>
        </w:rPr>
      </w:pPr>
      <w:r w:rsidRPr="00D20962">
        <w:rPr>
          <w:lang w:val="en-AU"/>
        </w:rPr>
        <w:t xml:space="preserve">Clearly, the TOG meetings require a substantive agenda to justify their occurrence and a more satisfactory arrangement, at least for some components (e.g. C1), may be </w:t>
      </w:r>
      <w:r w:rsidRPr="00D20962">
        <w:rPr>
          <w:rFonts w:asciiTheme="minorHAnsi" w:hAnsiTheme="minorHAnsi"/>
          <w:lang w:val="en-AU"/>
        </w:rPr>
        <w:t xml:space="preserve">to schedule bi-annual meetings that coincide with the availability of key performance information and/or key activity approvals. In addition, attention could be focused on the articulation of an agenda with strategic issues that require clear resolution. Such an approach would require more groundwork to ensure key actors are adequately briefed prior to the meetings. </w:t>
      </w:r>
    </w:p>
    <w:p w:rsidR="00D20962" w:rsidRPr="00D20962" w:rsidRDefault="00D20962" w:rsidP="00D20962">
      <w:pPr>
        <w:spacing w:before="120" w:after="120" w:line="276" w:lineRule="auto"/>
        <w:jc w:val="both"/>
        <w:rPr>
          <w:rFonts w:asciiTheme="minorHAnsi" w:hAnsiTheme="minorHAnsi" w:cstheme="minorHAnsi"/>
          <w:lang w:val="en-AU"/>
        </w:rPr>
      </w:pPr>
      <w:r w:rsidRPr="00D20962">
        <w:rPr>
          <w:rFonts w:asciiTheme="minorHAnsi" w:hAnsiTheme="minorHAnsi" w:cstheme="minorHAnsi"/>
          <w:lang w:val="en-AU"/>
        </w:rPr>
        <w:t xml:space="preserve">The ambitious objectives for the GOG meetings (see </w:t>
      </w:r>
      <w:r w:rsidRPr="00D20962">
        <w:rPr>
          <w:bCs/>
          <w:lang w:val="en-AU"/>
        </w:rPr>
        <w:t>Section</w:t>
      </w:r>
      <w:r w:rsidRPr="00D20962">
        <w:rPr>
          <w:rFonts w:asciiTheme="minorHAnsi" w:hAnsiTheme="minorHAnsi" w:cstheme="minorHAnsi"/>
          <w:lang w:val="en-AU"/>
        </w:rPr>
        <w:t xml:space="preserve"> 6.1) are unlikely to be fully achieved. As it stands, the GOG is a necessary forum for the authorization of EU funding tranches and it fulfils that role as well as providing an opportunity for engagement at the highest level. </w:t>
      </w:r>
    </w:p>
    <w:p w:rsidR="00D20962" w:rsidRPr="00D20962" w:rsidRDefault="00D20962" w:rsidP="00D20962">
      <w:pPr>
        <w:keepNext/>
        <w:numPr>
          <w:ilvl w:val="2"/>
          <w:numId w:val="7"/>
        </w:numPr>
        <w:ind w:left="709" w:hanging="709"/>
        <w:outlineLvl w:val="2"/>
        <w:rPr>
          <w:bCs/>
          <w:color w:val="003880"/>
          <w:sz w:val="24"/>
          <w:szCs w:val="28"/>
          <w:lang w:val="en-AU"/>
        </w:rPr>
      </w:pPr>
      <w:r w:rsidRPr="00D20962">
        <w:rPr>
          <w:bCs/>
          <w:color w:val="003880"/>
          <w:sz w:val="24"/>
          <w:szCs w:val="28"/>
          <w:lang w:val="en-AU"/>
        </w:rPr>
        <w:t>Cross-cutting Issues</w:t>
      </w:r>
    </w:p>
    <w:p w:rsidR="00D20962" w:rsidRPr="00D20962" w:rsidRDefault="00D20962" w:rsidP="00D20962">
      <w:pPr>
        <w:spacing w:before="120" w:after="120" w:line="276" w:lineRule="auto"/>
        <w:jc w:val="both"/>
        <w:rPr>
          <w:lang w:val="en-AU"/>
        </w:rPr>
      </w:pPr>
      <w:r w:rsidRPr="00D20962">
        <w:rPr>
          <w:lang w:val="en-AU"/>
        </w:rPr>
        <w:t xml:space="preserve">To secure optimal developmental return on the investment, consideration is given to a range of cross-cutting issues that would enable the EP to be delivered in an equitable and inclusive manner and in line with the overarching development aspirations of the institutional partners and the international development community. </w:t>
      </w:r>
    </w:p>
    <w:p w:rsidR="00D20962" w:rsidRPr="00D20962" w:rsidRDefault="00D20962" w:rsidP="00D20962">
      <w:pPr>
        <w:spacing w:before="120" w:after="120"/>
        <w:rPr>
          <w:b/>
          <w:lang w:val="en-AU"/>
        </w:rPr>
      </w:pPr>
      <w:r w:rsidRPr="00D20962">
        <w:rPr>
          <w:b/>
          <w:lang w:val="en-AU"/>
        </w:rPr>
        <w:t>Disadvantaged groups</w:t>
      </w:r>
    </w:p>
    <w:p w:rsidR="00D20962" w:rsidRPr="00D20962" w:rsidRDefault="00D20962" w:rsidP="00D20962">
      <w:pPr>
        <w:spacing w:before="120" w:after="120" w:line="276" w:lineRule="auto"/>
        <w:jc w:val="both"/>
        <w:rPr>
          <w:lang w:val="en-AU"/>
        </w:rPr>
      </w:pPr>
      <w:r w:rsidRPr="00D20962">
        <w:rPr>
          <w:lang w:val="en-AU"/>
        </w:rPr>
        <w:t>It is apparent that there was only limited articulation of cross-sectoral program objectives in the design of the EP. Even so, the design document categorically states that the EP “will support gender equitable and inclusive (disability) education policies”</w:t>
      </w:r>
      <w:r w:rsidRPr="00D20962">
        <w:rPr>
          <w:vertAlign w:val="superscript"/>
          <w:lang w:val="en-AU"/>
        </w:rPr>
        <w:endnoteReference w:id="102"/>
      </w:r>
      <w:r w:rsidRPr="00D20962">
        <w:rPr>
          <w:lang w:val="en-AU"/>
        </w:rPr>
        <w:t>. This commitment to social inclusion was reinforced with the recent introduction of DFAT’s ten key strategic-level targets</w:t>
      </w:r>
      <w:r w:rsidRPr="00D20962">
        <w:rPr>
          <w:vertAlign w:val="superscript"/>
          <w:lang w:val="en-AU"/>
        </w:rPr>
        <w:endnoteReference w:id="103"/>
      </w:r>
      <w:r w:rsidRPr="00D20962">
        <w:rPr>
          <w:lang w:val="en-AU"/>
        </w:rPr>
        <w:t xml:space="preserve">, as outlined in the Government’s new development policy. These strategic targets noted the need for greater “consideration of ways to enable more disadvantaged members of society, such as people with disabilities, to access the same opportunities as others and improve their quality of life” and the requirement to “empower women and girls”. </w:t>
      </w:r>
    </w:p>
    <w:p w:rsidR="00D20962" w:rsidRPr="00D20962" w:rsidRDefault="00D20962" w:rsidP="00D20962">
      <w:pPr>
        <w:spacing w:before="120" w:after="120" w:line="276" w:lineRule="auto"/>
        <w:jc w:val="both"/>
        <w:rPr>
          <w:lang w:val="en-AU"/>
        </w:rPr>
      </w:pPr>
      <w:r w:rsidRPr="00D20962">
        <w:rPr>
          <w:lang w:val="en-AU"/>
        </w:rPr>
        <w:t xml:space="preserve">The 2013 APPR assessed EP performance in relation </w:t>
      </w:r>
      <w:r w:rsidRPr="00D20962">
        <w:rPr>
          <w:bCs/>
          <w:lang w:val="en-AU"/>
        </w:rPr>
        <w:t>to</w:t>
      </w:r>
      <w:r w:rsidRPr="00D20962">
        <w:rPr>
          <w:lang w:val="en-AU"/>
        </w:rPr>
        <w:t xml:space="preserve"> disadvantaged groups by considering social inclusion</w:t>
      </w:r>
      <w:r w:rsidRPr="00D20962">
        <w:rPr>
          <w:rFonts w:ascii="Times New Roman" w:hAnsi="Times New Roman"/>
          <w:vertAlign w:val="superscript"/>
          <w:lang w:val="en-AU"/>
        </w:rPr>
        <w:footnoteReference w:id="81"/>
      </w:r>
      <w:r w:rsidRPr="00D20962">
        <w:rPr>
          <w:lang w:val="en-AU"/>
        </w:rPr>
        <w:t xml:space="preserve"> as a means to pursue equality, and social targeting</w:t>
      </w:r>
      <w:r w:rsidRPr="00D20962">
        <w:rPr>
          <w:rFonts w:ascii="Times New Roman" w:hAnsi="Times New Roman"/>
          <w:vertAlign w:val="superscript"/>
          <w:lang w:val="en-AU"/>
        </w:rPr>
        <w:footnoteReference w:id="82"/>
      </w:r>
      <w:r w:rsidRPr="00D20962">
        <w:rPr>
          <w:lang w:val="en-AU"/>
        </w:rPr>
        <w:t xml:space="preserve"> as a means to pursue equity</w:t>
      </w:r>
      <w:r w:rsidRPr="00D20962">
        <w:rPr>
          <w:vertAlign w:val="superscript"/>
          <w:lang w:val="en-AU"/>
        </w:rPr>
        <w:endnoteReference w:id="104"/>
      </w:r>
      <w:r w:rsidRPr="00D20962">
        <w:rPr>
          <w:lang w:val="en-AU"/>
        </w:rPr>
        <w:t xml:space="preserve">. In </w:t>
      </w:r>
      <w:r w:rsidRPr="00D20962">
        <w:rPr>
          <w:lang w:val="en-AU"/>
        </w:rPr>
        <w:lastRenderedPageBreak/>
        <w:t xml:space="preserve">2014, the EP has implemented a number of discrete activities and delivered several products that seek to promote equality and equity. Examples include: </w:t>
      </w:r>
    </w:p>
    <w:p w:rsidR="00D20962" w:rsidRPr="00D20962" w:rsidRDefault="00D20962" w:rsidP="00D20962">
      <w:pPr>
        <w:numPr>
          <w:ilvl w:val="1"/>
          <w:numId w:val="29"/>
        </w:numPr>
        <w:spacing w:before="120" w:after="120" w:line="276" w:lineRule="auto"/>
        <w:ind w:left="851" w:hanging="425"/>
        <w:contextualSpacing/>
        <w:jc w:val="both"/>
        <w:rPr>
          <w:lang w:val="en-AU"/>
        </w:rPr>
      </w:pPr>
      <w:r w:rsidRPr="00D20962">
        <w:rPr>
          <w:rFonts w:asciiTheme="minorHAnsi" w:hAnsiTheme="minorHAnsi"/>
          <w:lang w:val="en-AU"/>
        </w:rPr>
        <w:t xml:space="preserve">The inclusion of </w:t>
      </w:r>
      <w:r w:rsidRPr="00D20962">
        <w:rPr>
          <w:lang w:val="en-AU"/>
        </w:rPr>
        <w:t>socially inclusive practices within PPP modules, Principal CPD UoLs, SPD, the NSIP materials and the Access Planning module.</w:t>
      </w:r>
    </w:p>
    <w:p w:rsidR="00D20962" w:rsidRPr="00D20962" w:rsidRDefault="00D20962" w:rsidP="00D20962">
      <w:pPr>
        <w:numPr>
          <w:ilvl w:val="1"/>
          <w:numId w:val="29"/>
        </w:numPr>
        <w:spacing w:before="120" w:after="120" w:line="276" w:lineRule="auto"/>
        <w:ind w:left="851" w:hanging="425"/>
        <w:contextualSpacing/>
        <w:jc w:val="both"/>
        <w:rPr>
          <w:lang w:val="en-AU"/>
        </w:rPr>
      </w:pPr>
      <w:r w:rsidRPr="00D20962">
        <w:rPr>
          <w:lang w:val="en-AU"/>
        </w:rPr>
        <w:t>The development of a social inclusion monitoring instrument by SSQ M&amp;E advisers, which was subsequently used by MoRA.</w:t>
      </w:r>
    </w:p>
    <w:p w:rsidR="00D20962" w:rsidRPr="00D20962" w:rsidRDefault="00D20962" w:rsidP="00D20962">
      <w:pPr>
        <w:numPr>
          <w:ilvl w:val="1"/>
          <w:numId w:val="29"/>
        </w:numPr>
        <w:spacing w:before="120" w:after="120" w:line="276" w:lineRule="auto"/>
        <w:ind w:left="851" w:hanging="425"/>
        <w:contextualSpacing/>
        <w:jc w:val="both"/>
        <w:rPr>
          <w:rFonts w:asciiTheme="minorHAnsi" w:hAnsiTheme="minorHAnsi"/>
          <w:lang w:val="en-AU"/>
        </w:rPr>
      </w:pPr>
      <w:r w:rsidRPr="00D20962">
        <w:rPr>
          <w:rFonts w:asciiTheme="minorHAnsi" w:hAnsiTheme="minorHAnsi"/>
          <w:lang w:val="en-AU"/>
        </w:rPr>
        <w:t xml:space="preserve">The delivery of several ACDP reports requested by GoI, such as the study on BSM effectiveness (poor groups) and support to mother tongue education in Papua (ethnic groups). </w:t>
      </w:r>
    </w:p>
    <w:p w:rsidR="00D20962" w:rsidRPr="00D20962" w:rsidRDefault="00D20962" w:rsidP="00D20962">
      <w:pPr>
        <w:spacing w:before="120" w:after="120"/>
        <w:contextualSpacing/>
        <w:rPr>
          <w:lang w:val="en-AU"/>
        </w:rPr>
      </w:pPr>
    </w:p>
    <w:p w:rsidR="00D20962" w:rsidRPr="00D20962" w:rsidRDefault="00D20962" w:rsidP="00D20962">
      <w:pPr>
        <w:spacing w:before="120" w:after="120" w:line="276" w:lineRule="auto"/>
        <w:jc w:val="both"/>
        <w:rPr>
          <w:lang w:val="en-AU"/>
        </w:rPr>
      </w:pPr>
      <w:r w:rsidRPr="00D20962">
        <w:rPr>
          <w:lang w:val="en-AU"/>
        </w:rPr>
        <w:t xml:space="preserve">Of particular note in 2014 has been SSQ’s appointment of a full-time Social Inclusion Advisor (SIA). This is encouraging and POM also welcomes the </w:t>
      </w:r>
      <w:r w:rsidRPr="00D20962">
        <w:rPr>
          <w:bCs/>
          <w:lang w:val="en-AU"/>
        </w:rPr>
        <w:t>observation</w:t>
      </w:r>
      <w:r w:rsidRPr="00D20962">
        <w:rPr>
          <w:lang w:val="en-AU"/>
        </w:rPr>
        <w:t xml:space="preserve"> that the advisor’s mandate is not necessarily restricted to SSQ activities</w:t>
      </w:r>
      <w:r w:rsidRPr="00D20962">
        <w:rPr>
          <w:vertAlign w:val="superscript"/>
          <w:lang w:val="en-AU"/>
        </w:rPr>
        <w:endnoteReference w:id="105"/>
      </w:r>
      <w:r w:rsidRPr="00D20962">
        <w:rPr>
          <w:lang w:val="en-AU"/>
        </w:rPr>
        <w:t>. Nevertheless, there remains the need for the institutional partners to define and implement an overarching social inclusion strategy for the EP, within which the SIA (and others) can frame their work. In support of that, DFAT’s own recent assessment of the EP in 2013-14 in relation to gender equality offered a critical assessment of the Partnership’s current performance</w:t>
      </w:r>
      <w:r w:rsidRPr="00D20962">
        <w:rPr>
          <w:vertAlign w:val="superscript"/>
          <w:lang w:val="en-AU"/>
        </w:rPr>
        <w:footnoteReference w:id="83"/>
      </w:r>
      <w:r w:rsidRPr="00D20962">
        <w:rPr>
          <w:vertAlign w:val="superscript"/>
          <w:lang w:val="en-AU"/>
        </w:rPr>
        <w:t>,</w:t>
      </w:r>
      <w:r w:rsidR="00A77632">
        <w:rPr>
          <w:vertAlign w:val="superscript"/>
          <w:lang w:val="en-AU"/>
        </w:rPr>
        <w:t xml:space="preserve"> </w:t>
      </w:r>
      <w:r w:rsidRPr="00D20962">
        <w:rPr>
          <w:vertAlign w:val="superscript"/>
          <w:lang w:val="en-AU"/>
        </w:rPr>
        <w:endnoteReference w:id="106"/>
      </w:r>
      <w:r w:rsidRPr="00D20962">
        <w:rPr>
          <w:lang w:val="en-AU"/>
        </w:rPr>
        <w:t xml:space="preserve">. In the absence of a social inclusion strategy, the EP ambitions with respect to equality and equity remain ill-defined and there is an associated risk that the nature, extent and sufficiency of the overall developmental return of the EP will be unquantifiable. </w:t>
      </w:r>
    </w:p>
    <w:p w:rsidR="00D20962" w:rsidRPr="00D20962" w:rsidRDefault="00D20962" w:rsidP="00D20962">
      <w:pPr>
        <w:spacing w:before="120" w:after="120" w:line="276" w:lineRule="auto"/>
        <w:jc w:val="both"/>
        <w:rPr>
          <w:rFonts w:asciiTheme="minorHAnsi" w:hAnsiTheme="minorHAnsi"/>
          <w:lang w:val="en-AU"/>
        </w:rPr>
      </w:pPr>
      <w:r w:rsidRPr="00D20962">
        <w:rPr>
          <w:lang w:val="en-AU"/>
        </w:rPr>
        <w:t>With risk comes opportunity. T</w:t>
      </w:r>
      <w:r w:rsidRPr="00D20962">
        <w:rPr>
          <w:rFonts w:asciiTheme="minorHAnsi" w:hAnsiTheme="minorHAnsi"/>
          <w:lang w:val="en-AU"/>
        </w:rPr>
        <w:t xml:space="preserve">he independent mid-term review of the AusAID </w:t>
      </w:r>
      <w:r w:rsidRPr="00D20962">
        <w:rPr>
          <w:rFonts w:asciiTheme="minorHAnsi" w:hAnsiTheme="minorHAnsi"/>
          <w:i/>
          <w:lang w:val="en-AU"/>
        </w:rPr>
        <w:t>Development for All</w:t>
      </w:r>
      <w:r w:rsidRPr="00D20962">
        <w:rPr>
          <w:rFonts w:asciiTheme="minorHAnsi" w:hAnsiTheme="minorHAnsi"/>
          <w:lang w:val="en-AU"/>
        </w:rPr>
        <w:t xml:space="preserve"> strategy</w:t>
      </w:r>
      <w:r w:rsidRPr="00D20962">
        <w:rPr>
          <w:rFonts w:asciiTheme="minorHAnsi" w:hAnsiTheme="minorHAnsi"/>
          <w:vertAlign w:val="superscript"/>
          <w:lang w:val="en-AU"/>
        </w:rPr>
        <w:endnoteReference w:id="107"/>
      </w:r>
      <w:r w:rsidRPr="00D20962">
        <w:rPr>
          <w:rFonts w:asciiTheme="minorHAnsi" w:hAnsiTheme="minorHAnsi"/>
          <w:lang w:val="en-AU"/>
        </w:rPr>
        <w:t xml:space="preserve"> argued that Australia is regarded as a leading donor in disability-inclusive development. This perception should be upheld. </w:t>
      </w:r>
      <w:r w:rsidRPr="00D20962">
        <w:rPr>
          <w:lang w:val="en-AU"/>
        </w:rPr>
        <w:t xml:space="preserve">Minister Julie </w:t>
      </w:r>
      <w:r w:rsidRPr="00D20962">
        <w:rPr>
          <w:bCs/>
          <w:lang w:val="en-AU"/>
        </w:rPr>
        <w:t>Bishop</w:t>
      </w:r>
      <w:r w:rsidRPr="00D20962">
        <w:rPr>
          <w:lang w:val="en-AU"/>
        </w:rPr>
        <w:t xml:space="preserve"> has recently spoken on the need to promote and mainstream</w:t>
      </w:r>
      <w:r w:rsidRPr="00D20962">
        <w:rPr>
          <w:vertAlign w:val="superscript"/>
          <w:lang w:val="en-AU"/>
        </w:rPr>
        <w:endnoteReference w:id="108"/>
      </w:r>
      <w:r w:rsidRPr="00D20962">
        <w:rPr>
          <w:vertAlign w:val="superscript"/>
          <w:lang w:val="en-AU"/>
        </w:rPr>
        <w:t xml:space="preserve">, </w:t>
      </w:r>
      <w:r w:rsidRPr="00D20962">
        <w:rPr>
          <w:vertAlign w:val="superscript"/>
          <w:lang w:val="en-AU"/>
        </w:rPr>
        <w:endnoteReference w:id="109"/>
      </w:r>
      <w:r w:rsidRPr="00D20962">
        <w:rPr>
          <w:lang w:val="en-AU"/>
        </w:rPr>
        <w:t xml:space="preserve"> gender and disability issues such that groups are empowered and that “no one is left behind”. Stronger articulation of the EP’s aspirations in this regard has therefore now become critical and, given the size, institutional reach and potential impact of the investment, the EP could become a leader in the translation of DFAT (and GoI) development policy into action. </w:t>
      </w:r>
    </w:p>
    <w:p w:rsidR="00D20962" w:rsidRPr="00D20962" w:rsidRDefault="00D20962" w:rsidP="00D20962">
      <w:pPr>
        <w:spacing w:before="120" w:after="120" w:line="276" w:lineRule="auto"/>
        <w:jc w:val="both"/>
        <w:rPr>
          <w:b/>
          <w:lang w:val="en-AU"/>
        </w:rPr>
      </w:pPr>
      <w:r w:rsidRPr="00D20962">
        <w:rPr>
          <w:b/>
          <w:lang w:val="en-AU"/>
        </w:rPr>
        <w:t>Broader developmental agenda</w:t>
      </w:r>
    </w:p>
    <w:p w:rsidR="00D20962" w:rsidRPr="00D20962" w:rsidRDefault="00D20962" w:rsidP="00D20962">
      <w:pPr>
        <w:spacing w:before="120" w:after="120" w:line="276" w:lineRule="auto"/>
        <w:jc w:val="both"/>
        <w:rPr>
          <w:lang w:val="en-AU"/>
        </w:rPr>
      </w:pPr>
      <w:r w:rsidRPr="00D20962">
        <w:rPr>
          <w:lang w:val="en-AU"/>
        </w:rPr>
        <w:t xml:space="preserve">Whilst the cross-cutting objectives in the EP </w:t>
      </w:r>
      <w:r w:rsidRPr="00D20962">
        <w:rPr>
          <w:i/>
          <w:lang w:val="en-AU"/>
        </w:rPr>
        <w:t>design</w:t>
      </w:r>
      <w:r w:rsidRPr="00D20962">
        <w:rPr>
          <w:lang w:val="en-AU"/>
        </w:rPr>
        <w:t xml:space="preserve"> only refer to gender and disability, POM believes that the EP managers remain responsible for aligning the program with the broader evolving development agenda. On one level this requires due consideration and promotion of the “traditional” (and important) development </w:t>
      </w:r>
      <w:r w:rsidRPr="00D20962">
        <w:rPr>
          <w:bCs/>
          <w:lang w:val="en-AU"/>
        </w:rPr>
        <w:t>principles</w:t>
      </w:r>
      <w:r w:rsidRPr="00D20962">
        <w:rPr>
          <w:lang w:val="en-AU"/>
        </w:rPr>
        <w:t xml:space="preserve"> of sustainability and capacity building. On another level it requires due consideration and alignment with the ’new aid paradigm’ and its promotion of, </w:t>
      </w:r>
      <w:r w:rsidRPr="00D20962">
        <w:rPr>
          <w:i/>
          <w:lang w:val="en-AU"/>
        </w:rPr>
        <w:t>inter alia</w:t>
      </w:r>
      <w:r w:rsidRPr="00D20962">
        <w:rPr>
          <w:lang w:val="en-AU"/>
        </w:rPr>
        <w:t xml:space="preserve">, value for money, private sector engagement and combatting corruption. </w:t>
      </w:r>
    </w:p>
    <w:p w:rsidR="00D20962" w:rsidRPr="00D20962" w:rsidRDefault="00D20962" w:rsidP="00D20962">
      <w:pPr>
        <w:spacing w:before="120" w:after="120" w:line="276" w:lineRule="auto"/>
        <w:jc w:val="both"/>
        <w:rPr>
          <w:lang w:val="en-AU"/>
        </w:rPr>
      </w:pPr>
      <w:r w:rsidRPr="00D20962">
        <w:rPr>
          <w:lang w:val="en-AU"/>
        </w:rPr>
        <w:t>Whilst DFAT’s new aid policy and performance framework make little reference to capacity building</w:t>
      </w:r>
      <w:r w:rsidRPr="00D20962">
        <w:rPr>
          <w:rFonts w:ascii="Times New Roman" w:hAnsi="Times New Roman"/>
          <w:vertAlign w:val="superscript"/>
          <w:lang w:val="en-AU"/>
        </w:rPr>
        <w:footnoteReference w:id="84"/>
      </w:r>
      <w:r w:rsidRPr="00D20962">
        <w:rPr>
          <w:lang w:val="en-AU"/>
        </w:rPr>
        <w:t xml:space="preserve"> or to sustainability</w:t>
      </w:r>
      <w:r w:rsidRPr="00D20962">
        <w:rPr>
          <w:rFonts w:ascii="Times New Roman" w:hAnsi="Times New Roman"/>
          <w:vertAlign w:val="superscript"/>
          <w:lang w:val="en-AU"/>
        </w:rPr>
        <w:footnoteReference w:id="85"/>
      </w:r>
      <w:r w:rsidRPr="00D20962">
        <w:rPr>
          <w:lang w:val="en-AU"/>
        </w:rPr>
        <w:t xml:space="preserve"> </w:t>
      </w:r>
      <w:r w:rsidRPr="00D20962">
        <w:rPr>
          <w:i/>
          <w:lang w:val="en-AU"/>
        </w:rPr>
        <w:t>per se</w:t>
      </w:r>
      <w:r w:rsidRPr="00D20962">
        <w:rPr>
          <w:lang w:val="en-AU"/>
        </w:rPr>
        <w:t xml:space="preserve">, both remain internationally acknowledged building blocks to effective development assistance. The emerging post-2015 agenda recognises, for example, the importance of capacities and institutions in the pursuit of development outcomes, “signalling that a </w:t>
      </w:r>
      <w:r w:rsidRPr="00D20962">
        <w:rPr>
          <w:lang w:val="en-AU"/>
        </w:rPr>
        <w:lastRenderedPageBreak/>
        <w:t>transformative agenda requires transformed institutions”</w:t>
      </w:r>
      <w:r w:rsidRPr="00D20962">
        <w:rPr>
          <w:vertAlign w:val="superscript"/>
          <w:lang w:val="en-AU"/>
        </w:rPr>
        <w:endnoteReference w:id="110"/>
      </w:r>
      <w:r w:rsidRPr="00D20962">
        <w:rPr>
          <w:lang w:val="en-AU"/>
        </w:rPr>
        <w:t xml:space="preserve">. Equally, it is well understood that returns are greatest where development assistance offers streams of sustained benefits. The EP offers the potential to deliver both, i.e. to support the emergence of transformed institutions and a range of sustained benefits. However, neither happens naturally: the opportunities need to be identified and managed. At present, the EP’s commitment to help build the capacity of key institutions is variable and POM believes there is opportunity to cement benefits made at output level by also improving institutional capacity. </w:t>
      </w:r>
    </w:p>
    <w:p w:rsidR="00D20962" w:rsidRPr="00D20962" w:rsidRDefault="00D20962" w:rsidP="00D20962">
      <w:pPr>
        <w:spacing w:before="120" w:after="120" w:line="276" w:lineRule="auto"/>
        <w:jc w:val="both"/>
        <w:rPr>
          <w:lang w:val="en-AU"/>
        </w:rPr>
      </w:pPr>
      <w:r w:rsidRPr="00D20962">
        <w:rPr>
          <w:lang w:val="en-AU"/>
        </w:rPr>
        <w:t xml:space="preserve">From a sustainability perspective, SSQ’s conception and initial implementation of a Sustainability Matrix for Components 1-3 is welcomed. Nevertheless, for optimal benefit the institutional partners will need to engage on the issues arising and, at times, offer the necessary strategic direction if priorities are to be set, if risks are to be managed or mitigated, and should the managers be committed to realising the opportunities available. </w:t>
      </w:r>
    </w:p>
    <w:p w:rsidR="00D20962" w:rsidRPr="00D20962" w:rsidRDefault="00D20962" w:rsidP="00D20962">
      <w:pPr>
        <w:spacing w:before="120" w:after="120" w:line="276" w:lineRule="auto"/>
        <w:jc w:val="both"/>
        <w:rPr>
          <w:lang w:val="en-AU"/>
        </w:rPr>
      </w:pPr>
      <w:r w:rsidRPr="00D20962">
        <w:rPr>
          <w:lang w:val="en-AU"/>
        </w:rPr>
        <w:t>Turning to the ‘new aid paradigm’, Australia’s aid program identifies ten key strategic targets “to ensure the aid program is well managed, achieves value-for-money and makes progress in delivering key Government priorities, as outlined in the Government’s new development policy”. The strategic target for VFM (#8) requires that DFAT delivers “high standards of value-for-money in at least 85 per cent of aid investments”</w:t>
      </w:r>
      <w:r w:rsidRPr="00D20962">
        <w:rPr>
          <w:vertAlign w:val="superscript"/>
          <w:lang w:val="en-AU"/>
        </w:rPr>
        <w:endnoteReference w:id="111"/>
      </w:r>
      <w:r w:rsidRPr="00D20962">
        <w:rPr>
          <w:lang w:val="en-AU"/>
        </w:rPr>
        <w:t>. The emergence of VFM as a cross cutting issue in development assistance was first recognised by the Education Partnership in 2012. POM has promoted its consideration from a program performance perspective since early 2013 and DFAT commissioned an options paper to consider how best to apply the concept of VFM to the EP in late 2013. DFAT in Canberra released its VFM Principles in March 2014 and DFAT Jakarta prepared a draft Position Paper on VFM within the EP in August 2014. Building on the Position Paper and the VFM Principles, POM produced a detailed VFM Framework in September 2014. Subsequent to follow-up discussions, DFAT asked POM to submit a further iteration of the framework.</w:t>
      </w:r>
    </w:p>
    <w:p w:rsidR="00D20962" w:rsidRPr="00D20962" w:rsidRDefault="00D20962" w:rsidP="00D20962">
      <w:pPr>
        <w:spacing w:before="120" w:after="120" w:line="276" w:lineRule="auto"/>
        <w:jc w:val="both"/>
        <w:rPr>
          <w:lang w:val="en-AU"/>
        </w:rPr>
      </w:pPr>
      <w:r w:rsidRPr="00D20962">
        <w:rPr>
          <w:lang w:val="en-AU"/>
        </w:rPr>
        <w:t xml:space="preserve">The ongoing absence of an agreed VFM framework compromises the assessment and reporting of the EP’s VFM proposition. For this reason </w:t>
      </w:r>
      <w:r w:rsidRPr="00D20962">
        <w:rPr>
          <w:bCs/>
          <w:lang w:val="en-AU"/>
        </w:rPr>
        <w:t>and</w:t>
      </w:r>
      <w:r w:rsidRPr="00D20962">
        <w:rPr>
          <w:lang w:val="en-AU"/>
        </w:rPr>
        <w:t xml:space="preserve"> given the strong commitment of DFAT to VFM, POM continues to believe an agreement on a utilitarian framework is a priority and that this necessarily requires DFAT to provide clear direction and parameters to any VFM work stream. </w:t>
      </w:r>
    </w:p>
    <w:p w:rsidR="00D20962" w:rsidRPr="00D20962" w:rsidRDefault="00D20962" w:rsidP="00D20962">
      <w:pPr>
        <w:keepNext/>
        <w:numPr>
          <w:ilvl w:val="1"/>
          <w:numId w:val="7"/>
        </w:numPr>
        <w:spacing w:before="120" w:after="120"/>
        <w:ind w:hanging="720"/>
        <w:outlineLvl w:val="1"/>
        <w:rPr>
          <w:b/>
          <w:bCs/>
          <w:iCs/>
          <w:color w:val="003880"/>
          <w:sz w:val="24"/>
          <w:lang w:val="en-AU"/>
        </w:rPr>
      </w:pPr>
      <w:r w:rsidRPr="00D20962">
        <w:rPr>
          <w:b/>
          <w:bCs/>
          <w:iCs/>
          <w:color w:val="003880"/>
          <w:sz w:val="24"/>
          <w:szCs w:val="24"/>
          <w:lang w:val="en-AU"/>
        </w:rPr>
        <w:t>Recommendations</w:t>
      </w:r>
    </w:p>
    <w:p w:rsidR="00D20962" w:rsidRPr="00D20962" w:rsidRDefault="00D20962" w:rsidP="00D20962">
      <w:pPr>
        <w:spacing w:before="120" w:after="120" w:line="276" w:lineRule="auto"/>
        <w:jc w:val="both"/>
        <w:rPr>
          <w:lang w:val="en-AU"/>
        </w:rPr>
      </w:pPr>
      <w:r w:rsidRPr="00D20962">
        <w:rPr>
          <w:lang w:val="en-AU"/>
        </w:rPr>
        <w:t xml:space="preserve">Recommendations for improvement and, in particular, what measures are needed to increase the likelihood of achieving the EOPOs and </w:t>
      </w:r>
      <w:r w:rsidRPr="00D20962">
        <w:rPr>
          <w:bCs/>
          <w:lang w:val="en-AU"/>
        </w:rPr>
        <w:t>contributing</w:t>
      </w:r>
      <w:r w:rsidRPr="00D20962">
        <w:rPr>
          <w:lang w:val="en-AU"/>
        </w:rPr>
        <w:t xml:space="preserve"> to the goals of the EP are provided in Table 2</w:t>
      </w:r>
      <w:r w:rsidR="00F56EE4">
        <w:rPr>
          <w:lang w:val="en-AU"/>
        </w:rPr>
        <w:t>6</w:t>
      </w:r>
      <w:r w:rsidRPr="00D20962">
        <w:rPr>
          <w:lang w:val="en-AU"/>
        </w:rPr>
        <w:t>, below.</w:t>
      </w:r>
    </w:p>
    <w:p w:rsidR="00D20962" w:rsidRPr="00D20962" w:rsidRDefault="00D20962" w:rsidP="00D20962">
      <w:pPr>
        <w:rPr>
          <w:lang w:val="en-AU"/>
        </w:rPr>
        <w:sectPr w:rsidR="00D20962" w:rsidRPr="00D20962" w:rsidSect="00493CE3">
          <w:pgSz w:w="11909" w:h="16834" w:code="9"/>
          <w:pgMar w:top="1440" w:right="1440" w:bottom="1440" w:left="1440" w:header="432" w:footer="720" w:gutter="0"/>
          <w:cols w:space="720"/>
          <w:noEndnote/>
          <w:docGrid w:linePitch="360"/>
        </w:sectPr>
      </w:pPr>
    </w:p>
    <w:p w:rsidR="00D20962" w:rsidRPr="00D20962" w:rsidRDefault="00D20962" w:rsidP="00D20962">
      <w:pPr>
        <w:keepNext/>
        <w:spacing w:before="120" w:after="120"/>
        <w:ind w:left="86" w:right="43"/>
        <w:jc w:val="center"/>
        <w:rPr>
          <w:b/>
          <w:lang w:val="en-AU"/>
        </w:rPr>
      </w:pPr>
      <w:bookmarkStart w:id="61" w:name="_Ref379652729"/>
      <w:bookmarkStart w:id="62" w:name="_Toc379653472"/>
      <w:bookmarkStart w:id="63" w:name="_Toc412534598"/>
      <w:r w:rsidRPr="00D20962">
        <w:rPr>
          <w:b/>
          <w:lang w:val="en-GB"/>
        </w:rPr>
        <w:lastRenderedPageBreak/>
        <w:t xml:space="preserve">Table </w:t>
      </w:r>
      <w:r w:rsidRPr="00D20962">
        <w:rPr>
          <w:b/>
          <w:lang w:val="en-GB"/>
        </w:rPr>
        <w:fldChar w:fldCharType="begin"/>
      </w:r>
      <w:r w:rsidRPr="00D20962">
        <w:rPr>
          <w:b/>
          <w:lang w:val="en-GB"/>
        </w:rPr>
        <w:instrText xml:space="preserve"> SEQ Table \* ARABIC </w:instrText>
      </w:r>
      <w:r w:rsidRPr="00D20962">
        <w:rPr>
          <w:b/>
          <w:lang w:val="en-GB"/>
        </w:rPr>
        <w:fldChar w:fldCharType="separate"/>
      </w:r>
      <w:r w:rsidR="004A0A8F">
        <w:rPr>
          <w:b/>
          <w:noProof/>
          <w:lang w:val="en-GB"/>
        </w:rPr>
        <w:t>26</w:t>
      </w:r>
      <w:r w:rsidRPr="00D20962">
        <w:rPr>
          <w:b/>
          <w:lang w:val="en-GB"/>
        </w:rPr>
        <w:fldChar w:fldCharType="end"/>
      </w:r>
      <w:bookmarkEnd w:id="61"/>
      <w:r w:rsidRPr="00D20962">
        <w:rPr>
          <w:b/>
          <w:lang w:val="en-AU"/>
        </w:rPr>
        <w:t>: Program Oversight key findings and recommendations</w:t>
      </w:r>
      <w:bookmarkEnd w:id="62"/>
      <w:bookmarkEnd w:id="63"/>
    </w:p>
    <w:p w:rsidR="00D20962" w:rsidRPr="00D20962" w:rsidRDefault="00D20962" w:rsidP="00D20962">
      <w:pPr>
        <w:rPr>
          <w:lang w:val="en-AU"/>
        </w:rPr>
      </w:pPr>
    </w:p>
    <w:tbl>
      <w:tblPr>
        <w:tblStyle w:val="TableGrid3511"/>
        <w:tblW w:w="5000" w:type="pct"/>
        <w:tblCellMar>
          <w:top w:w="108" w:type="dxa"/>
          <w:bottom w:w="108" w:type="dxa"/>
        </w:tblCellMar>
        <w:tblLook w:val="04A0" w:firstRow="1" w:lastRow="0" w:firstColumn="1" w:lastColumn="0" w:noHBand="0" w:noVBand="1"/>
      </w:tblPr>
      <w:tblGrid>
        <w:gridCol w:w="4644"/>
        <w:gridCol w:w="5122"/>
        <w:gridCol w:w="964"/>
        <w:gridCol w:w="3444"/>
      </w:tblGrid>
      <w:tr w:rsidR="00D20962" w:rsidRPr="00D20962" w:rsidTr="00D20962">
        <w:trPr>
          <w:trHeight w:val="567"/>
          <w:tblHeader/>
        </w:trPr>
        <w:tc>
          <w:tcPr>
            <w:tcW w:w="1638"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jc w:val="center"/>
              <w:rPr>
                <w:rFonts w:asciiTheme="minorHAnsi" w:eastAsia="Times New Roman" w:hAnsiTheme="minorHAnsi" w:cstheme="minorHAnsi"/>
                <w:b/>
                <w:color w:val="FFFFFF" w:themeColor="background1"/>
                <w:sz w:val="20"/>
                <w:szCs w:val="20"/>
                <w:lang w:val="en-AU"/>
              </w:rPr>
            </w:pPr>
            <w:r w:rsidRPr="00D20962">
              <w:rPr>
                <w:rFonts w:asciiTheme="minorHAnsi" w:eastAsia="Times New Roman" w:hAnsiTheme="minorHAnsi" w:cstheme="minorHAnsi"/>
                <w:b/>
                <w:color w:val="FFFFFF" w:themeColor="background1"/>
                <w:sz w:val="20"/>
                <w:szCs w:val="20"/>
                <w:lang w:val="en-AU"/>
              </w:rPr>
              <w:t>Finding</w:t>
            </w:r>
          </w:p>
        </w:tc>
        <w:tc>
          <w:tcPr>
            <w:tcW w:w="1807"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jc w:val="center"/>
              <w:rPr>
                <w:rFonts w:asciiTheme="minorHAnsi" w:eastAsia="Times New Roman" w:hAnsiTheme="minorHAnsi" w:cstheme="minorHAnsi"/>
                <w:b/>
                <w:color w:val="FFFFFF" w:themeColor="background1"/>
                <w:sz w:val="20"/>
                <w:szCs w:val="20"/>
                <w:lang w:val="en-AU"/>
              </w:rPr>
            </w:pPr>
            <w:r w:rsidRPr="00D20962">
              <w:rPr>
                <w:rFonts w:asciiTheme="minorHAnsi" w:eastAsia="Times New Roman" w:hAnsiTheme="minorHAnsi" w:cstheme="minorHAnsi"/>
                <w:b/>
                <w:color w:val="FFFFFF" w:themeColor="background1"/>
                <w:sz w:val="20"/>
                <w:szCs w:val="20"/>
                <w:lang w:val="en-AU"/>
              </w:rPr>
              <w:t>Recommendations</w:t>
            </w:r>
          </w:p>
        </w:tc>
        <w:tc>
          <w:tcPr>
            <w:tcW w:w="340"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jc w:val="center"/>
              <w:rPr>
                <w:rFonts w:asciiTheme="minorHAnsi" w:eastAsia="Times New Roman" w:hAnsiTheme="minorHAnsi" w:cstheme="minorHAnsi"/>
                <w:b/>
                <w:color w:val="FFFFFF" w:themeColor="background1"/>
                <w:sz w:val="20"/>
                <w:szCs w:val="20"/>
                <w:lang w:val="en-AU"/>
              </w:rPr>
            </w:pPr>
            <w:r w:rsidRPr="00D20962">
              <w:rPr>
                <w:rFonts w:asciiTheme="minorHAnsi" w:eastAsia="Times New Roman" w:hAnsiTheme="minorHAnsi" w:cstheme="minorHAnsi"/>
                <w:b/>
                <w:color w:val="FFFFFF" w:themeColor="background1"/>
                <w:sz w:val="20"/>
                <w:szCs w:val="20"/>
                <w:lang w:val="en-AU"/>
              </w:rPr>
              <w:t>Level of urgency</w:t>
            </w:r>
          </w:p>
        </w:tc>
        <w:tc>
          <w:tcPr>
            <w:tcW w:w="1215" w:type="pct"/>
            <w:tcBorders>
              <w:bottom w:val="single" w:sz="4" w:space="0" w:color="auto"/>
            </w:tcBorders>
            <w:shd w:val="clear" w:color="auto" w:fill="244061" w:themeFill="accent1" w:themeFillShade="80"/>
            <w:vAlign w:val="center"/>
          </w:tcPr>
          <w:p w:rsidR="00D20962" w:rsidRPr="00D20962" w:rsidRDefault="00D20962" w:rsidP="00D20962">
            <w:pPr>
              <w:spacing w:before="120" w:after="120"/>
              <w:jc w:val="center"/>
              <w:rPr>
                <w:rFonts w:asciiTheme="minorHAnsi" w:eastAsia="Times New Roman" w:hAnsiTheme="minorHAnsi" w:cstheme="minorHAnsi"/>
                <w:b/>
                <w:color w:val="FFFFFF" w:themeColor="background1"/>
                <w:sz w:val="20"/>
                <w:szCs w:val="20"/>
                <w:lang w:val="en-AU"/>
              </w:rPr>
            </w:pPr>
            <w:r w:rsidRPr="00D20962">
              <w:rPr>
                <w:rFonts w:asciiTheme="minorHAnsi" w:eastAsia="Times New Roman" w:hAnsiTheme="minorHAnsi" w:cstheme="minorHAnsi"/>
                <w:b/>
                <w:color w:val="FFFFFF" w:themeColor="background1"/>
                <w:sz w:val="20"/>
                <w:szCs w:val="20"/>
                <w:lang w:val="en-AU"/>
              </w:rPr>
              <w:t>Prime Responsibility</w:t>
            </w:r>
          </w:p>
        </w:tc>
      </w:tr>
      <w:tr w:rsidR="00D20962" w:rsidRPr="00D20962" w:rsidTr="00D20962">
        <w:trPr>
          <w:trHeight w:val="758"/>
        </w:trPr>
        <w:tc>
          <w:tcPr>
            <w:tcW w:w="1638" w:type="pct"/>
            <w:vMerge w:val="restart"/>
            <w:shd w:val="clear" w:color="auto" w:fill="FFFFFF" w:themeFill="background1"/>
            <w:vAlign w:val="center"/>
          </w:tcPr>
          <w:p w:rsidR="00D20962" w:rsidRPr="00D20962" w:rsidRDefault="00D20962" w:rsidP="00D20962">
            <w:pPr>
              <w:rPr>
                <w:rFonts w:asciiTheme="minorHAnsi" w:eastAsia="Times New Roman" w:hAnsiTheme="minorHAnsi" w:cs="Calibri"/>
                <w:sz w:val="20"/>
                <w:szCs w:val="20"/>
                <w:lang w:val="en-AU"/>
              </w:rPr>
            </w:pPr>
            <w:r w:rsidRPr="00D20962">
              <w:rPr>
                <w:rFonts w:asciiTheme="minorHAnsi" w:eastAsia="Times New Roman" w:hAnsiTheme="minorHAnsi" w:cs="Calibri"/>
                <w:sz w:val="20"/>
                <w:szCs w:val="20"/>
                <w:lang w:val="en-AU"/>
              </w:rPr>
              <w:t xml:space="preserve">There is considerable time left on the EP and an estimated AUD 250 million to be committed. There is ample opportunity to maximize the investment made and to build on the foundations laid to date </w:t>
            </w:r>
            <w:r w:rsidRPr="00D20962">
              <w:rPr>
                <w:sz w:val="20"/>
                <w:szCs w:val="20"/>
                <w:lang w:val="en-AU"/>
              </w:rPr>
              <w:t>(see §6.3.2)</w:t>
            </w:r>
            <w:r w:rsidRPr="00D20962">
              <w:rPr>
                <w:rFonts w:asciiTheme="minorHAnsi" w:eastAsia="Times New Roman" w:hAnsiTheme="minorHAnsi" w:cs="Calibri"/>
                <w:sz w:val="20"/>
                <w:szCs w:val="20"/>
                <w:lang w:val="en-AU"/>
              </w:rPr>
              <w:t>.</w:t>
            </w:r>
          </w:p>
        </w:tc>
        <w:tc>
          <w:tcPr>
            <w:tcW w:w="1807" w:type="pct"/>
            <w:shd w:val="clear" w:color="auto" w:fill="FFFFFF" w:themeFill="background1"/>
          </w:tcPr>
          <w:p w:rsidR="00D20962" w:rsidRPr="00D20962" w:rsidRDefault="00D20962" w:rsidP="00D20962">
            <w:pPr>
              <w:spacing w:before="120" w:after="120"/>
              <w:ind w:left="459" w:hanging="450"/>
              <w:rPr>
                <w:rFonts w:asciiTheme="minorHAnsi" w:eastAsia="Times New Roman" w:hAnsiTheme="minorHAnsi" w:cs="Calibri"/>
                <w:sz w:val="20"/>
                <w:szCs w:val="20"/>
                <w:lang w:val="en-AU"/>
              </w:rPr>
            </w:pPr>
            <w:r w:rsidRPr="00D20962">
              <w:rPr>
                <w:rFonts w:asciiTheme="minorHAnsi" w:eastAsia="Times New Roman" w:hAnsiTheme="minorHAnsi" w:cs="Calibri"/>
                <w:sz w:val="20"/>
                <w:szCs w:val="20"/>
                <w:lang w:val="en-AU"/>
              </w:rPr>
              <w:t>R22</w:t>
            </w:r>
            <w:r w:rsidRPr="00D20962">
              <w:rPr>
                <w:rFonts w:asciiTheme="minorHAnsi" w:eastAsia="Times New Roman" w:hAnsiTheme="minorHAnsi" w:cs="Calibri"/>
                <w:sz w:val="20"/>
                <w:szCs w:val="20"/>
                <w:lang w:val="en-AU"/>
              </w:rPr>
              <w:tab/>
              <w:t xml:space="preserve">EP managers should identify and agree upon key strategies for the realisation of </w:t>
            </w:r>
            <w:r w:rsidRPr="00D20962">
              <w:rPr>
                <w:sz w:val="20"/>
                <w:szCs w:val="20"/>
                <w:lang w:val="en-AU"/>
              </w:rPr>
              <w:t>EP</w:t>
            </w:r>
            <w:r w:rsidRPr="00D20962">
              <w:rPr>
                <w:rFonts w:asciiTheme="minorHAnsi" w:eastAsia="Times New Roman" w:hAnsiTheme="minorHAnsi" w:cs="Calibri"/>
                <w:sz w:val="20"/>
                <w:szCs w:val="20"/>
                <w:lang w:val="en-AU"/>
              </w:rPr>
              <w:t xml:space="preserve"> EOPOs and ensure that EP workplans align with key strategies. </w:t>
            </w:r>
          </w:p>
        </w:tc>
        <w:tc>
          <w:tcPr>
            <w:tcW w:w="340" w:type="pct"/>
            <w:tcBorders>
              <w:bottom w:val="single" w:sz="4" w:space="0" w:color="auto"/>
            </w:tcBorders>
            <w:shd w:val="clear" w:color="auto" w:fill="FF0000"/>
            <w:vAlign w:val="center"/>
          </w:tcPr>
          <w:p w:rsidR="00D20962" w:rsidRPr="00D20962" w:rsidRDefault="00D20962" w:rsidP="00D20962">
            <w:pPr>
              <w:jc w:val="center"/>
              <w:rPr>
                <w:rFonts w:eastAsia="Times New Roman" w:cs="Calibri"/>
                <w:sz w:val="20"/>
                <w:szCs w:val="20"/>
                <w:lang w:val="en-AU"/>
              </w:rPr>
            </w:pPr>
            <w:r w:rsidRPr="00D20962">
              <w:rPr>
                <w:rFonts w:eastAsia="Times New Roman" w:cs="Calibri"/>
                <w:sz w:val="20"/>
                <w:szCs w:val="20"/>
                <w:lang w:val="en-AU"/>
              </w:rPr>
              <w:t>***</w:t>
            </w:r>
          </w:p>
        </w:tc>
        <w:tc>
          <w:tcPr>
            <w:tcW w:w="1215" w:type="pct"/>
          </w:tcPr>
          <w:p w:rsidR="00D20962" w:rsidRPr="00D20962" w:rsidRDefault="00D20962" w:rsidP="00D20962">
            <w:pPr>
              <w:rPr>
                <w:rFonts w:eastAsia="Times New Roman" w:cs="Calibri"/>
                <w:sz w:val="20"/>
                <w:szCs w:val="20"/>
                <w:lang w:val="en-AU"/>
              </w:rPr>
            </w:pPr>
            <w:r w:rsidRPr="00D20962">
              <w:rPr>
                <w:rFonts w:asciiTheme="minorHAnsi" w:eastAsia="Times New Roman" w:hAnsiTheme="minorHAnsi" w:cs="Calibri"/>
                <w:sz w:val="20"/>
                <w:szCs w:val="20"/>
                <w:lang w:val="en-AU"/>
              </w:rPr>
              <w:t>GoI and DFAT (with support from TOGs, implementing agencies, POM)</w:t>
            </w:r>
          </w:p>
        </w:tc>
      </w:tr>
      <w:tr w:rsidR="00D20962" w:rsidRPr="00D20962" w:rsidTr="00D20962">
        <w:trPr>
          <w:trHeight w:val="758"/>
        </w:trPr>
        <w:tc>
          <w:tcPr>
            <w:tcW w:w="1638" w:type="pct"/>
            <w:vMerge/>
            <w:shd w:val="clear" w:color="auto" w:fill="FFFFFF" w:themeFill="background1"/>
            <w:vAlign w:val="center"/>
          </w:tcPr>
          <w:p w:rsidR="00D20962" w:rsidRPr="00D20962" w:rsidRDefault="00D20962" w:rsidP="00D20962">
            <w:pPr>
              <w:rPr>
                <w:rFonts w:asciiTheme="minorHAnsi" w:eastAsia="Times New Roman" w:hAnsiTheme="minorHAnsi" w:cs="Calibri"/>
                <w:sz w:val="20"/>
                <w:szCs w:val="20"/>
                <w:lang w:val="en-AU"/>
              </w:rPr>
            </w:pPr>
          </w:p>
        </w:tc>
        <w:tc>
          <w:tcPr>
            <w:tcW w:w="1807" w:type="pct"/>
            <w:shd w:val="clear" w:color="auto" w:fill="FFFFFF" w:themeFill="background1"/>
          </w:tcPr>
          <w:p w:rsidR="00D20962" w:rsidRPr="00D20962" w:rsidRDefault="00D20962" w:rsidP="00D20962">
            <w:pPr>
              <w:spacing w:before="120" w:after="120"/>
              <w:ind w:left="459" w:hanging="450"/>
              <w:rPr>
                <w:rFonts w:asciiTheme="minorHAnsi" w:eastAsia="Times New Roman" w:hAnsiTheme="minorHAnsi" w:cs="Calibri"/>
                <w:sz w:val="20"/>
                <w:szCs w:val="20"/>
                <w:lang w:val="en-AU"/>
              </w:rPr>
            </w:pPr>
            <w:r w:rsidRPr="00D20962">
              <w:rPr>
                <w:rFonts w:asciiTheme="minorHAnsi" w:eastAsia="Times New Roman" w:hAnsiTheme="minorHAnsi" w:cs="Calibri"/>
                <w:sz w:val="20"/>
                <w:szCs w:val="20"/>
                <w:lang w:val="en-AU"/>
              </w:rPr>
              <w:t>R23</w:t>
            </w:r>
            <w:r w:rsidRPr="00D20962">
              <w:rPr>
                <w:rFonts w:asciiTheme="minorHAnsi" w:eastAsia="Times New Roman" w:hAnsiTheme="minorHAnsi" w:cs="Calibri"/>
                <w:sz w:val="20"/>
                <w:szCs w:val="20"/>
                <w:lang w:val="en-AU"/>
              </w:rPr>
              <w:tab/>
              <w:t xml:space="preserve">A formal mechanism to identify, review and share lessons </w:t>
            </w:r>
            <w:r w:rsidRPr="00D20962">
              <w:rPr>
                <w:sz w:val="20"/>
                <w:szCs w:val="20"/>
                <w:lang w:val="en-AU"/>
              </w:rPr>
              <w:t>learned</w:t>
            </w:r>
            <w:r w:rsidRPr="00D20962">
              <w:rPr>
                <w:rFonts w:asciiTheme="minorHAnsi" w:eastAsia="Times New Roman" w:hAnsiTheme="minorHAnsi" w:cs="Calibri"/>
                <w:sz w:val="20"/>
                <w:szCs w:val="20"/>
                <w:lang w:val="en-AU"/>
              </w:rPr>
              <w:t xml:space="preserve"> from the implementation of the EP should be established and then applied to the new AIP priorities and programs.</w:t>
            </w:r>
          </w:p>
        </w:tc>
        <w:tc>
          <w:tcPr>
            <w:tcW w:w="340" w:type="pct"/>
            <w:tcBorders>
              <w:bottom w:val="single" w:sz="4" w:space="0" w:color="auto"/>
            </w:tcBorders>
            <w:shd w:val="clear" w:color="auto" w:fill="FFC000"/>
            <w:vAlign w:val="center"/>
          </w:tcPr>
          <w:p w:rsidR="00D20962" w:rsidRPr="00D20962" w:rsidRDefault="00D20962" w:rsidP="00D20962">
            <w:pPr>
              <w:jc w:val="center"/>
              <w:rPr>
                <w:rFonts w:eastAsia="Times New Roman" w:cs="Calibri"/>
                <w:sz w:val="20"/>
                <w:szCs w:val="20"/>
                <w:lang w:val="en-AU"/>
              </w:rPr>
            </w:pPr>
            <w:r w:rsidRPr="00D20962">
              <w:rPr>
                <w:rFonts w:eastAsia="Times New Roman" w:cs="Calibri"/>
                <w:sz w:val="20"/>
                <w:szCs w:val="20"/>
                <w:lang w:val="en-AU"/>
              </w:rPr>
              <w:t>**</w:t>
            </w:r>
          </w:p>
        </w:tc>
        <w:tc>
          <w:tcPr>
            <w:tcW w:w="1215" w:type="pct"/>
          </w:tcPr>
          <w:p w:rsidR="00D20962" w:rsidRPr="00D20962" w:rsidRDefault="00D20962" w:rsidP="00D20962">
            <w:pPr>
              <w:rPr>
                <w:rFonts w:eastAsia="Times New Roman" w:cs="Calibri"/>
                <w:sz w:val="20"/>
                <w:szCs w:val="20"/>
                <w:lang w:val="en-AU"/>
              </w:rPr>
            </w:pPr>
            <w:r w:rsidRPr="00D20962">
              <w:rPr>
                <w:rFonts w:eastAsia="Times New Roman" w:cs="Calibri"/>
                <w:sz w:val="20"/>
                <w:szCs w:val="20"/>
                <w:lang w:val="en-AU"/>
              </w:rPr>
              <w:t xml:space="preserve">DFAT </w:t>
            </w:r>
          </w:p>
        </w:tc>
      </w:tr>
      <w:tr w:rsidR="00D20962" w:rsidRPr="00D20962" w:rsidTr="00D20962">
        <w:trPr>
          <w:trHeight w:val="646"/>
        </w:trPr>
        <w:tc>
          <w:tcPr>
            <w:tcW w:w="1638" w:type="pct"/>
            <w:vMerge/>
            <w:shd w:val="clear" w:color="auto" w:fill="FFFFFF" w:themeFill="background1"/>
            <w:vAlign w:val="center"/>
          </w:tcPr>
          <w:p w:rsidR="00D20962" w:rsidRPr="00D20962" w:rsidRDefault="00D20962" w:rsidP="00D20962">
            <w:pPr>
              <w:rPr>
                <w:rFonts w:asciiTheme="minorHAnsi" w:eastAsia="Times New Roman" w:hAnsiTheme="minorHAnsi" w:cs="Calibri"/>
                <w:sz w:val="20"/>
                <w:szCs w:val="20"/>
                <w:lang w:val="en-AU"/>
              </w:rPr>
            </w:pPr>
          </w:p>
        </w:tc>
        <w:tc>
          <w:tcPr>
            <w:tcW w:w="1807" w:type="pct"/>
            <w:shd w:val="clear" w:color="auto" w:fill="FFFFFF" w:themeFill="background1"/>
          </w:tcPr>
          <w:p w:rsidR="00D20962" w:rsidRPr="00D20962" w:rsidRDefault="00D20962" w:rsidP="00D20962">
            <w:pPr>
              <w:spacing w:before="120" w:after="120"/>
              <w:ind w:left="459" w:hanging="450"/>
              <w:rPr>
                <w:rFonts w:asciiTheme="minorHAnsi" w:eastAsia="Times New Roman" w:hAnsiTheme="minorHAnsi" w:cs="Calibri"/>
                <w:sz w:val="20"/>
                <w:szCs w:val="20"/>
                <w:lang w:val="en-AU"/>
              </w:rPr>
            </w:pPr>
            <w:r w:rsidRPr="00D20962">
              <w:rPr>
                <w:rFonts w:asciiTheme="minorHAnsi" w:eastAsia="Times New Roman" w:hAnsiTheme="minorHAnsi" w:cs="Calibri"/>
                <w:sz w:val="20"/>
                <w:szCs w:val="20"/>
                <w:lang w:val="en-AU"/>
              </w:rPr>
              <w:t>R24</w:t>
            </w:r>
            <w:r w:rsidRPr="00D20962">
              <w:rPr>
                <w:rFonts w:asciiTheme="minorHAnsi" w:eastAsia="Times New Roman" w:hAnsiTheme="minorHAnsi" w:cs="Calibri"/>
                <w:sz w:val="20"/>
                <w:szCs w:val="20"/>
                <w:lang w:val="en-AU"/>
              </w:rPr>
              <w:tab/>
              <w:t xml:space="preserve">EP managers should identify and maximise cross-component </w:t>
            </w:r>
            <w:r w:rsidRPr="00D20962">
              <w:rPr>
                <w:sz w:val="20"/>
                <w:szCs w:val="20"/>
                <w:lang w:val="en-AU"/>
              </w:rPr>
              <w:t>synergies</w:t>
            </w:r>
            <w:r w:rsidRPr="00D20962">
              <w:rPr>
                <w:rFonts w:asciiTheme="minorHAnsi" w:eastAsia="Times New Roman" w:hAnsiTheme="minorHAnsi" w:cs="Calibri"/>
                <w:sz w:val="20"/>
                <w:szCs w:val="20"/>
                <w:lang w:val="en-AU"/>
              </w:rPr>
              <w:t xml:space="preserve"> through stronger EP portfolio management.</w:t>
            </w:r>
          </w:p>
        </w:tc>
        <w:tc>
          <w:tcPr>
            <w:tcW w:w="340" w:type="pct"/>
            <w:shd w:val="clear" w:color="auto" w:fill="FFC000"/>
            <w:vAlign w:val="center"/>
          </w:tcPr>
          <w:p w:rsidR="00D20962" w:rsidRPr="00D20962" w:rsidRDefault="00D20962" w:rsidP="00D20962">
            <w:pPr>
              <w:jc w:val="center"/>
              <w:rPr>
                <w:rFonts w:eastAsia="Times New Roman" w:cs="Calibri"/>
                <w:sz w:val="20"/>
                <w:szCs w:val="20"/>
                <w:lang w:val="en-AU"/>
              </w:rPr>
            </w:pPr>
            <w:r w:rsidRPr="00D20962">
              <w:rPr>
                <w:rFonts w:eastAsia="Times New Roman" w:cs="Calibri"/>
                <w:sz w:val="20"/>
                <w:szCs w:val="20"/>
                <w:lang w:val="en-AU"/>
              </w:rPr>
              <w:t>**</w:t>
            </w:r>
          </w:p>
        </w:tc>
        <w:tc>
          <w:tcPr>
            <w:tcW w:w="1215" w:type="pct"/>
          </w:tcPr>
          <w:p w:rsidR="00D20962" w:rsidRPr="00D20962" w:rsidRDefault="00D20962" w:rsidP="00D20962">
            <w:pPr>
              <w:rPr>
                <w:rFonts w:eastAsia="Times New Roman" w:cs="Calibri"/>
                <w:sz w:val="20"/>
                <w:szCs w:val="20"/>
                <w:lang w:val="en-AU"/>
              </w:rPr>
            </w:pPr>
            <w:r w:rsidRPr="00D20962">
              <w:rPr>
                <w:rFonts w:eastAsia="Times New Roman" w:cs="Calibri"/>
                <w:sz w:val="20"/>
                <w:szCs w:val="20"/>
                <w:lang w:val="en-AU"/>
              </w:rPr>
              <w:t>GoI and DFAT</w:t>
            </w:r>
          </w:p>
        </w:tc>
      </w:tr>
      <w:tr w:rsidR="00D20962" w:rsidRPr="00D20962" w:rsidTr="00D20962">
        <w:trPr>
          <w:trHeight w:val="624"/>
        </w:trPr>
        <w:tc>
          <w:tcPr>
            <w:tcW w:w="1638" w:type="pct"/>
            <w:vMerge/>
            <w:shd w:val="clear" w:color="auto" w:fill="FFFFFF" w:themeFill="background1"/>
            <w:vAlign w:val="center"/>
          </w:tcPr>
          <w:p w:rsidR="00D20962" w:rsidRPr="00D20962" w:rsidRDefault="00D20962" w:rsidP="00D20962">
            <w:pPr>
              <w:rPr>
                <w:rFonts w:asciiTheme="minorHAnsi" w:eastAsia="Times New Roman" w:hAnsiTheme="minorHAnsi" w:cs="Calibri"/>
                <w:sz w:val="20"/>
                <w:szCs w:val="20"/>
                <w:lang w:val="en-AU"/>
              </w:rPr>
            </w:pPr>
          </w:p>
        </w:tc>
        <w:tc>
          <w:tcPr>
            <w:tcW w:w="1807" w:type="pct"/>
            <w:shd w:val="clear" w:color="auto" w:fill="FFFFFF" w:themeFill="background1"/>
          </w:tcPr>
          <w:p w:rsidR="00D20962" w:rsidRPr="00D20962" w:rsidRDefault="00D20962" w:rsidP="00D20962">
            <w:pPr>
              <w:spacing w:before="120" w:after="120"/>
              <w:ind w:left="459" w:hanging="450"/>
              <w:rPr>
                <w:rFonts w:asciiTheme="minorHAnsi" w:eastAsia="Times New Roman" w:hAnsiTheme="minorHAnsi" w:cs="Calibri"/>
                <w:sz w:val="20"/>
                <w:szCs w:val="20"/>
                <w:lang w:val="en-AU"/>
              </w:rPr>
            </w:pPr>
            <w:r w:rsidRPr="00D20962">
              <w:rPr>
                <w:rFonts w:asciiTheme="minorHAnsi" w:eastAsia="Times New Roman" w:hAnsiTheme="minorHAnsi" w:cs="Calibri"/>
                <w:sz w:val="20"/>
                <w:szCs w:val="20"/>
                <w:lang w:val="en-AU"/>
              </w:rPr>
              <w:t>R25</w:t>
            </w:r>
            <w:r w:rsidRPr="00D20962">
              <w:rPr>
                <w:rFonts w:asciiTheme="minorHAnsi" w:eastAsia="Times New Roman" w:hAnsiTheme="minorHAnsi" w:cs="Calibri"/>
                <w:sz w:val="20"/>
                <w:szCs w:val="20"/>
                <w:lang w:val="en-AU"/>
              </w:rPr>
              <w:tab/>
              <w:t xml:space="preserve">Institutional partners, with the support of implementing partners, should define a clear strategy that explains how the EP </w:t>
            </w:r>
            <w:r w:rsidRPr="00D20962">
              <w:rPr>
                <w:sz w:val="20"/>
                <w:szCs w:val="20"/>
                <w:lang w:val="en-AU"/>
              </w:rPr>
              <w:t>translates</w:t>
            </w:r>
            <w:r w:rsidRPr="00D20962">
              <w:rPr>
                <w:rFonts w:asciiTheme="minorHAnsi" w:eastAsia="Times New Roman" w:hAnsiTheme="minorHAnsi" w:cs="Calibri"/>
                <w:sz w:val="20"/>
                <w:szCs w:val="20"/>
                <w:lang w:val="en-AU"/>
              </w:rPr>
              <w:t xml:space="preserve"> DFAT’s and GoI’s policies on equity and equality into action.</w:t>
            </w:r>
          </w:p>
        </w:tc>
        <w:tc>
          <w:tcPr>
            <w:tcW w:w="340" w:type="pct"/>
            <w:tcBorders>
              <w:bottom w:val="single" w:sz="4" w:space="0" w:color="auto"/>
            </w:tcBorders>
            <w:shd w:val="clear" w:color="auto" w:fill="FF0000"/>
            <w:vAlign w:val="center"/>
          </w:tcPr>
          <w:p w:rsidR="00D20962" w:rsidRPr="00D20962" w:rsidRDefault="00D20962" w:rsidP="00D20962">
            <w:pPr>
              <w:jc w:val="center"/>
              <w:rPr>
                <w:rFonts w:eastAsia="Times New Roman" w:cs="Calibri"/>
                <w:sz w:val="20"/>
                <w:szCs w:val="20"/>
                <w:lang w:val="en-AU"/>
              </w:rPr>
            </w:pPr>
            <w:r w:rsidRPr="00D20962">
              <w:rPr>
                <w:rFonts w:eastAsia="Times New Roman" w:cs="Calibri"/>
                <w:sz w:val="20"/>
                <w:szCs w:val="20"/>
                <w:lang w:val="en-AU"/>
              </w:rPr>
              <w:t>***</w:t>
            </w:r>
          </w:p>
        </w:tc>
        <w:tc>
          <w:tcPr>
            <w:tcW w:w="1215" w:type="pct"/>
          </w:tcPr>
          <w:p w:rsidR="00D20962" w:rsidRPr="00D20962" w:rsidRDefault="00D20962" w:rsidP="00D20962">
            <w:pPr>
              <w:rPr>
                <w:rFonts w:eastAsia="Times New Roman" w:cs="Calibri"/>
                <w:sz w:val="20"/>
                <w:szCs w:val="20"/>
                <w:lang w:val="en-AU"/>
              </w:rPr>
            </w:pPr>
            <w:r w:rsidRPr="00D20962">
              <w:rPr>
                <w:rFonts w:eastAsia="Times New Roman" w:cs="Calibri"/>
                <w:sz w:val="20"/>
                <w:szCs w:val="20"/>
                <w:lang w:val="en-AU"/>
              </w:rPr>
              <w:t>DFAT and GoI (with support from SSQ and POM)</w:t>
            </w:r>
          </w:p>
        </w:tc>
      </w:tr>
      <w:tr w:rsidR="00D20962" w:rsidRPr="00D20962" w:rsidTr="00D20962">
        <w:trPr>
          <w:trHeight w:val="758"/>
        </w:trPr>
        <w:tc>
          <w:tcPr>
            <w:tcW w:w="1638" w:type="pct"/>
            <w:shd w:val="clear" w:color="auto" w:fill="FFFFFF" w:themeFill="background1"/>
            <w:vAlign w:val="center"/>
          </w:tcPr>
          <w:p w:rsidR="00D20962" w:rsidRPr="00D20962" w:rsidRDefault="00D20962" w:rsidP="00D20962">
            <w:pPr>
              <w:rPr>
                <w:rFonts w:eastAsia="Times New Roman" w:cs="Calibri"/>
                <w:sz w:val="20"/>
                <w:szCs w:val="20"/>
                <w:lang w:val="en-AU"/>
              </w:rPr>
            </w:pPr>
            <w:r w:rsidRPr="00D20962">
              <w:rPr>
                <w:rFonts w:eastAsia="Times New Roman" w:cs="Calibri"/>
                <w:sz w:val="20"/>
                <w:szCs w:val="20"/>
                <w:lang w:val="en-AU"/>
              </w:rPr>
              <w:t xml:space="preserve">Stronger articulation of the EP’s aspiration with regards to social inclusion has become critical </w:t>
            </w:r>
            <w:r w:rsidRPr="00D20962">
              <w:rPr>
                <w:sz w:val="20"/>
                <w:szCs w:val="20"/>
                <w:lang w:val="en-AU"/>
              </w:rPr>
              <w:t>(see §6.3.4)</w:t>
            </w:r>
            <w:r w:rsidRPr="00D20962">
              <w:rPr>
                <w:rFonts w:eastAsia="Times New Roman" w:cs="Calibri"/>
                <w:sz w:val="20"/>
                <w:szCs w:val="20"/>
                <w:lang w:val="en-AU"/>
              </w:rPr>
              <w:t>.</w:t>
            </w:r>
          </w:p>
        </w:tc>
        <w:tc>
          <w:tcPr>
            <w:tcW w:w="1807" w:type="pct"/>
            <w:shd w:val="clear" w:color="auto" w:fill="FFFFFF" w:themeFill="background1"/>
          </w:tcPr>
          <w:p w:rsidR="00D20962" w:rsidRPr="00D20962" w:rsidRDefault="00D20962" w:rsidP="00D20962">
            <w:pPr>
              <w:spacing w:before="120" w:after="120"/>
              <w:ind w:left="459" w:hanging="450"/>
              <w:rPr>
                <w:rFonts w:asciiTheme="minorHAnsi" w:eastAsia="Times New Roman" w:hAnsiTheme="minorHAnsi" w:cs="Calibri"/>
                <w:sz w:val="20"/>
                <w:szCs w:val="20"/>
                <w:lang w:val="en-AU"/>
              </w:rPr>
            </w:pPr>
            <w:r w:rsidRPr="00D20962">
              <w:rPr>
                <w:rFonts w:asciiTheme="minorHAnsi" w:eastAsia="Times New Roman" w:hAnsiTheme="minorHAnsi" w:cs="Calibri"/>
                <w:sz w:val="20"/>
                <w:szCs w:val="20"/>
                <w:lang w:val="en-AU"/>
              </w:rPr>
              <w:t>R26</w:t>
            </w:r>
            <w:r w:rsidRPr="00D20962">
              <w:rPr>
                <w:rFonts w:asciiTheme="minorHAnsi" w:eastAsia="Times New Roman" w:hAnsiTheme="minorHAnsi" w:cs="Calibri"/>
                <w:sz w:val="20"/>
                <w:szCs w:val="20"/>
                <w:lang w:val="en-AU"/>
              </w:rPr>
              <w:tab/>
              <w:t xml:space="preserve">Institutional partners, with the support of implementing partners where </w:t>
            </w:r>
            <w:r w:rsidRPr="00D20962">
              <w:rPr>
                <w:sz w:val="20"/>
                <w:szCs w:val="20"/>
                <w:lang w:val="en-AU"/>
              </w:rPr>
              <w:t>appropriate</w:t>
            </w:r>
            <w:r w:rsidRPr="00D20962">
              <w:rPr>
                <w:rFonts w:asciiTheme="minorHAnsi" w:eastAsia="Times New Roman" w:hAnsiTheme="minorHAnsi" w:cs="Calibri"/>
                <w:sz w:val="20"/>
                <w:szCs w:val="20"/>
                <w:lang w:val="en-AU"/>
              </w:rPr>
              <w:t>, should identify relevant social inclusion indicators, milestones and targets for incorporation into the Performance Milestone Framework.</w:t>
            </w:r>
          </w:p>
        </w:tc>
        <w:tc>
          <w:tcPr>
            <w:tcW w:w="340" w:type="pct"/>
            <w:tcBorders>
              <w:bottom w:val="single" w:sz="4" w:space="0" w:color="auto"/>
            </w:tcBorders>
            <w:shd w:val="clear" w:color="auto" w:fill="FF0000"/>
            <w:vAlign w:val="center"/>
          </w:tcPr>
          <w:p w:rsidR="00D20962" w:rsidRPr="00D20962" w:rsidRDefault="00D20962" w:rsidP="00D20962">
            <w:pPr>
              <w:spacing w:before="60" w:after="60"/>
              <w:jc w:val="center"/>
              <w:rPr>
                <w:rFonts w:eastAsia="Times New Roman" w:cs="Calibri"/>
                <w:sz w:val="20"/>
                <w:szCs w:val="20"/>
                <w:lang w:val="en-AU"/>
              </w:rPr>
            </w:pPr>
            <w:r w:rsidRPr="00D20962">
              <w:rPr>
                <w:rFonts w:eastAsia="Times New Roman" w:cs="Calibri"/>
                <w:sz w:val="20"/>
                <w:szCs w:val="20"/>
                <w:lang w:val="en-AU"/>
              </w:rPr>
              <w:t>***</w:t>
            </w:r>
          </w:p>
        </w:tc>
        <w:tc>
          <w:tcPr>
            <w:tcW w:w="1215" w:type="pct"/>
          </w:tcPr>
          <w:p w:rsidR="00D20962" w:rsidRPr="00D20962" w:rsidRDefault="00D20962" w:rsidP="00D20962">
            <w:pPr>
              <w:spacing w:before="60" w:after="60"/>
              <w:rPr>
                <w:rFonts w:eastAsia="Times New Roman" w:cs="Calibri"/>
                <w:sz w:val="20"/>
                <w:szCs w:val="20"/>
                <w:lang w:val="en-AU"/>
              </w:rPr>
            </w:pPr>
            <w:r w:rsidRPr="00D20962">
              <w:rPr>
                <w:rFonts w:eastAsia="Times New Roman" w:cs="Calibri"/>
                <w:sz w:val="20"/>
                <w:szCs w:val="20"/>
                <w:lang w:val="en-AU"/>
              </w:rPr>
              <w:t>DFAT and GoI (with support from SSQ and POM)</w:t>
            </w:r>
          </w:p>
        </w:tc>
      </w:tr>
      <w:tr w:rsidR="00D20962" w:rsidRPr="00D20962" w:rsidTr="00D20962">
        <w:trPr>
          <w:trHeight w:val="567"/>
        </w:trPr>
        <w:tc>
          <w:tcPr>
            <w:tcW w:w="1638" w:type="pct"/>
            <w:vMerge w:val="restart"/>
            <w:shd w:val="clear" w:color="auto" w:fill="FFFFFF" w:themeFill="background1"/>
            <w:vAlign w:val="center"/>
          </w:tcPr>
          <w:p w:rsidR="00D20962" w:rsidRPr="00D20962" w:rsidRDefault="00D20962" w:rsidP="00D20962">
            <w:pPr>
              <w:rPr>
                <w:rFonts w:eastAsia="Times New Roman" w:cs="Calibri"/>
                <w:sz w:val="20"/>
                <w:szCs w:val="20"/>
                <w:lang w:val="en-AU"/>
              </w:rPr>
            </w:pPr>
            <w:r w:rsidRPr="00D20962">
              <w:rPr>
                <w:rFonts w:eastAsia="Times New Roman" w:cs="Calibri"/>
                <w:sz w:val="20"/>
                <w:szCs w:val="20"/>
                <w:lang w:val="en-AU"/>
              </w:rPr>
              <w:lastRenderedPageBreak/>
              <w:t xml:space="preserve">Whilst the EP design restricts cross-cutting objectives to gender and disability, POM believes that the EP managers remain responsible for aligning the program with the evolving development agenda </w:t>
            </w:r>
            <w:r w:rsidRPr="00D20962">
              <w:rPr>
                <w:sz w:val="20"/>
                <w:szCs w:val="20"/>
                <w:lang w:val="en-AU"/>
              </w:rPr>
              <w:t>(see §6.3.4)</w:t>
            </w:r>
            <w:r w:rsidRPr="00D20962">
              <w:rPr>
                <w:rFonts w:eastAsia="Times New Roman" w:cs="Calibri"/>
                <w:sz w:val="20"/>
                <w:szCs w:val="20"/>
                <w:lang w:val="en-AU"/>
              </w:rPr>
              <w:t>.</w:t>
            </w:r>
          </w:p>
        </w:tc>
        <w:tc>
          <w:tcPr>
            <w:tcW w:w="1807" w:type="pct"/>
            <w:tcBorders>
              <w:bottom w:val="single" w:sz="4" w:space="0" w:color="auto"/>
            </w:tcBorders>
            <w:shd w:val="clear" w:color="auto" w:fill="FFFFFF" w:themeFill="background1"/>
          </w:tcPr>
          <w:p w:rsidR="00D20962" w:rsidRPr="00D20962" w:rsidRDefault="00D20962" w:rsidP="00D20962">
            <w:pPr>
              <w:spacing w:before="120" w:after="120"/>
              <w:ind w:left="459" w:hanging="450"/>
              <w:rPr>
                <w:rFonts w:asciiTheme="minorHAnsi" w:eastAsia="Times New Roman" w:hAnsiTheme="minorHAnsi" w:cs="Calibri"/>
                <w:sz w:val="20"/>
                <w:szCs w:val="20"/>
                <w:lang w:val="en-AU"/>
              </w:rPr>
            </w:pPr>
            <w:r w:rsidRPr="00D20962">
              <w:rPr>
                <w:rFonts w:asciiTheme="minorHAnsi" w:eastAsia="Times New Roman" w:hAnsiTheme="minorHAnsi" w:cs="Calibri"/>
                <w:sz w:val="20"/>
                <w:szCs w:val="20"/>
                <w:lang w:val="en-AU"/>
              </w:rPr>
              <w:t>R27</w:t>
            </w:r>
            <w:r w:rsidRPr="00D20962">
              <w:rPr>
                <w:rFonts w:asciiTheme="minorHAnsi" w:eastAsia="Times New Roman" w:hAnsiTheme="minorHAnsi" w:cs="Calibri"/>
                <w:sz w:val="20"/>
                <w:szCs w:val="20"/>
                <w:lang w:val="en-AU"/>
              </w:rPr>
              <w:tab/>
              <w:t xml:space="preserve">EP managers should develop an action plan identifying adjustments required to the EP to respond to the development </w:t>
            </w:r>
            <w:r w:rsidRPr="00D20962">
              <w:rPr>
                <w:sz w:val="20"/>
                <w:szCs w:val="20"/>
                <w:lang w:val="en-AU"/>
              </w:rPr>
              <w:t>principles</w:t>
            </w:r>
            <w:r w:rsidRPr="00D20962">
              <w:rPr>
                <w:rFonts w:asciiTheme="minorHAnsi" w:eastAsia="Times New Roman" w:hAnsiTheme="minorHAnsi" w:cs="Calibri"/>
                <w:sz w:val="20"/>
                <w:szCs w:val="20"/>
                <w:lang w:val="en-AU"/>
              </w:rPr>
              <w:t xml:space="preserve"> articulated within Australia’s “new aid paradigm”.</w:t>
            </w:r>
          </w:p>
        </w:tc>
        <w:tc>
          <w:tcPr>
            <w:tcW w:w="340" w:type="pct"/>
            <w:tcBorders>
              <w:bottom w:val="single" w:sz="4" w:space="0" w:color="auto"/>
            </w:tcBorders>
            <w:shd w:val="clear" w:color="auto" w:fill="FFC000"/>
            <w:vAlign w:val="center"/>
          </w:tcPr>
          <w:p w:rsidR="00D20962" w:rsidRPr="00D20962" w:rsidRDefault="00D20962" w:rsidP="00D20962">
            <w:pPr>
              <w:spacing w:before="60" w:after="60"/>
              <w:jc w:val="center"/>
              <w:rPr>
                <w:rFonts w:eastAsia="Times New Roman" w:cs="Calibri"/>
                <w:sz w:val="20"/>
                <w:szCs w:val="20"/>
                <w:lang w:val="en-AU"/>
              </w:rPr>
            </w:pPr>
            <w:r w:rsidRPr="00D20962">
              <w:rPr>
                <w:rFonts w:eastAsia="Times New Roman" w:cs="Calibri"/>
                <w:sz w:val="20"/>
                <w:szCs w:val="20"/>
                <w:shd w:val="clear" w:color="auto" w:fill="FFC000"/>
                <w:lang w:val="en-AU"/>
              </w:rPr>
              <w:t>**</w:t>
            </w:r>
          </w:p>
        </w:tc>
        <w:tc>
          <w:tcPr>
            <w:tcW w:w="1215" w:type="pct"/>
          </w:tcPr>
          <w:p w:rsidR="00D20962" w:rsidRPr="00D20962" w:rsidRDefault="00D20962" w:rsidP="00D20962">
            <w:pPr>
              <w:spacing w:before="120"/>
              <w:rPr>
                <w:rFonts w:eastAsia="Times New Roman" w:cs="Calibri"/>
                <w:sz w:val="20"/>
                <w:szCs w:val="20"/>
                <w:lang w:val="en-AU"/>
              </w:rPr>
            </w:pPr>
            <w:r w:rsidRPr="00D20962">
              <w:rPr>
                <w:rFonts w:eastAsia="Times New Roman" w:cs="Calibri"/>
                <w:sz w:val="20"/>
                <w:szCs w:val="20"/>
                <w:lang w:val="en-AU"/>
              </w:rPr>
              <w:t>DFAT</w:t>
            </w:r>
          </w:p>
        </w:tc>
      </w:tr>
      <w:tr w:rsidR="00D20962" w:rsidRPr="00D20962" w:rsidTr="00D20962">
        <w:trPr>
          <w:trHeight w:val="567"/>
        </w:trPr>
        <w:tc>
          <w:tcPr>
            <w:tcW w:w="1638" w:type="pct"/>
            <w:vMerge/>
            <w:tcBorders>
              <w:bottom w:val="single" w:sz="4" w:space="0" w:color="auto"/>
            </w:tcBorders>
            <w:shd w:val="clear" w:color="auto" w:fill="FFFFFF" w:themeFill="background1"/>
          </w:tcPr>
          <w:p w:rsidR="00D20962" w:rsidRPr="00D20962" w:rsidRDefault="00D20962" w:rsidP="00D20962">
            <w:pPr>
              <w:rPr>
                <w:rFonts w:eastAsia="Times New Roman" w:cs="Calibri"/>
                <w:sz w:val="20"/>
                <w:szCs w:val="20"/>
                <w:lang w:val="en-AU"/>
              </w:rPr>
            </w:pPr>
          </w:p>
        </w:tc>
        <w:tc>
          <w:tcPr>
            <w:tcW w:w="1807" w:type="pct"/>
            <w:tcBorders>
              <w:bottom w:val="single" w:sz="4" w:space="0" w:color="auto"/>
            </w:tcBorders>
            <w:shd w:val="clear" w:color="auto" w:fill="FFFFFF" w:themeFill="background1"/>
          </w:tcPr>
          <w:p w:rsidR="00D20962" w:rsidRPr="00D20962" w:rsidRDefault="00D20962" w:rsidP="00D20962">
            <w:pPr>
              <w:spacing w:before="120" w:after="120"/>
              <w:ind w:left="459" w:hanging="450"/>
              <w:rPr>
                <w:rFonts w:asciiTheme="minorHAnsi" w:eastAsia="Times New Roman" w:hAnsiTheme="minorHAnsi" w:cs="Calibri"/>
                <w:sz w:val="20"/>
                <w:szCs w:val="20"/>
                <w:lang w:val="en-AU"/>
              </w:rPr>
            </w:pPr>
            <w:r w:rsidRPr="00D20962">
              <w:rPr>
                <w:rFonts w:asciiTheme="minorHAnsi" w:eastAsia="Times New Roman" w:hAnsiTheme="minorHAnsi" w:cs="Calibri"/>
                <w:sz w:val="20"/>
                <w:szCs w:val="20"/>
                <w:lang w:val="en-AU"/>
              </w:rPr>
              <w:t>R28</w:t>
            </w:r>
            <w:r w:rsidRPr="00D20962">
              <w:rPr>
                <w:rFonts w:asciiTheme="minorHAnsi" w:eastAsia="Times New Roman" w:hAnsiTheme="minorHAnsi" w:cs="Calibri"/>
                <w:sz w:val="20"/>
                <w:szCs w:val="20"/>
                <w:lang w:val="en-AU"/>
              </w:rPr>
              <w:tab/>
              <w:t xml:space="preserve">As part of the above, </w:t>
            </w:r>
            <w:r w:rsidRPr="00D20962">
              <w:rPr>
                <w:sz w:val="20"/>
                <w:szCs w:val="20"/>
                <w:lang w:val="en-AU"/>
              </w:rPr>
              <w:t>agreement</w:t>
            </w:r>
            <w:r w:rsidRPr="00D20962">
              <w:rPr>
                <w:rFonts w:asciiTheme="minorHAnsi" w:eastAsia="Times New Roman" w:hAnsiTheme="minorHAnsi" w:cs="Calibri"/>
                <w:sz w:val="20"/>
                <w:szCs w:val="20"/>
                <w:lang w:val="en-AU"/>
              </w:rPr>
              <w:t xml:space="preserve"> on a utilitarian VFM framework should be reached early in 2015.</w:t>
            </w:r>
          </w:p>
        </w:tc>
        <w:tc>
          <w:tcPr>
            <w:tcW w:w="340" w:type="pct"/>
            <w:tcBorders>
              <w:bottom w:val="single" w:sz="4" w:space="0" w:color="auto"/>
            </w:tcBorders>
            <w:shd w:val="clear" w:color="auto" w:fill="FF0000"/>
            <w:vAlign w:val="center"/>
          </w:tcPr>
          <w:p w:rsidR="00D20962" w:rsidRPr="00D20962" w:rsidRDefault="00D20962" w:rsidP="00D20962">
            <w:pPr>
              <w:spacing w:before="120" w:after="120"/>
              <w:jc w:val="center"/>
              <w:rPr>
                <w:rFonts w:eastAsia="Times New Roman" w:cs="Calibri"/>
                <w:sz w:val="20"/>
                <w:szCs w:val="20"/>
                <w:lang w:val="en-AU"/>
              </w:rPr>
            </w:pPr>
            <w:r w:rsidRPr="00D20962">
              <w:rPr>
                <w:rFonts w:eastAsia="Times New Roman" w:cs="Calibri"/>
                <w:sz w:val="20"/>
                <w:szCs w:val="20"/>
                <w:lang w:val="en-AU"/>
              </w:rPr>
              <w:t>***</w:t>
            </w:r>
          </w:p>
        </w:tc>
        <w:tc>
          <w:tcPr>
            <w:tcW w:w="1215" w:type="pct"/>
          </w:tcPr>
          <w:p w:rsidR="00D20962" w:rsidRPr="00D20962" w:rsidRDefault="00D20962" w:rsidP="00D20962">
            <w:pPr>
              <w:spacing w:before="120"/>
              <w:rPr>
                <w:rFonts w:eastAsia="Times New Roman" w:cs="Calibri"/>
                <w:sz w:val="20"/>
                <w:szCs w:val="20"/>
                <w:lang w:val="en-AU"/>
              </w:rPr>
            </w:pPr>
            <w:r w:rsidRPr="00D20962">
              <w:rPr>
                <w:rFonts w:eastAsia="Times New Roman" w:cs="Calibri"/>
                <w:sz w:val="20"/>
                <w:szCs w:val="20"/>
                <w:lang w:val="en-AU"/>
              </w:rPr>
              <w:t>DFAT and POM (with input from Implementing Partners as appropriate)</w:t>
            </w:r>
          </w:p>
        </w:tc>
      </w:tr>
    </w:tbl>
    <w:p w:rsidR="00D20962" w:rsidRPr="00D20962" w:rsidRDefault="00D20962" w:rsidP="00D20962">
      <w:pPr>
        <w:rPr>
          <w:i/>
          <w:lang w:val="en-AU"/>
        </w:rPr>
      </w:pPr>
    </w:p>
    <w:p w:rsidR="00B7224C" w:rsidRPr="00851EC7" w:rsidRDefault="00D20962" w:rsidP="00D20962">
      <w:pPr>
        <w:pStyle w:val="Caption"/>
        <w:keepNext/>
        <w:jc w:val="left"/>
        <w:rPr>
          <w:i/>
          <w:lang w:val="en-AU"/>
        </w:rPr>
        <w:sectPr w:rsidR="00B7224C" w:rsidRPr="00851EC7" w:rsidSect="00B7224C">
          <w:pgSz w:w="16838" w:h="11906" w:orient="landscape"/>
          <w:pgMar w:top="1440" w:right="1440" w:bottom="1440" w:left="1440" w:header="709" w:footer="709" w:gutter="0"/>
          <w:cols w:space="708"/>
          <w:noEndnote/>
          <w:docGrid w:linePitch="360"/>
        </w:sectPr>
      </w:pPr>
      <w:r w:rsidRPr="00D20962">
        <w:rPr>
          <w:b w:val="0"/>
          <w:i/>
          <w:lang w:val="en-AU"/>
        </w:rPr>
        <w:t>NB: Red (***) - high urgency; orange (**) - medium urgency; green (*) - low urgency</w:t>
      </w:r>
    </w:p>
    <w:p w:rsidR="00B7224C" w:rsidRPr="00851EC7" w:rsidRDefault="00B7224C" w:rsidP="00B7224C">
      <w:pPr>
        <w:rPr>
          <w:i/>
          <w:lang w:val="en-AU"/>
        </w:rPr>
      </w:pPr>
    </w:p>
    <w:p w:rsidR="00245A84" w:rsidRPr="00851EC7" w:rsidRDefault="00245A84" w:rsidP="00245A84">
      <w:pPr>
        <w:rPr>
          <w:rFonts w:asciiTheme="minorHAnsi" w:hAnsiTheme="minorHAnsi" w:cstheme="minorHAnsi"/>
          <w:lang w:val="en-AU"/>
        </w:rPr>
      </w:pPr>
    </w:p>
    <w:p w:rsidR="00245A84" w:rsidRPr="00851EC7" w:rsidRDefault="00245A84" w:rsidP="00245A84">
      <w:pPr>
        <w:rPr>
          <w:rFonts w:asciiTheme="minorHAnsi" w:hAnsiTheme="minorHAnsi" w:cstheme="minorHAnsi"/>
          <w:lang w:val="en-AU"/>
        </w:rPr>
      </w:pPr>
    </w:p>
    <w:p w:rsidR="00222EFB" w:rsidRPr="00851EC7" w:rsidRDefault="00222EFB" w:rsidP="00222EFB">
      <w:pPr>
        <w:rPr>
          <w:lang w:val="en-AU"/>
        </w:rPr>
      </w:pPr>
    </w:p>
    <w:p w:rsidR="00222EFB" w:rsidRPr="00851EC7" w:rsidRDefault="00222EFB" w:rsidP="00222EFB">
      <w:pPr>
        <w:tabs>
          <w:tab w:val="left" w:pos="2977"/>
        </w:tabs>
        <w:ind w:left="2880"/>
        <w:rPr>
          <w:b/>
          <w:color w:val="FFFFFF" w:themeColor="background1"/>
          <w:sz w:val="36"/>
          <w:szCs w:val="36"/>
          <w:lang w:val="en-AU"/>
        </w:rPr>
      </w:pPr>
    </w:p>
    <w:p w:rsidR="00222EFB" w:rsidRPr="00851EC7" w:rsidRDefault="00222EFB" w:rsidP="00222EFB">
      <w:pPr>
        <w:tabs>
          <w:tab w:val="left" w:pos="2977"/>
        </w:tabs>
        <w:ind w:left="2880"/>
        <w:rPr>
          <w:b/>
          <w:color w:val="FFFFFF" w:themeColor="background1"/>
          <w:sz w:val="36"/>
          <w:szCs w:val="36"/>
          <w:lang w:val="en-AU"/>
        </w:rPr>
      </w:pPr>
    </w:p>
    <w:p w:rsidR="00222EFB" w:rsidRPr="00851EC7" w:rsidRDefault="00222EFB" w:rsidP="00222EFB">
      <w:pPr>
        <w:tabs>
          <w:tab w:val="left" w:pos="2977"/>
        </w:tabs>
        <w:ind w:left="2880"/>
        <w:rPr>
          <w:b/>
          <w:color w:val="FFFFFF" w:themeColor="background1"/>
          <w:sz w:val="36"/>
          <w:szCs w:val="36"/>
          <w:lang w:val="en-AU"/>
        </w:rPr>
      </w:pPr>
      <w:r w:rsidRPr="00851EC7">
        <w:rPr>
          <w:noProof/>
          <w:color w:val="000000" w:themeColor="text1"/>
          <w:sz w:val="28"/>
          <w:szCs w:val="28"/>
          <w:lang w:val="en-AU" w:eastAsia="en-AU"/>
        </w:rPr>
        <w:drawing>
          <wp:anchor distT="0" distB="0" distL="114300" distR="114300" simplePos="0" relativeHeight="251681792" behindDoc="1" locked="0" layoutInCell="1" allowOverlap="1" wp14:anchorId="7B8D7692" wp14:editId="7D0AC814">
            <wp:simplePos x="0" y="0"/>
            <wp:positionH relativeFrom="page">
              <wp:posOffset>-5080</wp:posOffset>
            </wp:positionH>
            <wp:positionV relativeFrom="page">
              <wp:posOffset>-12700</wp:posOffset>
            </wp:positionV>
            <wp:extent cx="7580630" cy="10709275"/>
            <wp:effectExtent l="0" t="0" r="1270" b="0"/>
            <wp:wrapNone/>
            <wp:docPr id="19" name="Picture 19"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EFB" w:rsidRPr="00851EC7" w:rsidRDefault="00222EFB" w:rsidP="00222EFB">
      <w:pPr>
        <w:tabs>
          <w:tab w:val="left" w:pos="2977"/>
        </w:tabs>
        <w:ind w:left="2880"/>
        <w:rPr>
          <w:b/>
          <w:color w:val="FFFFFF" w:themeColor="background1"/>
          <w:sz w:val="36"/>
          <w:szCs w:val="36"/>
          <w:lang w:val="en-AU"/>
        </w:rPr>
      </w:pPr>
    </w:p>
    <w:p w:rsidR="00222EFB" w:rsidRPr="00851EC7" w:rsidRDefault="00222EFB" w:rsidP="00222EFB">
      <w:pPr>
        <w:tabs>
          <w:tab w:val="left" w:pos="2977"/>
        </w:tabs>
        <w:ind w:left="2880"/>
        <w:rPr>
          <w:b/>
          <w:color w:val="FFFFFF" w:themeColor="background1"/>
          <w:sz w:val="36"/>
          <w:szCs w:val="36"/>
          <w:lang w:val="en-AU"/>
        </w:rPr>
      </w:pPr>
    </w:p>
    <w:p w:rsidR="00222EFB" w:rsidRPr="00851EC7" w:rsidRDefault="00222EFB" w:rsidP="00222EFB">
      <w:pPr>
        <w:tabs>
          <w:tab w:val="left" w:pos="2977"/>
        </w:tabs>
        <w:ind w:left="2880"/>
        <w:rPr>
          <w:b/>
          <w:color w:val="FFFFFF" w:themeColor="background1"/>
          <w:sz w:val="36"/>
          <w:szCs w:val="36"/>
          <w:lang w:val="en-AU"/>
        </w:rPr>
      </w:pPr>
    </w:p>
    <w:p w:rsidR="00222EFB" w:rsidRPr="00851EC7" w:rsidRDefault="00222EFB" w:rsidP="00222EFB">
      <w:pPr>
        <w:tabs>
          <w:tab w:val="left" w:pos="2977"/>
        </w:tabs>
        <w:ind w:left="2880"/>
        <w:rPr>
          <w:b/>
          <w:color w:val="FFFFFF" w:themeColor="background1"/>
          <w:sz w:val="36"/>
          <w:szCs w:val="36"/>
          <w:lang w:val="en-AU"/>
        </w:rPr>
      </w:pPr>
    </w:p>
    <w:p w:rsidR="00222EFB" w:rsidRPr="00851EC7" w:rsidRDefault="00222EFB" w:rsidP="00222EFB">
      <w:pPr>
        <w:tabs>
          <w:tab w:val="left" w:pos="2977"/>
        </w:tabs>
        <w:ind w:left="2880"/>
        <w:rPr>
          <w:b/>
          <w:color w:val="FFFFFF" w:themeColor="background1"/>
          <w:sz w:val="36"/>
          <w:szCs w:val="36"/>
          <w:lang w:val="en-AU"/>
        </w:rPr>
      </w:pPr>
    </w:p>
    <w:p w:rsidR="00222EFB" w:rsidRPr="00851EC7" w:rsidRDefault="002D621D" w:rsidP="00222EFB">
      <w:pPr>
        <w:tabs>
          <w:tab w:val="left" w:pos="2977"/>
        </w:tabs>
        <w:ind w:left="2880"/>
        <w:rPr>
          <w:b/>
          <w:i/>
          <w:color w:val="FFFFFF" w:themeColor="background1"/>
          <w:sz w:val="32"/>
          <w:szCs w:val="32"/>
          <w:lang w:val="en-AU"/>
        </w:rPr>
      </w:pPr>
      <w:r w:rsidRPr="00851EC7">
        <w:rPr>
          <w:b/>
          <w:color w:val="FFFFFF" w:themeColor="background1"/>
          <w:sz w:val="36"/>
          <w:szCs w:val="36"/>
          <w:lang w:val="en-AU"/>
        </w:rPr>
        <w:t xml:space="preserve">Part C: </w:t>
      </w:r>
      <w:r w:rsidR="001409A2" w:rsidRPr="00851EC7">
        <w:rPr>
          <w:b/>
          <w:color w:val="FFFFFF" w:themeColor="background1"/>
          <w:sz w:val="36"/>
          <w:szCs w:val="36"/>
          <w:lang w:val="en-AU"/>
        </w:rPr>
        <w:t>Conclusions</w:t>
      </w:r>
      <w:r w:rsidR="00902641" w:rsidRPr="00851EC7">
        <w:rPr>
          <w:b/>
          <w:color w:val="FFFFFF" w:themeColor="background1"/>
          <w:sz w:val="36"/>
          <w:szCs w:val="36"/>
          <w:lang w:val="en-AU"/>
        </w:rPr>
        <w:t xml:space="preserve"> </w:t>
      </w:r>
    </w:p>
    <w:p w:rsidR="00222EFB" w:rsidRPr="00851EC7" w:rsidRDefault="00222EFB" w:rsidP="00222EFB">
      <w:pPr>
        <w:rPr>
          <w:lang w:val="en-AU"/>
        </w:rPr>
        <w:sectPr w:rsidR="00222EFB" w:rsidRPr="00851EC7" w:rsidSect="001409A2">
          <w:footnotePr>
            <w:numRestart w:val="eachSect"/>
          </w:footnotePr>
          <w:endnotePr>
            <w:numRestart w:val="eachSect"/>
          </w:endnotePr>
          <w:type w:val="oddPage"/>
          <w:pgSz w:w="11909" w:h="16834" w:code="9"/>
          <w:pgMar w:top="1440" w:right="1440" w:bottom="1440" w:left="1440" w:header="432" w:footer="720" w:gutter="0"/>
          <w:cols w:space="720"/>
          <w:noEndnote/>
          <w:docGrid w:linePitch="360"/>
        </w:sectPr>
      </w:pPr>
    </w:p>
    <w:p w:rsidR="00222EFB" w:rsidRPr="004F3B6A" w:rsidRDefault="00222EFB" w:rsidP="004F3B6A">
      <w:pPr>
        <w:keepNext/>
        <w:numPr>
          <w:ilvl w:val="0"/>
          <w:numId w:val="7"/>
        </w:numPr>
        <w:spacing w:before="120" w:after="120"/>
        <w:ind w:hanging="720"/>
        <w:outlineLvl w:val="0"/>
        <w:rPr>
          <w:rFonts w:asciiTheme="minorHAnsi" w:hAnsiTheme="minorHAnsi" w:cstheme="minorHAnsi"/>
          <w:b/>
          <w:bCs/>
          <w:color w:val="003880"/>
          <w:kern w:val="32"/>
          <w:sz w:val="28"/>
          <w:szCs w:val="28"/>
          <w:lang w:val="en-AU"/>
        </w:rPr>
      </w:pPr>
      <w:bookmarkStart w:id="64" w:name="_Toc372401526"/>
      <w:bookmarkStart w:id="65" w:name="_Toc407779886"/>
      <w:r w:rsidRPr="004F3B6A">
        <w:rPr>
          <w:rFonts w:asciiTheme="minorHAnsi" w:hAnsiTheme="minorHAnsi" w:cstheme="minorHAnsi"/>
          <w:b/>
          <w:bCs/>
          <w:color w:val="003880"/>
          <w:kern w:val="32"/>
          <w:sz w:val="28"/>
          <w:szCs w:val="28"/>
          <w:lang w:val="en-AU"/>
        </w:rPr>
        <w:lastRenderedPageBreak/>
        <w:t>Conclusions</w:t>
      </w:r>
      <w:bookmarkEnd w:id="64"/>
      <w:bookmarkEnd w:id="65"/>
      <w:r w:rsidRPr="004F3B6A">
        <w:rPr>
          <w:rFonts w:asciiTheme="minorHAnsi" w:hAnsiTheme="minorHAnsi" w:cstheme="minorHAnsi"/>
          <w:b/>
          <w:bCs/>
          <w:color w:val="003880"/>
          <w:kern w:val="32"/>
          <w:sz w:val="28"/>
          <w:szCs w:val="28"/>
          <w:lang w:val="en-AU"/>
        </w:rPr>
        <w:t xml:space="preserve"> </w:t>
      </w:r>
    </w:p>
    <w:p w:rsidR="00AA3473" w:rsidRPr="00851EC7" w:rsidRDefault="00AA3473" w:rsidP="00AA3473">
      <w:pPr>
        <w:spacing w:before="120" w:after="120" w:line="276" w:lineRule="auto"/>
        <w:jc w:val="both"/>
        <w:rPr>
          <w:lang w:val="en-AU"/>
        </w:rPr>
      </w:pPr>
      <w:r w:rsidRPr="00851EC7">
        <w:rPr>
          <w:lang w:val="en-AU"/>
        </w:rPr>
        <w:t>The end of 2014 represents the two-thirds completion point in the implementation of Australia’s Education Partnership with Indonesia. 2014 has been a year of relative uncertainty and considerable change for both institutional partners, brought on by the installation of a new government in Indonesia and the ongoing reorganisation and refocusing of Australia’s aid program. Against that backdrop, this year’s APPR offers a timely assessment of progress to date and an analysis of existing challenges and opportunities. The findings and recommendations contained in this report should be used to guide implementation in 2015 and beyond.</w:t>
      </w:r>
    </w:p>
    <w:p w:rsidR="00AA3473" w:rsidRPr="00851EC7" w:rsidRDefault="00AA3473" w:rsidP="00AA3473">
      <w:pPr>
        <w:spacing w:before="120" w:after="120" w:line="276" w:lineRule="auto"/>
        <w:jc w:val="both"/>
        <w:rPr>
          <w:lang w:val="en-AU"/>
        </w:rPr>
      </w:pPr>
      <w:r w:rsidRPr="00851EC7">
        <w:rPr>
          <w:lang w:val="en-AU"/>
        </w:rPr>
        <w:t>Table 2</w:t>
      </w:r>
      <w:r w:rsidR="004F3B6A">
        <w:rPr>
          <w:lang w:val="en-AU"/>
        </w:rPr>
        <w:t>7</w:t>
      </w:r>
      <w:r w:rsidRPr="00851EC7">
        <w:rPr>
          <w:lang w:val="en-AU"/>
        </w:rPr>
        <w:t xml:space="preserve">, below, provides a summary of each component’s performance against the five DAC criteria, coupled with mean scores for each DAC criterion. POM’s scores from 2013 are also presented so that readers can see how performance has evolved over time. Whilst overall comparison between 2013 and 2014 scores is compromised to some degree by a number of TE (or “Too Early” to judge) scores in 2013, it is satisfying to note that mean scores for efficiency and effectiveness have increased. This reflects POM’s position that the </w:t>
      </w:r>
      <w:r w:rsidRPr="00851EC7">
        <w:rPr>
          <w:rFonts w:asciiTheme="minorHAnsi" w:hAnsiTheme="minorHAnsi"/>
          <w:lang w:val="en-AU"/>
        </w:rPr>
        <w:t>partners have displayed a strong commitment to the timely, responsive and prudent delivery of program outputs and an increasing commitment to the achievement of the EOCOs as an enabler of the EOPOs</w:t>
      </w:r>
      <w:r w:rsidRPr="00851EC7">
        <w:rPr>
          <w:lang w:val="en-AU"/>
        </w:rPr>
        <w:t>. Mean scores for relevance (4.25, i.e. positive) and sustainability (3.25, i.e. less positive) have remained the same. For the 15 criteria that were scored in both 2013 and in 2014, six (40%) have increased and only three (20%) decreased. Six (40%) have remained the same. Greatest gains have been made in the DAC criterion of efficiency.</w:t>
      </w:r>
    </w:p>
    <w:p w:rsidR="00AA3473" w:rsidRPr="00851EC7" w:rsidRDefault="00AA3473" w:rsidP="00AA3473">
      <w:pPr>
        <w:spacing w:before="120" w:after="120" w:line="276" w:lineRule="auto"/>
        <w:jc w:val="both"/>
        <w:rPr>
          <w:lang w:val="en-AU"/>
        </w:rPr>
      </w:pPr>
      <w:r w:rsidRPr="00851EC7">
        <w:rPr>
          <w:lang w:val="en-AU"/>
        </w:rPr>
        <w:t xml:space="preserve">With specific regards to EP performance in 2014, POM believes the EP program to be relevant (4.25) and its implementation to be highly efficient (4.50). Though the picture differs from component to component, POM is more confident in 2014 than 2013 about the attainment of the EOPOs and POM is therefore largely positive about program effectiveness, though it continues to believe that greater returns could be generated (3.75). POM also considers there to be reasonable prospects for long-term benefits to be realized at an individual school or beneficiary level (3.50), but it strikes a cautionary note about the prospects for institutional sustainability (3.25). </w:t>
      </w:r>
    </w:p>
    <w:p w:rsidR="00AA3473" w:rsidRPr="00AF6BE4" w:rsidRDefault="00AF6BE4" w:rsidP="00AF6BE4">
      <w:pPr>
        <w:pStyle w:val="Caption"/>
        <w:keepNext/>
        <w:rPr>
          <w:bCs/>
          <w:iCs/>
          <w:lang w:val="en-AU"/>
        </w:rPr>
      </w:pPr>
      <w:bookmarkStart w:id="66" w:name="_Toc412534599"/>
      <w:r w:rsidRPr="00AF6BE4">
        <w:t xml:space="preserve">Table </w:t>
      </w:r>
      <w:r w:rsidRPr="00AF6BE4">
        <w:fldChar w:fldCharType="begin"/>
      </w:r>
      <w:r w:rsidRPr="00AF6BE4">
        <w:instrText xml:space="preserve"> SEQ Table \* ARABIC </w:instrText>
      </w:r>
      <w:r w:rsidRPr="00AF6BE4">
        <w:fldChar w:fldCharType="separate"/>
      </w:r>
      <w:r w:rsidR="004A0A8F">
        <w:rPr>
          <w:noProof/>
        </w:rPr>
        <w:t>27</w:t>
      </w:r>
      <w:r w:rsidRPr="00AF6BE4">
        <w:fldChar w:fldCharType="end"/>
      </w:r>
      <w:r w:rsidR="00AA3473" w:rsidRPr="00AF6BE4">
        <w:rPr>
          <w:lang w:val="en-AU"/>
        </w:rPr>
        <w:t xml:space="preserve">: </w:t>
      </w:r>
      <w:r w:rsidR="00AA3473" w:rsidRPr="00AF6BE4">
        <w:rPr>
          <w:bCs/>
          <w:iCs/>
          <w:lang w:val="en-AU"/>
        </w:rPr>
        <w:t>Combined scorecard</w:t>
      </w:r>
      <w:bookmarkEnd w:id="66"/>
    </w:p>
    <w:p w:rsidR="00AA3473" w:rsidRPr="00851EC7" w:rsidRDefault="00AA3473" w:rsidP="00AA3473">
      <w:pPr>
        <w:rPr>
          <w:lang w:val="en-AU"/>
        </w:rPr>
      </w:pPr>
    </w:p>
    <w:tbl>
      <w:tblPr>
        <w:tblStyle w:val="TableGrid17"/>
        <w:tblW w:w="4752" w:type="pct"/>
        <w:jc w:val="center"/>
        <w:tblInd w:w="-569" w:type="dxa"/>
        <w:tblLayout w:type="fixed"/>
        <w:tblLook w:val="04A0" w:firstRow="1" w:lastRow="0" w:firstColumn="1" w:lastColumn="0" w:noHBand="0" w:noVBand="1"/>
      </w:tblPr>
      <w:tblGrid>
        <w:gridCol w:w="1558"/>
        <w:gridCol w:w="733"/>
        <w:gridCol w:w="733"/>
        <w:gridCol w:w="680"/>
        <w:gridCol w:w="680"/>
        <w:gridCol w:w="680"/>
        <w:gridCol w:w="680"/>
        <w:gridCol w:w="678"/>
        <w:gridCol w:w="680"/>
        <w:gridCol w:w="842"/>
        <w:gridCol w:w="842"/>
      </w:tblGrid>
      <w:tr w:rsidR="00AA3473" w:rsidRPr="00851EC7" w:rsidTr="001E2A58">
        <w:trPr>
          <w:trHeight w:val="593"/>
          <w:jc w:val="center"/>
        </w:trPr>
        <w:tc>
          <w:tcPr>
            <w:tcW w:w="887" w:type="pct"/>
            <w:vMerge w:val="restart"/>
            <w:tcBorders>
              <w:righ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lang w:val="en-AU"/>
              </w:rPr>
            </w:pPr>
            <w:r w:rsidRPr="00851EC7">
              <w:rPr>
                <w:rFonts w:asciiTheme="minorHAnsi" w:hAnsiTheme="minorHAnsi"/>
                <w:b/>
                <w:lang w:val="en-AU"/>
              </w:rPr>
              <w:t>DAC Criterion</w:t>
            </w:r>
          </w:p>
        </w:tc>
        <w:tc>
          <w:tcPr>
            <w:tcW w:w="834" w:type="pct"/>
            <w:gridSpan w:val="2"/>
            <w:tcBorders>
              <w:top w:val="single" w:sz="8" w:space="0" w:color="auto"/>
              <w:left w:val="single" w:sz="18" w:space="0" w:color="auto"/>
              <w:bottom w:val="single" w:sz="8" w:space="0" w:color="auto"/>
              <w:right w:val="single" w:sz="18" w:space="0" w:color="auto"/>
            </w:tcBorders>
            <w:shd w:val="clear" w:color="auto" w:fill="244061" w:themeFill="accent1" w:themeFillShade="80"/>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C1 Score</w:t>
            </w:r>
          </w:p>
        </w:tc>
        <w:tc>
          <w:tcPr>
            <w:tcW w:w="774" w:type="pct"/>
            <w:gridSpan w:val="2"/>
            <w:tcBorders>
              <w:top w:val="single" w:sz="8" w:space="0" w:color="auto"/>
              <w:left w:val="single" w:sz="18" w:space="0" w:color="auto"/>
              <w:bottom w:val="single" w:sz="8" w:space="0" w:color="auto"/>
              <w:righ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C2 Score</w:t>
            </w:r>
          </w:p>
        </w:tc>
        <w:tc>
          <w:tcPr>
            <w:tcW w:w="774" w:type="pct"/>
            <w:gridSpan w:val="2"/>
            <w:tcBorders>
              <w:top w:val="single" w:sz="8" w:space="0" w:color="auto"/>
              <w:left w:val="single" w:sz="18" w:space="0" w:color="auto"/>
              <w:bottom w:val="single" w:sz="8" w:space="0" w:color="auto"/>
              <w:righ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C3 Score</w:t>
            </w:r>
          </w:p>
        </w:tc>
        <w:tc>
          <w:tcPr>
            <w:tcW w:w="773" w:type="pct"/>
            <w:gridSpan w:val="2"/>
            <w:tcBorders>
              <w:top w:val="single" w:sz="8" w:space="0" w:color="auto"/>
              <w:left w:val="single" w:sz="18" w:space="0" w:color="auto"/>
              <w:bottom w:val="single" w:sz="8" w:space="0" w:color="auto"/>
              <w:righ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C4 Score</w:t>
            </w:r>
          </w:p>
        </w:tc>
        <w:tc>
          <w:tcPr>
            <w:tcW w:w="958" w:type="pct"/>
            <w:gridSpan w:val="2"/>
            <w:tcBorders>
              <w:lef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Mean EP Score</w:t>
            </w:r>
          </w:p>
        </w:tc>
      </w:tr>
      <w:tr w:rsidR="00AA3473" w:rsidRPr="00851EC7" w:rsidTr="001E2A58">
        <w:trPr>
          <w:trHeight w:val="593"/>
          <w:jc w:val="center"/>
        </w:trPr>
        <w:tc>
          <w:tcPr>
            <w:tcW w:w="887" w:type="pct"/>
            <w:vMerge/>
            <w:tcBorders>
              <w:righ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p>
        </w:tc>
        <w:tc>
          <w:tcPr>
            <w:tcW w:w="417" w:type="pct"/>
            <w:tcBorders>
              <w:top w:val="single" w:sz="8" w:space="0" w:color="auto"/>
              <w:left w:val="single" w:sz="18" w:space="0" w:color="auto"/>
              <w:bottom w:val="single" w:sz="8" w:space="0" w:color="auto"/>
              <w:right w:val="single" w:sz="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2013</w:t>
            </w:r>
          </w:p>
        </w:tc>
        <w:tc>
          <w:tcPr>
            <w:tcW w:w="417" w:type="pct"/>
            <w:tcBorders>
              <w:top w:val="single" w:sz="8" w:space="0" w:color="auto"/>
              <w:left w:val="single" w:sz="8" w:space="0" w:color="auto"/>
              <w:bottom w:val="single" w:sz="8" w:space="0" w:color="auto"/>
              <w:right w:val="single" w:sz="18" w:space="0" w:color="auto"/>
            </w:tcBorders>
            <w:shd w:val="clear" w:color="auto" w:fill="244061" w:themeFill="accent1" w:themeFillShade="80"/>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2014</w:t>
            </w:r>
          </w:p>
        </w:tc>
        <w:tc>
          <w:tcPr>
            <w:tcW w:w="387" w:type="pct"/>
            <w:tcBorders>
              <w:top w:val="single" w:sz="8" w:space="0" w:color="auto"/>
              <w:left w:val="single" w:sz="18" w:space="0" w:color="auto"/>
              <w:bottom w:val="single" w:sz="8" w:space="0" w:color="auto"/>
              <w:right w:val="single" w:sz="8" w:space="0" w:color="auto"/>
            </w:tcBorders>
            <w:shd w:val="clear" w:color="auto" w:fill="244061" w:themeFill="accent1" w:themeFillShade="80"/>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2013</w:t>
            </w:r>
          </w:p>
        </w:tc>
        <w:tc>
          <w:tcPr>
            <w:tcW w:w="387" w:type="pct"/>
            <w:tcBorders>
              <w:top w:val="single" w:sz="8" w:space="0" w:color="auto"/>
              <w:left w:val="single" w:sz="8" w:space="0" w:color="auto"/>
              <w:bottom w:val="single" w:sz="8" w:space="0" w:color="auto"/>
              <w:righ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2014</w:t>
            </w:r>
          </w:p>
        </w:tc>
        <w:tc>
          <w:tcPr>
            <w:tcW w:w="387" w:type="pct"/>
            <w:tcBorders>
              <w:top w:val="single" w:sz="8" w:space="0" w:color="auto"/>
              <w:left w:val="single" w:sz="18" w:space="0" w:color="auto"/>
              <w:bottom w:val="single" w:sz="8" w:space="0" w:color="auto"/>
              <w:right w:val="single" w:sz="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2013</w:t>
            </w:r>
          </w:p>
        </w:tc>
        <w:tc>
          <w:tcPr>
            <w:tcW w:w="387" w:type="pct"/>
            <w:tcBorders>
              <w:top w:val="single" w:sz="8" w:space="0" w:color="auto"/>
              <w:left w:val="single" w:sz="8" w:space="0" w:color="auto"/>
              <w:bottom w:val="single" w:sz="8" w:space="0" w:color="auto"/>
              <w:righ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2014</w:t>
            </w:r>
          </w:p>
        </w:tc>
        <w:tc>
          <w:tcPr>
            <w:tcW w:w="386" w:type="pct"/>
            <w:tcBorders>
              <w:top w:val="single" w:sz="8" w:space="0" w:color="auto"/>
              <w:left w:val="single" w:sz="18" w:space="0" w:color="auto"/>
              <w:bottom w:val="single" w:sz="8" w:space="0" w:color="auto"/>
              <w:right w:val="single" w:sz="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2013</w:t>
            </w:r>
          </w:p>
        </w:tc>
        <w:tc>
          <w:tcPr>
            <w:tcW w:w="387" w:type="pct"/>
            <w:tcBorders>
              <w:top w:val="single" w:sz="8" w:space="0" w:color="auto"/>
              <w:left w:val="single" w:sz="8" w:space="0" w:color="auto"/>
              <w:bottom w:val="single" w:sz="8" w:space="0" w:color="auto"/>
              <w:righ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2014</w:t>
            </w:r>
          </w:p>
        </w:tc>
        <w:tc>
          <w:tcPr>
            <w:tcW w:w="479" w:type="pct"/>
            <w:tcBorders>
              <w:left w:val="single" w:sz="18" w:space="0" w:color="auto"/>
            </w:tcBorders>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2013</w:t>
            </w:r>
          </w:p>
        </w:tc>
        <w:tc>
          <w:tcPr>
            <w:tcW w:w="479" w:type="pct"/>
            <w:shd w:val="clear" w:color="auto" w:fill="244061" w:themeFill="accent1" w:themeFillShade="80"/>
            <w:vAlign w:val="center"/>
          </w:tcPr>
          <w:p w:rsidR="00AA3473" w:rsidRPr="00851EC7" w:rsidRDefault="00AA3473" w:rsidP="00AA3473">
            <w:pPr>
              <w:jc w:val="center"/>
              <w:rPr>
                <w:rFonts w:asciiTheme="minorHAnsi" w:hAnsiTheme="minorHAnsi"/>
                <w:b/>
                <w:lang w:val="en-AU"/>
              </w:rPr>
            </w:pPr>
            <w:r w:rsidRPr="00851EC7">
              <w:rPr>
                <w:rFonts w:asciiTheme="minorHAnsi" w:hAnsiTheme="minorHAnsi"/>
                <w:b/>
                <w:lang w:val="en-AU"/>
              </w:rPr>
              <w:t>2014</w:t>
            </w:r>
          </w:p>
        </w:tc>
      </w:tr>
      <w:tr w:rsidR="00AA3473" w:rsidRPr="00851EC7" w:rsidTr="001E2A58">
        <w:trPr>
          <w:trHeight w:val="567"/>
          <w:jc w:val="center"/>
        </w:trPr>
        <w:tc>
          <w:tcPr>
            <w:tcW w:w="887" w:type="pct"/>
            <w:tcBorders>
              <w:right w:val="single" w:sz="18" w:space="0" w:color="auto"/>
            </w:tcBorders>
            <w:vAlign w:val="center"/>
          </w:tcPr>
          <w:p w:rsidR="00AA3473" w:rsidRPr="00851EC7" w:rsidRDefault="00AA3473" w:rsidP="00AA3473">
            <w:pPr>
              <w:spacing w:before="60" w:after="60"/>
              <w:rPr>
                <w:rFonts w:asciiTheme="minorHAnsi" w:hAnsiTheme="minorHAnsi"/>
                <w:b/>
                <w:lang w:val="en-AU"/>
              </w:rPr>
            </w:pPr>
            <w:r w:rsidRPr="00851EC7">
              <w:rPr>
                <w:rFonts w:asciiTheme="minorHAnsi" w:hAnsiTheme="minorHAnsi"/>
                <w:b/>
                <w:lang w:val="en-AU"/>
              </w:rPr>
              <w:t>Relevance</w:t>
            </w:r>
          </w:p>
        </w:tc>
        <w:tc>
          <w:tcPr>
            <w:tcW w:w="417" w:type="pct"/>
            <w:tcBorders>
              <w:top w:val="single" w:sz="8" w:space="0" w:color="auto"/>
              <w:left w:val="single" w:sz="18" w:space="0" w:color="auto"/>
              <w:bottom w:val="single" w:sz="8" w:space="0" w:color="auto"/>
              <w:right w:val="single" w:sz="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417" w:type="pct"/>
            <w:tcBorders>
              <w:top w:val="single" w:sz="8" w:space="0" w:color="auto"/>
              <w:left w:val="single" w:sz="8" w:space="0" w:color="auto"/>
              <w:bottom w:val="single" w:sz="8" w:space="0" w:color="auto"/>
              <w:right w:val="single" w:sz="18" w:space="0" w:color="auto"/>
            </w:tcBorders>
            <w:shd w:val="clear" w:color="auto" w:fill="FFC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3</w:t>
            </w:r>
          </w:p>
        </w:tc>
        <w:tc>
          <w:tcPr>
            <w:tcW w:w="387" w:type="pct"/>
            <w:tcBorders>
              <w:top w:val="single" w:sz="8" w:space="0" w:color="auto"/>
              <w:left w:val="single" w:sz="18" w:space="0" w:color="auto"/>
              <w:bottom w:val="single" w:sz="8" w:space="0" w:color="auto"/>
              <w:right w:val="single" w:sz="8" w:space="0" w:color="auto"/>
            </w:tcBorders>
            <w:shd w:val="clear" w:color="auto" w:fill="92D05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5</w:t>
            </w:r>
          </w:p>
        </w:tc>
        <w:tc>
          <w:tcPr>
            <w:tcW w:w="387" w:type="pct"/>
            <w:tcBorders>
              <w:top w:val="single" w:sz="8" w:space="0" w:color="auto"/>
              <w:left w:val="single" w:sz="8" w:space="0" w:color="auto"/>
              <w:bottom w:val="single" w:sz="8" w:space="0" w:color="auto"/>
              <w:right w:val="single" w:sz="18" w:space="0" w:color="auto"/>
            </w:tcBorders>
            <w:shd w:val="clear" w:color="auto" w:fill="92D05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5</w:t>
            </w:r>
          </w:p>
        </w:tc>
        <w:tc>
          <w:tcPr>
            <w:tcW w:w="387" w:type="pct"/>
            <w:tcBorders>
              <w:top w:val="single" w:sz="8" w:space="0" w:color="auto"/>
              <w:left w:val="single" w:sz="18" w:space="0" w:color="auto"/>
              <w:bottom w:val="single" w:sz="8" w:space="0" w:color="auto"/>
              <w:right w:val="single" w:sz="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8" w:space="0" w:color="auto"/>
              <w:bottom w:val="single" w:sz="8" w:space="0" w:color="auto"/>
              <w:right w:val="single" w:sz="18" w:space="0" w:color="auto"/>
            </w:tcBorders>
            <w:shd w:val="clear" w:color="auto" w:fill="92D050"/>
            <w:vAlign w:val="center"/>
          </w:tcPr>
          <w:p w:rsidR="00AA3473" w:rsidRPr="00851EC7" w:rsidRDefault="00AA3473" w:rsidP="00AA3473">
            <w:pPr>
              <w:jc w:val="center"/>
              <w:rPr>
                <w:rFonts w:asciiTheme="minorHAnsi" w:hAnsiTheme="minorHAnsi"/>
                <w:lang w:val="en-AU"/>
              </w:rPr>
            </w:pPr>
            <w:r w:rsidRPr="00851EC7">
              <w:rPr>
                <w:rFonts w:asciiTheme="minorHAnsi" w:hAnsiTheme="minorHAnsi"/>
                <w:lang w:val="en-AU"/>
              </w:rPr>
              <w:t>5</w:t>
            </w:r>
          </w:p>
        </w:tc>
        <w:tc>
          <w:tcPr>
            <w:tcW w:w="386" w:type="pct"/>
            <w:tcBorders>
              <w:top w:val="single" w:sz="8" w:space="0" w:color="auto"/>
              <w:left w:val="single" w:sz="18" w:space="0" w:color="auto"/>
              <w:bottom w:val="single" w:sz="8" w:space="0" w:color="auto"/>
              <w:right w:val="single" w:sz="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479" w:type="pct"/>
            <w:tcBorders>
              <w:left w:val="single" w:sz="18" w:space="0" w:color="auto"/>
            </w:tcBorders>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4.25</w:t>
            </w:r>
          </w:p>
        </w:tc>
        <w:tc>
          <w:tcPr>
            <w:tcW w:w="479" w:type="pct"/>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4.25</w:t>
            </w:r>
          </w:p>
        </w:tc>
      </w:tr>
      <w:tr w:rsidR="00AA3473" w:rsidRPr="00851EC7" w:rsidTr="001E2A58">
        <w:trPr>
          <w:trHeight w:val="567"/>
          <w:jc w:val="center"/>
        </w:trPr>
        <w:tc>
          <w:tcPr>
            <w:tcW w:w="887" w:type="pct"/>
            <w:tcBorders>
              <w:right w:val="single" w:sz="18" w:space="0" w:color="auto"/>
            </w:tcBorders>
            <w:vAlign w:val="center"/>
          </w:tcPr>
          <w:p w:rsidR="00AA3473" w:rsidRPr="00851EC7" w:rsidRDefault="00AA3473" w:rsidP="00AA3473">
            <w:pPr>
              <w:spacing w:before="60" w:after="60"/>
              <w:rPr>
                <w:rFonts w:asciiTheme="minorHAnsi" w:hAnsiTheme="minorHAnsi"/>
                <w:b/>
                <w:lang w:val="en-AU"/>
              </w:rPr>
            </w:pPr>
            <w:r w:rsidRPr="00851EC7">
              <w:rPr>
                <w:rFonts w:asciiTheme="minorHAnsi" w:hAnsiTheme="minorHAnsi"/>
                <w:b/>
                <w:lang w:val="en-AU"/>
              </w:rPr>
              <w:t>Efficiency</w:t>
            </w:r>
          </w:p>
        </w:tc>
        <w:tc>
          <w:tcPr>
            <w:tcW w:w="417" w:type="pct"/>
            <w:tcBorders>
              <w:top w:val="single" w:sz="8" w:space="0" w:color="auto"/>
              <w:left w:val="single" w:sz="18" w:space="0" w:color="auto"/>
              <w:bottom w:val="single" w:sz="8" w:space="0" w:color="auto"/>
              <w:right w:val="single" w:sz="8" w:space="0" w:color="auto"/>
            </w:tcBorders>
            <w:shd w:val="clear" w:color="auto" w:fill="92D05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5</w:t>
            </w:r>
          </w:p>
        </w:tc>
        <w:tc>
          <w:tcPr>
            <w:tcW w:w="417" w:type="pct"/>
            <w:tcBorders>
              <w:top w:val="single" w:sz="8" w:space="0" w:color="auto"/>
              <w:left w:val="single" w:sz="8" w:space="0" w:color="auto"/>
              <w:bottom w:val="single" w:sz="8" w:space="0" w:color="auto"/>
              <w:right w:val="single" w:sz="18" w:space="0" w:color="auto"/>
            </w:tcBorders>
            <w:shd w:val="clear" w:color="auto" w:fill="00B05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6</w:t>
            </w:r>
          </w:p>
        </w:tc>
        <w:tc>
          <w:tcPr>
            <w:tcW w:w="387" w:type="pct"/>
            <w:tcBorders>
              <w:top w:val="single" w:sz="8" w:space="0" w:color="auto"/>
              <w:left w:val="single" w:sz="18" w:space="0" w:color="auto"/>
              <w:bottom w:val="single" w:sz="8" w:space="0" w:color="auto"/>
              <w:right w:val="single" w:sz="8" w:space="0" w:color="auto"/>
            </w:tcBorders>
            <w:shd w:val="clear" w:color="auto" w:fill="FFC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3</w:t>
            </w:r>
          </w:p>
        </w:tc>
        <w:tc>
          <w:tcPr>
            <w:tcW w:w="387" w:type="pct"/>
            <w:tcBorders>
              <w:top w:val="single" w:sz="8" w:space="0" w:color="auto"/>
              <w:left w:val="single" w:sz="8" w:space="0" w:color="auto"/>
              <w:bottom w:val="single" w:sz="8" w:space="0" w:color="auto"/>
              <w:right w:val="single" w:sz="18" w:space="0" w:color="auto"/>
            </w:tcBorders>
            <w:shd w:val="clear" w:color="auto" w:fill="92D05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5</w:t>
            </w:r>
          </w:p>
        </w:tc>
        <w:tc>
          <w:tcPr>
            <w:tcW w:w="387" w:type="pct"/>
            <w:tcBorders>
              <w:top w:val="single" w:sz="8" w:space="0" w:color="auto"/>
              <w:left w:val="single" w:sz="18" w:space="0" w:color="auto"/>
              <w:bottom w:val="single" w:sz="8" w:space="0" w:color="auto"/>
              <w:right w:val="single" w:sz="8" w:space="0" w:color="auto"/>
            </w:tcBorders>
            <w:shd w:val="clear" w:color="auto" w:fill="92D05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5</w:t>
            </w:r>
          </w:p>
        </w:tc>
        <w:tc>
          <w:tcPr>
            <w:tcW w:w="38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jc w:val="center"/>
              <w:rPr>
                <w:rFonts w:asciiTheme="minorHAnsi" w:hAnsiTheme="minorHAnsi"/>
                <w:lang w:val="en-AU"/>
              </w:rPr>
            </w:pPr>
            <w:r w:rsidRPr="00851EC7">
              <w:rPr>
                <w:rFonts w:asciiTheme="minorHAnsi" w:hAnsiTheme="minorHAnsi"/>
                <w:lang w:val="en-AU"/>
              </w:rPr>
              <w:t>4</w:t>
            </w:r>
          </w:p>
        </w:tc>
        <w:tc>
          <w:tcPr>
            <w:tcW w:w="386" w:type="pct"/>
            <w:tcBorders>
              <w:top w:val="single" w:sz="8" w:space="0" w:color="auto"/>
              <w:left w:val="single" w:sz="18" w:space="0" w:color="auto"/>
              <w:bottom w:val="single" w:sz="8" w:space="0" w:color="auto"/>
              <w:right w:val="single" w:sz="8" w:space="0" w:color="auto"/>
            </w:tcBorders>
            <w:shd w:val="clear" w:color="auto" w:fill="FFC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3</w:t>
            </w:r>
          </w:p>
        </w:tc>
        <w:tc>
          <w:tcPr>
            <w:tcW w:w="387" w:type="pct"/>
            <w:tcBorders>
              <w:top w:val="single" w:sz="8" w:space="0" w:color="auto"/>
              <w:left w:val="single" w:sz="8" w:space="0" w:color="auto"/>
              <w:bottom w:val="single" w:sz="8" w:space="0" w:color="auto"/>
              <w:right w:val="single" w:sz="18" w:space="0" w:color="auto"/>
            </w:tcBorders>
            <w:shd w:val="clear" w:color="auto" w:fill="FFC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3</w:t>
            </w:r>
          </w:p>
        </w:tc>
        <w:tc>
          <w:tcPr>
            <w:tcW w:w="479" w:type="pct"/>
            <w:tcBorders>
              <w:left w:val="single" w:sz="18" w:space="0" w:color="auto"/>
            </w:tcBorders>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4.00</w:t>
            </w:r>
          </w:p>
        </w:tc>
        <w:tc>
          <w:tcPr>
            <w:tcW w:w="479" w:type="pct"/>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4.50</w:t>
            </w:r>
          </w:p>
        </w:tc>
      </w:tr>
      <w:tr w:rsidR="00AA3473" w:rsidRPr="00851EC7" w:rsidTr="001E2A58">
        <w:trPr>
          <w:trHeight w:val="567"/>
          <w:jc w:val="center"/>
        </w:trPr>
        <w:tc>
          <w:tcPr>
            <w:tcW w:w="887" w:type="pct"/>
            <w:tcBorders>
              <w:right w:val="single" w:sz="18" w:space="0" w:color="auto"/>
            </w:tcBorders>
            <w:vAlign w:val="center"/>
          </w:tcPr>
          <w:p w:rsidR="00AA3473" w:rsidRPr="00851EC7" w:rsidRDefault="00AA3473" w:rsidP="00AA3473">
            <w:pPr>
              <w:spacing w:before="60" w:after="60"/>
              <w:rPr>
                <w:rFonts w:asciiTheme="minorHAnsi" w:hAnsiTheme="minorHAnsi"/>
                <w:b/>
                <w:lang w:val="en-AU"/>
              </w:rPr>
            </w:pPr>
            <w:r w:rsidRPr="00851EC7">
              <w:rPr>
                <w:rFonts w:asciiTheme="minorHAnsi" w:hAnsiTheme="minorHAnsi"/>
                <w:b/>
                <w:lang w:val="en-AU"/>
              </w:rPr>
              <w:t>Effectiveness</w:t>
            </w:r>
          </w:p>
        </w:tc>
        <w:tc>
          <w:tcPr>
            <w:tcW w:w="417" w:type="pct"/>
            <w:tcBorders>
              <w:top w:val="single" w:sz="8" w:space="0" w:color="auto"/>
              <w:left w:val="single" w:sz="18" w:space="0" w:color="auto"/>
              <w:bottom w:val="single" w:sz="8" w:space="0" w:color="auto"/>
              <w:right w:val="single" w:sz="8" w:space="0" w:color="auto"/>
            </w:tcBorders>
            <w:shd w:val="clear" w:color="auto" w:fill="FFC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3</w:t>
            </w:r>
          </w:p>
        </w:tc>
        <w:tc>
          <w:tcPr>
            <w:tcW w:w="41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TE</w:t>
            </w:r>
          </w:p>
        </w:tc>
        <w:tc>
          <w:tcPr>
            <w:tcW w:w="387" w:type="pct"/>
            <w:tcBorders>
              <w:top w:val="single" w:sz="8" w:space="0" w:color="auto"/>
              <w:left w:val="single" w:sz="8" w:space="0" w:color="auto"/>
              <w:bottom w:val="single" w:sz="8" w:space="0" w:color="auto"/>
              <w:right w:val="single" w:sz="18" w:space="0" w:color="auto"/>
            </w:tcBorders>
            <w:shd w:val="clear" w:color="auto" w:fill="FFC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3</w:t>
            </w:r>
          </w:p>
        </w:tc>
        <w:tc>
          <w:tcPr>
            <w:tcW w:w="387" w:type="pct"/>
            <w:tcBorders>
              <w:top w:val="single" w:sz="8" w:space="0" w:color="auto"/>
              <w:left w:val="single" w:sz="18" w:space="0" w:color="auto"/>
              <w:bottom w:val="single" w:sz="8" w:space="0" w:color="auto"/>
              <w:right w:val="single" w:sz="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jc w:val="center"/>
              <w:rPr>
                <w:rFonts w:asciiTheme="minorHAnsi" w:hAnsiTheme="minorHAnsi"/>
                <w:lang w:val="en-AU"/>
              </w:rPr>
            </w:pPr>
            <w:r w:rsidRPr="00851EC7">
              <w:rPr>
                <w:rFonts w:asciiTheme="minorHAnsi" w:hAnsiTheme="minorHAnsi"/>
                <w:lang w:val="en-AU"/>
              </w:rPr>
              <w:t>4</w:t>
            </w:r>
          </w:p>
        </w:tc>
        <w:tc>
          <w:tcPr>
            <w:tcW w:w="386" w:type="pct"/>
            <w:tcBorders>
              <w:top w:val="single" w:sz="8" w:space="0" w:color="auto"/>
              <w:left w:val="single" w:sz="18" w:space="0" w:color="auto"/>
              <w:bottom w:val="single" w:sz="8" w:space="0" w:color="auto"/>
              <w:right w:val="single" w:sz="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479" w:type="pct"/>
            <w:tcBorders>
              <w:left w:val="single" w:sz="18" w:space="0" w:color="auto"/>
            </w:tcBorders>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3.66</w:t>
            </w:r>
          </w:p>
        </w:tc>
        <w:tc>
          <w:tcPr>
            <w:tcW w:w="479" w:type="pct"/>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3.75</w:t>
            </w:r>
          </w:p>
        </w:tc>
      </w:tr>
      <w:tr w:rsidR="00AA3473" w:rsidRPr="00851EC7" w:rsidTr="001E2A58">
        <w:trPr>
          <w:trHeight w:val="567"/>
          <w:jc w:val="center"/>
        </w:trPr>
        <w:tc>
          <w:tcPr>
            <w:tcW w:w="887" w:type="pct"/>
            <w:tcBorders>
              <w:right w:val="single" w:sz="18" w:space="0" w:color="auto"/>
            </w:tcBorders>
            <w:vAlign w:val="center"/>
          </w:tcPr>
          <w:p w:rsidR="00AA3473" w:rsidRPr="00851EC7" w:rsidRDefault="00AA3473" w:rsidP="00AA3473">
            <w:pPr>
              <w:spacing w:before="60" w:after="60"/>
              <w:rPr>
                <w:rFonts w:asciiTheme="minorHAnsi" w:hAnsiTheme="minorHAnsi"/>
                <w:b/>
                <w:lang w:val="en-AU"/>
              </w:rPr>
            </w:pPr>
            <w:r w:rsidRPr="00851EC7">
              <w:rPr>
                <w:rFonts w:asciiTheme="minorHAnsi" w:hAnsiTheme="minorHAnsi"/>
                <w:b/>
                <w:lang w:val="en-AU"/>
              </w:rPr>
              <w:t>Impact</w:t>
            </w:r>
          </w:p>
        </w:tc>
        <w:tc>
          <w:tcPr>
            <w:tcW w:w="417" w:type="pct"/>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TE</w:t>
            </w:r>
          </w:p>
        </w:tc>
        <w:tc>
          <w:tcPr>
            <w:tcW w:w="41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TE</w:t>
            </w:r>
          </w:p>
        </w:tc>
        <w:tc>
          <w:tcPr>
            <w:tcW w:w="38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TE</w:t>
            </w:r>
          </w:p>
        </w:tc>
        <w:tc>
          <w:tcPr>
            <w:tcW w:w="387" w:type="pct"/>
            <w:tcBorders>
              <w:top w:val="single" w:sz="8" w:space="0" w:color="auto"/>
              <w:left w:val="single" w:sz="8" w:space="0" w:color="auto"/>
              <w:bottom w:val="single" w:sz="8" w:space="0" w:color="auto"/>
              <w:right w:val="single" w:sz="18" w:space="0" w:color="auto"/>
            </w:tcBorders>
            <w:shd w:val="clear" w:color="auto" w:fill="FFC000"/>
            <w:vAlign w:val="center"/>
          </w:tcPr>
          <w:p w:rsidR="00AA3473" w:rsidRPr="00851EC7" w:rsidRDefault="00AA3473" w:rsidP="00AA3473">
            <w:pPr>
              <w:jc w:val="center"/>
              <w:rPr>
                <w:rFonts w:asciiTheme="minorHAnsi" w:hAnsiTheme="minorHAnsi"/>
                <w:lang w:val="en-AU"/>
              </w:rPr>
            </w:pPr>
            <w:r w:rsidRPr="00851EC7">
              <w:rPr>
                <w:rFonts w:asciiTheme="minorHAnsi" w:hAnsiTheme="minorHAnsi"/>
                <w:lang w:val="en-AU"/>
              </w:rPr>
              <w:t>3</w:t>
            </w:r>
          </w:p>
        </w:tc>
        <w:tc>
          <w:tcPr>
            <w:tcW w:w="386" w:type="pct"/>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TE</w:t>
            </w:r>
          </w:p>
        </w:tc>
        <w:tc>
          <w:tcPr>
            <w:tcW w:w="387" w:type="pct"/>
            <w:tcBorders>
              <w:top w:val="single" w:sz="8" w:space="0" w:color="auto"/>
              <w:left w:val="single" w:sz="8" w:space="0" w:color="auto"/>
              <w:bottom w:val="single" w:sz="8" w:space="0" w:color="auto"/>
              <w:right w:val="single" w:sz="18" w:space="0" w:color="auto"/>
            </w:tcBorders>
            <w:shd w:val="clear" w:color="auto" w:fill="FFC000"/>
            <w:vAlign w:val="center"/>
          </w:tcPr>
          <w:p w:rsidR="00AA3473" w:rsidRPr="00851EC7" w:rsidRDefault="00AA3473" w:rsidP="00AA3473">
            <w:pPr>
              <w:spacing w:before="60" w:after="60"/>
              <w:jc w:val="center"/>
              <w:rPr>
                <w:rFonts w:asciiTheme="minorHAnsi" w:hAnsiTheme="minorHAnsi"/>
                <w:highlight w:val="yellow"/>
                <w:lang w:val="en-AU"/>
              </w:rPr>
            </w:pPr>
            <w:r w:rsidRPr="00851EC7">
              <w:rPr>
                <w:rFonts w:asciiTheme="minorHAnsi" w:hAnsiTheme="minorHAnsi"/>
                <w:lang w:val="en-AU"/>
              </w:rPr>
              <w:t>3</w:t>
            </w:r>
          </w:p>
        </w:tc>
        <w:tc>
          <w:tcPr>
            <w:tcW w:w="479" w:type="pct"/>
            <w:tcBorders>
              <w:left w:val="single" w:sz="18" w:space="0" w:color="auto"/>
            </w:tcBorders>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TE</w:t>
            </w:r>
          </w:p>
        </w:tc>
        <w:tc>
          <w:tcPr>
            <w:tcW w:w="479" w:type="pct"/>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3.50</w:t>
            </w:r>
          </w:p>
        </w:tc>
      </w:tr>
      <w:tr w:rsidR="00AA3473" w:rsidRPr="00851EC7" w:rsidTr="001E2A58">
        <w:trPr>
          <w:trHeight w:val="567"/>
          <w:jc w:val="center"/>
        </w:trPr>
        <w:tc>
          <w:tcPr>
            <w:tcW w:w="887" w:type="pct"/>
            <w:tcBorders>
              <w:right w:val="single" w:sz="18" w:space="0" w:color="auto"/>
            </w:tcBorders>
            <w:vAlign w:val="center"/>
          </w:tcPr>
          <w:p w:rsidR="00AA3473" w:rsidRPr="00851EC7" w:rsidRDefault="00AA3473" w:rsidP="00AA3473">
            <w:pPr>
              <w:spacing w:before="60" w:after="60"/>
              <w:rPr>
                <w:rFonts w:asciiTheme="minorHAnsi" w:hAnsiTheme="minorHAnsi"/>
                <w:b/>
                <w:lang w:val="en-AU"/>
              </w:rPr>
            </w:pPr>
            <w:r w:rsidRPr="00851EC7">
              <w:rPr>
                <w:rFonts w:asciiTheme="minorHAnsi" w:hAnsiTheme="minorHAnsi"/>
                <w:b/>
                <w:lang w:val="en-AU"/>
              </w:rPr>
              <w:t>Sustainability</w:t>
            </w:r>
          </w:p>
        </w:tc>
        <w:tc>
          <w:tcPr>
            <w:tcW w:w="417" w:type="pct"/>
            <w:tcBorders>
              <w:top w:val="single" w:sz="8" w:space="0" w:color="auto"/>
              <w:left w:val="single" w:sz="18" w:space="0" w:color="auto"/>
              <w:bottom w:val="single" w:sz="8" w:space="0" w:color="auto"/>
              <w:right w:val="single" w:sz="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41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18" w:space="0" w:color="auto"/>
              <w:bottom w:val="single" w:sz="8" w:space="0" w:color="auto"/>
              <w:right w:val="single" w:sz="8" w:space="0" w:color="auto"/>
            </w:tcBorders>
            <w:shd w:val="clear" w:color="auto" w:fill="FFC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3</w:t>
            </w:r>
          </w:p>
        </w:tc>
        <w:tc>
          <w:tcPr>
            <w:tcW w:w="387" w:type="pct"/>
            <w:tcBorders>
              <w:top w:val="single" w:sz="8" w:space="0" w:color="auto"/>
              <w:left w:val="single" w:sz="8" w:space="0" w:color="auto"/>
              <w:bottom w:val="single" w:sz="8" w:space="0" w:color="auto"/>
              <w:right w:val="single" w:sz="1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18" w:space="0" w:color="auto"/>
              <w:bottom w:val="single" w:sz="8" w:space="0" w:color="auto"/>
              <w:right w:val="single" w:sz="8" w:space="0" w:color="auto"/>
            </w:tcBorders>
            <w:shd w:val="clear" w:color="auto" w:fill="FF0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2</w:t>
            </w:r>
          </w:p>
        </w:tc>
        <w:tc>
          <w:tcPr>
            <w:tcW w:w="387" w:type="pct"/>
            <w:tcBorders>
              <w:top w:val="single" w:sz="8" w:space="0" w:color="auto"/>
              <w:left w:val="single" w:sz="8" w:space="0" w:color="auto"/>
              <w:bottom w:val="single" w:sz="8" w:space="0" w:color="auto"/>
              <w:right w:val="single" w:sz="18" w:space="0" w:color="auto"/>
            </w:tcBorders>
            <w:shd w:val="clear" w:color="auto" w:fill="FFC000"/>
            <w:vAlign w:val="center"/>
          </w:tcPr>
          <w:p w:rsidR="00AA3473" w:rsidRPr="00851EC7" w:rsidRDefault="00AA3473" w:rsidP="00AA3473">
            <w:pPr>
              <w:jc w:val="center"/>
              <w:rPr>
                <w:rFonts w:asciiTheme="minorHAnsi" w:hAnsiTheme="minorHAnsi"/>
                <w:lang w:val="en-AU"/>
              </w:rPr>
            </w:pPr>
            <w:r w:rsidRPr="00851EC7">
              <w:rPr>
                <w:rFonts w:asciiTheme="minorHAnsi" w:hAnsiTheme="minorHAnsi"/>
                <w:lang w:val="en-AU"/>
              </w:rPr>
              <w:t>3</w:t>
            </w:r>
          </w:p>
        </w:tc>
        <w:tc>
          <w:tcPr>
            <w:tcW w:w="386" w:type="pct"/>
            <w:tcBorders>
              <w:top w:val="single" w:sz="8" w:space="0" w:color="auto"/>
              <w:left w:val="single" w:sz="18" w:space="0" w:color="auto"/>
              <w:bottom w:val="single" w:sz="8" w:space="0" w:color="auto"/>
              <w:right w:val="single" w:sz="8" w:space="0" w:color="auto"/>
            </w:tcBorders>
            <w:shd w:val="clear" w:color="auto" w:fill="FFFF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4</w:t>
            </w:r>
          </w:p>
        </w:tc>
        <w:tc>
          <w:tcPr>
            <w:tcW w:w="387" w:type="pct"/>
            <w:tcBorders>
              <w:top w:val="single" w:sz="8" w:space="0" w:color="auto"/>
              <w:left w:val="single" w:sz="8" w:space="0" w:color="auto"/>
              <w:bottom w:val="single" w:sz="8" w:space="0" w:color="auto"/>
              <w:right w:val="single" w:sz="18" w:space="0" w:color="auto"/>
            </w:tcBorders>
            <w:shd w:val="clear" w:color="auto" w:fill="FF0000"/>
            <w:vAlign w:val="center"/>
          </w:tcPr>
          <w:p w:rsidR="00AA3473" w:rsidRPr="00851EC7" w:rsidRDefault="00AA3473" w:rsidP="00AA3473">
            <w:pPr>
              <w:spacing w:before="60" w:after="60"/>
              <w:jc w:val="center"/>
              <w:rPr>
                <w:rFonts w:asciiTheme="minorHAnsi" w:hAnsiTheme="minorHAnsi"/>
                <w:lang w:val="en-AU"/>
              </w:rPr>
            </w:pPr>
            <w:r w:rsidRPr="00851EC7">
              <w:rPr>
                <w:rFonts w:asciiTheme="minorHAnsi" w:hAnsiTheme="minorHAnsi"/>
                <w:lang w:val="en-AU"/>
              </w:rPr>
              <w:t>2</w:t>
            </w:r>
          </w:p>
        </w:tc>
        <w:tc>
          <w:tcPr>
            <w:tcW w:w="479" w:type="pct"/>
            <w:tcBorders>
              <w:left w:val="single" w:sz="18" w:space="0" w:color="auto"/>
            </w:tcBorders>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3.25</w:t>
            </w:r>
          </w:p>
        </w:tc>
        <w:tc>
          <w:tcPr>
            <w:tcW w:w="479" w:type="pct"/>
            <w:shd w:val="clear" w:color="auto" w:fill="DBE5F1" w:themeFill="accent1" w:themeFillTint="33"/>
            <w:vAlign w:val="center"/>
          </w:tcPr>
          <w:p w:rsidR="00AA3473" w:rsidRPr="00851EC7" w:rsidRDefault="00AA3473" w:rsidP="00AA3473">
            <w:pPr>
              <w:spacing w:before="60" w:after="60"/>
              <w:jc w:val="center"/>
              <w:rPr>
                <w:rFonts w:asciiTheme="minorHAnsi" w:hAnsiTheme="minorHAnsi"/>
                <w:b/>
                <w:lang w:val="en-AU"/>
              </w:rPr>
            </w:pPr>
            <w:r w:rsidRPr="00851EC7">
              <w:rPr>
                <w:rFonts w:asciiTheme="minorHAnsi" w:hAnsiTheme="minorHAnsi"/>
                <w:b/>
                <w:lang w:val="en-AU"/>
              </w:rPr>
              <w:t>3.25</w:t>
            </w:r>
          </w:p>
        </w:tc>
      </w:tr>
    </w:tbl>
    <w:p w:rsidR="00AA3473" w:rsidRPr="00851EC7" w:rsidRDefault="00AA3473" w:rsidP="00AA3473">
      <w:pPr>
        <w:spacing w:before="120" w:after="120"/>
        <w:rPr>
          <w:lang w:val="en-AU"/>
        </w:rPr>
      </w:pPr>
    </w:p>
    <w:p w:rsidR="00AA3473" w:rsidRPr="00851EC7" w:rsidRDefault="00AA3473" w:rsidP="00AA3473">
      <w:pPr>
        <w:spacing w:after="240" w:line="276" w:lineRule="auto"/>
        <w:jc w:val="both"/>
        <w:rPr>
          <w:rFonts w:asciiTheme="minorHAnsi" w:eastAsia="Calibri" w:hAnsiTheme="minorHAnsi" w:cstheme="minorHAnsi"/>
          <w:lang w:val="en-AU"/>
        </w:rPr>
      </w:pPr>
      <w:r w:rsidRPr="00851EC7">
        <w:rPr>
          <w:rFonts w:asciiTheme="minorHAnsi" w:hAnsiTheme="minorHAnsi" w:cstheme="minorHAnsi"/>
          <w:lang w:val="en-AU"/>
        </w:rPr>
        <w:t xml:space="preserve">Whilst all of the component interventions remain highly </w:t>
      </w:r>
      <w:r w:rsidRPr="00851EC7">
        <w:rPr>
          <w:rFonts w:asciiTheme="minorHAnsi" w:hAnsiTheme="minorHAnsi" w:cstheme="minorHAnsi"/>
          <w:b/>
          <w:lang w:val="en-AU"/>
        </w:rPr>
        <w:t>relevant</w:t>
      </w:r>
      <w:r w:rsidRPr="00851EC7">
        <w:rPr>
          <w:rFonts w:asciiTheme="minorHAnsi" w:hAnsiTheme="minorHAnsi" w:cstheme="minorHAnsi"/>
          <w:lang w:val="en-AU"/>
        </w:rPr>
        <w:t xml:space="preserve"> with respect to the national policies and priorities of the Government of Indonesia, a reframing of Australia’s aid objectives in 2014 has tempered elements of the external relevance of what is, by design, a broad sectoral support program. POM’s assessment of the EP’s internal relevance – a measure of the appropriateness of the approaches and interventions used to achieve the program’s objectives – points to an uneven picture, with the relative inflexibility of the approaches being adopted to improve access increasingly outweighed by the flexibility of the approaches being adopted to improve education quality. The external relevance of the EP is unlikely to alter much between now and the EP’s conclusion but imaginative and proactive management could pay dividends in terms of its internal relevance and therefore its probable effectiveness.</w:t>
      </w:r>
      <w:r w:rsidRPr="00851EC7">
        <w:rPr>
          <w:rFonts w:asciiTheme="minorHAnsi" w:eastAsia="Calibri" w:hAnsiTheme="minorHAnsi" w:cstheme="minorHAnsi"/>
          <w:lang w:val="en-AU"/>
        </w:rPr>
        <w:t xml:space="preserve"> </w:t>
      </w:r>
    </w:p>
    <w:p w:rsidR="00AA3473" w:rsidRPr="00851EC7" w:rsidRDefault="00AA3473" w:rsidP="00AA3473">
      <w:pPr>
        <w:spacing w:after="240" w:line="276" w:lineRule="auto"/>
        <w:jc w:val="both"/>
        <w:rPr>
          <w:rFonts w:asciiTheme="minorHAnsi" w:hAnsiTheme="minorHAnsi" w:cstheme="minorHAnsi"/>
          <w:lang w:val="en-AU"/>
        </w:rPr>
      </w:pPr>
      <w:r w:rsidRPr="00851EC7">
        <w:rPr>
          <w:rFonts w:asciiTheme="minorHAnsi" w:hAnsiTheme="minorHAnsi" w:cstheme="minorHAnsi"/>
          <w:lang w:val="en-AU"/>
        </w:rPr>
        <w:t xml:space="preserve">Overall, the EP continues to score very well with respect to </w:t>
      </w:r>
      <w:r w:rsidRPr="00851EC7">
        <w:rPr>
          <w:rFonts w:asciiTheme="minorHAnsi" w:hAnsiTheme="minorHAnsi" w:cstheme="minorHAnsi"/>
          <w:b/>
          <w:lang w:val="en-AU"/>
        </w:rPr>
        <w:t xml:space="preserve">efficiency. </w:t>
      </w:r>
      <w:r w:rsidRPr="00851EC7">
        <w:rPr>
          <w:rFonts w:asciiTheme="minorHAnsi" w:hAnsiTheme="minorHAnsi" w:cstheme="minorHAnsi"/>
          <w:lang w:val="en-AU"/>
        </w:rPr>
        <w:t xml:space="preserve">Good performance has typically been informed by the pragmatic management choices made by both institutional partners and, in the main, by implementing partners. In particular, POM has recognised that improved performance has resulted from strong collaboration </w:t>
      </w:r>
      <w:r w:rsidRPr="00851EC7">
        <w:rPr>
          <w:rFonts w:asciiTheme="minorHAnsi" w:hAnsiTheme="minorHAnsi" w:cstheme="minorHAnsi"/>
          <w:i/>
          <w:lang w:val="en-AU"/>
        </w:rPr>
        <w:t>between</w:t>
      </w:r>
      <w:r w:rsidRPr="00851EC7">
        <w:rPr>
          <w:rFonts w:asciiTheme="minorHAnsi" w:hAnsiTheme="minorHAnsi" w:cstheme="minorHAnsi"/>
          <w:lang w:val="en-AU"/>
        </w:rPr>
        <w:t xml:space="preserve"> institutional and implementing partners and a willingness to adapt and to adjust program delivery.</w:t>
      </w:r>
    </w:p>
    <w:p w:rsidR="00AA3473" w:rsidRPr="00851EC7" w:rsidRDefault="00AA3473" w:rsidP="00AA3473">
      <w:pPr>
        <w:spacing w:after="240" w:line="276" w:lineRule="auto"/>
        <w:jc w:val="both"/>
        <w:rPr>
          <w:rFonts w:asciiTheme="minorHAnsi" w:hAnsiTheme="minorHAnsi" w:cstheme="minorHAnsi"/>
          <w:lang w:val="en-AU"/>
        </w:rPr>
      </w:pPr>
      <w:r w:rsidRPr="00851EC7">
        <w:rPr>
          <w:rFonts w:eastAsia="Calibri" w:cs="Times New Roman"/>
          <w:szCs w:val="24"/>
          <w:lang w:val="en-AU" w:eastAsia="en-AU"/>
        </w:rPr>
        <w:t xml:space="preserve">POM is cautiously optimistic about the EP’s </w:t>
      </w:r>
      <w:r w:rsidRPr="00851EC7">
        <w:rPr>
          <w:rFonts w:eastAsia="Calibri" w:cs="Times New Roman"/>
          <w:b/>
          <w:szCs w:val="24"/>
          <w:lang w:val="en-AU" w:eastAsia="en-AU"/>
        </w:rPr>
        <w:t>effectiveness</w:t>
      </w:r>
      <w:r w:rsidRPr="00851EC7">
        <w:rPr>
          <w:rFonts w:eastAsia="Calibri" w:cs="Times New Roman"/>
          <w:szCs w:val="24"/>
          <w:lang w:val="en-AU" w:eastAsia="en-AU"/>
        </w:rPr>
        <w:t xml:space="preserve">, in terms of its likely contribution to the expected EOPOs, though it believes that both implementing and institutional partners should do more to generate the best possible developmental return on the investment. POM is encouraged by the growing appetite to support </w:t>
      </w:r>
      <w:r w:rsidRPr="00851EC7">
        <w:rPr>
          <w:rFonts w:asciiTheme="minorHAnsi" w:hAnsiTheme="minorHAnsi" w:cstheme="minorHAnsi"/>
          <w:lang w:val="en-AU"/>
        </w:rPr>
        <w:t>systemic change and it would welcome continued effort in this regard in 2015. With requests for component extensions due to be considered in early 2015, there is ample time and funds to build upon the foundations that have been laid. Importantly, there is also ample opportunity to commit to the higher order objectives and requirements that will improve the prospects for effectiveness, impact and sustainability.</w:t>
      </w:r>
      <w:r w:rsidR="00537938">
        <w:rPr>
          <w:rFonts w:asciiTheme="minorHAnsi" w:hAnsiTheme="minorHAnsi" w:cstheme="minorHAnsi"/>
          <w:lang w:val="en-AU"/>
        </w:rPr>
        <w:t xml:space="preserve"> </w:t>
      </w:r>
    </w:p>
    <w:p w:rsidR="00AA3473" w:rsidRPr="00851EC7" w:rsidRDefault="00AA3473" w:rsidP="00AA3473">
      <w:pPr>
        <w:spacing w:after="240" w:line="276" w:lineRule="auto"/>
        <w:jc w:val="both"/>
        <w:rPr>
          <w:rFonts w:asciiTheme="minorHAnsi" w:hAnsiTheme="minorHAnsi" w:cstheme="minorHAnsi"/>
          <w:lang w:val="en-AU"/>
        </w:rPr>
      </w:pPr>
      <w:r w:rsidRPr="00851EC7">
        <w:rPr>
          <w:rFonts w:asciiTheme="minorHAnsi" w:hAnsiTheme="minorHAnsi" w:cstheme="minorHAnsi"/>
          <w:lang w:val="en-AU"/>
        </w:rPr>
        <w:t xml:space="preserve">POM distinguishes in its assessment of long-term benefits between those accrued at an individual level and those at an institutional level. In so doing, POM assesses the prospects for long-term </w:t>
      </w:r>
      <w:r w:rsidRPr="00851EC7">
        <w:rPr>
          <w:rFonts w:asciiTheme="minorHAnsi" w:hAnsiTheme="minorHAnsi" w:cstheme="minorHAnsi"/>
          <w:b/>
          <w:lang w:val="en-AU"/>
        </w:rPr>
        <w:t>impact</w:t>
      </w:r>
      <w:r w:rsidRPr="00851EC7">
        <w:rPr>
          <w:rFonts w:asciiTheme="minorHAnsi" w:hAnsiTheme="minorHAnsi" w:cstheme="minorHAnsi"/>
          <w:lang w:val="en-AU"/>
        </w:rPr>
        <w:t xml:space="preserve"> at an individual school, student or principal level to be relatively strong. However, POM is less optimistic about the EP’s overall institutional legacy, even if it is encouraged to see a growing interest in supporting measures that will facilitate systems strengthening. It is perhaps unsurprising, therefore, that POM considers the prospects for </w:t>
      </w:r>
      <w:r w:rsidRPr="00851EC7">
        <w:rPr>
          <w:rFonts w:asciiTheme="minorHAnsi" w:hAnsiTheme="minorHAnsi" w:cstheme="minorHAnsi"/>
          <w:b/>
          <w:lang w:val="en-AU"/>
        </w:rPr>
        <w:t>sustainability</w:t>
      </w:r>
      <w:r w:rsidRPr="00851EC7">
        <w:rPr>
          <w:rFonts w:asciiTheme="minorHAnsi" w:hAnsiTheme="minorHAnsi" w:cstheme="minorHAnsi"/>
          <w:lang w:val="en-AU"/>
        </w:rPr>
        <w:t>, at an institutional level, to be questionable</w:t>
      </w:r>
      <w:r w:rsidR="00123F1E">
        <w:rPr>
          <w:rFonts w:asciiTheme="minorHAnsi" w:hAnsiTheme="minorHAnsi" w:cstheme="minorHAnsi"/>
          <w:lang w:val="en-AU"/>
        </w:rPr>
        <w:t xml:space="preserve">. All the same, </w:t>
      </w:r>
      <w:r w:rsidRPr="00851EC7">
        <w:rPr>
          <w:rFonts w:asciiTheme="minorHAnsi" w:hAnsiTheme="minorHAnsi" w:cstheme="minorHAnsi"/>
          <w:lang w:val="en-AU"/>
        </w:rPr>
        <w:t>with strong strategic engagement and a willingness to look beyond delivery there is no reason why the prospects cannot be improved.</w:t>
      </w:r>
      <w:r w:rsidR="00537938">
        <w:rPr>
          <w:rFonts w:asciiTheme="minorHAnsi" w:hAnsiTheme="minorHAnsi" w:cstheme="minorHAnsi"/>
          <w:lang w:val="en-AU"/>
        </w:rPr>
        <w:t xml:space="preserve"> </w:t>
      </w:r>
    </w:p>
    <w:p w:rsidR="00E56459" w:rsidRPr="00851EC7" w:rsidRDefault="00AA3473" w:rsidP="00AA3473">
      <w:pPr>
        <w:spacing w:after="240" w:line="276" w:lineRule="auto"/>
        <w:jc w:val="both"/>
        <w:rPr>
          <w:rFonts w:asciiTheme="minorHAnsi" w:hAnsiTheme="minorHAnsi" w:cstheme="minorHAnsi"/>
          <w:lang w:val="en-AU"/>
        </w:rPr>
      </w:pPr>
      <w:r w:rsidRPr="00851EC7">
        <w:rPr>
          <w:rFonts w:asciiTheme="minorHAnsi" w:hAnsiTheme="minorHAnsi" w:cstheme="minorHAnsi"/>
          <w:lang w:val="en-AU"/>
        </w:rPr>
        <w:t xml:space="preserve">Overall, the EP made good progress in 2014. That momentum must be sustained in 2015. </w:t>
      </w:r>
      <w:r w:rsidRPr="00851EC7">
        <w:rPr>
          <w:rFonts w:asciiTheme="minorHAnsi" w:hAnsiTheme="minorHAnsi"/>
          <w:lang w:val="en-AU"/>
        </w:rPr>
        <w:t>With consider</w:t>
      </w:r>
      <w:r w:rsidRPr="00851EC7">
        <w:rPr>
          <w:rFonts w:eastAsia="Calibri" w:cs="Times New Roman"/>
          <w:szCs w:val="24"/>
          <w:lang w:val="en-AU" w:eastAsia="en-AU"/>
        </w:rPr>
        <w:t>able time left on the EP and an estimated AUD 250</w:t>
      </w:r>
      <w:r w:rsidR="00537938">
        <w:rPr>
          <w:rFonts w:eastAsia="Calibri" w:cs="Times New Roman"/>
          <w:szCs w:val="24"/>
          <w:lang w:val="en-AU" w:eastAsia="en-AU"/>
        </w:rPr>
        <w:t>m</w:t>
      </w:r>
      <w:r w:rsidRPr="00851EC7">
        <w:rPr>
          <w:rFonts w:eastAsia="Calibri" w:cs="Times New Roman"/>
          <w:szCs w:val="24"/>
          <w:lang w:val="en-AU" w:eastAsia="en-AU"/>
        </w:rPr>
        <w:t xml:space="preserve"> to be committed, opportunities must be grasped. </w:t>
      </w:r>
      <w:r w:rsidRPr="00851EC7">
        <w:rPr>
          <w:lang w:val="en-AU"/>
        </w:rPr>
        <w:t>Should that happen, there is every possibility that the partners will generate results befitting of the scale and ambition of the EP.</w:t>
      </w:r>
      <w:r w:rsidR="00C870D5" w:rsidRPr="00851EC7">
        <w:rPr>
          <w:rFonts w:asciiTheme="minorHAnsi" w:hAnsiTheme="minorHAnsi" w:cstheme="minorHAnsi"/>
          <w:lang w:val="en-AU"/>
        </w:rPr>
        <w:t xml:space="preserve"> </w:t>
      </w:r>
    </w:p>
    <w:p w:rsidR="00C870D5" w:rsidRPr="00851EC7" w:rsidRDefault="00C870D5" w:rsidP="00C870D5">
      <w:pPr>
        <w:spacing w:after="240" w:line="276" w:lineRule="auto"/>
        <w:jc w:val="both"/>
        <w:rPr>
          <w:rFonts w:asciiTheme="minorHAnsi" w:hAnsiTheme="minorHAnsi" w:cstheme="minorHAnsi"/>
          <w:lang w:val="en-AU"/>
        </w:rPr>
        <w:sectPr w:rsidR="00C870D5" w:rsidRPr="00851EC7" w:rsidSect="006D6998">
          <w:footnotePr>
            <w:numRestart w:val="eachSect"/>
          </w:footnotePr>
          <w:endnotePr>
            <w:numRestart w:val="eachSect"/>
          </w:endnotePr>
          <w:type w:val="oddPage"/>
          <w:pgSz w:w="11909" w:h="16834" w:code="9"/>
          <w:pgMar w:top="1440" w:right="1440" w:bottom="1440" w:left="1440" w:header="431" w:footer="720" w:gutter="0"/>
          <w:cols w:space="720"/>
          <w:noEndnote/>
          <w:docGrid w:linePitch="360"/>
        </w:sectPr>
      </w:pPr>
    </w:p>
    <w:p w:rsidR="00720A3E" w:rsidRPr="00851EC7" w:rsidRDefault="00720A3E" w:rsidP="00720A3E">
      <w:pPr>
        <w:rPr>
          <w:lang w:val="en-AU"/>
        </w:rPr>
        <w:sectPr w:rsidR="00720A3E" w:rsidRPr="00851EC7" w:rsidSect="00E56459">
          <w:footnotePr>
            <w:numRestart w:val="eachSect"/>
          </w:footnotePr>
          <w:endnotePr>
            <w:numRestart w:val="eachSect"/>
          </w:endnotePr>
          <w:pgSz w:w="11909" w:h="16834" w:code="9"/>
          <w:pgMar w:top="1440" w:right="1440" w:bottom="1440" w:left="1440" w:header="432" w:footer="720" w:gutter="0"/>
          <w:cols w:space="720"/>
          <w:docGrid w:linePitch="360"/>
        </w:sectPr>
      </w:pPr>
    </w:p>
    <w:p w:rsidR="00D06F80" w:rsidRPr="00851EC7" w:rsidRDefault="00D06F80" w:rsidP="00D06F80">
      <w:pPr>
        <w:spacing w:before="120"/>
        <w:rPr>
          <w:szCs w:val="20"/>
          <w:lang w:val="en-AU"/>
        </w:rPr>
      </w:pPr>
      <w:r w:rsidRPr="00851EC7">
        <w:rPr>
          <w:b/>
          <w:noProof/>
          <w:szCs w:val="20"/>
          <w:lang w:val="en-AU" w:eastAsia="en-AU"/>
        </w:rPr>
        <w:lastRenderedPageBreak/>
        <w:drawing>
          <wp:anchor distT="0" distB="0" distL="114300" distR="114300" simplePos="0" relativeHeight="251684864" behindDoc="0" locked="1" layoutInCell="0" allowOverlap="1" wp14:anchorId="00A3EF41" wp14:editId="2C1E4CC8">
            <wp:simplePos x="0" y="0"/>
            <wp:positionH relativeFrom="column">
              <wp:posOffset>-714375</wp:posOffset>
            </wp:positionH>
            <wp:positionV relativeFrom="page">
              <wp:posOffset>9959340</wp:posOffset>
            </wp:positionV>
            <wp:extent cx="7086600" cy="4019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EC7">
        <w:rPr>
          <w:noProof/>
          <w:sz w:val="40"/>
          <w:szCs w:val="40"/>
          <w:lang w:val="en-AU" w:eastAsia="en-AU"/>
        </w:rPr>
        <w:drawing>
          <wp:anchor distT="0" distB="0" distL="114300" distR="114300" simplePos="0" relativeHeight="251685888" behindDoc="0" locked="1" layoutInCell="0" allowOverlap="1" wp14:anchorId="21746907" wp14:editId="09EE04C1">
            <wp:simplePos x="0" y="0"/>
            <wp:positionH relativeFrom="column">
              <wp:posOffset>3299460</wp:posOffset>
            </wp:positionH>
            <wp:positionV relativeFrom="page">
              <wp:posOffset>4949825</wp:posOffset>
            </wp:positionV>
            <wp:extent cx="372110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Red stripe2.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11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EC7">
        <w:rPr>
          <w:i/>
          <w:noProof/>
          <w:sz w:val="18"/>
          <w:szCs w:val="18"/>
          <w:lang w:val="en-AU" w:eastAsia="en-AU"/>
        </w:rPr>
        <mc:AlternateContent>
          <mc:Choice Requires="wps">
            <w:drawing>
              <wp:anchor distT="0" distB="0" distL="114300" distR="114300" simplePos="0" relativeHeight="251683840" behindDoc="1" locked="1" layoutInCell="1" allowOverlap="1" wp14:anchorId="0B391BB9" wp14:editId="28E93B7F">
                <wp:simplePos x="0" y="0"/>
                <wp:positionH relativeFrom="column">
                  <wp:posOffset>-914400</wp:posOffset>
                </wp:positionH>
                <wp:positionV relativeFrom="page">
                  <wp:posOffset>0</wp:posOffset>
                </wp:positionV>
                <wp:extent cx="7790180" cy="10713085"/>
                <wp:effectExtent l="0" t="0" r="1270" b="0"/>
                <wp:wrapNone/>
                <wp:docPr id="37" name="Rectangle 37"/>
                <wp:cNvGraphicFramePr/>
                <a:graphic xmlns:a="http://schemas.openxmlformats.org/drawingml/2006/main">
                  <a:graphicData uri="http://schemas.microsoft.com/office/word/2010/wordprocessingShape">
                    <wps:wsp>
                      <wps:cNvSpPr/>
                      <wps:spPr>
                        <a:xfrm>
                          <a:off x="0" y="0"/>
                          <a:ext cx="7790180" cy="10713085"/>
                        </a:xfrm>
                        <a:prstGeom prst="rect">
                          <a:avLst/>
                        </a:prstGeom>
                        <a:solidFill>
                          <a:srgbClr val="68BAD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in;margin-top:0;width:613.4pt;height:84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" fillcolor="#68bad6" stroked="f" strokeweight="2pt">
                <w10:wrap anchory="page"/>
                <w10:anchorlock/>
              </v:rect>
            </w:pict>
          </mc:Fallback>
        </mc:AlternateContent>
      </w: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ind w:left="3690"/>
        <w:rPr>
          <w:szCs w:val="20"/>
          <w:lang w:val="en-AU"/>
        </w:rPr>
      </w:pPr>
      <w:r w:rsidRPr="00851EC7">
        <w:rPr>
          <w:b/>
          <w:color w:val="FFFFFF" w:themeColor="background1"/>
          <w:sz w:val="56"/>
          <w:szCs w:val="56"/>
          <w:lang w:val="en-AU"/>
        </w:rPr>
        <w:t>Annexes</w:t>
      </w:r>
    </w:p>
    <w:p w:rsidR="00D06F80" w:rsidRPr="00851EC7" w:rsidRDefault="00D06F80" w:rsidP="00D06F80">
      <w:pPr>
        <w:spacing w:before="120"/>
        <w:ind w:left="3420" w:right="209"/>
        <w:rPr>
          <w:color w:val="FFFFFF" w:themeColor="background1"/>
          <w:szCs w:val="20"/>
          <w:lang w:val="en-AU"/>
        </w:rPr>
      </w:pPr>
    </w:p>
    <w:p w:rsidR="00D06F80" w:rsidRPr="00851EC7" w:rsidRDefault="00D06F80" w:rsidP="00D06F80">
      <w:pPr>
        <w:spacing w:before="120"/>
        <w:rPr>
          <w:color w:val="FFFFFF" w:themeColor="background1"/>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rPr>
          <w:szCs w:val="20"/>
          <w:lang w:val="en-AU"/>
        </w:rPr>
      </w:pPr>
    </w:p>
    <w:p w:rsidR="00D06F80" w:rsidRPr="00851EC7" w:rsidRDefault="00D06F80" w:rsidP="00D06F80">
      <w:pPr>
        <w:spacing w:before="120"/>
        <w:ind w:left="360"/>
        <w:rPr>
          <w:szCs w:val="20"/>
          <w:lang w:val="en-AU"/>
        </w:rPr>
      </w:pPr>
    </w:p>
    <w:p w:rsidR="00D06F80" w:rsidRPr="00851EC7" w:rsidRDefault="00D06F80" w:rsidP="00D06F80">
      <w:pPr>
        <w:spacing w:before="120"/>
        <w:ind w:left="360"/>
        <w:rPr>
          <w:szCs w:val="20"/>
          <w:lang w:val="en-AU"/>
        </w:rPr>
        <w:sectPr w:rsidR="00D06F80" w:rsidRPr="00851EC7" w:rsidSect="00D06F80">
          <w:headerReference w:type="default" r:id="rId40"/>
          <w:pgSz w:w="11907" w:h="16839" w:code="9"/>
          <w:pgMar w:top="1710" w:right="1440" w:bottom="1440" w:left="1440" w:header="720" w:footer="720" w:gutter="0"/>
          <w:cols w:space="720"/>
          <w:docGrid w:linePitch="360"/>
        </w:sectPr>
      </w:pPr>
    </w:p>
    <w:p w:rsidR="00D06F80" w:rsidRPr="00851EC7" w:rsidRDefault="00D06F80" w:rsidP="00D06F80">
      <w:pPr>
        <w:keepNext/>
        <w:spacing w:before="480"/>
        <w:ind w:left="720" w:hanging="720"/>
        <w:outlineLvl w:val="0"/>
        <w:rPr>
          <w:rFonts w:asciiTheme="minorHAnsi" w:hAnsiTheme="minorHAnsi" w:cstheme="minorHAnsi"/>
          <w:bCs/>
          <w:color w:val="003880"/>
          <w:kern w:val="32"/>
          <w:sz w:val="32"/>
          <w:szCs w:val="72"/>
          <w:lang w:val="en-AU"/>
        </w:rPr>
      </w:pPr>
      <w:bookmarkStart w:id="67" w:name="_Toc379548513"/>
      <w:bookmarkStart w:id="68" w:name="_Toc407779887"/>
      <w:r w:rsidRPr="00851EC7">
        <w:rPr>
          <w:rFonts w:asciiTheme="minorHAnsi" w:hAnsiTheme="minorHAnsi" w:cstheme="minorHAnsi"/>
          <w:bCs/>
          <w:color w:val="003880"/>
          <w:kern w:val="32"/>
          <w:sz w:val="32"/>
          <w:szCs w:val="72"/>
          <w:lang w:val="en-AU"/>
        </w:rPr>
        <w:lastRenderedPageBreak/>
        <w:t>Annex I</w:t>
      </w:r>
      <w:r w:rsidR="00877147" w:rsidRPr="00851EC7">
        <w:rPr>
          <w:rFonts w:asciiTheme="minorHAnsi" w:hAnsiTheme="minorHAnsi" w:cstheme="minorHAnsi"/>
          <w:bCs/>
          <w:color w:val="003880"/>
          <w:kern w:val="32"/>
          <w:sz w:val="32"/>
          <w:szCs w:val="72"/>
          <w:lang w:val="en-AU"/>
        </w:rPr>
        <w:t xml:space="preserve">: </w:t>
      </w:r>
      <w:r w:rsidRPr="00851EC7">
        <w:rPr>
          <w:rFonts w:asciiTheme="minorHAnsi" w:hAnsiTheme="minorHAnsi" w:cstheme="minorHAnsi"/>
          <w:bCs/>
          <w:color w:val="003880"/>
          <w:kern w:val="32"/>
          <w:sz w:val="32"/>
          <w:szCs w:val="72"/>
          <w:lang w:val="en-AU"/>
        </w:rPr>
        <w:t>EP Logic Architecture</w:t>
      </w:r>
      <w:bookmarkEnd w:id="67"/>
      <w:bookmarkEnd w:id="68"/>
    </w:p>
    <w:p w:rsidR="00930A73" w:rsidRPr="00851EC7" w:rsidRDefault="00804A24" w:rsidP="00930A73">
      <w:pPr>
        <w:spacing w:before="120"/>
        <w:jc w:val="center"/>
        <w:rPr>
          <w:szCs w:val="20"/>
          <w:lang w:val="en-AU"/>
        </w:rPr>
      </w:pPr>
      <w:r w:rsidRPr="00851EC7">
        <w:rPr>
          <w:noProof/>
          <w:szCs w:val="20"/>
          <w:lang w:val="en-AU" w:eastAsia="en-AU"/>
        </w:rPr>
        <w:drawing>
          <wp:inline distT="0" distB="0" distL="0" distR="0" wp14:anchorId="169C4A92" wp14:editId="04E5938E">
            <wp:extent cx="6401435" cy="4801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1435" cy="4801235"/>
                    </a:xfrm>
                    <a:prstGeom prst="rect">
                      <a:avLst/>
                    </a:prstGeom>
                    <a:noFill/>
                  </pic:spPr>
                </pic:pic>
              </a:graphicData>
            </a:graphic>
          </wp:inline>
        </w:drawing>
      </w:r>
    </w:p>
    <w:p w:rsidR="00930A73" w:rsidRPr="00851EC7" w:rsidRDefault="00930A73">
      <w:pPr>
        <w:rPr>
          <w:szCs w:val="20"/>
          <w:lang w:val="en-AU"/>
        </w:rPr>
      </w:pPr>
      <w:r w:rsidRPr="00851EC7">
        <w:rPr>
          <w:szCs w:val="20"/>
          <w:lang w:val="en-AU"/>
        </w:rPr>
        <w:br w:type="page"/>
      </w:r>
    </w:p>
    <w:p w:rsidR="00930A73" w:rsidRPr="00851EC7" w:rsidRDefault="00930A73" w:rsidP="00E56459">
      <w:pPr>
        <w:keepNext/>
        <w:spacing w:before="480"/>
        <w:ind w:left="720" w:hanging="720"/>
        <w:outlineLvl w:val="0"/>
        <w:rPr>
          <w:rFonts w:asciiTheme="minorHAnsi" w:hAnsiTheme="minorHAnsi" w:cstheme="minorHAnsi"/>
          <w:bCs/>
          <w:color w:val="003880"/>
          <w:kern w:val="32"/>
          <w:sz w:val="32"/>
          <w:szCs w:val="72"/>
          <w:lang w:val="en-AU"/>
        </w:rPr>
      </w:pPr>
      <w:bookmarkStart w:id="69" w:name="_Toc407779888"/>
      <w:r w:rsidRPr="00851EC7">
        <w:rPr>
          <w:rFonts w:asciiTheme="minorHAnsi" w:hAnsiTheme="minorHAnsi" w:cstheme="minorHAnsi"/>
          <w:bCs/>
          <w:color w:val="003880"/>
          <w:kern w:val="32"/>
          <w:sz w:val="32"/>
          <w:szCs w:val="72"/>
          <w:lang w:val="en-AU"/>
        </w:rPr>
        <w:lastRenderedPageBreak/>
        <w:t>A</w:t>
      </w:r>
      <w:r w:rsidR="007269E9" w:rsidRPr="00851EC7">
        <w:rPr>
          <w:rFonts w:asciiTheme="minorHAnsi" w:hAnsiTheme="minorHAnsi" w:cstheme="minorHAnsi"/>
          <w:bCs/>
          <w:color w:val="003880"/>
          <w:kern w:val="32"/>
          <w:sz w:val="32"/>
          <w:szCs w:val="72"/>
          <w:lang w:val="en-AU"/>
        </w:rPr>
        <w:t>nnex II</w:t>
      </w:r>
      <w:r w:rsidR="00877147" w:rsidRPr="00851EC7">
        <w:rPr>
          <w:rFonts w:asciiTheme="minorHAnsi" w:hAnsiTheme="minorHAnsi" w:cstheme="minorHAnsi"/>
          <w:bCs/>
          <w:color w:val="003880"/>
          <w:kern w:val="32"/>
          <w:sz w:val="32"/>
          <w:szCs w:val="72"/>
          <w:lang w:val="en-AU"/>
        </w:rPr>
        <w:t xml:space="preserve">: </w:t>
      </w:r>
      <w:r w:rsidR="007269E9" w:rsidRPr="00851EC7">
        <w:rPr>
          <w:rFonts w:asciiTheme="minorHAnsi" w:hAnsiTheme="minorHAnsi" w:cstheme="minorHAnsi"/>
          <w:bCs/>
          <w:color w:val="003880"/>
          <w:kern w:val="32"/>
          <w:sz w:val="32"/>
          <w:szCs w:val="72"/>
          <w:lang w:val="en-AU"/>
        </w:rPr>
        <w:t>Interpretation of DAC Criteria</w:t>
      </w:r>
      <w:bookmarkEnd w:id="69"/>
      <w:r w:rsidR="007269E9" w:rsidRPr="00851EC7">
        <w:rPr>
          <w:rFonts w:asciiTheme="minorHAnsi" w:hAnsiTheme="minorHAnsi" w:cstheme="minorHAnsi"/>
          <w:bCs/>
          <w:color w:val="003880"/>
          <w:kern w:val="32"/>
          <w:sz w:val="32"/>
          <w:szCs w:val="72"/>
          <w:lang w:val="en-AU"/>
        </w:rPr>
        <w:t xml:space="preserve"> </w:t>
      </w:r>
    </w:p>
    <w:p w:rsidR="00930A73" w:rsidRPr="00851EC7" w:rsidRDefault="00930A73" w:rsidP="00930A73">
      <w:pPr>
        <w:rPr>
          <w:rFonts w:asciiTheme="minorHAnsi" w:eastAsiaTheme="minorHAnsi" w:hAnsiTheme="minorHAnsi" w:cstheme="minorBidi"/>
          <w:lang w:val="en-AU"/>
        </w:rPr>
      </w:pPr>
    </w:p>
    <w:tbl>
      <w:tblPr>
        <w:tblW w:w="535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0"/>
        <w:gridCol w:w="1654"/>
        <w:gridCol w:w="12032"/>
      </w:tblGrid>
      <w:tr w:rsidR="00930A73" w:rsidRPr="00851EC7" w:rsidTr="00930A73">
        <w:trPr>
          <w:trHeight w:val="795"/>
        </w:trPr>
        <w:tc>
          <w:tcPr>
            <w:tcW w:w="934"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930A73">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Relevance</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930A73">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The extent to which the investment is suited to program goals and objectives and to the policies and priorities of the GoI and GoA</w:t>
            </w:r>
          </w:p>
        </w:tc>
      </w:tr>
      <w:tr w:rsidR="00930A73"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930A73" w:rsidRPr="00851EC7" w:rsidRDefault="00930A73" w:rsidP="00930A73">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2"/>
            <w:tcBorders>
              <w:top w:val="single" w:sz="4" w:space="0" w:color="auto"/>
              <w:left w:val="single" w:sz="4" w:space="0" w:color="auto"/>
              <w:right w:val="single" w:sz="4" w:space="0" w:color="auto"/>
            </w:tcBorders>
            <w:vAlign w:val="center"/>
          </w:tcPr>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are EP interventions appropriate to the Indonesian education sector? (External)</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are the EP interventions in line with Australian development policy and priorities? (External)</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To what extent are the activities and outputs consistent with the attainment of EOCOs and EOPOs and goals? (Internal)</w:t>
            </w:r>
          </w:p>
        </w:tc>
      </w:tr>
      <w:tr w:rsidR="00930A73" w:rsidRPr="00851EC7" w:rsidTr="00930A73">
        <w:trPr>
          <w:trHeight w:val="795"/>
        </w:trPr>
        <w:tc>
          <w:tcPr>
            <w:tcW w:w="934"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FB28C4">
            <w:pPr>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cstheme="minorBidi"/>
                <w:sz w:val="20"/>
                <w:szCs w:val="20"/>
                <w:lang w:val="en-AU"/>
              </w:rPr>
              <w:br w:type="page"/>
            </w:r>
            <w:r w:rsidRPr="00851EC7">
              <w:rPr>
                <w:rFonts w:asciiTheme="minorHAnsi" w:eastAsiaTheme="minorHAnsi" w:hAnsiTheme="minorHAnsi"/>
                <w:b/>
                <w:sz w:val="20"/>
                <w:szCs w:val="20"/>
                <w:lang w:val="en-AU"/>
              </w:rPr>
              <w:t>Efficiency</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930A73">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 measure of how economically (in relation to time and cost) inputs are converted to outputs (and EOCOs)</w:t>
            </w:r>
          </w:p>
        </w:tc>
      </w:tr>
      <w:tr w:rsidR="00930A73"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930A73" w:rsidRPr="00851EC7" w:rsidRDefault="00930A73" w:rsidP="00930A73">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 xml:space="preserve">To what extent are the output- and EOCO-level milestones being achieved on time? And in accordance with agreed budget envelopes? </w:t>
            </w:r>
          </w:p>
          <w:p w:rsidR="00930A73" w:rsidRPr="00851EC7" w:rsidRDefault="00930A73" w:rsidP="00215A8F">
            <w:pPr>
              <w:widowControl w:val="0"/>
              <w:numPr>
                <w:ilvl w:val="0"/>
                <w:numId w:val="19"/>
              </w:numPr>
              <w:autoSpaceDE w:val="0"/>
              <w:autoSpaceDN w:val="0"/>
              <w:adjustRightInd w:val="0"/>
              <w:spacing w:before="60" w:after="60" w:line="276" w:lineRule="auto"/>
              <w:rPr>
                <w:rFonts w:asciiTheme="minorHAnsi" w:eastAsiaTheme="minorHAnsi" w:hAnsiTheme="minorHAnsi" w:cstheme="minorBidi"/>
                <w:sz w:val="20"/>
                <w:szCs w:val="20"/>
                <w:lang w:val="en-AU"/>
              </w:rPr>
            </w:pPr>
            <w:r w:rsidRPr="00851EC7">
              <w:rPr>
                <w:rFonts w:eastAsia="Calibri"/>
                <w:sz w:val="20"/>
                <w:szCs w:val="20"/>
                <w:lang w:val="en-AU" w:eastAsia="en-AU"/>
              </w:rPr>
              <w:t>Could</w:t>
            </w:r>
            <w:r w:rsidRPr="00851EC7">
              <w:rPr>
                <w:rFonts w:eastAsia="Calibri" w:cs="Times New Roman"/>
                <w:sz w:val="20"/>
                <w:szCs w:val="20"/>
                <w:lang w:val="en-AU" w:eastAsia="en-AU"/>
              </w:rPr>
              <w:t xml:space="preserve"> the same quality and quantity of deliverables and the same level of change/results have been achieved with less investment?</w:t>
            </w:r>
          </w:p>
        </w:tc>
      </w:tr>
      <w:tr w:rsidR="00930A73" w:rsidRPr="00851EC7" w:rsidTr="00930A73">
        <w:trPr>
          <w:trHeight w:val="795"/>
        </w:trPr>
        <w:tc>
          <w:tcPr>
            <w:tcW w:w="934"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930A73">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Effectiveness</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930A73">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The extent to which an investment attains its end-of-partnership targets</w:t>
            </w:r>
          </w:p>
        </w:tc>
      </w:tr>
      <w:tr w:rsidR="00930A73" w:rsidRPr="00851EC7" w:rsidTr="00267340">
        <w:trPr>
          <w:trHeight w:val="436"/>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930A73" w:rsidRPr="00851EC7" w:rsidRDefault="00930A73" w:rsidP="00930A73">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2"/>
            <w:tcBorders>
              <w:top w:val="single" w:sz="4" w:space="0" w:color="auto"/>
              <w:left w:val="single" w:sz="4" w:space="0" w:color="auto"/>
              <w:right w:val="single" w:sz="4" w:space="0" w:color="auto"/>
            </w:tcBorders>
            <w:vAlign w:val="center"/>
          </w:tcPr>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To what extent and how has JSE enrolment in public schools increased in EP targeted districts? </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and how have EP-funded professional development initiatives improved the management of schools and Madrasah?</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and how has EP-funded support improved the quality of madrasah service provision?</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is systemic change occurring within C3’s targeted districts (and elsewhere, and what is the EP’s contribution to the same?</w:t>
            </w:r>
            <w:r w:rsidR="00537938">
              <w:rPr>
                <w:rFonts w:eastAsia="Calibri"/>
                <w:sz w:val="20"/>
                <w:szCs w:val="20"/>
                <w:lang w:val="en-AU" w:eastAsia="en-AU"/>
              </w:rPr>
              <w:t xml:space="preserve"> </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To what extent and how is ACDP evidence that relates to the EP incorporated in relevant education sector policies, regulations plans and budgets? </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To what extent has the EP delivered or contributed to unforeseen results that could be deemed to be on a par with EOCOs and EOPOs? </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evidence that the EP has generated unforeseen costs and are they deemed to be at an acceptable or unacceptable level?</w:t>
            </w:r>
            <w:r w:rsidR="00537938">
              <w:rPr>
                <w:rFonts w:eastAsia="Calibri"/>
                <w:sz w:val="20"/>
                <w:szCs w:val="20"/>
                <w:lang w:val="en-AU" w:eastAsia="en-AU"/>
              </w:rPr>
              <w:t xml:space="preserve"> </w:t>
            </w:r>
          </w:p>
        </w:tc>
      </w:tr>
      <w:tr w:rsidR="00930A73" w:rsidRPr="00851EC7" w:rsidTr="00930A73">
        <w:trPr>
          <w:trHeight w:val="795"/>
        </w:trPr>
        <w:tc>
          <w:tcPr>
            <w:tcW w:w="934"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930A73">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Impact</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930A73">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sz w:val="20"/>
                <w:szCs w:val="20"/>
                <w:lang w:val="en-AU"/>
              </w:rPr>
              <w:t xml:space="preserve">The overall </w:t>
            </w:r>
            <w:r w:rsidRPr="00851EC7">
              <w:rPr>
                <w:rFonts w:asciiTheme="minorHAnsi" w:eastAsiaTheme="minorHAnsi" w:hAnsiTheme="minorHAnsi"/>
                <w:i/>
                <w:sz w:val="20"/>
                <w:szCs w:val="20"/>
                <w:lang w:val="en-AU"/>
              </w:rPr>
              <w:t>long-term effect</w:t>
            </w:r>
            <w:r w:rsidRPr="00851EC7">
              <w:rPr>
                <w:rFonts w:asciiTheme="minorHAnsi" w:eastAsiaTheme="minorHAnsi" w:hAnsiTheme="minorHAnsi"/>
                <w:sz w:val="20"/>
                <w:szCs w:val="20"/>
                <w:lang w:val="en-AU"/>
              </w:rPr>
              <w:t xml:space="preserve"> produced by an investment. This includes positive and negative changes produced by a development investment (directly or indirectly, intended or unintended).</w:t>
            </w:r>
          </w:p>
        </w:tc>
      </w:tr>
      <w:tr w:rsidR="00930A73"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930A73" w:rsidRPr="00851EC7" w:rsidRDefault="00930A73" w:rsidP="00930A73">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lastRenderedPageBreak/>
              <w:t>Headline questions</w:t>
            </w:r>
          </w:p>
        </w:tc>
        <w:tc>
          <w:tcPr>
            <w:tcW w:w="4625" w:type="pct"/>
            <w:gridSpan w:val="2"/>
            <w:tcBorders>
              <w:top w:val="single" w:sz="4" w:space="0" w:color="auto"/>
              <w:left w:val="single" w:sz="4" w:space="0" w:color="auto"/>
              <w:right w:val="single" w:sz="4" w:space="0" w:color="auto"/>
            </w:tcBorders>
            <w:vAlign w:val="center"/>
          </w:tcPr>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have EP interventions contributed to student participation in JSE? (Goal 1)</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have EP interventions contributed to the improvement of the quality of education in public and private schools? (Goal 2)</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have EP interventions contributed to increased use of evidence for education sector decision making? (Goal 3)</w:t>
            </w:r>
          </w:p>
        </w:tc>
      </w:tr>
      <w:tr w:rsidR="00930A73" w:rsidRPr="00851EC7" w:rsidTr="00930A73">
        <w:trPr>
          <w:trHeight w:val="795"/>
        </w:trPr>
        <w:tc>
          <w:tcPr>
            <w:tcW w:w="934"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FB28C4">
            <w:pPr>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cstheme="minorBidi"/>
                <w:sz w:val="20"/>
                <w:szCs w:val="20"/>
                <w:lang w:val="en-AU"/>
              </w:rPr>
              <w:br w:type="page"/>
            </w:r>
            <w:r w:rsidRPr="00851EC7">
              <w:rPr>
                <w:rFonts w:asciiTheme="minorHAnsi" w:eastAsiaTheme="minorHAnsi" w:hAnsiTheme="minorHAnsi"/>
                <w:b/>
                <w:sz w:val="20"/>
                <w:szCs w:val="20"/>
                <w:lang w:val="en-AU"/>
              </w:rPr>
              <w:t>Sustainability</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930A73" w:rsidRPr="00851EC7" w:rsidRDefault="00930A73" w:rsidP="00930A73">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The extent to which the benefits are likely to continue after DFAT funding to the EP has been withdrawn </w:t>
            </w:r>
          </w:p>
        </w:tc>
      </w:tr>
      <w:tr w:rsidR="00930A73"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930A73" w:rsidRPr="00851EC7" w:rsidRDefault="00930A73" w:rsidP="00930A73">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To what extent will the key benefits be sustained once GoA’s investment ceases? </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Is there evidence of partners adopting, adapting, taking to scale and financing the </w:t>
            </w:r>
            <w:r w:rsidR="00123F1E" w:rsidRPr="00851EC7">
              <w:rPr>
                <w:rFonts w:eastAsia="Calibri"/>
                <w:sz w:val="20"/>
                <w:szCs w:val="20"/>
                <w:lang w:val="en-AU" w:eastAsia="en-AU"/>
              </w:rPr>
              <w:t>outputs</w:t>
            </w:r>
            <w:r w:rsidRPr="00851EC7">
              <w:rPr>
                <w:rFonts w:eastAsia="Calibri"/>
                <w:sz w:val="20"/>
                <w:szCs w:val="20"/>
                <w:lang w:val="en-AU" w:eastAsia="en-AU"/>
              </w:rPr>
              <w:t>, approaches, tools, etc. implemented in the EP?</w:t>
            </w:r>
          </w:p>
          <w:p w:rsidR="00930A73" w:rsidRPr="00851EC7" w:rsidRDefault="00930A73"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Do beneficiaries have sufficient ownership, capacity and resources to maintain the benefits after GoA funding has ceased?</w:t>
            </w:r>
          </w:p>
        </w:tc>
      </w:tr>
    </w:tbl>
    <w:p w:rsidR="00930A73" w:rsidRPr="00851EC7" w:rsidRDefault="00930A73" w:rsidP="00930A73">
      <w:pPr>
        <w:spacing w:after="200" w:line="276" w:lineRule="auto"/>
        <w:rPr>
          <w:rFonts w:asciiTheme="minorHAnsi" w:eastAsiaTheme="minorHAnsi" w:hAnsiTheme="minorHAnsi"/>
          <w:b/>
          <w:color w:val="FFFFFF" w:themeColor="background1"/>
          <w:sz w:val="20"/>
          <w:szCs w:val="20"/>
          <w:lang w:val="en-AU"/>
        </w:rPr>
      </w:pPr>
      <w:r w:rsidRPr="00851EC7">
        <w:rPr>
          <w:rFonts w:asciiTheme="minorHAnsi" w:eastAsiaTheme="minorHAnsi" w:hAnsiTheme="minorHAnsi"/>
          <w:b/>
          <w:color w:val="FFFFFF" w:themeColor="background1"/>
          <w:sz w:val="20"/>
          <w:szCs w:val="20"/>
          <w:lang w:val="en-AU"/>
        </w:rPr>
        <w:br w:type="page"/>
      </w:r>
    </w:p>
    <w:p w:rsidR="007269E9" w:rsidRPr="00851EC7" w:rsidRDefault="007269E9" w:rsidP="00930A73">
      <w:pPr>
        <w:keepNext/>
        <w:ind w:left="720" w:hanging="720"/>
        <w:outlineLvl w:val="0"/>
        <w:rPr>
          <w:rFonts w:asciiTheme="minorHAnsi" w:hAnsiTheme="minorHAnsi" w:cstheme="minorHAnsi"/>
          <w:bCs/>
          <w:color w:val="003880"/>
          <w:kern w:val="32"/>
          <w:sz w:val="32"/>
          <w:szCs w:val="72"/>
          <w:lang w:val="en-AU"/>
        </w:rPr>
      </w:pPr>
      <w:bookmarkStart w:id="70" w:name="_Toc407779889"/>
      <w:r w:rsidRPr="00851EC7">
        <w:rPr>
          <w:rFonts w:asciiTheme="minorHAnsi" w:hAnsiTheme="minorHAnsi" w:cstheme="minorHAnsi"/>
          <w:bCs/>
          <w:color w:val="003880"/>
          <w:kern w:val="32"/>
          <w:sz w:val="32"/>
          <w:szCs w:val="72"/>
          <w:lang w:val="en-AU"/>
        </w:rPr>
        <w:lastRenderedPageBreak/>
        <w:t>Annex III</w:t>
      </w:r>
      <w:r w:rsidR="00877147" w:rsidRPr="00851EC7">
        <w:rPr>
          <w:rFonts w:asciiTheme="minorHAnsi" w:hAnsiTheme="minorHAnsi" w:cstheme="minorHAnsi"/>
          <w:bCs/>
          <w:color w:val="003880"/>
          <w:kern w:val="32"/>
          <w:sz w:val="32"/>
          <w:szCs w:val="72"/>
          <w:lang w:val="en-AU"/>
        </w:rPr>
        <w:t xml:space="preserve">: </w:t>
      </w:r>
      <w:r w:rsidRPr="00851EC7">
        <w:rPr>
          <w:rFonts w:asciiTheme="minorHAnsi" w:hAnsiTheme="minorHAnsi" w:cstheme="minorHAnsi"/>
          <w:bCs/>
          <w:color w:val="003880"/>
          <w:kern w:val="32"/>
          <w:sz w:val="32"/>
          <w:szCs w:val="72"/>
          <w:lang w:val="en-AU"/>
        </w:rPr>
        <w:t>APPR Rating Scale (based on DFAT QRS</w:t>
      </w:r>
      <w:r w:rsidR="00930A73" w:rsidRPr="00851EC7">
        <w:rPr>
          <w:rFonts w:asciiTheme="minorHAnsi" w:hAnsiTheme="minorHAnsi" w:cstheme="minorHAnsi"/>
          <w:bCs/>
          <w:color w:val="003880"/>
          <w:kern w:val="32"/>
          <w:sz w:val="32"/>
          <w:szCs w:val="72"/>
          <w:lang w:val="en-AU"/>
        </w:rPr>
        <w:t xml:space="preserve"> and AQC)</w:t>
      </w:r>
      <w:bookmarkEnd w:id="70"/>
      <w:r w:rsidR="00930A73" w:rsidRPr="00851EC7">
        <w:rPr>
          <w:bCs/>
          <w:lang w:val="en-AU"/>
        </w:rPr>
        <w:t> </w:t>
      </w:r>
    </w:p>
    <w:p w:rsidR="007269E9" w:rsidRPr="00851EC7" w:rsidRDefault="007269E9" w:rsidP="007269E9">
      <w:pPr>
        <w:rPr>
          <w:b/>
          <w:lang w:val="en-AU"/>
        </w:rPr>
      </w:pPr>
    </w:p>
    <w:p w:rsidR="007269E9" w:rsidRPr="00851EC7" w:rsidRDefault="007269E9" w:rsidP="007269E9">
      <w:pPr>
        <w:rPr>
          <w:b/>
          <w:lang w:val="en-AU"/>
        </w:rPr>
      </w:pPr>
    </w:p>
    <w:tbl>
      <w:tblPr>
        <w:tblStyle w:val="TableGrid"/>
        <w:tblW w:w="0" w:type="auto"/>
        <w:jc w:val="center"/>
        <w:tblInd w:w="-5228" w:type="dxa"/>
        <w:tblLook w:val="04A0" w:firstRow="1" w:lastRow="0" w:firstColumn="1" w:lastColumn="0" w:noHBand="0" w:noVBand="1"/>
      </w:tblPr>
      <w:tblGrid>
        <w:gridCol w:w="3887"/>
        <w:gridCol w:w="4232"/>
      </w:tblGrid>
      <w:tr w:rsidR="007269E9" w:rsidRPr="00851EC7" w:rsidTr="00722245">
        <w:trPr>
          <w:trHeight w:val="850"/>
          <w:jc w:val="center"/>
        </w:trPr>
        <w:tc>
          <w:tcPr>
            <w:tcW w:w="8119" w:type="dxa"/>
            <w:gridSpan w:val="2"/>
            <w:tcBorders>
              <w:bottom w:val="single" w:sz="4" w:space="0" w:color="auto"/>
            </w:tcBorders>
            <w:shd w:val="clear" w:color="auto" w:fill="365F91" w:themeFill="accent1" w:themeFillShade="BF"/>
            <w:vAlign w:val="center"/>
          </w:tcPr>
          <w:p w:rsidR="007269E9" w:rsidRPr="00851EC7" w:rsidRDefault="007269E9" w:rsidP="00722245">
            <w:pPr>
              <w:spacing w:before="60" w:after="60"/>
              <w:jc w:val="center"/>
              <w:rPr>
                <w:rFonts w:asciiTheme="minorHAnsi" w:hAnsiTheme="minorHAnsi"/>
                <w:b/>
                <w:color w:val="FFFFFF" w:themeColor="background1"/>
                <w:sz w:val="24"/>
                <w:lang w:val="en-AU"/>
              </w:rPr>
            </w:pPr>
            <w:r w:rsidRPr="00851EC7">
              <w:rPr>
                <w:rFonts w:asciiTheme="minorHAnsi" w:hAnsiTheme="minorHAnsi"/>
                <w:b/>
                <w:color w:val="FFFFFF" w:themeColor="background1"/>
                <w:sz w:val="24"/>
                <w:lang w:val="en-AU"/>
              </w:rPr>
              <w:t>Rating scale</w:t>
            </w:r>
          </w:p>
        </w:tc>
      </w:tr>
      <w:tr w:rsidR="007269E9" w:rsidRPr="00851EC7" w:rsidTr="00722245">
        <w:trPr>
          <w:trHeight w:val="850"/>
          <w:jc w:val="center"/>
        </w:trPr>
        <w:tc>
          <w:tcPr>
            <w:tcW w:w="3887" w:type="dxa"/>
            <w:tcBorders>
              <w:bottom w:val="single" w:sz="4" w:space="0" w:color="auto"/>
            </w:tcBorders>
            <w:shd w:val="clear" w:color="auto" w:fill="B8CCE4" w:themeFill="accent1" w:themeFillTint="66"/>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Less than satisfactory</w:t>
            </w:r>
          </w:p>
        </w:tc>
        <w:tc>
          <w:tcPr>
            <w:tcW w:w="4232" w:type="dxa"/>
            <w:tcBorders>
              <w:bottom w:val="single" w:sz="4" w:space="0" w:color="auto"/>
            </w:tcBorders>
            <w:shd w:val="clear" w:color="auto" w:fill="B8CCE4" w:themeFill="accent1" w:themeFillTint="66"/>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Satisfactory</w:t>
            </w:r>
          </w:p>
        </w:tc>
      </w:tr>
      <w:tr w:rsidR="007269E9" w:rsidRPr="00851EC7" w:rsidTr="00722245">
        <w:trPr>
          <w:trHeight w:val="850"/>
          <w:jc w:val="center"/>
        </w:trPr>
        <w:tc>
          <w:tcPr>
            <w:tcW w:w="3887" w:type="dxa"/>
            <w:tcBorders>
              <w:bottom w:val="single" w:sz="4" w:space="0" w:color="auto"/>
            </w:tcBorders>
            <w:shd w:val="clear" w:color="auto" w:fill="C00000"/>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1: Very poor quality; needs major overhaul</w:t>
            </w:r>
          </w:p>
        </w:tc>
        <w:tc>
          <w:tcPr>
            <w:tcW w:w="4232" w:type="dxa"/>
            <w:tcBorders>
              <w:bottom w:val="single" w:sz="4" w:space="0" w:color="auto"/>
            </w:tcBorders>
            <w:shd w:val="clear" w:color="auto" w:fill="FFFF00"/>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4: Adequate quality; needs some work</w:t>
            </w:r>
          </w:p>
        </w:tc>
      </w:tr>
      <w:tr w:rsidR="007269E9" w:rsidRPr="00851EC7" w:rsidTr="00722245">
        <w:trPr>
          <w:trHeight w:val="850"/>
          <w:jc w:val="center"/>
        </w:trPr>
        <w:tc>
          <w:tcPr>
            <w:tcW w:w="3887" w:type="dxa"/>
            <w:tcBorders>
              <w:bottom w:val="single" w:sz="4" w:space="0" w:color="auto"/>
            </w:tcBorders>
            <w:shd w:val="clear" w:color="auto" w:fill="FF0000"/>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2: Poor quality; needs major work to improve</w:t>
            </w:r>
          </w:p>
        </w:tc>
        <w:tc>
          <w:tcPr>
            <w:tcW w:w="4232" w:type="dxa"/>
            <w:tcBorders>
              <w:bottom w:val="single" w:sz="4" w:space="0" w:color="auto"/>
            </w:tcBorders>
            <w:shd w:val="clear" w:color="auto" w:fill="92D050"/>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5: Good quality</w:t>
            </w:r>
          </w:p>
        </w:tc>
      </w:tr>
      <w:tr w:rsidR="007269E9" w:rsidRPr="00851EC7" w:rsidTr="00722245">
        <w:trPr>
          <w:trHeight w:val="850"/>
          <w:jc w:val="center"/>
        </w:trPr>
        <w:tc>
          <w:tcPr>
            <w:tcW w:w="3887" w:type="dxa"/>
            <w:shd w:val="clear" w:color="auto" w:fill="FFC000"/>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3: Less than adequate quality; needs significant work</w:t>
            </w:r>
          </w:p>
        </w:tc>
        <w:tc>
          <w:tcPr>
            <w:tcW w:w="4232" w:type="dxa"/>
            <w:shd w:val="clear" w:color="auto" w:fill="00B050"/>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6: Very high quality</w:t>
            </w:r>
          </w:p>
        </w:tc>
      </w:tr>
      <w:tr w:rsidR="007269E9" w:rsidRPr="00851EC7" w:rsidTr="00722245">
        <w:trPr>
          <w:trHeight w:val="850"/>
          <w:jc w:val="center"/>
        </w:trPr>
        <w:tc>
          <w:tcPr>
            <w:tcW w:w="8119" w:type="dxa"/>
            <w:gridSpan w:val="2"/>
            <w:vAlign w:val="center"/>
          </w:tcPr>
          <w:p w:rsidR="007269E9" w:rsidRPr="00851EC7" w:rsidRDefault="007269E9" w:rsidP="00722245">
            <w:pPr>
              <w:spacing w:before="60" w:after="60"/>
              <w:jc w:val="center"/>
              <w:rPr>
                <w:rFonts w:asciiTheme="minorHAnsi" w:hAnsiTheme="minorHAnsi"/>
                <w:lang w:val="en-AU"/>
              </w:rPr>
            </w:pPr>
            <w:r w:rsidRPr="00851EC7">
              <w:rPr>
                <w:rFonts w:asciiTheme="minorHAnsi" w:hAnsiTheme="minorHAnsi"/>
                <w:lang w:val="en-AU"/>
              </w:rPr>
              <w:t>TE: Too early to rate</w:t>
            </w:r>
          </w:p>
        </w:tc>
      </w:tr>
    </w:tbl>
    <w:p w:rsidR="007269E9" w:rsidRPr="00851EC7" w:rsidRDefault="007269E9" w:rsidP="007269E9">
      <w:pPr>
        <w:rPr>
          <w:lang w:val="en-AU"/>
        </w:rPr>
      </w:pPr>
    </w:p>
    <w:p w:rsidR="007269E9" w:rsidRPr="00851EC7" w:rsidRDefault="007269E9" w:rsidP="007269E9">
      <w:pPr>
        <w:rPr>
          <w:lang w:val="en-AU"/>
        </w:rPr>
      </w:pPr>
    </w:p>
    <w:p w:rsidR="007269E9" w:rsidRPr="00851EC7" w:rsidRDefault="007269E9" w:rsidP="007269E9">
      <w:pPr>
        <w:rPr>
          <w:lang w:val="en-AU"/>
        </w:rPr>
      </w:pPr>
    </w:p>
    <w:p w:rsidR="00D06F80" w:rsidRPr="00851EC7" w:rsidRDefault="00D06F80" w:rsidP="00D06F80">
      <w:pPr>
        <w:spacing w:before="120"/>
        <w:rPr>
          <w:szCs w:val="20"/>
          <w:lang w:val="en-AU"/>
        </w:rPr>
        <w:sectPr w:rsidR="00D06F80" w:rsidRPr="00851EC7" w:rsidSect="008E2B52">
          <w:pgSz w:w="16839" w:h="11907" w:orient="landscape" w:code="9"/>
          <w:pgMar w:top="1440" w:right="1800" w:bottom="1440" w:left="1440" w:header="720" w:footer="720" w:gutter="0"/>
          <w:cols w:space="720"/>
          <w:docGrid w:linePitch="360"/>
        </w:sectPr>
      </w:pPr>
    </w:p>
    <w:p w:rsidR="001E01CB" w:rsidRPr="00851EC7" w:rsidRDefault="001E01CB" w:rsidP="001E01CB">
      <w:pPr>
        <w:keepNext/>
        <w:ind w:left="720" w:hanging="720"/>
        <w:outlineLvl w:val="0"/>
        <w:rPr>
          <w:rFonts w:asciiTheme="minorHAnsi" w:hAnsiTheme="minorHAnsi" w:cstheme="minorHAnsi"/>
          <w:bCs/>
          <w:color w:val="003880"/>
          <w:kern w:val="32"/>
          <w:sz w:val="32"/>
          <w:szCs w:val="72"/>
          <w:lang w:val="en-AU"/>
        </w:rPr>
      </w:pPr>
      <w:bookmarkStart w:id="71" w:name="_Toc379548515"/>
      <w:bookmarkStart w:id="72" w:name="_Toc407779890"/>
      <w:r w:rsidRPr="00851EC7">
        <w:rPr>
          <w:rFonts w:asciiTheme="minorHAnsi" w:hAnsiTheme="minorHAnsi" w:cstheme="minorHAnsi"/>
          <w:bCs/>
          <w:color w:val="003880"/>
          <w:kern w:val="32"/>
          <w:sz w:val="32"/>
          <w:szCs w:val="72"/>
          <w:lang w:val="en-AU"/>
        </w:rPr>
        <w:lastRenderedPageBreak/>
        <w:t>Annex IV</w:t>
      </w:r>
      <w:r w:rsidR="00877147" w:rsidRPr="00851EC7">
        <w:rPr>
          <w:rFonts w:asciiTheme="minorHAnsi" w:hAnsiTheme="minorHAnsi" w:cstheme="minorHAnsi"/>
          <w:bCs/>
          <w:color w:val="003880"/>
          <w:kern w:val="32"/>
          <w:sz w:val="32"/>
          <w:szCs w:val="72"/>
          <w:lang w:val="en-AU"/>
        </w:rPr>
        <w:t xml:space="preserve">: </w:t>
      </w:r>
      <w:r w:rsidRPr="00851EC7">
        <w:rPr>
          <w:rFonts w:asciiTheme="minorHAnsi" w:hAnsiTheme="minorHAnsi" w:cstheme="minorHAnsi"/>
          <w:bCs/>
          <w:color w:val="003880"/>
          <w:kern w:val="32"/>
          <w:sz w:val="32"/>
          <w:szCs w:val="72"/>
          <w:lang w:val="en-AU"/>
        </w:rPr>
        <w:t>List of Documents Reviewed</w:t>
      </w:r>
      <w:bookmarkEnd w:id="71"/>
      <w:bookmarkEnd w:id="72"/>
    </w:p>
    <w:p w:rsidR="001E01CB" w:rsidRPr="00851EC7" w:rsidRDefault="001E01CB" w:rsidP="001E01CB">
      <w:pPr>
        <w:keepNext/>
        <w:ind w:left="720" w:hanging="720"/>
        <w:outlineLvl w:val="0"/>
        <w:rPr>
          <w:rFonts w:asciiTheme="minorHAnsi" w:hAnsiTheme="minorHAnsi" w:cstheme="minorHAnsi"/>
          <w:bCs/>
          <w:color w:val="003880"/>
          <w:kern w:val="32"/>
          <w:sz w:val="32"/>
          <w:szCs w:val="72"/>
          <w:lang w:val="en-AU"/>
        </w:rPr>
      </w:pPr>
    </w:p>
    <w:p w:rsidR="00D31FB9" w:rsidRPr="00851EC7" w:rsidRDefault="00D31FB9" w:rsidP="00D31FB9">
      <w:pPr>
        <w:spacing w:before="120" w:after="120" w:line="276" w:lineRule="auto"/>
        <w:jc w:val="both"/>
        <w:rPr>
          <w:rFonts w:asciiTheme="minorHAnsi" w:eastAsiaTheme="minorHAnsi" w:hAnsiTheme="minorHAnsi" w:cstheme="minorBidi"/>
          <w:b/>
          <w:sz w:val="24"/>
          <w:lang w:val="en-AU"/>
        </w:rPr>
      </w:pPr>
      <w:r w:rsidRPr="00851EC7">
        <w:rPr>
          <w:szCs w:val="20"/>
          <w:lang w:val="en-AU"/>
        </w:rPr>
        <w:t xml:space="preserve">This annex lists all </w:t>
      </w:r>
      <w:r w:rsidRPr="00851EC7">
        <w:rPr>
          <w:lang w:val="en-AU"/>
        </w:rPr>
        <w:t xml:space="preserve">reports reviewed by POM relating to EP performance as Step 2 of the APPR preparation process (see Section 1.2.3). It is not a list of all documents referenced in the APPR. </w:t>
      </w:r>
    </w:p>
    <w:p w:rsidR="00D31FB9" w:rsidRPr="00851EC7" w:rsidRDefault="00D31FB9" w:rsidP="001E01CB">
      <w:pPr>
        <w:keepNext/>
        <w:ind w:left="720" w:hanging="720"/>
        <w:outlineLvl w:val="0"/>
        <w:rPr>
          <w:rFonts w:asciiTheme="minorHAnsi" w:hAnsiTheme="minorHAnsi" w:cstheme="minorHAnsi"/>
          <w:bCs/>
          <w:color w:val="003880"/>
          <w:kern w:val="32"/>
          <w:sz w:val="32"/>
          <w:szCs w:val="72"/>
          <w:lang w:val="en-AU"/>
        </w:rPr>
      </w:pPr>
    </w:p>
    <w:tbl>
      <w:tblPr>
        <w:tblW w:w="9072" w:type="dxa"/>
        <w:tblInd w:w="108" w:type="dxa"/>
        <w:tblCellMar>
          <w:top w:w="57" w:type="dxa"/>
          <w:left w:w="57" w:type="dxa"/>
          <w:bottom w:w="57" w:type="dxa"/>
          <w:right w:w="57" w:type="dxa"/>
        </w:tblCellMar>
        <w:tblLook w:val="04A0" w:firstRow="1" w:lastRow="0" w:firstColumn="1" w:lastColumn="0" w:noHBand="0" w:noVBand="1"/>
      </w:tblPr>
      <w:tblGrid>
        <w:gridCol w:w="9072"/>
      </w:tblGrid>
      <w:tr w:rsidR="00D31FB9" w:rsidRPr="00851EC7" w:rsidTr="00D31FB9">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D31FB9" w:rsidRPr="00851EC7" w:rsidRDefault="00D31FB9" w:rsidP="00F4282E">
            <w:pPr>
              <w:spacing w:line="276" w:lineRule="auto"/>
              <w:jc w:val="center"/>
              <w:rPr>
                <w:rFonts w:eastAsiaTheme="minorHAnsi" w:cs="Times New Roman"/>
                <w:b/>
                <w:lang w:val="en-AU"/>
              </w:rPr>
            </w:pPr>
            <w:r w:rsidRPr="00851EC7">
              <w:rPr>
                <w:rFonts w:eastAsiaTheme="minorHAnsi" w:cs="Times New Roman"/>
                <w:b/>
                <w:color w:val="FFFFFF"/>
                <w:lang w:val="en-AU"/>
              </w:rPr>
              <w:t>Report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b/>
                <w:lang w:val="en-AU"/>
              </w:rPr>
            </w:pPr>
            <w:r w:rsidRPr="00851EC7">
              <w:rPr>
                <w:rFonts w:eastAsiaTheme="minorHAnsi" w:cs="Times New Roman"/>
                <w:b/>
                <w:lang w:val="en-AU"/>
              </w:rPr>
              <w:t>ACDP</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Education Sector Support Programme – Results Framework Report 2013</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ACDP Six Monthly Progress Report – End 2013</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ACDP Six Monthly Progress Report – Mid 2014</w:t>
            </w:r>
          </w:p>
        </w:tc>
      </w:tr>
      <w:tr w:rsidR="00F4282E"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4282E" w:rsidRPr="00851EC7" w:rsidRDefault="00F4282E" w:rsidP="00B33BC8">
            <w:pPr>
              <w:spacing w:line="276" w:lineRule="auto"/>
              <w:rPr>
                <w:rFonts w:eastAsiaTheme="minorHAnsi" w:cs="Times New Roman"/>
                <w:lang w:val="en-AU"/>
              </w:rPr>
            </w:pPr>
            <w:r w:rsidRPr="00851EC7">
              <w:rPr>
                <w:rFonts w:eastAsiaTheme="minorHAnsi" w:cs="Times New Roman"/>
                <w:lang w:val="en-AU"/>
              </w:rPr>
              <w:t>Education Sector – Analytical and Capacity Development Partnership Indonesia – Mid-term Review. Final Report</w:t>
            </w:r>
          </w:p>
        </w:tc>
      </w:tr>
      <w:tr w:rsidR="00877147" w:rsidRPr="00851EC7" w:rsidTr="00F4282E">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rsidR="00877147" w:rsidRPr="00851EC7" w:rsidRDefault="00877147" w:rsidP="00F4282E">
            <w:pPr>
              <w:spacing w:line="276" w:lineRule="auto"/>
              <w:rPr>
                <w:rFonts w:eastAsiaTheme="minorHAnsi" w:cs="Times New Roman"/>
                <w:b/>
                <w:lang w:val="en-AU"/>
              </w:rPr>
            </w:pPr>
            <w:r w:rsidRPr="00851EC7">
              <w:rPr>
                <w:rFonts w:eastAsiaTheme="minorHAnsi" w:cs="Times New Roman"/>
                <w:b/>
                <w:lang w:val="en-AU"/>
              </w:rPr>
              <w:t>DFAT</w:t>
            </w:r>
          </w:p>
        </w:tc>
      </w:tr>
      <w:tr w:rsidR="00877147" w:rsidRPr="00851EC7" w:rsidTr="00F4282E">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877147" w:rsidRPr="00851EC7" w:rsidRDefault="00877147" w:rsidP="00F4282E">
            <w:pPr>
              <w:spacing w:line="276" w:lineRule="auto"/>
              <w:rPr>
                <w:rFonts w:eastAsiaTheme="minorHAnsi" w:cs="Times New Roman"/>
                <w:lang w:val="en-AU" w:eastAsia="en-AU"/>
              </w:rPr>
            </w:pPr>
            <w:r w:rsidRPr="00851EC7">
              <w:rPr>
                <w:rFonts w:eastAsiaTheme="minorHAnsi" w:cs="Times New Roman"/>
                <w:lang w:val="en-AU" w:eastAsia="en-AU"/>
              </w:rPr>
              <w:t>Australia’s Education Partnership with Indonesia First Joint Monitoring Visit of School Construction, 2013 – Engineering and Technical Evaluation Mission Back To Office Report #3 – October 21 - November 6, 2013 (with annexes)</w:t>
            </w:r>
          </w:p>
        </w:tc>
      </w:tr>
      <w:tr w:rsidR="00877147" w:rsidRPr="00851EC7" w:rsidTr="00F4282E">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877147" w:rsidRPr="00851EC7" w:rsidRDefault="00877147" w:rsidP="00F4282E">
            <w:pPr>
              <w:spacing w:line="276" w:lineRule="auto"/>
              <w:rPr>
                <w:rFonts w:eastAsiaTheme="minorHAnsi" w:cs="Times New Roman"/>
                <w:lang w:val="en-AU" w:eastAsia="en-AU"/>
              </w:rPr>
            </w:pPr>
            <w:r w:rsidRPr="00851EC7">
              <w:rPr>
                <w:rFonts w:eastAsiaTheme="minorHAnsi" w:cs="Times New Roman"/>
                <w:lang w:val="en-AU" w:eastAsia="en-AU"/>
              </w:rPr>
              <w:t>Australia’s Education Partnership with Indonesia First Joint Monitoring Visit of School Construction, 2013 – Engineering and Technical Evaluation Mission Back To Office Report #4 – January 20 – February 4, 2014 (with annexes)</w:t>
            </w:r>
          </w:p>
        </w:tc>
      </w:tr>
      <w:tr w:rsidR="00877147" w:rsidRPr="00851EC7" w:rsidTr="00F4282E">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877147" w:rsidRPr="00851EC7" w:rsidRDefault="00877147" w:rsidP="00F4282E">
            <w:pPr>
              <w:spacing w:line="276" w:lineRule="auto"/>
              <w:rPr>
                <w:rFonts w:eastAsiaTheme="minorHAnsi" w:cs="Times New Roman"/>
                <w:lang w:val="en-AU" w:eastAsia="en-AU"/>
              </w:rPr>
            </w:pPr>
            <w:r w:rsidRPr="00851EC7">
              <w:rPr>
                <w:color w:val="000000"/>
                <w:lang w:val="en-AU"/>
              </w:rPr>
              <w:t>Management Response: 2013 Annual Partnership Performance Report</w:t>
            </w:r>
          </w:p>
        </w:tc>
      </w:tr>
      <w:tr w:rsidR="00877147" w:rsidRPr="00851EC7" w:rsidTr="00F4282E">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877147" w:rsidRPr="00851EC7" w:rsidRDefault="00877147" w:rsidP="00F4282E">
            <w:pPr>
              <w:spacing w:line="276" w:lineRule="auto"/>
              <w:rPr>
                <w:color w:val="000000"/>
                <w:lang w:val="en-AU"/>
              </w:rPr>
            </w:pPr>
            <w:r w:rsidRPr="00851EC7">
              <w:rPr>
                <w:lang w:val="en-AU"/>
              </w:rPr>
              <w:t>Alexander and Lloyd Group (2014). Independent Monitoring of School Construction Technical Evaluation Mission 27 October-10 November 2014. Back to Office Report (Final)</w:t>
            </w:r>
          </w:p>
        </w:tc>
      </w:tr>
      <w:tr w:rsidR="00877147" w:rsidRPr="00851EC7" w:rsidTr="00F4282E">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rsidR="00877147" w:rsidRPr="00851EC7" w:rsidRDefault="00877147" w:rsidP="00F4282E">
            <w:pPr>
              <w:spacing w:line="276" w:lineRule="auto"/>
              <w:rPr>
                <w:rFonts w:eastAsiaTheme="minorHAnsi" w:cs="Times New Roman"/>
                <w:b/>
                <w:lang w:val="en-AU"/>
              </w:rPr>
            </w:pPr>
            <w:r w:rsidRPr="00851EC7">
              <w:rPr>
                <w:rFonts w:eastAsiaTheme="minorHAnsi" w:cs="Times New Roman"/>
                <w:b/>
                <w:lang w:val="en-AU"/>
              </w:rPr>
              <w:t>POM</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Annual Partnership Performance Report 2013</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POM Six Monthly Report - July to December 2013</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POM Six Monthly Report – January to June 2014</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POM Annual Workplan and Budget 2014</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Calibri" w:cs="Times New Roman"/>
                <w:lang w:val="en-AU" w:eastAsia="en-AU"/>
              </w:rPr>
              <w:t>Critical Issues Report: Final Report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Education Partnership Technical Document Repository System (Draft)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The Ability and Willingness of Districts to Pay for CPD: Options Framework</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 xml:space="preserve">Value for Money Scoping Exercise: Final Report </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Annual Sector Financial Report (2012): Final Report</w:t>
            </w:r>
          </w:p>
        </w:tc>
      </w:tr>
      <w:tr w:rsidR="00D31FB9" w:rsidRPr="00851EC7" w:rsidTr="00620804">
        <w:trPr>
          <w:trHeight w:val="454"/>
        </w:trPr>
        <w:tc>
          <w:tcPr>
            <w:tcW w:w="907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Disability and learning outcomes: a design-implement research study on ProDEP, learning outcomes and children with disabilities: Concept Note</w:t>
            </w:r>
          </w:p>
        </w:tc>
      </w:tr>
      <w:tr w:rsidR="00D31FB9" w:rsidRPr="00851EC7" w:rsidTr="00620804">
        <w:trPr>
          <w:trHeight w:val="454"/>
        </w:trPr>
        <w:tc>
          <w:tcPr>
            <w:tcW w:w="907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lastRenderedPageBreak/>
              <w:t>Thematic Literature Review for Component 2</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 xml:space="preserve">School Sites Selection Analysis Concept Note </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EOPO 1 Evaluation Options Paper</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EOPO 2 Evaluation Options Paper</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EOPO 3 Evaluation Options Paper</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EOPO 4 Evaluation Concept Note</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Performance Milestone Framework: Guidance Note</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C1 School Construction Committee (SCC) Financial Compliance Audit for 2012 School Construction Cycle – Phase 1</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C1 School Construction Committee (SCC) Financial Compliance Audit for 2012 School Construction Cycle – Phase 2</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C1 MoEC Internal Control and Compliance Review for 2012 School Construction Cycle – Phase 2 (Draft)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C1 Annual Financial Statements Audit for 2013 School Construction Cycle</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C1 MoEC Internal Control and Compliance Review for 2012 School Construction Cycle – Phase 1</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Audit of compliance with control systems and procedure relating to Block Grants to SNIPs &amp; Madrasah – Stage 1</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eastAsia="en-AU"/>
              </w:rPr>
              <w:t>Audit of compliance with control systems and procedures relating to Block Grants to Madrasah – Stage 2</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FB9" w:rsidRPr="00851EC7" w:rsidRDefault="00D31FB9" w:rsidP="00B33BC8">
            <w:pPr>
              <w:spacing w:line="276" w:lineRule="auto"/>
              <w:rPr>
                <w:rFonts w:eastAsiaTheme="minorHAnsi" w:cs="Times New Roman"/>
                <w:lang w:val="en-AU"/>
              </w:rPr>
            </w:pPr>
            <w:r w:rsidRPr="00851EC7">
              <w:rPr>
                <w:rFonts w:eastAsiaTheme="minorHAnsi" w:cs="Times New Roman"/>
                <w:lang w:val="en-AU"/>
              </w:rPr>
              <w:t>Consolidated Audit Report 2013: Draft Report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b/>
                <w:lang w:val="en-AU"/>
              </w:rPr>
            </w:pPr>
            <w:r w:rsidRPr="00851EC7">
              <w:rPr>
                <w:rFonts w:eastAsiaTheme="minorHAnsi" w:cs="Times New Roman"/>
                <w:b/>
                <w:lang w:val="en-AU"/>
              </w:rPr>
              <w:t>SSQ</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eastAsia="en-AU"/>
              </w:rPr>
            </w:pPr>
            <w:r w:rsidRPr="00851EC7">
              <w:rPr>
                <w:rFonts w:eastAsiaTheme="minorHAnsi" w:cs="Times New Roman"/>
                <w:lang w:val="en-AU" w:eastAsia="en-AU"/>
              </w:rPr>
              <w:t>Evaluability Assessment 2013</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eastAsia="en-AU"/>
              </w:rPr>
            </w:pPr>
            <w:r w:rsidRPr="00851EC7">
              <w:rPr>
                <w:rFonts w:eastAsiaTheme="minorHAnsi" w:cs="Times New Roman"/>
                <w:lang w:val="en-AU" w:eastAsia="en-AU"/>
              </w:rPr>
              <w:t>M&amp;E Plan 2014</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eastAsia="en-AU"/>
              </w:rPr>
            </w:pPr>
            <w:r w:rsidRPr="00851EC7">
              <w:rPr>
                <w:rFonts w:eastAsiaTheme="minorHAnsi" w:cs="Times New Roman"/>
                <w:lang w:val="en-AU" w:eastAsia="en-AU"/>
              </w:rPr>
              <w:t>ME014 Component 1 The 2012 Construction Cycle Final Evaluation Report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eastAsia="en-AU"/>
              </w:rPr>
            </w:pPr>
            <w:r w:rsidRPr="00851EC7">
              <w:rPr>
                <w:rFonts w:eastAsiaTheme="minorHAnsi" w:cs="Times New Roman"/>
                <w:lang w:val="en-AU" w:eastAsia="en-AU"/>
              </w:rPr>
              <w:t>ME015 Component 1 The 2013 Construction Cycle Evaluation Report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eastAsia="en-AU"/>
              </w:rPr>
            </w:pPr>
            <w:r w:rsidRPr="00851EC7">
              <w:rPr>
                <w:rFonts w:eastAsiaTheme="minorHAnsi" w:cs="Times New Roman"/>
                <w:lang w:val="en-AU" w:eastAsia="en-AU"/>
              </w:rPr>
              <w:t>ME016 Component 2 The New School Induction Program Evaluation Report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31FB9" w:rsidRPr="00851EC7" w:rsidRDefault="00877147" w:rsidP="00B33BC8">
            <w:pPr>
              <w:spacing w:line="276" w:lineRule="auto"/>
              <w:rPr>
                <w:rFonts w:eastAsiaTheme="minorHAnsi" w:cs="Times New Roman"/>
                <w:lang w:val="en-AU" w:eastAsia="en-AU"/>
              </w:rPr>
            </w:pPr>
            <w:r w:rsidRPr="00851EC7">
              <w:rPr>
                <w:rFonts w:eastAsiaTheme="minorHAnsi" w:cs="Times New Roman"/>
                <w:lang w:val="en-AU" w:eastAsia="en-AU"/>
              </w:rPr>
              <w:t xml:space="preserve">SSQ </w:t>
            </w:r>
            <w:r w:rsidR="00D31FB9" w:rsidRPr="00851EC7">
              <w:rPr>
                <w:rFonts w:eastAsiaTheme="minorHAnsi" w:cs="Times New Roman"/>
                <w:lang w:val="en-AU" w:eastAsia="en-AU"/>
              </w:rPr>
              <w:t>Mid-Year Progress Report 2014</w:t>
            </w:r>
          </w:p>
        </w:tc>
      </w:tr>
      <w:tr w:rsidR="00877147"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877147" w:rsidRPr="00851EC7" w:rsidRDefault="00877147" w:rsidP="00B33BC8">
            <w:pPr>
              <w:spacing w:line="276" w:lineRule="auto"/>
              <w:rPr>
                <w:rFonts w:eastAsiaTheme="minorHAnsi" w:cs="Times New Roman"/>
                <w:lang w:val="en-AU" w:eastAsia="en-AU"/>
              </w:rPr>
            </w:pPr>
            <w:r w:rsidRPr="00851EC7">
              <w:rPr>
                <w:rFonts w:eastAsiaTheme="minorHAnsi" w:cs="Times New Roman"/>
                <w:lang w:val="en-AU" w:eastAsia="en-AU"/>
              </w:rPr>
              <w:t>SSQ Annual Progress Report 2014</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31FB9" w:rsidRPr="00851EC7" w:rsidRDefault="00D31FB9" w:rsidP="00B33BC8">
            <w:pPr>
              <w:spacing w:line="276" w:lineRule="auto"/>
              <w:rPr>
                <w:rFonts w:eastAsiaTheme="minorHAnsi" w:cs="Times New Roman"/>
                <w:lang w:val="en-AU" w:eastAsia="en-AU"/>
              </w:rPr>
            </w:pPr>
            <w:r w:rsidRPr="00851EC7">
              <w:rPr>
                <w:rFonts w:asciiTheme="minorHAnsi" w:eastAsia="Calibri" w:hAnsiTheme="minorHAnsi" w:cs="Times New Roman"/>
                <w:szCs w:val="24"/>
                <w:lang w:val="en-AU" w:eastAsia="en-AU"/>
              </w:rPr>
              <w:t>Basic Education Access Planning (BEAP) Module – Implementation Report</w:t>
            </w:r>
          </w:p>
        </w:tc>
      </w:tr>
      <w:tr w:rsidR="00D31FB9" w:rsidRPr="00851EC7" w:rsidTr="00D31FB9">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31FB9" w:rsidRPr="00851EC7" w:rsidRDefault="00D31FB9" w:rsidP="00B33BC8">
            <w:pPr>
              <w:spacing w:line="276" w:lineRule="auto"/>
              <w:rPr>
                <w:rFonts w:asciiTheme="minorHAnsi" w:eastAsia="Calibri" w:hAnsiTheme="minorHAnsi" w:cs="Times New Roman"/>
                <w:szCs w:val="24"/>
                <w:lang w:val="en-AU" w:eastAsia="en-AU"/>
              </w:rPr>
            </w:pPr>
            <w:r w:rsidRPr="00851EC7">
              <w:rPr>
                <w:rFonts w:asciiTheme="minorHAnsi" w:eastAsia="Calibri" w:hAnsiTheme="minorHAnsi" w:cs="Times New Roman"/>
                <w:szCs w:val="24"/>
                <w:lang w:val="en-AU" w:eastAsia="en-AU"/>
              </w:rPr>
              <w:t>Final Report - ProDEP Socialization and Eligible Entity Capacity Review and Training Needs Analysis 2014</w:t>
            </w:r>
          </w:p>
        </w:tc>
      </w:tr>
      <w:tr w:rsidR="00877147" w:rsidRPr="00851EC7" w:rsidTr="00877147">
        <w:trPr>
          <w:trHeight w:val="454"/>
        </w:trPr>
        <w:tc>
          <w:tcPr>
            <w:tcW w:w="90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877147" w:rsidRPr="00851EC7" w:rsidRDefault="00877147" w:rsidP="00877147">
            <w:pPr>
              <w:spacing w:line="276" w:lineRule="auto"/>
              <w:rPr>
                <w:rFonts w:asciiTheme="minorHAnsi" w:eastAsia="Calibri" w:hAnsiTheme="minorHAnsi" w:cs="Times New Roman"/>
                <w:szCs w:val="24"/>
                <w:lang w:val="en-AU" w:eastAsia="en-AU"/>
              </w:rPr>
            </w:pPr>
            <w:r w:rsidRPr="00851EC7">
              <w:rPr>
                <w:rFonts w:asciiTheme="minorHAnsi" w:eastAsia="Calibri" w:hAnsiTheme="minorHAnsi" w:cs="Times New Roman"/>
                <w:szCs w:val="24"/>
                <w:lang w:val="en-AU" w:eastAsia="en-AU"/>
              </w:rPr>
              <w:t>SSQ Annual Plan 2015</w:t>
            </w:r>
          </w:p>
        </w:tc>
      </w:tr>
    </w:tbl>
    <w:p w:rsidR="00D06F80" w:rsidRPr="00851EC7" w:rsidRDefault="00D06F80" w:rsidP="00D06F80">
      <w:pPr>
        <w:rPr>
          <w:lang w:val="en-AU"/>
        </w:rPr>
      </w:pPr>
    </w:p>
    <w:p w:rsidR="007269E9" w:rsidRPr="00851EC7" w:rsidRDefault="007269E9" w:rsidP="007269E9">
      <w:pPr>
        <w:keepNext/>
        <w:ind w:left="720" w:hanging="720"/>
        <w:outlineLvl w:val="0"/>
        <w:rPr>
          <w:rFonts w:asciiTheme="minorHAnsi" w:hAnsiTheme="minorHAnsi" w:cstheme="minorHAnsi"/>
          <w:bCs/>
          <w:color w:val="003880"/>
          <w:kern w:val="32"/>
          <w:sz w:val="32"/>
          <w:szCs w:val="72"/>
          <w:lang w:val="en-AU"/>
        </w:rPr>
        <w:sectPr w:rsidR="007269E9" w:rsidRPr="00851EC7" w:rsidSect="00D06F80">
          <w:headerReference w:type="default" r:id="rId42"/>
          <w:pgSz w:w="11906" w:h="16838"/>
          <w:pgMar w:top="1440" w:right="1440" w:bottom="1440" w:left="1440" w:header="708" w:footer="708" w:gutter="0"/>
          <w:cols w:space="708"/>
          <w:docGrid w:linePitch="360"/>
        </w:sectPr>
      </w:pPr>
      <w:bookmarkStart w:id="73" w:name="_Toc379548514"/>
    </w:p>
    <w:p w:rsidR="007269E9" w:rsidRPr="00851EC7" w:rsidRDefault="007269E9" w:rsidP="00FB28C4">
      <w:pPr>
        <w:keepNext/>
        <w:ind w:left="720" w:hanging="720"/>
        <w:outlineLvl w:val="0"/>
        <w:rPr>
          <w:rFonts w:asciiTheme="minorHAnsi" w:hAnsiTheme="minorHAnsi" w:cstheme="minorHAnsi"/>
          <w:bCs/>
          <w:color w:val="003880"/>
          <w:kern w:val="32"/>
          <w:sz w:val="32"/>
          <w:szCs w:val="72"/>
          <w:lang w:val="en-AU"/>
        </w:rPr>
      </w:pPr>
      <w:bookmarkStart w:id="74" w:name="_Toc407779891"/>
      <w:r w:rsidRPr="00851EC7">
        <w:rPr>
          <w:rFonts w:asciiTheme="minorHAnsi" w:hAnsiTheme="minorHAnsi" w:cstheme="minorHAnsi"/>
          <w:bCs/>
          <w:color w:val="003880"/>
          <w:kern w:val="32"/>
          <w:sz w:val="32"/>
          <w:szCs w:val="72"/>
          <w:lang w:val="en-AU"/>
        </w:rPr>
        <w:lastRenderedPageBreak/>
        <w:t>Annex V</w:t>
      </w:r>
      <w:r w:rsidR="00877147" w:rsidRPr="00851EC7">
        <w:rPr>
          <w:rFonts w:asciiTheme="minorHAnsi" w:hAnsiTheme="minorHAnsi" w:cstheme="minorHAnsi"/>
          <w:bCs/>
          <w:color w:val="003880"/>
          <w:kern w:val="32"/>
          <w:sz w:val="32"/>
          <w:szCs w:val="72"/>
          <w:lang w:val="en-AU"/>
        </w:rPr>
        <w:t xml:space="preserve">: </w:t>
      </w:r>
      <w:r w:rsidRPr="00851EC7">
        <w:rPr>
          <w:rFonts w:asciiTheme="minorHAnsi" w:hAnsiTheme="minorHAnsi" w:cstheme="minorHAnsi"/>
          <w:bCs/>
          <w:color w:val="003880"/>
          <w:kern w:val="32"/>
          <w:sz w:val="32"/>
          <w:szCs w:val="72"/>
          <w:lang w:val="en-AU"/>
        </w:rPr>
        <w:t>EP Analytical Framework 201</w:t>
      </w:r>
      <w:r w:rsidR="00930A73" w:rsidRPr="00851EC7">
        <w:rPr>
          <w:rFonts w:asciiTheme="minorHAnsi" w:hAnsiTheme="minorHAnsi" w:cstheme="minorHAnsi"/>
          <w:bCs/>
          <w:color w:val="003880"/>
          <w:kern w:val="32"/>
          <w:sz w:val="32"/>
          <w:szCs w:val="72"/>
          <w:lang w:val="en-AU"/>
        </w:rPr>
        <w:t>4</w:t>
      </w:r>
      <w:bookmarkEnd w:id="73"/>
      <w:bookmarkEnd w:id="74"/>
    </w:p>
    <w:p w:rsidR="00FB28C4" w:rsidRPr="00851EC7" w:rsidRDefault="00FB28C4" w:rsidP="00FB28C4">
      <w:pPr>
        <w:keepNext/>
        <w:ind w:left="720" w:hanging="720"/>
        <w:outlineLvl w:val="0"/>
        <w:rPr>
          <w:rFonts w:asciiTheme="minorHAnsi" w:eastAsiaTheme="minorHAnsi" w:hAnsiTheme="minorHAnsi" w:cstheme="minorBidi"/>
          <w:b/>
          <w:lang w:val="en-AU"/>
        </w:rPr>
      </w:pPr>
    </w:p>
    <w:p w:rsidR="00267340" w:rsidRPr="00851EC7" w:rsidRDefault="00267340" w:rsidP="00267340">
      <w:pPr>
        <w:spacing w:line="276" w:lineRule="auto"/>
        <w:jc w:val="both"/>
        <w:rPr>
          <w:rFonts w:eastAsiaTheme="minorHAnsi" w:cs="Times New Roman"/>
          <w:lang w:val="en-AU"/>
        </w:rPr>
      </w:pPr>
      <w:r w:rsidRPr="00851EC7">
        <w:rPr>
          <w:rFonts w:eastAsiaTheme="minorHAnsi" w:cs="Times New Roman"/>
          <w:lang w:val="en-AU"/>
        </w:rPr>
        <w:t>The EP Analytical Framework (AF) is designed to facilitate a comprehensive analysis of the performance of the Education Partnership in line with the overarching development themes of the Governments of Indonesia and of Australia and with respect to internationally accepted criteria laid down by the Development Assistance Committee (DAC) of the OECD.</w:t>
      </w:r>
    </w:p>
    <w:p w:rsidR="00267340" w:rsidRPr="00851EC7" w:rsidRDefault="00267340" w:rsidP="00267340">
      <w:pPr>
        <w:spacing w:line="276" w:lineRule="auto"/>
        <w:jc w:val="both"/>
        <w:rPr>
          <w:rFonts w:eastAsiaTheme="minorHAnsi" w:cs="Times New Roman"/>
          <w:lang w:val="en-AU"/>
        </w:rPr>
      </w:pPr>
    </w:p>
    <w:p w:rsidR="00267340" w:rsidRPr="00851EC7" w:rsidRDefault="00267340" w:rsidP="00267340">
      <w:pPr>
        <w:spacing w:line="276" w:lineRule="auto"/>
        <w:jc w:val="both"/>
        <w:rPr>
          <w:rFonts w:eastAsiaTheme="minorHAnsi" w:cs="Times New Roman"/>
          <w:lang w:val="en-AU"/>
        </w:rPr>
      </w:pPr>
      <w:r w:rsidRPr="00851EC7">
        <w:rPr>
          <w:rFonts w:eastAsiaTheme="minorHAnsi" w:cs="Times New Roman"/>
          <w:lang w:val="en-AU"/>
        </w:rPr>
        <w:t xml:space="preserve">The AF allows POM to formulate their assessment of the performance of the EP when considering a broad range of quantitative and qualitative performance material and both written and oral information. The framework is used to undertake a rigorous review of performance literature, to identify pertinent lines of enquiry for stakeholder interviews, and to guide the narrative of the Annual Partnership Performance Report (APPR) itself. </w:t>
      </w:r>
    </w:p>
    <w:p w:rsidR="00267340" w:rsidRPr="00851EC7" w:rsidRDefault="00267340" w:rsidP="00267340">
      <w:pPr>
        <w:spacing w:line="276" w:lineRule="auto"/>
        <w:jc w:val="both"/>
        <w:rPr>
          <w:rFonts w:eastAsiaTheme="minorHAnsi" w:cs="Times New Roman"/>
          <w:lang w:val="en-AU"/>
        </w:rPr>
      </w:pPr>
    </w:p>
    <w:p w:rsidR="00267340" w:rsidRPr="00851EC7" w:rsidRDefault="00267340" w:rsidP="00267340">
      <w:pPr>
        <w:spacing w:line="276" w:lineRule="auto"/>
        <w:jc w:val="both"/>
        <w:rPr>
          <w:rFonts w:eastAsiaTheme="minorHAnsi" w:cs="Times New Roman"/>
          <w:lang w:val="en-AU"/>
        </w:rPr>
      </w:pPr>
      <w:r w:rsidRPr="00851EC7">
        <w:rPr>
          <w:rFonts w:eastAsiaTheme="minorHAnsi" w:cs="Times New Roman"/>
          <w:lang w:val="en-AU"/>
        </w:rPr>
        <w:t xml:space="preserve">The September 2014 version of the Analytical Framework is a revision of that submitted by POM to DFAT as part of the </w:t>
      </w:r>
      <w:r w:rsidRPr="00851EC7">
        <w:rPr>
          <w:rFonts w:eastAsiaTheme="minorHAnsi" w:cs="Times New Roman"/>
          <w:i/>
          <w:lang w:val="en-AU"/>
        </w:rPr>
        <w:t xml:space="preserve">Education Partnership – Performance Management System </w:t>
      </w:r>
      <w:r w:rsidRPr="00851EC7">
        <w:rPr>
          <w:rFonts w:eastAsiaTheme="minorHAnsi" w:cs="Times New Roman"/>
          <w:lang w:val="en-AU"/>
        </w:rPr>
        <w:t xml:space="preserve">in June 2012. The Analytical Framework was also revised in preparation for the 2013 APPR process in October 2013. </w:t>
      </w:r>
    </w:p>
    <w:p w:rsidR="00267340" w:rsidRPr="00851EC7" w:rsidRDefault="00267340" w:rsidP="00267340">
      <w:pPr>
        <w:spacing w:line="276" w:lineRule="auto"/>
        <w:jc w:val="both"/>
        <w:rPr>
          <w:rFonts w:eastAsiaTheme="minorHAnsi" w:cs="Times New Roman"/>
          <w:lang w:val="en-AU"/>
        </w:rPr>
      </w:pPr>
    </w:p>
    <w:p w:rsidR="00267340" w:rsidRPr="00851EC7" w:rsidRDefault="00267340" w:rsidP="00267340">
      <w:pPr>
        <w:spacing w:after="120" w:line="276" w:lineRule="auto"/>
        <w:jc w:val="both"/>
        <w:rPr>
          <w:rFonts w:eastAsiaTheme="minorHAnsi" w:cs="Times New Roman"/>
          <w:lang w:val="en-AU"/>
        </w:rPr>
      </w:pPr>
      <w:r w:rsidRPr="00851EC7">
        <w:rPr>
          <w:rFonts w:eastAsiaTheme="minorHAnsi" w:cs="Times New Roman"/>
          <w:lang w:val="en-AU"/>
        </w:rPr>
        <w:t>For this iteration of the AF, headline changes include:</w:t>
      </w:r>
    </w:p>
    <w:p w:rsidR="00267340" w:rsidRPr="00851EC7" w:rsidRDefault="00267340" w:rsidP="00215A8F">
      <w:pPr>
        <w:numPr>
          <w:ilvl w:val="0"/>
          <w:numId w:val="20"/>
        </w:numPr>
        <w:spacing w:after="200" w:line="276" w:lineRule="auto"/>
        <w:jc w:val="both"/>
        <w:rPr>
          <w:rFonts w:asciiTheme="minorHAnsi" w:eastAsiaTheme="minorHAnsi" w:hAnsiTheme="minorHAnsi" w:cs="Times New Roman"/>
          <w:lang w:val="en-AU"/>
        </w:rPr>
      </w:pPr>
      <w:r w:rsidRPr="00851EC7">
        <w:rPr>
          <w:rFonts w:asciiTheme="minorHAnsi" w:eastAsiaTheme="minorHAnsi" w:hAnsiTheme="minorHAnsi" w:cs="Times New Roman"/>
          <w:lang w:val="en-AU"/>
        </w:rPr>
        <w:t>The sections are restructured so that they align to the flow of the 2013 APPR and the expected flow of the 2014 APPR.</w:t>
      </w:r>
    </w:p>
    <w:p w:rsidR="00267340" w:rsidRPr="00851EC7" w:rsidRDefault="00267340" w:rsidP="00215A8F">
      <w:pPr>
        <w:numPr>
          <w:ilvl w:val="0"/>
          <w:numId w:val="20"/>
        </w:numPr>
        <w:spacing w:after="200" w:line="276" w:lineRule="auto"/>
        <w:jc w:val="both"/>
        <w:rPr>
          <w:rFonts w:asciiTheme="minorHAnsi" w:eastAsiaTheme="minorHAnsi" w:hAnsiTheme="minorHAnsi" w:cs="Times New Roman"/>
          <w:lang w:val="en-AU"/>
        </w:rPr>
      </w:pPr>
      <w:r w:rsidRPr="00851EC7">
        <w:rPr>
          <w:rFonts w:asciiTheme="minorHAnsi" w:eastAsiaTheme="minorHAnsi" w:hAnsiTheme="minorHAnsi" w:cs="Times New Roman"/>
          <w:lang w:val="en-AU"/>
        </w:rPr>
        <w:t>Detailed “lines of enquiry” are included, so that POM can better ‘bridge’ headline questions and the actual performance picture.</w:t>
      </w:r>
    </w:p>
    <w:p w:rsidR="00267340" w:rsidRPr="00851EC7" w:rsidRDefault="00267340" w:rsidP="00215A8F">
      <w:pPr>
        <w:numPr>
          <w:ilvl w:val="0"/>
          <w:numId w:val="20"/>
        </w:numPr>
        <w:spacing w:after="200" w:line="276" w:lineRule="auto"/>
        <w:jc w:val="both"/>
        <w:rPr>
          <w:rFonts w:asciiTheme="minorHAnsi" w:eastAsiaTheme="minorHAnsi" w:hAnsiTheme="minorHAnsi" w:cs="Times New Roman"/>
          <w:lang w:val="en-AU"/>
        </w:rPr>
      </w:pPr>
      <w:r w:rsidRPr="00851EC7">
        <w:rPr>
          <w:rFonts w:asciiTheme="minorHAnsi" w:eastAsiaTheme="minorHAnsi" w:hAnsiTheme="minorHAnsi" w:cs="Times New Roman"/>
          <w:lang w:val="en-AU"/>
        </w:rPr>
        <w:t>Judgement criteria are included for those sections concerned with the DAC criteria so as to ensure consistency in understanding, application and scoring.</w:t>
      </w:r>
    </w:p>
    <w:p w:rsidR="00267340" w:rsidRPr="00851EC7" w:rsidRDefault="00267340" w:rsidP="00267340">
      <w:pPr>
        <w:spacing w:line="276" w:lineRule="auto"/>
        <w:jc w:val="both"/>
        <w:rPr>
          <w:rFonts w:eastAsiaTheme="minorHAnsi" w:cs="Times New Roman"/>
          <w:lang w:val="en-AU"/>
        </w:rPr>
      </w:pPr>
      <w:r w:rsidRPr="00851EC7">
        <w:rPr>
          <w:rFonts w:eastAsiaTheme="minorHAnsi" w:cs="Times New Roman"/>
          <w:lang w:val="en-AU"/>
        </w:rPr>
        <w:t>The changes should facilitate a more efficient report production process, allow greater and more rigorous routine analysis of performance information throughout the year and help POM to do justice to the breadth of change resulting from the EP.</w:t>
      </w:r>
    </w:p>
    <w:p w:rsidR="00267340" w:rsidRPr="00851EC7" w:rsidRDefault="00267340" w:rsidP="00267340">
      <w:pPr>
        <w:spacing w:line="276" w:lineRule="auto"/>
        <w:jc w:val="both"/>
        <w:rPr>
          <w:rFonts w:eastAsiaTheme="minorHAnsi" w:cs="Times New Roman"/>
          <w:lang w:val="en-AU"/>
        </w:rPr>
      </w:pPr>
    </w:p>
    <w:p w:rsidR="00267340" w:rsidRPr="00851EC7" w:rsidRDefault="00267340" w:rsidP="00267340">
      <w:pPr>
        <w:spacing w:line="276" w:lineRule="auto"/>
        <w:jc w:val="both"/>
        <w:rPr>
          <w:rFonts w:eastAsiaTheme="minorHAnsi" w:cs="Times New Roman"/>
          <w:lang w:val="en-AU"/>
        </w:rPr>
      </w:pPr>
      <w:r w:rsidRPr="00851EC7">
        <w:rPr>
          <w:rFonts w:eastAsiaTheme="minorHAnsi" w:cs="Times New Roman"/>
          <w:lang w:val="en-AU"/>
        </w:rPr>
        <w:t>It should be noted that the POM does not seek to answer each and every “line of enquiry” in the framework. The lines of enquiry are structured as prompts to encourage a rounded appreciation of performance set against the DAC criteria and associated headline questions. It is recognised that there is significant variation in the quantity and quality of accumulated evidence and it is acknowledged that there may be contestability of issues and findings. It is expected, however, that the depth of enquiry laid out in the framework and the associated review process will facilitate sound professional judgement.</w:t>
      </w:r>
    </w:p>
    <w:p w:rsidR="00267340" w:rsidRPr="00851EC7" w:rsidRDefault="00267340" w:rsidP="00267340">
      <w:pPr>
        <w:spacing w:line="276" w:lineRule="auto"/>
        <w:jc w:val="both"/>
        <w:rPr>
          <w:rFonts w:eastAsiaTheme="minorHAnsi" w:cs="Times New Roman"/>
          <w:lang w:val="en-AU"/>
        </w:rPr>
      </w:pPr>
    </w:p>
    <w:p w:rsidR="00267340" w:rsidRPr="00851EC7" w:rsidRDefault="00267340" w:rsidP="00267340">
      <w:pPr>
        <w:spacing w:line="276" w:lineRule="auto"/>
        <w:jc w:val="both"/>
        <w:rPr>
          <w:rFonts w:eastAsiaTheme="minorHAnsi" w:cs="Times New Roman"/>
          <w:lang w:val="en-AU"/>
        </w:rPr>
      </w:pPr>
      <w:r w:rsidRPr="00851EC7">
        <w:rPr>
          <w:rFonts w:eastAsiaTheme="minorHAnsi" w:cs="Times New Roman"/>
          <w:lang w:val="en-AU"/>
        </w:rPr>
        <w:t>The content of the AF is aligned with and/or draws upon key documents and standards, including the OECD-DAC criteria and DFAT M&amp;E Standards. Some lines of enquiry stem from other POM frameworks, including those associated with the evaluation concept notes and the 2013 Annual Sector Monitoring Report. Lessons learned about the application of the revised AF will be captured in 2015 and may result in further revisions to the framework in 2015.</w:t>
      </w:r>
    </w:p>
    <w:p w:rsidR="00267340" w:rsidRPr="00851EC7" w:rsidRDefault="00267340" w:rsidP="00267340">
      <w:pPr>
        <w:spacing w:line="276" w:lineRule="auto"/>
        <w:jc w:val="both"/>
        <w:rPr>
          <w:rFonts w:eastAsiaTheme="minorHAnsi" w:cs="Times New Roman"/>
          <w:lang w:val="en-AU"/>
        </w:rPr>
      </w:pPr>
    </w:p>
    <w:p w:rsidR="00267340" w:rsidRPr="00851EC7" w:rsidRDefault="00267340" w:rsidP="00267340">
      <w:pPr>
        <w:spacing w:after="240" w:line="276" w:lineRule="auto"/>
        <w:jc w:val="center"/>
        <w:rPr>
          <w:rFonts w:asciiTheme="minorHAnsi" w:eastAsiaTheme="minorHAnsi" w:hAnsiTheme="minorHAnsi" w:cstheme="minorBidi"/>
          <w:b/>
          <w:color w:val="1F497D" w:themeColor="text2"/>
          <w:sz w:val="36"/>
          <w:szCs w:val="36"/>
          <w:lang w:val="en-AU"/>
        </w:rPr>
        <w:sectPr w:rsidR="00267340" w:rsidRPr="00851EC7" w:rsidSect="00267340">
          <w:pgSz w:w="11906" w:h="16838"/>
          <w:pgMar w:top="1440" w:right="1440" w:bottom="1440" w:left="1440" w:header="708" w:footer="708" w:gutter="0"/>
          <w:cols w:space="708"/>
          <w:docGrid w:linePitch="360"/>
        </w:sectPr>
      </w:pPr>
    </w:p>
    <w:p w:rsidR="00267340" w:rsidRPr="00851EC7" w:rsidRDefault="00267340" w:rsidP="00267340">
      <w:pPr>
        <w:spacing w:after="240" w:line="276" w:lineRule="auto"/>
        <w:jc w:val="center"/>
        <w:rPr>
          <w:rFonts w:asciiTheme="minorHAnsi" w:eastAsiaTheme="minorHAnsi" w:hAnsiTheme="minorHAnsi" w:cstheme="minorBidi"/>
          <w:b/>
          <w:color w:val="1F497D" w:themeColor="text2"/>
          <w:sz w:val="36"/>
          <w:szCs w:val="36"/>
          <w:lang w:val="en-AU"/>
        </w:rPr>
      </w:pPr>
      <w:r w:rsidRPr="00851EC7">
        <w:rPr>
          <w:rFonts w:asciiTheme="minorHAnsi" w:eastAsiaTheme="minorHAnsi" w:hAnsiTheme="minorHAnsi" w:cstheme="minorBidi"/>
          <w:b/>
          <w:color w:val="1F497D" w:themeColor="text2"/>
          <w:sz w:val="36"/>
          <w:szCs w:val="36"/>
          <w:lang w:val="en-AU"/>
        </w:rPr>
        <w:lastRenderedPageBreak/>
        <w:t xml:space="preserve">EP Analytical Framework </w:t>
      </w:r>
    </w:p>
    <w:tbl>
      <w:tblPr>
        <w:tblW w:w="535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574"/>
        <w:gridCol w:w="134"/>
        <w:gridCol w:w="1564"/>
        <w:gridCol w:w="12344"/>
      </w:tblGrid>
      <w:tr w:rsidR="00267340" w:rsidRPr="00851EC7" w:rsidTr="00267340">
        <w:trPr>
          <w:trHeight w:val="567"/>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67340" w:rsidRPr="00851EC7" w:rsidRDefault="00267340" w:rsidP="00267340">
            <w:pPr>
              <w:spacing w:line="276" w:lineRule="auto"/>
              <w:jc w:val="center"/>
              <w:rPr>
                <w:rFonts w:asciiTheme="minorHAnsi" w:eastAsiaTheme="minorHAnsi" w:hAnsiTheme="minorHAnsi"/>
                <w:b/>
                <w:color w:val="FFFFFF" w:themeColor="background1"/>
                <w:sz w:val="24"/>
                <w:szCs w:val="24"/>
                <w:lang w:val="en-AU"/>
              </w:rPr>
            </w:pPr>
            <w:r w:rsidRPr="00851EC7">
              <w:rPr>
                <w:rFonts w:asciiTheme="minorHAnsi" w:eastAsiaTheme="minorHAnsi" w:hAnsiTheme="minorHAnsi"/>
                <w:b/>
                <w:color w:val="FFFFFF" w:themeColor="background1"/>
                <w:sz w:val="24"/>
                <w:szCs w:val="24"/>
                <w:lang w:val="en-AU"/>
              </w:rPr>
              <w:t>Section 1: Context and Headline Results</w:t>
            </w:r>
          </w:p>
        </w:tc>
      </w:tr>
      <w:tr w:rsidR="00267340" w:rsidRPr="00851EC7" w:rsidTr="00267340">
        <w:trPr>
          <w:trHeight w:val="795"/>
        </w:trPr>
        <w:tc>
          <w:tcPr>
            <w:tcW w:w="186"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jc w:val="center"/>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1.1</w:t>
            </w:r>
          </w:p>
        </w:tc>
        <w:tc>
          <w:tcPr>
            <w:tcW w:w="748" w:type="pct"/>
            <w:gridSpan w:val="3"/>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Context</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Key sectoral changes from June 2011 to date, particularly in the last calendar year</w:t>
            </w:r>
          </w:p>
        </w:tc>
      </w:tr>
      <w:tr w:rsidR="00267340" w:rsidRPr="00851EC7" w:rsidTr="00267340">
        <w:trPr>
          <w:trHeight w:val="712"/>
        </w:trPr>
        <w:tc>
          <w:tcPr>
            <w:tcW w:w="419" w:type="pct"/>
            <w:gridSpan w:val="3"/>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581" w:type="pct"/>
            <w:gridSpan w:val="2"/>
            <w:tcBorders>
              <w:top w:val="single" w:sz="4" w:space="0" w:color="auto"/>
              <w:left w:val="single" w:sz="4" w:space="0" w:color="auto"/>
              <w:bottom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Have there been notable changes to the sectoral context, particularly in the last 12 months?</w:t>
            </w:r>
          </w:p>
        </w:tc>
      </w:tr>
      <w:tr w:rsidR="00267340" w:rsidRPr="00851EC7" w:rsidTr="00267340">
        <w:trPr>
          <w:trHeight w:val="806"/>
        </w:trPr>
        <w:tc>
          <w:tcPr>
            <w:tcW w:w="419" w:type="pct"/>
            <w:gridSpan w:val="3"/>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4581" w:type="pct"/>
            <w:gridSpan w:val="2"/>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sz w:val="20"/>
                <w:szCs w:val="20"/>
                <w:lang w:val="en-AU" w:eastAsia="en-AU"/>
              </w:rPr>
              <w:t xml:space="preserve">What progress </w:t>
            </w:r>
            <w:r w:rsidRPr="00851EC7">
              <w:rPr>
                <w:rFonts w:eastAsia="Calibri" w:cs="Times New Roman"/>
                <w:sz w:val="20"/>
                <w:szCs w:val="20"/>
                <w:lang w:val="en-AU" w:eastAsia="en-AU"/>
              </w:rPr>
              <w:t>is the sector (and its sub-sectors) making in relation to EP goals?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Are there any differences at a national versus a sub-national level?</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Have there been</w:t>
            </w:r>
            <w:r w:rsidRPr="00851EC7">
              <w:rPr>
                <w:rFonts w:eastAsia="Calibri"/>
                <w:sz w:val="20"/>
                <w:szCs w:val="20"/>
                <w:lang w:val="en-AU" w:eastAsia="en-AU"/>
              </w:rPr>
              <w:t xml:space="preserve"> any key shifts in GoI and GoA policy and strategy?</w:t>
            </w:r>
          </w:p>
        </w:tc>
      </w:tr>
      <w:tr w:rsidR="00267340" w:rsidRPr="00851EC7" w:rsidTr="00267340">
        <w:trPr>
          <w:trHeight w:val="795"/>
        </w:trPr>
        <w:tc>
          <w:tcPr>
            <w:tcW w:w="186"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b/>
                <w:smallCaps/>
                <w:sz w:val="20"/>
                <w:szCs w:val="20"/>
                <w:lang w:val="en-AU"/>
              </w:rPr>
              <w:t>1.2</w:t>
            </w:r>
          </w:p>
        </w:tc>
        <w:tc>
          <w:tcPr>
            <w:tcW w:w="748" w:type="pct"/>
            <w:gridSpan w:val="3"/>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cstheme="minorBidi"/>
                <w:b/>
                <w:sz w:val="20"/>
                <w:szCs w:val="20"/>
                <w:lang w:val="en-AU"/>
              </w:rPr>
              <w:t xml:space="preserve">Results </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Planned and actual results </w:t>
            </w:r>
          </w:p>
        </w:tc>
      </w:tr>
      <w:tr w:rsidR="00267340" w:rsidRPr="00851EC7" w:rsidTr="00267340">
        <w:trPr>
          <w:trHeight w:val="795"/>
        </w:trPr>
        <w:tc>
          <w:tcPr>
            <w:tcW w:w="419" w:type="pct"/>
            <w:gridSpan w:val="3"/>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581"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 xml:space="preserve">What anticipated results have been realized to date at output, EOCO and EOPO level?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What anticipated results did we expect to realize at output, EOCO and EOPO level by this time?</w:t>
            </w:r>
            <w:r w:rsidR="00537938">
              <w:rPr>
                <w:rFonts w:eastAsia="Calibri" w:cs="Times New Roman"/>
                <w:sz w:val="20"/>
                <w:szCs w:val="20"/>
                <w:lang w:val="en-AU" w:eastAsia="en-AU"/>
              </w:rPr>
              <w:t xml:space="preserve">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 xml:space="preserve">What anticipated results do we expect to see at output, EOCO and EOPO level by the end of the EP?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 xml:space="preserve">What anticipated results do we expect to see at output, EOCO and EOPO level beyond the lifetime of the EP?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Is there clarity and consensus about anticipated results?</w:t>
            </w:r>
          </w:p>
        </w:tc>
      </w:tr>
      <w:tr w:rsidR="00267340" w:rsidRPr="00851EC7" w:rsidTr="00267340">
        <w:trPr>
          <w:trHeight w:val="795"/>
        </w:trPr>
        <w:tc>
          <w:tcPr>
            <w:tcW w:w="419" w:type="pct"/>
            <w:gridSpan w:val="3"/>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51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Actual results to date</w:t>
            </w:r>
          </w:p>
        </w:tc>
        <w:tc>
          <w:tcPr>
            <w:tcW w:w="4066" w:type="pct"/>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What has been achieved to date at output, EOCO and EOPO level?</w:t>
            </w:r>
          </w:p>
        </w:tc>
      </w:tr>
      <w:tr w:rsidR="00267340" w:rsidRPr="00851EC7" w:rsidTr="00267340">
        <w:trPr>
          <w:trHeight w:val="268"/>
        </w:trPr>
        <w:tc>
          <w:tcPr>
            <w:tcW w:w="419" w:type="pct"/>
            <w:gridSpan w:val="3"/>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1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Expected results to date</w:t>
            </w:r>
          </w:p>
        </w:tc>
        <w:tc>
          <w:tcPr>
            <w:tcW w:w="4066" w:type="pct"/>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 xml:space="preserve">Is the rate of progress in line with expectation?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 xml:space="preserve">Was there any significant under or over-achievement against the milestones?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Were the variations to the scope or scale of achievement foreseen and/or should they have been?</w:t>
            </w:r>
          </w:p>
        </w:tc>
      </w:tr>
      <w:tr w:rsidR="00267340" w:rsidRPr="00851EC7" w:rsidTr="00267340">
        <w:trPr>
          <w:trHeight w:val="795"/>
        </w:trPr>
        <w:tc>
          <w:tcPr>
            <w:tcW w:w="419" w:type="pct"/>
            <w:gridSpan w:val="3"/>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1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Projected results to end of EP</w:t>
            </w:r>
          </w:p>
        </w:tc>
        <w:tc>
          <w:tcPr>
            <w:tcW w:w="4066" w:type="pct"/>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Is the projected rate of progress satisfactory, i.e. is the EP on track to achieve the results and on time?</w:t>
            </w:r>
          </w:p>
        </w:tc>
      </w:tr>
      <w:tr w:rsidR="00267340" w:rsidRPr="00851EC7" w:rsidTr="00267340">
        <w:trPr>
          <w:trHeight w:val="958"/>
        </w:trPr>
        <w:tc>
          <w:tcPr>
            <w:tcW w:w="419" w:type="pct"/>
            <w:gridSpan w:val="3"/>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1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Projected results beyond EP</w:t>
            </w:r>
          </w:p>
        </w:tc>
        <w:tc>
          <w:tcPr>
            <w:tcW w:w="4066" w:type="pct"/>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 xml:space="preserve">What results are expected and by when? </w:t>
            </w:r>
          </w:p>
        </w:tc>
      </w:tr>
      <w:tr w:rsidR="00267340" w:rsidRPr="00851EC7" w:rsidTr="00267340">
        <w:trPr>
          <w:trHeight w:val="795"/>
        </w:trPr>
        <w:tc>
          <w:tcPr>
            <w:tcW w:w="186"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b/>
                <w:smallCaps/>
                <w:sz w:val="20"/>
                <w:szCs w:val="20"/>
                <w:lang w:val="en-AU"/>
              </w:rPr>
              <w:t>1.3</w:t>
            </w:r>
          </w:p>
        </w:tc>
        <w:tc>
          <w:tcPr>
            <w:tcW w:w="748" w:type="pct"/>
            <w:gridSpan w:val="3"/>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Additional change</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Unanticipated changes/results </w:t>
            </w:r>
          </w:p>
        </w:tc>
      </w:tr>
      <w:tr w:rsidR="00267340" w:rsidRPr="00851EC7" w:rsidTr="00267340">
        <w:trPr>
          <w:trHeight w:val="795"/>
        </w:trPr>
        <w:tc>
          <w:tcPr>
            <w:tcW w:w="375"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bottom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evidence of unanticipated changes/results arising from the EP investment?</w:t>
            </w:r>
          </w:p>
        </w:tc>
      </w:tr>
      <w:tr w:rsidR="00267340" w:rsidRPr="00851EC7" w:rsidTr="00267340">
        <w:trPr>
          <w:trHeight w:val="795"/>
        </w:trPr>
        <w:tc>
          <w:tcPr>
            <w:tcW w:w="375"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4625" w:type="pct"/>
            <w:gridSpan w:val="3"/>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Have</w:t>
            </w:r>
            <w:r w:rsidRPr="00851EC7">
              <w:rPr>
                <w:rFonts w:eastAsia="Calibri"/>
                <w:sz w:val="20"/>
                <w:szCs w:val="20"/>
                <w:lang w:val="en-AU" w:eastAsia="en-AU"/>
              </w:rPr>
              <w:t xml:space="preserve"> any unanticipated but positive/negative changes/results emerged?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Do we know the extent to which the EP can claim attribution or </w:t>
            </w:r>
            <w:r w:rsidRPr="00851EC7">
              <w:rPr>
                <w:rFonts w:eastAsia="Calibri" w:cs="Times New Roman"/>
                <w:sz w:val="20"/>
                <w:szCs w:val="20"/>
                <w:lang w:val="en-AU" w:eastAsia="en-AU"/>
              </w:rPr>
              <w:t>contribution</w:t>
            </w:r>
            <w:r w:rsidRPr="00851EC7">
              <w:rPr>
                <w:rFonts w:eastAsia="Calibri"/>
                <w:sz w:val="20"/>
                <w:szCs w:val="20"/>
                <w:lang w:val="en-AU" w:eastAsia="en-AU"/>
              </w:rPr>
              <w:t xml:space="preserve"> to those changes/results?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Is there any evidence of additional or reduced financing being made </w:t>
            </w:r>
            <w:r w:rsidRPr="00851EC7">
              <w:rPr>
                <w:rFonts w:eastAsia="Calibri" w:cs="Times New Roman"/>
                <w:sz w:val="20"/>
                <w:szCs w:val="20"/>
                <w:lang w:val="en-AU" w:eastAsia="en-AU"/>
              </w:rPr>
              <w:t>available</w:t>
            </w:r>
            <w:r w:rsidRPr="00851EC7">
              <w:rPr>
                <w:rFonts w:eastAsia="Calibri"/>
                <w:sz w:val="20"/>
                <w:szCs w:val="20"/>
                <w:lang w:val="en-AU" w:eastAsia="en-AU"/>
              </w:rPr>
              <w:t xml:space="preserve"> to EP-supported initiatives by partners other than DFAT and, if so, do we know the extent to which the changes can be attributed to the EP? </w:t>
            </w:r>
          </w:p>
          <w:p w:rsidR="00267340" w:rsidRPr="00851EC7" w:rsidRDefault="00267340" w:rsidP="00215A8F">
            <w:pPr>
              <w:numPr>
                <w:ilvl w:val="0"/>
                <w:numId w:val="19"/>
              </w:numPr>
              <w:spacing w:before="60" w:after="60" w:line="276" w:lineRule="auto"/>
              <w:contextualSpacing/>
              <w:rPr>
                <w:rFonts w:eastAsia="Calibri" w:cs="Times New Roman"/>
                <w:sz w:val="20"/>
                <w:szCs w:val="20"/>
                <w:lang w:val="en-AU" w:eastAsia="en-AU"/>
              </w:rPr>
            </w:pPr>
            <w:r w:rsidRPr="00851EC7">
              <w:rPr>
                <w:rFonts w:eastAsia="Calibri" w:cs="Times New Roman"/>
                <w:sz w:val="20"/>
                <w:szCs w:val="20"/>
                <w:lang w:val="en-AU" w:eastAsia="en-AU"/>
              </w:rPr>
              <w:t xml:space="preserve">Is there evidence of the EP leveraging in additional resources (financial or in-kind) to help undertake, sustain (adopt or adapt) and/or take to scale the EP interventions? </w:t>
            </w:r>
          </w:p>
        </w:tc>
      </w:tr>
    </w:tbl>
    <w:p w:rsidR="00267340" w:rsidRPr="00851EC7" w:rsidRDefault="00267340" w:rsidP="00267340">
      <w:pPr>
        <w:spacing w:after="200" w:line="276" w:lineRule="auto"/>
        <w:rPr>
          <w:rFonts w:asciiTheme="minorHAnsi" w:eastAsiaTheme="minorHAnsi" w:hAnsiTheme="minorHAnsi" w:cstheme="minorBidi"/>
          <w:lang w:val="en-AU"/>
        </w:rPr>
      </w:pPr>
    </w:p>
    <w:p w:rsidR="00267340" w:rsidRPr="00851EC7" w:rsidRDefault="00267340" w:rsidP="00267340">
      <w:pPr>
        <w:spacing w:after="200" w:line="276" w:lineRule="auto"/>
        <w:rPr>
          <w:rFonts w:asciiTheme="minorHAnsi" w:eastAsiaTheme="minorHAnsi" w:hAnsiTheme="minorHAnsi" w:cstheme="minorBidi"/>
          <w:lang w:val="en-AU"/>
        </w:rPr>
      </w:pPr>
      <w:r w:rsidRPr="00851EC7">
        <w:rPr>
          <w:rFonts w:asciiTheme="minorHAnsi" w:eastAsiaTheme="minorHAnsi" w:hAnsiTheme="minorHAnsi" w:cstheme="minorBidi"/>
          <w:lang w:val="en-AU"/>
        </w:rPr>
        <w:br w:type="page"/>
      </w:r>
    </w:p>
    <w:tbl>
      <w:tblPr>
        <w:tblW w:w="535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1697"/>
        <w:gridCol w:w="143"/>
        <w:gridCol w:w="12202"/>
      </w:tblGrid>
      <w:tr w:rsidR="00267340" w:rsidRPr="00851EC7" w:rsidTr="00267340">
        <w:trPr>
          <w:trHeight w:val="56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67340" w:rsidRPr="00851EC7" w:rsidRDefault="00267340" w:rsidP="00267340">
            <w:pPr>
              <w:spacing w:before="60" w:after="60" w:line="276" w:lineRule="auto"/>
              <w:jc w:val="center"/>
              <w:rPr>
                <w:rFonts w:asciiTheme="minorHAnsi" w:eastAsiaTheme="minorHAnsi" w:hAnsiTheme="minorHAnsi"/>
                <w:b/>
                <w:color w:val="FFFFFF" w:themeColor="background1"/>
                <w:sz w:val="24"/>
                <w:szCs w:val="24"/>
                <w:lang w:val="en-AU"/>
              </w:rPr>
            </w:pPr>
            <w:r w:rsidRPr="00851EC7">
              <w:rPr>
                <w:rFonts w:asciiTheme="minorHAnsi" w:eastAsiaTheme="minorHAnsi" w:hAnsiTheme="minorHAnsi"/>
                <w:b/>
                <w:sz w:val="24"/>
                <w:szCs w:val="24"/>
                <w:lang w:val="en-AU"/>
              </w:rPr>
              <w:lastRenderedPageBreak/>
              <w:br w:type="page"/>
            </w:r>
            <w:r w:rsidRPr="00851EC7">
              <w:rPr>
                <w:rFonts w:asciiTheme="minorHAnsi" w:eastAsiaTheme="minorHAnsi" w:hAnsiTheme="minorHAnsi"/>
                <w:b/>
                <w:color w:val="FFFFFF" w:themeColor="background1"/>
                <w:sz w:val="24"/>
                <w:szCs w:val="24"/>
                <w:lang w:val="en-AU"/>
              </w:rPr>
              <w:t>Section 2: Performance against the DAC criteria</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b/>
                <w:smallCaps/>
                <w:sz w:val="20"/>
                <w:szCs w:val="20"/>
                <w:lang w:val="en-AU"/>
              </w:rPr>
              <w:t>2.1</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Relevance</w:t>
            </w:r>
          </w:p>
        </w:tc>
        <w:tc>
          <w:tcPr>
            <w:tcW w:w="406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The extent to which the investment is suited to program goals and objectives and the policies and priorities of the GoI and GoA</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are EP interventions appropriate to the Indonesian education sector? (External)</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are the EP interventions in line with Australian development policy and priorities? (External)</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To what extent are the activities and outputs consistent with the attainment of EOCOs and EOPOs and goals? (Internal)</w:t>
            </w:r>
          </w:p>
        </w:tc>
      </w:tr>
      <w:tr w:rsidR="00267340" w:rsidRPr="00851EC7" w:rsidTr="00267340">
        <w:trPr>
          <w:trHeight w:val="795"/>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External</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What issues are being addressed by EP interventions, and how critical are these issues to the sector?</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 xml:space="preserve">When considered from a sector perspective, to what extent are the objectives of the EP still valid?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Are the interventions in line with Australia’s development policy and priorities?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What are the ‘headwinds’ and ‘tailwinds’ in the political-institutional environment and to what extent may these affect program relevance?</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 xml:space="preserve">To what extent are the interventions and objectives of comparatively high political importance to GoI?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To what extent are the investments well suited to the expressed priorities and needs of target beneficiaries?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 xml:space="preserve">Are there new or emerging opportunities in the sector context which could be (better) exploited? </w:t>
            </w:r>
          </w:p>
        </w:tc>
      </w:tr>
      <w:tr w:rsidR="00267340" w:rsidRPr="00851EC7" w:rsidTr="00267340">
        <w:trPr>
          <w:trHeight w:val="436"/>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Internal</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Should the EP re-assess program objectives and activities in light of the progress being made against PMF targets and any key changes in the sectoral context?</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cs="Times New Roman"/>
                <w:sz w:val="20"/>
                <w:szCs w:val="20"/>
                <w:lang w:val="en-AU" w:eastAsia="en-AU"/>
              </w:rPr>
            </w:pPr>
            <w:r w:rsidRPr="00851EC7">
              <w:rPr>
                <w:rFonts w:eastAsia="Calibri" w:cs="Times New Roman"/>
                <w:sz w:val="20"/>
                <w:szCs w:val="20"/>
                <w:lang w:val="en-AU" w:eastAsia="en-AU"/>
              </w:rPr>
              <w:t>Do the components inform and strengthen each other so as to better address identified problems</w:t>
            </w:r>
            <w:r w:rsidRPr="00851EC7">
              <w:rPr>
                <w:rFonts w:eastAsia="Calibri" w:cs="Times New Roman"/>
                <w:szCs w:val="24"/>
                <w:lang w:val="en-AU" w:eastAsia="en-AU"/>
              </w:rPr>
              <w:t xml:space="preserve"> and contribute to the goals of the EP?</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 xml:space="preserve">Are the </w:t>
            </w:r>
            <w:r w:rsidRPr="00851EC7">
              <w:rPr>
                <w:rFonts w:eastAsia="Calibri"/>
                <w:sz w:val="20"/>
                <w:szCs w:val="20"/>
                <w:lang w:val="en-AU" w:eastAsia="en-AU"/>
              </w:rPr>
              <w:t>program assumptions, are they credible and realistic?</w:t>
            </w:r>
          </w:p>
        </w:tc>
      </w:tr>
      <w:tr w:rsidR="00267340" w:rsidRPr="00851EC7" w:rsidTr="00267340">
        <w:trPr>
          <w:trHeight w:val="126"/>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Indicative judgement criteria</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Headline </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the investment is in line with Indonesian education policies and political priorities (External)</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the investment is in line with Australian development priorities (External)</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the EP activities are fit for purpose with respect to the achievement of the goals, EOPOs and EOCOs (Internal)</w:t>
            </w:r>
          </w:p>
        </w:tc>
      </w:tr>
      <w:tr w:rsidR="00267340" w:rsidRPr="00851EC7" w:rsidTr="00267340">
        <w:trPr>
          <w:trHeight w:val="1260"/>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Additional considerations</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degree to which policies and priorities have evolved since program design/commencement</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timing and magnitude of any changes to the political and institutional environment within which the EP operates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Appreciation of the reasons why investment choices were made (e.g. at the expense of others and in recognition that the EP was only ever intended to be a partial response to identified problems)</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cstheme="minorBidi"/>
                <w:sz w:val="20"/>
                <w:szCs w:val="20"/>
                <w:lang w:val="en-AU"/>
              </w:rPr>
              <w:lastRenderedPageBreak/>
              <w:br w:type="page"/>
            </w:r>
            <w:r w:rsidRPr="00851EC7">
              <w:rPr>
                <w:rFonts w:asciiTheme="minorHAnsi" w:eastAsiaTheme="minorHAnsi" w:hAnsiTheme="minorHAnsi" w:cstheme="minorBidi"/>
                <w:b/>
                <w:sz w:val="20"/>
                <w:szCs w:val="20"/>
                <w:lang w:val="en-AU"/>
              </w:rPr>
              <w:t>2.</w:t>
            </w:r>
            <w:r w:rsidRPr="00851EC7">
              <w:rPr>
                <w:rFonts w:asciiTheme="minorHAnsi" w:eastAsiaTheme="minorHAnsi" w:hAnsiTheme="minorHAnsi"/>
                <w:b/>
                <w:smallCaps/>
                <w:sz w:val="20"/>
                <w:szCs w:val="20"/>
                <w:lang w:val="en-AU"/>
              </w:rPr>
              <w:t>2</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Efficiency</w:t>
            </w:r>
          </w:p>
        </w:tc>
        <w:tc>
          <w:tcPr>
            <w:tcW w:w="406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 measure of how economically (in relation to time and cost) inputs are converted to outputs (and EOCOs)</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bottom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cs="Times New Roman"/>
                <w:sz w:val="20"/>
                <w:szCs w:val="20"/>
                <w:lang w:val="en-AU" w:eastAsia="en-AU"/>
              </w:rPr>
            </w:pPr>
            <w:r w:rsidRPr="00851EC7">
              <w:rPr>
                <w:rFonts w:eastAsia="Calibri" w:cs="Times New Roman"/>
                <w:sz w:val="20"/>
                <w:szCs w:val="20"/>
                <w:lang w:val="en-AU" w:eastAsia="en-AU"/>
              </w:rPr>
              <w:t xml:space="preserve">To what extent are the output- and EOCO-level milestones being achieved on time? And in accordance with agreed budget envelopes?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asciiTheme="minorHAnsi" w:eastAsiaTheme="minorHAnsi" w:hAnsiTheme="minorHAnsi" w:cstheme="minorBidi"/>
                <w:sz w:val="20"/>
                <w:szCs w:val="20"/>
                <w:lang w:val="en-AU"/>
              </w:rPr>
            </w:pPr>
            <w:r w:rsidRPr="00851EC7">
              <w:rPr>
                <w:rFonts w:eastAsia="Calibri" w:cs="Times New Roman"/>
                <w:sz w:val="20"/>
                <w:szCs w:val="20"/>
                <w:lang w:val="en-AU" w:eastAsia="en-AU"/>
              </w:rPr>
              <w:t>Could the same quality and quantity of deliverables and the same level of change/results have been achieved with less investment?</w:t>
            </w:r>
          </w:p>
        </w:tc>
      </w:tr>
      <w:tr w:rsidR="00267340" w:rsidRPr="00851EC7" w:rsidTr="00267340">
        <w:trPr>
          <w:trHeight w:val="142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4625" w:type="pct"/>
            <w:gridSpan w:val="3"/>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cs="Times New Roman"/>
                <w:sz w:val="20"/>
                <w:szCs w:val="20"/>
                <w:lang w:val="en-AU" w:eastAsia="en-AU"/>
              </w:rPr>
            </w:pPr>
            <w:r w:rsidRPr="00851EC7">
              <w:rPr>
                <w:rFonts w:eastAsia="Calibri" w:cs="Times New Roman"/>
                <w:sz w:val="20"/>
                <w:szCs w:val="20"/>
                <w:lang w:val="en-AU" w:eastAsia="en-AU"/>
              </w:rPr>
              <w:t xml:space="preserve">Is there evidence to suggest that the same resources could have generated more results or achieved greater change?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cs="Times New Roman"/>
                <w:sz w:val="20"/>
                <w:szCs w:val="20"/>
                <w:lang w:val="en-AU" w:eastAsia="en-AU"/>
              </w:rPr>
              <w:t xml:space="preserve">Are the costs associated with particular administrative and management tasks disproportionate when considered against their perceived/actual benefit?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asciiTheme="minorHAnsi" w:eastAsiaTheme="minorHAnsi" w:hAnsiTheme="minorHAnsi" w:cstheme="minorBidi"/>
                <w:sz w:val="20"/>
                <w:szCs w:val="20"/>
                <w:lang w:val="en-AU"/>
              </w:rPr>
            </w:pPr>
            <w:r w:rsidRPr="00851EC7">
              <w:rPr>
                <w:rFonts w:eastAsia="Calibri"/>
                <w:sz w:val="20"/>
                <w:szCs w:val="20"/>
                <w:lang w:val="en-AU" w:eastAsia="en-AU"/>
              </w:rPr>
              <w:t>To what extent have any risks associated with milestone attainment been effectively mitigated and managed by both implementing and institutional partners?</w:t>
            </w:r>
          </w:p>
        </w:tc>
      </w:tr>
      <w:tr w:rsidR="00267340" w:rsidRPr="00851EC7" w:rsidTr="00267340">
        <w:trPr>
          <w:trHeight w:val="964"/>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Indicative judgement criteria</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Headline </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The extent to which output- and EOCO-level milestones are being delivered on time, i.e. from program commencement to date and, secondly, within the year in question</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The extent to which output- and EOCO-level milestones are being delivered on budget</w:t>
            </w:r>
          </w:p>
        </w:tc>
      </w:tr>
      <w:tr w:rsidR="00267340" w:rsidRPr="00851EC7" w:rsidTr="00267340">
        <w:trPr>
          <w:trHeight w:val="1260"/>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Additional considerations</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Recognition of any unpredictable events that had significant bearing on the attainment of output-level milestones.</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Recognition that the milestones and targets encapsulated in the PMF are maximums; maximums that, in some components (e.g. C1), cannot be exceeded. As such, satisfactory scores may be permissible where extenuating circumstances exist (e.g. where there is evidence that informed decisions have been taken to prioritise quality and sustainability over short-term quantifiable results).</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Recognition of defensible circumstances in which inputs were deployed to pursue strategic results that were not initially planned, i.e. where the component has sought to respond opportunistically and in ways that were consistent with or supportive of the high-level aspirations at Goal and EOPO level. </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b/>
                <w:smallCaps/>
                <w:sz w:val="20"/>
                <w:szCs w:val="20"/>
                <w:lang w:val="en-AU"/>
              </w:rPr>
              <w:t>2.3</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Effectiveness</w:t>
            </w:r>
          </w:p>
        </w:tc>
        <w:tc>
          <w:tcPr>
            <w:tcW w:w="406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The extent to which an investment attains its end-of-partnership targets</w:t>
            </w:r>
          </w:p>
        </w:tc>
      </w:tr>
      <w:tr w:rsidR="00267340" w:rsidRPr="00851EC7" w:rsidTr="00267340">
        <w:trPr>
          <w:trHeight w:val="436"/>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To what extent and how has JSE enrolment in public schools increased in EP targeted districts?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To what extent and how have EP-funded professional development initiatives improved the management of schools and Madrasah?</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To what extent and how has EP-funded support improved the quality of madrasah service provision?</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lastRenderedPageBreak/>
              <w:t>To what extent is systemic change occurring within C3’s targeted districts (and elsewhere, and what is the EP’s contribution to the same?</w:t>
            </w:r>
            <w:r w:rsidR="00537938">
              <w:rPr>
                <w:rFonts w:eastAsia="Calibri"/>
                <w:sz w:val="20"/>
                <w:szCs w:val="20"/>
                <w:lang w:val="en-AU" w:eastAsia="en-AU"/>
              </w:rPr>
              <w:t xml:space="preserve">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To what extent and how is ACDP evidence that relates to the EP incorporated in relevant education sector policies, regulations plans and budgets?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To what extent has the EP delivered or contributed to unforeseen results that could be deemed to be on a par with EOCOs and EOPOs?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that the EP has generated unforeseen costs and are they deemed to be at an acceptable or unacceptable level?</w:t>
            </w:r>
            <w:r w:rsidR="00537938">
              <w:rPr>
                <w:rFonts w:eastAsia="Calibri"/>
                <w:sz w:val="20"/>
                <w:szCs w:val="20"/>
                <w:lang w:val="en-AU" w:eastAsia="en-AU"/>
              </w:rPr>
              <w:t xml:space="preserve"> </w:t>
            </w:r>
          </w:p>
        </w:tc>
      </w:tr>
      <w:tr w:rsidR="00267340" w:rsidRPr="00851EC7" w:rsidTr="00267340">
        <w:trPr>
          <w:trHeight w:val="795"/>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lastRenderedPageBreak/>
              <w:t>Lines of enquiry</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General</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To what extent is there clarity and consensus about the expected nature, quality and extent of program results at EOCO and EOPO level?</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that the EP theory of change is working in practice?</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Are key assumptions holding true (validity)?</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What factors have enabled/inhibited success?</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Have any constraints been identified in the implementation of the components? If so, how successfully were these addressed by the institutional and implementing partners and what, if anything, can be done to mitigate/manage/address key constraints?</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What is the strongest evidence that attests to the effect (and scale and quality) of the component/program?</w:t>
            </w:r>
          </w:p>
        </w:tc>
      </w:tr>
      <w:tr w:rsidR="00267340" w:rsidRPr="00851EC7" w:rsidTr="00267340">
        <w:trPr>
          <w:trHeight w:val="795"/>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C1</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Does C1 activity affect JSE enrolment rates?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Does C1 activity affect the number of years of JSE completed?</w:t>
            </w:r>
            <w:r w:rsidR="00537938">
              <w:rPr>
                <w:rFonts w:eastAsia="Calibri"/>
                <w:sz w:val="20"/>
                <w:szCs w:val="20"/>
                <w:lang w:val="en-AU" w:eastAsia="en-AU"/>
              </w:rPr>
              <w:t xml:space="preserve">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Does C1 activity affect JSE completion rates?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Does C1 activity affect transition rates from primary to JSE, and JSE to senior secondary? </w:t>
            </w:r>
          </w:p>
        </w:tc>
      </w:tr>
      <w:tr w:rsidR="00267340" w:rsidRPr="00851EC7" w:rsidTr="00267340">
        <w:trPr>
          <w:trHeight w:val="795"/>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C2</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is the increase in the prevalence of effective school management practices in participating schools and Madrasah?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is the degree to which effective school management practices have improved in participating schools and Madrasah?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How did the school management practices of participating schools and Madrasah improve as a result of EP-funded support?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How do external factors and conditions affect school management practices in participating schools and Madrasah? </w:t>
            </w:r>
          </w:p>
        </w:tc>
      </w:tr>
      <w:tr w:rsidR="00267340" w:rsidRPr="00851EC7" w:rsidTr="00267340">
        <w:trPr>
          <w:trHeight w:val="410"/>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C3</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is the increase in the prevalence of quality education services of targeted madrasah?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is the degree to which the quality of education services in targeted and participating madrasah improved?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How did the quality of education services in targeted and participating madrasah improve as a result of EP-funded support?</w:t>
            </w:r>
            <w:r w:rsidR="00537938">
              <w:rPr>
                <w:rFonts w:eastAsia="Calibri"/>
                <w:sz w:val="20"/>
                <w:szCs w:val="20"/>
                <w:lang w:val="en-AU" w:eastAsia="en-AU"/>
              </w:rPr>
              <w:t xml:space="preserve">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is the effect of external factors and conditions on the quality of education services in the targeted and participating madrasah?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lastRenderedPageBreak/>
              <w:t xml:space="preserve">Is there evidence of key stakeholders adopting and adapting C3 outputs, tools and approaches? </w:t>
            </w:r>
          </w:p>
        </w:tc>
      </w:tr>
      <w:tr w:rsidR="00267340" w:rsidRPr="00851EC7" w:rsidTr="00267340">
        <w:trPr>
          <w:trHeight w:val="795"/>
        </w:trPr>
        <w:tc>
          <w:tcPr>
            <w:tcW w:w="375" w:type="pct"/>
            <w:vMerge/>
            <w:tcBorders>
              <w:left w:val="single" w:sz="4" w:space="0" w:color="auto"/>
              <w:bottom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C4</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were the targeted/ expected changes in education sector policies, regulations, plans and budgets?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Have similar changes occurred?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contributed to the changes?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influence did ACDP have on those changes?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What influence did ACDP evidence play in that contribution? </w:t>
            </w:r>
          </w:p>
        </w:tc>
      </w:tr>
      <w:tr w:rsidR="00267340" w:rsidRPr="00851EC7" w:rsidTr="00267340">
        <w:trPr>
          <w:trHeight w:val="964"/>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Indicative judgement criteria</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Headline </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The extent to which EOPO-level milestones are being delivered on time</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Degree of confidence that the EOPO target will be delivered by the end of the partnership</w:t>
            </w:r>
          </w:p>
        </w:tc>
      </w:tr>
      <w:tr w:rsidR="00267340" w:rsidRPr="00851EC7" w:rsidTr="00267340">
        <w:trPr>
          <w:trHeight w:val="1260"/>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Additional considerations</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Degree of confidence that the EOPO targets will be delivered within 6-12 months of partnership end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Recognition of the nature, quality and magnitude of unforeseen results and benefits where these have ‘standing’ at EOCO and EOPO level</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Nature and extent of any unforeseen costs associated with the attainment of EOPO-level milestone and targets (i.e. displacement considerations)</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b/>
                <w:smallCaps/>
                <w:sz w:val="20"/>
                <w:szCs w:val="20"/>
                <w:lang w:val="en-AU"/>
              </w:rPr>
              <w:t>2.4</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Impact</w:t>
            </w:r>
          </w:p>
        </w:tc>
        <w:tc>
          <w:tcPr>
            <w:tcW w:w="406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sz w:val="20"/>
                <w:szCs w:val="20"/>
                <w:lang w:val="en-AU"/>
              </w:rPr>
              <w:t xml:space="preserve">The overall </w:t>
            </w:r>
            <w:r w:rsidRPr="00851EC7">
              <w:rPr>
                <w:rFonts w:asciiTheme="minorHAnsi" w:eastAsiaTheme="minorHAnsi" w:hAnsiTheme="minorHAnsi"/>
                <w:i/>
                <w:sz w:val="20"/>
                <w:szCs w:val="20"/>
                <w:lang w:val="en-AU"/>
              </w:rPr>
              <w:t>long-term effect</w:t>
            </w:r>
            <w:r w:rsidRPr="00851EC7">
              <w:rPr>
                <w:rFonts w:asciiTheme="minorHAnsi" w:eastAsiaTheme="minorHAnsi" w:hAnsiTheme="minorHAnsi"/>
                <w:sz w:val="20"/>
                <w:szCs w:val="20"/>
                <w:lang w:val="en-AU"/>
              </w:rPr>
              <w:t xml:space="preserve"> produced by an investment. This includes positive and negative changes produced by a development investment (directly or indirectly, intended or unintended).</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To what extent have EP interventions contributed to student participation in JSE? (Goal 1)</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To what extent have EP interventions contributed to the improvement of the quality of education in public and private schools? (Goal 2)</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To what extent have EP interventions contributed to increased use of evidence for education sector decision making? (Goal 3)</w:t>
            </w:r>
          </w:p>
        </w:tc>
      </w:tr>
      <w:tr w:rsidR="00267340" w:rsidRPr="00851EC7" w:rsidTr="00267340">
        <w:trPr>
          <w:trHeight w:val="795"/>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General</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to suggest that the EP/Components are likely to make a demonstrable contribution to intended Goals?</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What long-term impact will the investment likely deliver?</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Are there any factors which may impinge on the realisation of impact or quality, reach and coverage of the program deliverables?</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Which risks show the greatest likelihood of preventing, impeding or delaying the achievement, quality and/or timeliness of the intended Goals?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What opportunities exist to enhance the extent, quality and timeliness of Goal-level change?</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lastRenderedPageBreak/>
              <w:t xml:space="preserve">Has the severity and/or probability of the risks changed over the last 12 months?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What corrective mechanisms are required to improve manage/mitigate the risks or to reduce the consequences if/when they occur?</w:t>
            </w:r>
          </w:p>
        </w:tc>
      </w:tr>
      <w:tr w:rsidR="00267340" w:rsidRPr="00851EC7" w:rsidTr="00267340">
        <w:trPr>
          <w:trHeight w:val="410"/>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Goal 1</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of increased JSE school participation?</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that EP interventions are contributing to increased student participation in schooling?</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that EP interventions are influencing motivation and incentives for student participation?</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that EP interventions have improved opportunities for students to participate in JSE?</w:t>
            </w:r>
          </w:p>
        </w:tc>
      </w:tr>
      <w:tr w:rsidR="00267340" w:rsidRPr="00851EC7" w:rsidTr="00267340">
        <w:trPr>
          <w:trHeight w:val="795"/>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Goal 2</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of improved quality in public and private schools?</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To what extent have EP interventions contributed to education quality improvement?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To what extent have any improvements to the competencies of Principals and Supervisors contributed to the quality improvements?</w:t>
            </w:r>
          </w:p>
        </w:tc>
      </w:tr>
      <w:tr w:rsidR="00267340" w:rsidRPr="00851EC7" w:rsidTr="00267340">
        <w:trPr>
          <w:trHeight w:val="795"/>
        </w:trPr>
        <w:tc>
          <w:tcPr>
            <w:tcW w:w="375" w:type="pct"/>
            <w:vMerge/>
            <w:tcBorders>
              <w:left w:val="single" w:sz="4" w:space="0" w:color="auto"/>
              <w:bottom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Goal 3</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Is there evidence that ACDP-derived evidence, feedback and advice is being acted upon?</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To what extent can we point to increased use of evidence for education sector decision making? </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To what extent have EP interventions contributed to increased use of evidence for education sector decision making?</w:t>
            </w:r>
          </w:p>
        </w:tc>
      </w:tr>
      <w:tr w:rsidR="00267340" w:rsidRPr="00851EC7" w:rsidTr="00267340">
        <w:trPr>
          <w:trHeight w:val="500"/>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Indicative judgement criteria</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Headline </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Degree of confidence that the EOPOs, if/when achieved, will make a demonstrable contribution to Goal-level change. </w:t>
            </w:r>
          </w:p>
        </w:tc>
      </w:tr>
      <w:tr w:rsidR="00267340" w:rsidRPr="00851EC7" w:rsidTr="00267340">
        <w:trPr>
          <w:trHeight w:val="1260"/>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Additional considerations</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Evidence that points to the probability of Goal-level change within 3 years of EP end.</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Recognition of any negative effects and consideration of the overall ‘net change’ (positive, negative) to the practices and behaviours of beneficiaries and the broader system</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 xml:space="preserve">The nature, quality and magnitude of the likely impacts (planned, unplanned) </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cstheme="minorBidi"/>
                <w:sz w:val="20"/>
                <w:szCs w:val="20"/>
                <w:lang w:val="en-AU"/>
              </w:rPr>
              <w:br w:type="page"/>
            </w:r>
            <w:r w:rsidRPr="00851EC7">
              <w:rPr>
                <w:rFonts w:asciiTheme="minorHAnsi" w:eastAsiaTheme="minorHAnsi" w:hAnsiTheme="minorHAnsi"/>
                <w:b/>
                <w:smallCaps/>
                <w:sz w:val="20"/>
                <w:szCs w:val="20"/>
                <w:lang w:val="en-AU"/>
              </w:rPr>
              <w:t>2.5</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Sustainability</w:t>
            </w:r>
          </w:p>
        </w:tc>
        <w:tc>
          <w:tcPr>
            <w:tcW w:w="406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The extent to which the benefits are likely to continue after DFAT funding to the EP has been withdrawn </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bottom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To what extent will the key </w:t>
            </w:r>
            <w:r w:rsidRPr="00851EC7">
              <w:rPr>
                <w:rFonts w:eastAsia="Calibri"/>
                <w:sz w:val="20"/>
                <w:szCs w:val="20"/>
                <w:lang w:val="en-AU"/>
              </w:rPr>
              <w:t>benefits</w:t>
            </w:r>
            <w:r w:rsidRPr="00851EC7">
              <w:rPr>
                <w:rFonts w:eastAsia="Calibri"/>
                <w:sz w:val="20"/>
                <w:szCs w:val="20"/>
                <w:lang w:val="en-AU" w:eastAsia="en-AU"/>
              </w:rPr>
              <w:t xml:space="preserve"> be sustained once GoA’s investment ceases?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Is there evidence of partners adopting, adapting, taking to scale and financing the </w:t>
            </w:r>
            <w:r w:rsidR="00123F1E" w:rsidRPr="00851EC7">
              <w:rPr>
                <w:rFonts w:eastAsia="Calibri"/>
                <w:sz w:val="20"/>
                <w:szCs w:val="20"/>
                <w:lang w:val="en-AU" w:eastAsia="en-AU"/>
              </w:rPr>
              <w:t>outputs</w:t>
            </w:r>
            <w:r w:rsidRPr="00851EC7">
              <w:rPr>
                <w:rFonts w:eastAsia="Calibri"/>
                <w:sz w:val="20"/>
                <w:szCs w:val="20"/>
                <w:lang w:val="en-AU" w:eastAsia="en-AU"/>
              </w:rPr>
              <w:t>, approaches, tools, etc. implemented in the EP?</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Do beneficiaries have sufficient ownership, capacity and resources to maintain the benefits after GoA funding has ceased?</w:t>
            </w:r>
          </w:p>
        </w:tc>
      </w:tr>
      <w:tr w:rsidR="00267340" w:rsidRPr="00851EC7" w:rsidTr="00267340">
        <w:trPr>
          <w:trHeight w:val="410"/>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lastRenderedPageBreak/>
              <w:t>Lines of enquiry</w:t>
            </w:r>
          </w:p>
        </w:tc>
        <w:tc>
          <w:tcPr>
            <w:tcW w:w="606"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p>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Aspirations </w:t>
            </w:r>
          </w:p>
        </w:tc>
        <w:tc>
          <w:tcPr>
            <w:tcW w:w="4019" w:type="pct"/>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clarity and consensus about what the sustained benefits are expected to be?</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What investments and activities would partners (MoEC, SNIPs…) like to continue beyond the EP?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What needs to happen for this ambition to be realised?</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What are the major factors influencing sustainability?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Are there any items that are clearly not sustainable? Were they intended to be and, if so, what lessons can be learned?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Has the sustainability of key EP benefits been sufficiently planned for in the design and implementation of the components?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Has the phase out of EP interventions been prepared and communicated appropriately?</w:t>
            </w:r>
          </w:p>
        </w:tc>
      </w:tr>
      <w:tr w:rsidR="00267340" w:rsidRPr="00851EC7" w:rsidTr="00267340">
        <w:trPr>
          <w:trHeight w:val="1035"/>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606"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Readiness (including ability and willingness) </w:t>
            </w:r>
          </w:p>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p>
        </w:tc>
        <w:tc>
          <w:tcPr>
            <w:tcW w:w="4019" w:type="pct"/>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Is there clarity and consensus about who will do what and who will pay for what?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clarity about related costs?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Can partners point to examples of adoption and adaptation?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are institutions and systems well placed to continually adapt the benefits in ways that are appropriate and proportional to changing context and needs?</w:t>
            </w:r>
            <w:r w:rsidR="00537938">
              <w:rPr>
                <w:rFonts w:eastAsia="Calibri"/>
                <w:sz w:val="20"/>
                <w:szCs w:val="20"/>
                <w:lang w:val="en-AU" w:eastAsia="en-AU"/>
              </w:rPr>
              <w:t xml:space="preserve">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there areas that require additional strengthening or support? Are they foreseen within the EP or by an identified stakeholder?</w:t>
            </w:r>
          </w:p>
        </w:tc>
      </w:tr>
      <w:tr w:rsidR="00267340" w:rsidRPr="00851EC7" w:rsidTr="00267340">
        <w:trPr>
          <w:trHeight w:val="436"/>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606"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Risks and opportunities</w:t>
            </w:r>
          </w:p>
        </w:tc>
        <w:tc>
          <w:tcPr>
            <w:tcW w:w="4019" w:type="pct"/>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there any ‘stop-go barriers’ to adoption and adaptation (e.g. in terms of necessary regulatory change, in terms of financing commitments, structural changes, capacity, products and processes such as manuals…)?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Are there new or evolving contextual factors that may affect the sustainability of EP investments?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What corrective mechanisms are required to improve manage/mitigate the risks for sustainability or to reduce the consequences if/when they occur?</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Are there new or emerging opportunities in the sector context which may be exploited to contribute to EP success? How should these opportunities be grasped and by whom? What benefit might this have for the EP? Are the factors clear?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What are the implications for DFAT’s current commitments should there be significant risk of unsustainability? </w:t>
            </w:r>
          </w:p>
        </w:tc>
      </w:tr>
      <w:tr w:rsidR="00267340" w:rsidRPr="00851EC7" w:rsidTr="00267340">
        <w:trPr>
          <w:trHeight w:val="964"/>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Indicative judgement criteria</w:t>
            </w:r>
          </w:p>
        </w:tc>
        <w:tc>
          <w:tcPr>
            <w:tcW w:w="606"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Headline </w:t>
            </w:r>
          </w:p>
        </w:tc>
        <w:tc>
          <w:tcPr>
            <w:tcW w:w="4019" w:type="pct"/>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the appropriate stakeholders have expressed meaningful commitment towards sustaining the benefits (with written, financing commitments surpassing verbal commitment).</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There being clear evidence of adoption and adaptation (and the scale of the same)</w:t>
            </w:r>
          </w:p>
        </w:tc>
      </w:tr>
      <w:tr w:rsidR="00267340" w:rsidRPr="00851EC7" w:rsidTr="00267340">
        <w:trPr>
          <w:trHeight w:val="1260"/>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606"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Additional considerations</w:t>
            </w:r>
          </w:p>
        </w:tc>
        <w:tc>
          <w:tcPr>
            <w:tcW w:w="4019" w:type="pct"/>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of clarity about actual costs and necessary building blocks (e.g. any regulatory change)</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of clarity about who will do what and who will pay for what after the conclusion of DFAT funding (or current financial commitments in the case of non-DFAT funding)</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‘readiness’ of identified stakeholders to assume responsibility and their willingness and ability to meet obligations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existence or otherwise of any ‘killer risks’</w:t>
            </w:r>
          </w:p>
        </w:tc>
      </w:tr>
    </w:tbl>
    <w:p w:rsidR="00267340" w:rsidRPr="00851EC7" w:rsidRDefault="00267340" w:rsidP="00267340">
      <w:pPr>
        <w:spacing w:after="200" w:line="276" w:lineRule="auto"/>
        <w:rPr>
          <w:rFonts w:asciiTheme="minorHAnsi" w:eastAsiaTheme="minorHAnsi" w:hAnsiTheme="minorHAnsi"/>
          <w:b/>
          <w:color w:val="FFFFFF" w:themeColor="background1"/>
          <w:sz w:val="20"/>
          <w:szCs w:val="20"/>
          <w:lang w:val="en-AU"/>
        </w:rPr>
      </w:pPr>
      <w:r w:rsidRPr="00851EC7">
        <w:rPr>
          <w:rFonts w:asciiTheme="minorHAnsi" w:eastAsiaTheme="minorHAnsi" w:hAnsiTheme="minorHAnsi"/>
          <w:b/>
          <w:color w:val="FFFFFF" w:themeColor="background1"/>
          <w:sz w:val="20"/>
          <w:szCs w:val="20"/>
          <w:lang w:val="en-AU"/>
        </w:rPr>
        <w:br w:type="page"/>
      </w:r>
    </w:p>
    <w:tbl>
      <w:tblPr>
        <w:tblW w:w="535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1697"/>
        <w:gridCol w:w="143"/>
        <w:gridCol w:w="12202"/>
      </w:tblGrid>
      <w:tr w:rsidR="00267340" w:rsidRPr="00851EC7" w:rsidTr="00267340">
        <w:trPr>
          <w:trHeight w:val="56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67340" w:rsidRPr="00851EC7" w:rsidRDefault="00267340" w:rsidP="00267340">
            <w:pPr>
              <w:spacing w:before="60" w:after="60" w:line="276" w:lineRule="auto"/>
              <w:jc w:val="center"/>
              <w:rPr>
                <w:rFonts w:asciiTheme="minorHAnsi" w:eastAsiaTheme="minorHAnsi" w:hAnsiTheme="minorHAnsi"/>
                <w:b/>
                <w:color w:val="FFFFFF" w:themeColor="background1"/>
                <w:sz w:val="24"/>
                <w:szCs w:val="24"/>
                <w:lang w:val="en-AU"/>
              </w:rPr>
            </w:pPr>
            <w:r w:rsidRPr="00851EC7">
              <w:rPr>
                <w:rFonts w:asciiTheme="minorHAnsi" w:eastAsiaTheme="minorHAnsi" w:hAnsiTheme="minorHAnsi"/>
                <w:b/>
                <w:color w:val="FFFFFF" w:themeColor="background1"/>
                <w:sz w:val="24"/>
                <w:szCs w:val="24"/>
                <w:lang w:val="en-AU"/>
              </w:rPr>
              <w:lastRenderedPageBreak/>
              <w:t>Section 3: Cross-cutting issues</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cstheme="minorBidi"/>
                <w:sz w:val="20"/>
                <w:szCs w:val="20"/>
                <w:lang w:val="en-AU"/>
              </w:rPr>
              <w:br w:type="page"/>
            </w:r>
            <w:r w:rsidRPr="00851EC7">
              <w:rPr>
                <w:rFonts w:asciiTheme="minorHAnsi" w:eastAsiaTheme="minorHAnsi" w:hAnsiTheme="minorHAnsi" w:cstheme="minorBidi"/>
                <w:b/>
                <w:sz w:val="20"/>
                <w:szCs w:val="20"/>
                <w:lang w:val="en-AU"/>
              </w:rPr>
              <w:t>3.</w:t>
            </w:r>
            <w:r w:rsidRPr="00851EC7">
              <w:rPr>
                <w:rFonts w:asciiTheme="minorHAnsi" w:eastAsiaTheme="minorHAnsi" w:hAnsiTheme="minorHAnsi"/>
                <w:b/>
                <w:smallCaps/>
                <w:sz w:val="20"/>
                <w:szCs w:val="20"/>
                <w:lang w:val="en-AU"/>
              </w:rPr>
              <w:t>1</w:t>
            </w:r>
          </w:p>
        </w:tc>
        <w:tc>
          <w:tcPr>
            <w:tcW w:w="60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 xml:space="preserve">Beneficiaries </w:t>
            </w:r>
          </w:p>
        </w:tc>
        <w:tc>
          <w:tcPr>
            <w:tcW w:w="401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The immediate beneficiaries of EP investment, e.g. the eligible entities in C2, the SNIPs in C3, and those making requests of ACDP in C4.</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20"/>
                <w:szCs w:val="20"/>
                <w:lang w:val="en-AU" w:eastAsia="en-AU"/>
              </w:rPr>
            </w:pPr>
            <w:r w:rsidRPr="00851EC7">
              <w:rPr>
                <w:rFonts w:eastAsia="Calibri"/>
                <w:sz w:val="20"/>
                <w:szCs w:val="20"/>
                <w:lang w:val="en-AU" w:eastAsia="en-AU"/>
              </w:rPr>
              <w:t>The intermediate beneficiaries, e.g. the principals and supervisors securing PD (C2) and the madrasah receiving support from the SNIPs in C3.</w:t>
            </w:r>
          </w:p>
          <w:p w:rsidR="00267340" w:rsidRPr="00851EC7" w:rsidRDefault="00267340" w:rsidP="00215A8F">
            <w:pPr>
              <w:widowControl w:val="0"/>
              <w:numPr>
                <w:ilvl w:val="0"/>
                <w:numId w:val="18"/>
              </w:numPr>
              <w:autoSpaceDE w:val="0"/>
              <w:autoSpaceDN w:val="0"/>
              <w:adjustRightInd w:val="0"/>
              <w:spacing w:before="60" w:after="60" w:line="276" w:lineRule="auto"/>
              <w:ind w:left="227" w:hanging="284"/>
              <w:rPr>
                <w:rFonts w:eastAsia="Calibri"/>
                <w:sz w:val="19"/>
                <w:szCs w:val="19"/>
                <w:lang w:val="en-AU" w:eastAsia="en-AU"/>
              </w:rPr>
            </w:pPr>
            <w:r w:rsidRPr="00851EC7">
              <w:rPr>
                <w:rFonts w:eastAsia="Calibri"/>
                <w:sz w:val="20"/>
                <w:szCs w:val="20"/>
                <w:lang w:val="en-AU" w:eastAsia="en-AU"/>
              </w:rPr>
              <w:t>The ultimate beneficiaries, i.e. the students.</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bottom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19"/>
                <w:szCs w:val="19"/>
                <w:lang w:val="en-AU" w:eastAsia="en-AU"/>
              </w:rPr>
              <w:t xml:space="preserve">How </w:t>
            </w:r>
            <w:r w:rsidRPr="00851EC7">
              <w:rPr>
                <w:rFonts w:eastAsia="Calibri"/>
                <w:sz w:val="20"/>
                <w:szCs w:val="20"/>
                <w:lang w:val="en-AU" w:eastAsia="en-AU"/>
              </w:rPr>
              <w:t>have EP interventions affected different beneficiaries?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Who has received the benefits and is that in line with GoA policies, strategies and/or guidelines?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Do targeting measures exist and, if so, are these applied and have they been successful?</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Are there alternative views, especially as these views concern important, controversial or disappointing findings? </w:t>
            </w:r>
          </w:p>
        </w:tc>
      </w:tr>
      <w:tr w:rsidR="00267340" w:rsidRPr="00851EC7" w:rsidTr="00267340">
        <w:trPr>
          <w:trHeight w:val="545"/>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cstheme="minorBidi"/>
                <w:sz w:val="20"/>
                <w:szCs w:val="20"/>
                <w:lang w:val="en-AU"/>
              </w:rPr>
            </w:pPr>
            <w:r w:rsidRPr="00851EC7">
              <w:rPr>
                <w:rFonts w:asciiTheme="minorHAnsi" w:eastAsiaTheme="minorHAnsi" w:hAnsiTheme="minorHAnsi" w:cstheme="minorBidi"/>
                <w:sz w:val="20"/>
                <w:szCs w:val="20"/>
                <w:lang w:val="en-AU"/>
              </w:rPr>
              <w:t>Social Inclusion</w:t>
            </w:r>
          </w:p>
        </w:tc>
        <w:tc>
          <w:tcPr>
            <w:tcW w:w="4066" w:type="pct"/>
            <w:gridSpan w:val="2"/>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Who are the direct and indirect beneficiaries of EP interventions?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What are the expected and unexpected impacts on those beneficiaries?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To what extent are the EP interventions still relevant to the needs of the beneficiaries?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Does the EP purposefully reach identified “special groups”, and provide the opportunities for equitable participation?</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Does the EP enable “special groups” to enjoy program benefits in an equitable manner with others in that community or population?</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Does the EP address any particular needs that “special groups” may have that may not be shared by the wider population?</w:t>
            </w:r>
          </w:p>
        </w:tc>
      </w:tr>
      <w:tr w:rsidR="00267340" w:rsidRPr="00851EC7" w:rsidTr="00267340">
        <w:trPr>
          <w:trHeight w:val="545"/>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cstheme="minorBidi"/>
                <w:sz w:val="20"/>
                <w:szCs w:val="20"/>
                <w:lang w:val="en-AU"/>
              </w:rPr>
            </w:pPr>
            <w:r w:rsidRPr="00851EC7">
              <w:rPr>
                <w:rFonts w:asciiTheme="minorHAnsi" w:eastAsiaTheme="minorHAnsi" w:hAnsiTheme="minorHAnsi" w:cstheme="minorBidi"/>
                <w:sz w:val="20"/>
                <w:szCs w:val="20"/>
                <w:lang w:val="en-AU"/>
              </w:rPr>
              <w:t>Gender</w:t>
            </w:r>
          </w:p>
        </w:tc>
        <w:tc>
          <w:tcPr>
            <w:tcW w:w="4066" w:type="pct"/>
            <w:gridSpan w:val="2"/>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do the interventions promote the equitable participation of, and benefits for, women and men?</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has the EP promoted gender equality in the Indonesian education sector?</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are EP interventions addressing particular gender gaps in the education sector in Indonesia?</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Has the delivery of EP interventions been sufficiently gender appropriate?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EP interventions facilitating increased women’s empowerment and voice in decision-making and leadership?</w:t>
            </w:r>
          </w:p>
        </w:tc>
      </w:tr>
      <w:tr w:rsidR="00267340" w:rsidRPr="00851EC7" w:rsidTr="00267340">
        <w:trPr>
          <w:trHeight w:val="545"/>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cstheme="minorBidi"/>
                <w:sz w:val="20"/>
                <w:szCs w:val="20"/>
                <w:lang w:val="en-AU"/>
              </w:rPr>
            </w:pPr>
            <w:r w:rsidRPr="00851EC7">
              <w:rPr>
                <w:rFonts w:asciiTheme="minorHAnsi" w:eastAsiaTheme="minorHAnsi" w:hAnsiTheme="minorHAnsi" w:cstheme="minorBidi"/>
                <w:sz w:val="20"/>
                <w:szCs w:val="20"/>
                <w:lang w:val="en-AU"/>
              </w:rPr>
              <w:t xml:space="preserve">Disability </w:t>
            </w:r>
          </w:p>
        </w:tc>
        <w:tc>
          <w:tcPr>
            <w:tcW w:w="4066" w:type="pct"/>
            <w:gridSpan w:val="2"/>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has the EP promoted disability-inclusive education in Indonesia?</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EP interventions sufficiently enabling people with disability to access the same opportunities for participation, contribution and decision making in the Indonesian education sector?</w:t>
            </w:r>
          </w:p>
        </w:tc>
      </w:tr>
      <w:tr w:rsidR="00267340" w:rsidRPr="00851EC7" w:rsidTr="00267340">
        <w:trPr>
          <w:trHeight w:val="964"/>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lastRenderedPageBreak/>
              <w:t>Indicative judgement criteria</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Headline </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benefits are distributed in line with expectations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probability of benefits being realised by the ultimate beneficiaries (i.e. extending beyond capture by immediate and intermediates beneficiaries)</w:t>
            </w:r>
          </w:p>
        </w:tc>
      </w:tr>
      <w:tr w:rsidR="00267340" w:rsidRPr="00851EC7" w:rsidTr="00267340">
        <w:trPr>
          <w:trHeight w:val="1260"/>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Additional considerations</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degree to which policies and priorities have evolved since program design/commencement</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The extent to which investments were designed and implemented to address the priorities identified in agreed broad social inclusion frameworks/strategies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investments were designed and implemented with the principles of specific disability-inclusive development in mind</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investments were designed and implemented in a specific gender-sensitive way</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cstheme="minorBidi"/>
                <w:sz w:val="20"/>
                <w:szCs w:val="20"/>
                <w:lang w:val="en-AU"/>
              </w:rPr>
              <w:br w:type="page"/>
            </w:r>
            <w:r w:rsidRPr="00851EC7">
              <w:rPr>
                <w:rFonts w:asciiTheme="minorHAnsi" w:eastAsiaTheme="minorHAnsi" w:hAnsiTheme="minorHAnsi" w:cstheme="minorBidi"/>
                <w:b/>
                <w:sz w:val="20"/>
                <w:szCs w:val="20"/>
                <w:lang w:val="en-AU"/>
              </w:rPr>
              <w:t>3.</w:t>
            </w:r>
            <w:r w:rsidRPr="00851EC7">
              <w:rPr>
                <w:rFonts w:asciiTheme="minorHAnsi" w:eastAsiaTheme="minorHAnsi" w:hAnsiTheme="minorHAnsi"/>
                <w:b/>
                <w:smallCaps/>
                <w:sz w:val="20"/>
                <w:szCs w:val="20"/>
                <w:lang w:val="en-AU"/>
              </w:rPr>
              <w:t>2</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Delivery arrangements</w:t>
            </w:r>
          </w:p>
        </w:tc>
        <w:tc>
          <w:tcPr>
            <w:tcW w:w="406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The ways in which the investment is delivered</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bottom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Have the most appropriate implementation arrangements, modalities and/or delivery mechanisms been utilised to maximise results?</w:t>
            </w:r>
          </w:p>
        </w:tc>
      </w:tr>
      <w:tr w:rsidR="00267340" w:rsidRPr="00851EC7" w:rsidTr="00267340">
        <w:trPr>
          <w:trHeight w:val="142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 xml:space="preserve">Lines of enquiry </w:t>
            </w:r>
          </w:p>
        </w:tc>
        <w:tc>
          <w:tcPr>
            <w:tcW w:w="4625" w:type="pct"/>
            <w:gridSpan w:val="3"/>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 blend – the combination – of current modalities the most appropriate way to manage risk and to deliver intended results?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evidence to suggest that the current arrangements may enable or impede program impact and sustainability?</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Is there added value of working through GoI systems? Are there advantages or disadvantages? </w:t>
            </w:r>
          </w:p>
        </w:tc>
      </w:tr>
      <w:tr w:rsidR="00267340" w:rsidRPr="00851EC7" w:rsidTr="00267340">
        <w:trPr>
          <w:trHeight w:val="964"/>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Indicative judgement criteria</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Headline </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likelihood of anticipated results being achieved on time and within budget as a consequence of the current arrangements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likelihood of key risks being mitigated or managed as a consequence of the current arrangements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The likelihood of there being sustained benefits as a consequence of the current arrangements </w:t>
            </w:r>
          </w:p>
        </w:tc>
      </w:tr>
      <w:tr w:rsidR="00267340" w:rsidRPr="00851EC7" w:rsidTr="00267340">
        <w:trPr>
          <w:trHeight w:val="972"/>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Additional considerations</w:t>
            </w:r>
          </w:p>
        </w:tc>
        <w:tc>
          <w:tcPr>
            <w:tcW w:w="4066" w:type="pct"/>
            <w:gridSpan w:val="2"/>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existence of realistic alternatives, not least at the time of design and commencement</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cstheme="minorBidi"/>
                <w:sz w:val="20"/>
                <w:szCs w:val="20"/>
                <w:lang w:val="en-AU"/>
              </w:rPr>
              <w:lastRenderedPageBreak/>
              <w:br w:type="page"/>
            </w:r>
            <w:r w:rsidRPr="00851EC7">
              <w:rPr>
                <w:rFonts w:asciiTheme="minorHAnsi" w:eastAsiaTheme="minorHAnsi" w:hAnsiTheme="minorHAnsi" w:cstheme="minorBidi"/>
                <w:b/>
                <w:sz w:val="20"/>
                <w:szCs w:val="20"/>
                <w:lang w:val="en-AU"/>
              </w:rPr>
              <w:t>3.</w:t>
            </w:r>
            <w:r w:rsidRPr="00851EC7">
              <w:rPr>
                <w:rFonts w:asciiTheme="minorHAnsi" w:eastAsiaTheme="minorHAnsi" w:hAnsiTheme="minorHAnsi"/>
                <w:b/>
                <w:smallCaps/>
                <w:sz w:val="20"/>
                <w:szCs w:val="20"/>
                <w:lang w:val="en-AU"/>
              </w:rPr>
              <w:t>3</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Management and governance</w:t>
            </w:r>
          </w:p>
        </w:tc>
        <w:tc>
          <w:tcPr>
            <w:tcW w:w="406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The formal and informal arrangements and processes by which the EP is managed and governed by the partnership.</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bottom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evidence that governance and management arrangements are effective?</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evidence to suggest that the program is managed and governed in the spirit of the “partnership”?</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Are there alternative views, especially as they concern important, controversial or disappointing findings? </w:t>
            </w:r>
          </w:p>
        </w:tc>
      </w:tr>
      <w:tr w:rsidR="00267340" w:rsidRPr="00851EC7" w:rsidTr="00267340">
        <w:trPr>
          <w:trHeight w:val="545"/>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cstheme="minorBidi"/>
                <w:sz w:val="20"/>
                <w:szCs w:val="20"/>
                <w:lang w:val="en-AU"/>
              </w:rPr>
            </w:pPr>
            <w:r w:rsidRPr="00851EC7">
              <w:rPr>
                <w:rFonts w:asciiTheme="minorHAnsi" w:eastAsiaTheme="minorHAnsi" w:hAnsiTheme="minorHAnsi"/>
                <w:sz w:val="19"/>
                <w:szCs w:val="19"/>
                <w:lang w:val="en-AU"/>
              </w:rPr>
              <w:t>Governance</w:t>
            </w:r>
          </w:p>
        </w:tc>
        <w:tc>
          <w:tcPr>
            <w:tcW w:w="4066" w:type="pct"/>
            <w:gridSpan w:val="2"/>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the responsibilities of key partners being fully and effectively discharged?</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the GoG and ToG structures operational and effective?</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evidence to suggest that the GoG and ToG structures deliver their mandates?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 optimal balance between transactional and transformational engagement being realised within the governance arrangements?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have key partners coordinated their activities with other stakeholders and will this have benefit for the attainment of the EOPOs and Goals?</w:t>
            </w:r>
            <w:r w:rsidR="00537938">
              <w:rPr>
                <w:rFonts w:eastAsia="Calibri"/>
                <w:sz w:val="20"/>
                <w:szCs w:val="20"/>
                <w:lang w:val="en-AU" w:eastAsia="en-AU"/>
              </w:rPr>
              <w:t xml:space="preserve"> </w:t>
            </w:r>
            <w:r w:rsidRPr="00851EC7">
              <w:rPr>
                <w:rFonts w:eastAsia="Calibri"/>
                <w:sz w:val="20"/>
                <w:szCs w:val="20"/>
                <w:lang w:val="en-AU" w:eastAsia="en-AU"/>
              </w:rPr>
              <w:t xml:space="preserve">(Coordinated-related question)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To what extent has the program complemented and contributed to the work of other stakeholders within and beyond the EP? (Complementarity-focused question)</w:t>
            </w:r>
          </w:p>
        </w:tc>
      </w:tr>
      <w:tr w:rsidR="00267340" w:rsidRPr="00851EC7" w:rsidTr="00267340">
        <w:trPr>
          <w:trHeight w:val="545"/>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cstheme="minorBidi"/>
                <w:sz w:val="20"/>
                <w:szCs w:val="20"/>
                <w:lang w:val="en-AU"/>
              </w:rPr>
            </w:pPr>
            <w:r w:rsidRPr="00851EC7">
              <w:rPr>
                <w:rFonts w:asciiTheme="minorHAnsi" w:eastAsiaTheme="minorHAnsi" w:hAnsiTheme="minorHAnsi" w:cstheme="minorBidi"/>
                <w:sz w:val="20"/>
                <w:szCs w:val="20"/>
                <w:lang w:val="en-AU"/>
              </w:rPr>
              <w:t>Management</w:t>
            </w:r>
          </w:p>
        </w:tc>
        <w:tc>
          <w:tcPr>
            <w:tcW w:w="4066" w:type="pct"/>
            <w:gridSpan w:val="2"/>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the EP management arrangements sufficiently supportive of effective and responsive program delivery?</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Do the management arrangements provide effective feedback loops regarding program performance?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key decisions taken in a consultative and timely fashion?</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Are there alternative views, especially as they concern important, controversial or disappointing findings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How does the program effectively mitigate key risks associated with the investments? How well do key stakeholders think it does so?</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What corrective mechanisms are required to improve manage/mitigate the risks or to reduce the consequences if/when they occur?</w:t>
            </w:r>
          </w:p>
        </w:tc>
      </w:tr>
      <w:tr w:rsidR="00267340" w:rsidRPr="00851EC7" w:rsidTr="00267340">
        <w:trPr>
          <w:trHeight w:val="545"/>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559"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cstheme="minorBidi"/>
                <w:sz w:val="20"/>
                <w:szCs w:val="20"/>
                <w:lang w:val="en-AU"/>
              </w:rPr>
            </w:pPr>
            <w:r w:rsidRPr="00851EC7">
              <w:rPr>
                <w:rFonts w:asciiTheme="minorHAnsi" w:eastAsiaTheme="minorHAnsi" w:hAnsiTheme="minorHAnsi" w:cstheme="minorBidi"/>
                <w:sz w:val="20"/>
                <w:szCs w:val="20"/>
                <w:lang w:val="en-AU"/>
              </w:rPr>
              <w:t xml:space="preserve">Other </w:t>
            </w:r>
          </w:p>
        </w:tc>
        <w:tc>
          <w:tcPr>
            <w:tcW w:w="4066" w:type="pct"/>
            <w:gridSpan w:val="2"/>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Are lessons about the objectives, design and delivery of the program being learned and shared effectively?</w:t>
            </w:r>
            <w:r w:rsidR="00537938">
              <w:rPr>
                <w:rFonts w:eastAsia="Calibri"/>
                <w:sz w:val="20"/>
                <w:szCs w:val="20"/>
                <w:lang w:val="en-AU" w:eastAsia="en-AU"/>
              </w:rPr>
              <w:t xml:space="preserve"> </w:t>
            </w:r>
            <w:r w:rsidRPr="00851EC7">
              <w:rPr>
                <w:rFonts w:eastAsia="Calibri"/>
                <w:sz w:val="20"/>
                <w:szCs w:val="20"/>
                <w:lang w:val="en-AU" w:eastAsia="en-AU"/>
              </w:rPr>
              <w:t xml:space="preserve">What expectations exist?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Is there evidence of DFAT, GoI and partners applying lessons learnt (e.g. for the benefit of the current investment)?</w:t>
            </w:r>
          </w:p>
        </w:tc>
      </w:tr>
      <w:tr w:rsidR="00267340" w:rsidRPr="00851EC7" w:rsidTr="00267340">
        <w:trPr>
          <w:trHeight w:val="410"/>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 xml:space="preserve">Indicative judgement </w:t>
            </w:r>
            <w:r w:rsidRPr="00851EC7">
              <w:rPr>
                <w:rFonts w:asciiTheme="minorHAnsi" w:eastAsiaTheme="minorHAnsi" w:hAnsiTheme="minorHAnsi"/>
                <w:b/>
                <w:sz w:val="20"/>
                <w:szCs w:val="20"/>
                <w:lang w:val="en-AU"/>
              </w:rPr>
              <w:lastRenderedPageBreak/>
              <w:t>criteria</w:t>
            </w:r>
          </w:p>
        </w:tc>
        <w:tc>
          <w:tcPr>
            <w:tcW w:w="4625" w:type="pct"/>
            <w:gridSpan w:val="3"/>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lastRenderedPageBreak/>
              <w:t>The extent to which the GoG and ToG structures discharge their mandates in an effective and timely manner</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the EP Managers discharge their mandates in an effective and timely manner</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lastRenderedPageBreak/>
              <w:t>The extent to which there is an appropriate balance between transactional and transformational/strategic engagement between key partners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risks (e.g. to results, sustainability, continued relevance) are identified, mitigated and/or managed in an appropriate and timely manner</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to which performance information is used to influence the trajectory and quality of the current investment</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Evidence of the EP contributing to existing programs (Complementarity)</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Evidence that the EP does not duplicate existing work (Complementarity)</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line="276" w:lineRule="auto"/>
              <w:jc w:val="center"/>
              <w:rPr>
                <w:rFonts w:asciiTheme="minorHAnsi" w:eastAsiaTheme="minorHAnsi" w:hAnsiTheme="minorHAnsi"/>
                <w:b/>
                <w:smallCaps/>
                <w:sz w:val="20"/>
                <w:szCs w:val="20"/>
                <w:lang w:val="en-AU"/>
              </w:rPr>
            </w:pPr>
            <w:r w:rsidRPr="00851EC7">
              <w:rPr>
                <w:rFonts w:asciiTheme="minorHAnsi" w:eastAsiaTheme="minorHAnsi" w:hAnsiTheme="minorHAnsi" w:cstheme="minorBidi"/>
                <w:lang w:val="en-AU"/>
              </w:rPr>
              <w:lastRenderedPageBreak/>
              <w:br w:type="page"/>
            </w:r>
            <w:r w:rsidRPr="00851EC7">
              <w:rPr>
                <w:rFonts w:asciiTheme="minorHAnsi" w:eastAsiaTheme="minorHAnsi" w:hAnsiTheme="minorHAnsi" w:cstheme="minorBidi"/>
                <w:sz w:val="20"/>
                <w:szCs w:val="20"/>
                <w:lang w:val="en-AU"/>
              </w:rPr>
              <w:br w:type="page"/>
            </w:r>
            <w:r w:rsidRPr="00851EC7">
              <w:rPr>
                <w:rFonts w:asciiTheme="minorHAnsi" w:eastAsiaTheme="minorHAnsi" w:hAnsiTheme="minorHAnsi" w:cstheme="minorBidi"/>
                <w:b/>
                <w:sz w:val="20"/>
                <w:szCs w:val="20"/>
                <w:lang w:val="en-AU"/>
              </w:rPr>
              <w:t>3.4</w:t>
            </w:r>
          </w:p>
        </w:tc>
        <w:tc>
          <w:tcPr>
            <w:tcW w:w="606"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spacing w:before="60" w:after="60"/>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Value for Money</w:t>
            </w:r>
          </w:p>
        </w:tc>
        <w:tc>
          <w:tcPr>
            <w:tcW w:w="4019" w:type="pct"/>
            <w:tcBorders>
              <w:top w:val="single" w:sz="4" w:space="0" w:color="auto"/>
              <w:left w:val="single" w:sz="4" w:space="0" w:color="auto"/>
              <w:right w:val="single" w:sz="4" w:space="0" w:color="auto"/>
            </w:tcBorders>
            <w:shd w:val="clear" w:color="auto" w:fill="B8CCE4" w:themeFill="accent1" w:themeFillTint="66"/>
            <w:vAlign w:val="center"/>
          </w:tcPr>
          <w:p w:rsidR="00267340" w:rsidRPr="00851EC7" w:rsidRDefault="00267340" w:rsidP="00267340">
            <w:pPr>
              <w:widowControl w:val="0"/>
              <w:autoSpaceDE w:val="0"/>
              <w:autoSpaceDN w:val="0"/>
              <w:adjustRightInd w:val="0"/>
              <w:spacing w:before="60" w:after="60"/>
              <w:rPr>
                <w:rFonts w:asciiTheme="minorHAnsi" w:eastAsiaTheme="minorHAnsi" w:hAnsiTheme="minorHAnsi"/>
                <w:sz w:val="20"/>
                <w:szCs w:val="20"/>
                <w:lang w:val="en-AU"/>
              </w:rPr>
            </w:pPr>
            <w:r w:rsidRPr="00851EC7">
              <w:rPr>
                <w:rFonts w:asciiTheme="minorHAnsi" w:eastAsiaTheme="minorHAnsi" w:hAnsiTheme="minorHAnsi"/>
                <w:sz w:val="20"/>
                <w:szCs w:val="20"/>
                <w:lang w:val="en-AU"/>
              </w:rPr>
              <w:t xml:space="preserve">Ensuring the best results possible are obtained from the money spent </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Headline questions</w:t>
            </w:r>
          </w:p>
        </w:tc>
        <w:tc>
          <w:tcPr>
            <w:tcW w:w="4625" w:type="pct"/>
            <w:gridSpan w:val="3"/>
            <w:tcBorders>
              <w:top w:val="single" w:sz="4" w:space="0" w:color="auto"/>
              <w:left w:val="single" w:sz="4" w:space="0" w:color="auto"/>
              <w:bottom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Has the holistic and long-term value of the EP been adequately articulated?</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How much has been spent to achieve the results described?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Is there evidence to suggest that the EP (and its individual components) offers Value for Money? </w:t>
            </w:r>
          </w:p>
        </w:tc>
      </w:tr>
      <w:tr w:rsidR="00267340" w:rsidRPr="00851EC7" w:rsidTr="00267340">
        <w:trPr>
          <w:trHeight w:val="237"/>
        </w:trPr>
        <w:tc>
          <w:tcPr>
            <w:tcW w:w="375"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Lines of enquiry</w:t>
            </w:r>
          </w:p>
        </w:tc>
        <w:tc>
          <w:tcPr>
            <w:tcW w:w="606"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cstheme="minorBidi"/>
                <w:sz w:val="20"/>
                <w:szCs w:val="20"/>
                <w:lang w:val="en-AU"/>
              </w:rPr>
            </w:pPr>
            <w:r w:rsidRPr="00851EC7">
              <w:rPr>
                <w:rFonts w:asciiTheme="minorHAnsi" w:eastAsiaTheme="minorHAnsi" w:hAnsiTheme="minorHAnsi" w:cstheme="minorBidi"/>
                <w:sz w:val="20"/>
                <w:szCs w:val="20"/>
                <w:lang w:val="en-AU"/>
              </w:rPr>
              <w:t>Value</w:t>
            </w:r>
          </w:p>
        </w:tc>
        <w:tc>
          <w:tcPr>
            <w:tcW w:w="4019" w:type="pct"/>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What wider benefits/changes – the positive and negative externalities – are seen</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What are the forecasted net economic benefits of specific investments?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For how long will benefits be derived, to what degree and in what scenarios?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Are the deliverables of high quality and are they considered as being of high quality by beneficiaries?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Is there evidence of government and non-government commitment to sustain and/or scale-up support after the closure of EP support? </w:t>
            </w:r>
          </w:p>
        </w:tc>
      </w:tr>
      <w:tr w:rsidR="00267340" w:rsidRPr="00851EC7" w:rsidTr="00267340">
        <w:trPr>
          <w:trHeight w:val="237"/>
        </w:trPr>
        <w:tc>
          <w:tcPr>
            <w:tcW w:w="375" w:type="pct"/>
            <w:vMerge/>
            <w:tcBorders>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p>
        </w:tc>
        <w:tc>
          <w:tcPr>
            <w:tcW w:w="606"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spacing w:before="60" w:after="60"/>
              <w:rPr>
                <w:rFonts w:asciiTheme="minorHAnsi" w:eastAsiaTheme="minorHAnsi" w:hAnsiTheme="minorHAnsi" w:cstheme="minorBidi"/>
                <w:sz w:val="20"/>
                <w:szCs w:val="20"/>
                <w:lang w:val="en-AU"/>
              </w:rPr>
            </w:pPr>
            <w:r w:rsidRPr="00851EC7">
              <w:rPr>
                <w:rFonts w:asciiTheme="minorHAnsi" w:eastAsiaTheme="minorHAnsi" w:hAnsiTheme="minorHAnsi" w:cstheme="minorBidi"/>
                <w:sz w:val="20"/>
                <w:szCs w:val="20"/>
                <w:lang w:val="en-AU"/>
              </w:rPr>
              <w:t>Actual and expected spend</w:t>
            </w:r>
          </w:p>
        </w:tc>
        <w:tc>
          <w:tcPr>
            <w:tcW w:w="4019" w:type="pct"/>
            <w:tcBorders>
              <w:top w:val="single" w:sz="4" w:space="0" w:color="auto"/>
              <w:left w:val="single" w:sz="4" w:space="0" w:color="auto"/>
              <w:right w:val="single" w:sz="4" w:space="0" w:color="auto"/>
            </w:tcBorders>
            <w:shd w:val="clear" w:color="auto" w:fill="FFFFFF" w:themeFill="background1"/>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 xml:space="preserve">What are the opportunity costs for program participation and do those affected feel these costs are acceptable?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What have been the anticipated and unforeseen costs that have contributed to the value of the EP?</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How do the actuals compare with expectation?</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How do the actuals compare with any valid comparison (e.g. year-on-year or cycle-to-cycle or phase-to-phase, old programs, GoI programs)?</w:t>
            </w:r>
          </w:p>
        </w:tc>
      </w:tr>
      <w:tr w:rsidR="00267340" w:rsidRPr="00851EC7" w:rsidTr="00267340">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267340" w:rsidRPr="00851EC7" w:rsidRDefault="00267340" w:rsidP="00267340">
            <w:pPr>
              <w:widowControl w:val="0"/>
              <w:autoSpaceDE w:val="0"/>
              <w:autoSpaceDN w:val="0"/>
              <w:adjustRightInd w:val="0"/>
              <w:spacing w:before="60" w:after="60" w:line="276" w:lineRule="auto"/>
              <w:rPr>
                <w:rFonts w:asciiTheme="minorHAnsi" w:eastAsiaTheme="minorHAnsi" w:hAnsiTheme="minorHAnsi"/>
                <w:b/>
                <w:sz w:val="20"/>
                <w:szCs w:val="20"/>
                <w:lang w:val="en-AU"/>
              </w:rPr>
            </w:pPr>
            <w:r w:rsidRPr="00851EC7">
              <w:rPr>
                <w:rFonts w:asciiTheme="minorHAnsi" w:eastAsiaTheme="minorHAnsi" w:hAnsiTheme="minorHAnsi"/>
                <w:b/>
                <w:sz w:val="20"/>
                <w:szCs w:val="20"/>
                <w:lang w:val="en-AU"/>
              </w:rPr>
              <w:t>Indicative judgement criteria</w:t>
            </w:r>
          </w:p>
        </w:tc>
        <w:tc>
          <w:tcPr>
            <w:tcW w:w="4625" w:type="pct"/>
            <w:gridSpan w:val="3"/>
            <w:tcBorders>
              <w:top w:val="single" w:sz="4" w:space="0" w:color="auto"/>
              <w:left w:val="single" w:sz="4" w:space="0" w:color="auto"/>
              <w:right w:val="single" w:sz="4" w:space="0" w:color="auto"/>
            </w:tcBorders>
            <w:vAlign w:val="center"/>
          </w:tcPr>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cs="Times New Roman"/>
                <w:sz w:val="20"/>
                <w:szCs w:val="20"/>
                <w:lang w:val="en-AU" w:eastAsia="en-AU"/>
              </w:rPr>
              <w:t xml:space="preserve">The </w:t>
            </w:r>
            <w:r w:rsidRPr="00851EC7">
              <w:rPr>
                <w:rFonts w:eastAsia="Calibri"/>
                <w:sz w:val="20"/>
                <w:szCs w:val="20"/>
                <w:lang w:val="en-AU" w:eastAsia="en-AU"/>
              </w:rPr>
              <w:t xml:space="preserve">likelihood that the EOCOs and EOPOs will be achieved by 2016 </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extent of additional benefits, and their nature and potential/actual magnitude</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duration of the ‘benefit period’</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lastRenderedPageBreak/>
              <w:t>The probability of there being sustained benefit</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The probability of there being systemic change</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Recognised trade-offs between economy, efficiency and effectiveness.</w:t>
            </w:r>
          </w:p>
          <w:p w:rsidR="00267340" w:rsidRPr="00851EC7" w:rsidRDefault="00267340" w:rsidP="00215A8F">
            <w:pPr>
              <w:widowControl w:val="0"/>
              <w:numPr>
                <w:ilvl w:val="0"/>
                <w:numId w:val="19"/>
              </w:numPr>
              <w:autoSpaceDE w:val="0"/>
              <w:autoSpaceDN w:val="0"/>
              <w:adjustRightInd w:val="0"/>
              <w:spacing w:before="60" w:after="60" w:line="276" w:lineRule="auto"/>
              <w:rPr>
                <w:rFonts w:eastAsia="Calibri"/>
                <w:sz w:val="20"/>
                <w:szCs w:val="20"/>
                <w:lang w:val="en-AU" w:eastAsia="en-AU"/>
              </w:rPr>
            </w:pPr>
            <w:r w:rsidRPr="00851EC7">
              <w:rPr>
                <w:rFonts w:eastAsia="Calibri"/>
                <w:sz w:val="20"/>
                <w:szCs w:val="20"/>
                <w:lang w:val="en-AU" w:eastAsia="en-AU"/>
              </w:rPr>
              <w:t>Confidence levels about data quality and coverage</w:t>
            </w:r>
          </w:p>
        </w:tc>
      </w:tr>
    </w:tbl>
    <w:p w:rsidR="00267340" w:rsidRPr="00851EC7" w:rsidRDefault="00267340" w:rsidP="00267340">
      <w:pPr>
        <w:spacing w:after="200" w:line="276" w:lineRule="auto"/>
        <w:rPr>
          <w:rFonts w:asciiTheme="minorHAnsi" w:eastAsiaTheme="minorHAnsi" w:hAnsiTheme="minorHAnsi" w:cstheme="minorBidi"/>
          <w:lang w:val="en-AU"/>
        </w:rPr>
      </w:pPr>
    </w:p>
    <w:p w:rsidR="00267340" w:rsidRPr="00851EC7" w:rsidRDefault="00267340">
      <w:pPr>
        <w:rPr>
          <w:rFonts w:asciiTheme="minorHAnsi" w:hAnsiTheme="minorHAnsi" w:cstheme="minorHAnsi"/>
          <w:bCs/>
          <w:color w:val="003880"/>
          <w:kern w:val="32"/>
          <w:sz w:val="32"/>
          <w:szCs w:val="72"/>
          <w:lang w:val="en-AU"/>
        </w:rPr>
      </w:pPr>
      <w:r w:rsidRPr="00851EC7">
        <w:rPr>
          <w:rFonts w:asciiTheme="minorHAnsi" w:hAnsiTheme="minorHAnsi" w:cstheme="minorHAnsi"/>
          <w:bCs/>
          <w:color w:val="003880"/>
          <w:kern w:val="32"/>
          <w:sz w:val="32"/>
          <w:szCs w:val="72"/>
          <w:lang w:val="en-AU"/>
        </w:rPr>
        <w:br w:type="page"/>
      </w:r>
    </w:p>
    <w:p w:rsidR="007269E9" w:rsidRPr="00851EC7" w:rsidRDefault="00814744" w:rsidP="007269E9">
      <w:pPr>
        <w:keepNext/>
        <w:spacing w:before="480"/>
        <w:ind w:left="720" w:hanging="720"/>
        <w:outlineLvl w:val="0"/>
        <w:rPr>
          <w:rFonts w:asciiTheme="minorHAnsi" w:hAnsiTheme="minorHAnsi" w:cstheme="minorHAnsi"/>
          <w:bCs/>
          <w:color w:val="003880"/>
          <w:kern w:val="32"/>
          <w:sz w:val="32"/>
          <w:szCs w:val="72"/>
          <w:lang w:val="en-AU"/>
        </w:rPr>
      </w:pPr>
      <w:bookmarkStart w:id="75" w:name="_Toc407779892"/>
      <w:r w:rsidRPr="00851EC7">
        <w:rPr>
          <w:rFonts w:asciiTheme="minorHAnsi" w:hAnsiTheme="minorHAnsi" w:cstheme="minorHAnsi"/>
          <w:bCs/>
          <w:color w:val="003880"/>
          <w:kern w:val="32"/>
          <w:sz w:val="32"/>
          <w:szCs w:val="72"/>
          <w:lang w:val="en-AU"/>
        </w:rPr>
        <w:lastRenderedPageBreak/>
        <w:t xml:space="preserve">Annex </w:t>
      </w:r>
      <w:r w:rsidR="007269E9" w:rsidRPr="00851EC7">
        <w:rPr>
          <w:rFonts w:asciiTheme="minorHAnsi" w:hAnsiTheme="minorHAnsi" w:cstheme="minorHAnsi"/>
          <w:bCs/>
          <w:color w:val="003880"/>
          <w:kern w:val="32"/>
          <w:sz w:val="32"/>
          <w:szCs w:val="72"/>
          <w:lang w:val="en-AU"/>
        </w:rPr>
        <w:t>V</w:t>
      </w:r>
      <w:r w:rsidRPr="00851EC7">
        <w:rPr>
          <w:rFonts w:asciiTheme="minorHAnsi" w:hAnsiTheme="minorHAnsi" w:cstheme="minorHAnsi"/>
          <w:bCs/>
          <w:color w:val="003880"/>
          <w:kern w:val="32"/>
          <w:sz w:val="32"/>
          <w:szCs w:val="72"/>
          <w:lang w:val="en-AU"/>
        </w:rPr>
        <w:t>I</w:t>
      </w:r>
      <w:r w:rsidR="00877147" w:rsidRPr="00851EC7">
        <w:rPr>
          <w:rFonts w:asciiTheme="minorHAnsi" w:hAnsiTheme="minorHAnsi" w:cstheme="minorHAnsi"/>
          <w:bCs/>
          <w:color w:val="003880"/>
          <w:kern w:val="32"/>
          <w:sz w:val="32"/>
          <w:szCs w:val="72"/>
          <w:lang w:val="en-AU"/>
        </w:rPr>
        <w:t xml:space="preserve">: </w:t>
      </w:r>
      <w:r w:rsidR="007269E9" w:rsidRPr="00851EC7">
        <w:rPr>
          <w:rFonts w:asciiTheme="minorHAnsi" w:hAnsiTheme="minorHAnsi" w:cstheme="minorHAnsi"/>
          <w:bCs/>
          <w:color w:val="003880"/>
          <w:kern w:val="32"/>
          <w:sz w:val="32"/>
          <w:szCs w:val="72"/>
          <w:lang w:val="en-AU"/>
        </w:rPr>
        <w:t>List of Persons Consulted</w:t>
      </w:r>
      <w:bookmarkEnd w:id="75"/>
    </w:p>
    <w:p w:rsidR="003E041C" w:rsidRPr="00851EC7" w:rsidRDefault="003E041C" w:rsidP="003E041C">
      <w:pPr>
        <w:keepNext/>
        <w:ind w:left="720" w:hanging="720"/>
        <w:outlineLvl w:val="0"/>
        <w:rPr>
          <w:rFonts w:cstheme="minorHAnsi"/>
          <w:bCs/>
          <w:color w:val="003880"/>
          <w:kern w:val="32"/>
          <w:szCs w:val="72"/>
          <w:lang w:val="en-AU"/>
        </w:rPr>
      </w:pPr>
    </w:p>
    <w:tbl>
      <w:tblPr>
        <w:tblStyle w:val="TableGrid18"/>
        <w:tblW w:w="0" w:type="auto"/>
        <w:tblLook w:val="04A0" w:firstRow="1" w:lastRow="0" w:firstColumn="1" w:lastColumn="0" w:noHBand="0" w:noVBand="1"/>
      </w:tblPr>
      <w:tblGrid>
        <w:gridCol w:w="2376"/>
        <w:gridCol w:w="7655"/>
        <w:gridCol w:w="1559"/>
        <w:gridCol w:w="1478"/>
      </w:tblGrid>
      <w:tr w:rsidR="003E041C" w:rsidRPr="00851EC7" w:rsidTr="003E041C">
        <w:trPr>
          <w:trHeight w:val="591"/>
          <w:tblHeader/>
        </w:trPr>
        <w:tc>
          <w:tcPr>
            <w:tcW w:w="2376" w:type="dxa"/>
            <w:shd w:val="clear" w:color="auto" w:fill="365F91" w:themeFill="accent1" w:themeFillShade="BF"/>
            <w:vAlign w:val="center"/>
          </w:tcPr>
          <w:p w:rsidR="003E041C" w:rsidRPr="00851EC7" w:rsidRDefault="003E041C" w:rsidP="001E2A58">
            <w:pPr>
              <w:spacing w:line="276" w:lineRule="auto"/>
              <w:jc w:val="center"/>
              <w:rPr>
                <w:rFonts w:asciiTheme="minorHAnsi" w:hAnsiTheme="minorHAnsi"/>
                <w:b/>
                <w:color w:val="FFFFFF" w:themeColor="background1"/>
              </w:rPr>
            </w:pPr>
            <w:r w:rsidRPr="00851EC7">
              <w:rPr>
                <w:rFonts w:asciiTheme="minorHAnsi" w:hAnsiTheme="minorHAnsi"/>
                <w:b/>
                <w:color w:val="FFFFFF" w:themeColor="background1"/>
              </w:rPr>
              <w:t>Name</w:t>
            </w:r>
          </w:p>
        </w:tc>
        <w:tc>
          <w:tcPr>
            <w:tcW w:w="7655" w:type="dxa"/>
            <w:shd w:val="clear" w:color="auto" w:fill="365F91" w:themeFill="accent1" w:themeFillShade="BF"/>
            <w:vAlign w:val="center"/>
          </w:tcPr>
          <w:p w:rsidR="003E041C" w:rsidRPr="00851EC7" w:rsidRDefault="003E041C" w:rsidP="001E2A58">
            <w:pPr>
              <w:spacing w:line="276" w:lineRule="auto"/>
              <w:jc w:val="center"/>
              <w:rPr>
                <w:rFonts w:asciiTheme="minorHAnsi" w:hAnsiTheme="minorHAnsi"/>
                <w:b/>
                <w:color w:val="FFFFFF" w:themeColor="background1"/>
              </w:rPr>
            </w:pPr>
            <w:r w:rsidRPr="00851EC7">
              <w:rPr>
                <w:rFonts w:asciiTheme="minorHAnsi" w:hAnsiTheme="minorHAnsi"/>
                <w:b/>
                <w:color w:val="FFFFFF" w:themeColor="background1"/>
              </w:rPr>
              <w:t>Title</w:t>
            </w:r>
          </w:p>
        </w:tc>
        <w:tc>
          <w:tcPr>
            <w:tcW w:w="1559" w:type="dxa"/>
            <w:shd w:val="clear" w:color="auto" w:fill="365F91" w:themeFill="accent1" w:themeFillShade="BF"/>
            <w:vAlign w:val="center"/>
          </w:tcPr>
          <w:p w:rsidR="003E041C" w:rsidRPr="00851EC7" w:rsidRDefault="003E041C" w:rsidP="001E2A58">
            <w:pPr>
              <w:spacing w:line="276" w:lineRule="auto"/>
              <w:jc w:val="center"/>
              <w:rPr>
                <w:rFonts w:asciiTheme="minorHAnsi" w:hAnsiTheme="minorHAnsi"/>
                <w:b/>
                <w:color w:val="FFFFFF" w:themeColor="background1"/>
              </w:rPr>
            </w:pPr>
            <w:r w:rsidRPr="00851EC7">
              <w:rPr>
                <w:rFonts w:asciiTheme="minorHAnsi" w:hAnsiTheme="minorHAnsi"/>
                <w:b/>
                <w:color w:val="FFFFFF" w:themeColor="background1"/>
              </w:rPr>
              <w:t>Date of Consultation</w:t>
            </w:r>
          </w:p>
        </w:tc>
        <w:tc>
          <w:tcPr>
            <w:tcW w:w="1478" w:type="dxa"/>
            <w:shd w:val="clear" w:color="auto" w:fill="365F91" w:themeFill="accent1" w:themeFillShade="BF"/>
            <w:vAlign w:val="center"/>
          </w:tcPr>
          <w:p w:rsidR="003E041C" w:rsidRPr="00851EC7" w:rsidRDefault="003E041C" w:rsidP="001E2A58">
            <w:pPr>
              <w:spacing w:line="276" w:lineRule="auto"/>
              <w:jc w:val="center"/>
              <w:rPr>
                <w:rFonts w:asciiTheme="minorHAnsi" w:hAnsiTheme="minorHAnsi"/>
                <w:b/>
                <w:color w:val="FFFFFF" w:themeColor="background1"/>
              </w:rPr>
            </w:pPr>
            <w:r w:rsidRPr="00851EC7">
              <w:rPr>
                <w:rFonts w:asciiTheme="minorHAnsi" w:hAnsiTheme="minorHAnsi"/>
                <w:b/>
                <w:color w:val="FFFFFF" w:themeColor="background1"/>
              </w:rPr>
              <w:t>POM Staff Present*</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Niken Wardhani</w:t>
            </w:r>
          </w:p>
        </w:tc>
        <w:tc>
          <w:tcPr>
            <w:tcW w:w="7655" w:type="dxa"/>
            <w:vAlign w:val="center"/>
          </w:tcPr>
          <w:p w:rsidR="003E041C" w:rsidRPr="00851EC7" w:rsidRDefault="003E041C" w:rsidP="001E2A58">
            <w:pPr>
              <w:rPr>
                <w:rFonts w:asciiTheme="minorHAnsi" w:hAnsiTheme="minorHAnsi"/>
              </w:rPr>
            </w:pPr>
            <w:r w:rsidRPr="00851EC7">
              <w:rPr>
                <w:rFonts w:asciiTheme="minorHAnsi" w:hAnsiTheme="minorHAnsi"/>
              </w:rPr>
              <w:t>Program Manager, Development Cooperation, DFAT</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22/10</w:t>
            </w:r>
          </w:p>
        </w:tc>
        <w:tc>
          <w:tcPr>
            <w:tcW w:w="1478" w:type="dxa"/>
            <w:vAlign w:val="center"/>
          </w:tcPr>
          <w:p w:rsidR="003E041C" w:rsidRPr="00851EC7" w:rsidRDefault="003E041C" w:rsidP="001E2A58">
            <w:pPr>
              <w:rPr>
                <w:rFonts w:asciiTheme="minorHAnsi" w:hAnsiTheme="minorHAnsi"/>
              </w:rPr>
            </w:pPr>
            <w:r w:rsidRPr="00851EC7">
              <w:rPr>
                <w:rFonts w:asciiTheme="minorHAnsi" w:hAnsiTheme="minorHAnsi"/>
                <w:b/>
              </w:rPr>
              <w:t>SM</w:t>
            </w:r>
            <w:r w:rsidRPr="00851EC7">
              <w:rPr>
                <w:rFonts w:asciiTheme="minorHAnsi" w:hAnsiTheme="minorHAnsi"/>
              </w:rPr>
              <w:t>, PK, IV</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Joanne Dowling</w:t>
            </w:r>
          </w:p>
        </w:tc>
        <w:tc>
          <w:tcPr>
            <w:tcW w:w="7655" w:type="dxa"/>
            <w:vAlign w:val="center"/>
          </w:tcPr>
          <w:p w:rsidR="003E041C" w:rsidRPr="00851EC7" w:rsidRDefault="003E041C" w:rsidP="001E2A58">
            <w:pPr>
              <w:rPr>
                <w:rFonts w:asciiTheme="minorHAnsi" w:hAnsiTheme="minorHAnsi"/>
              </w:rPr>
            </w:pPr>
            <w:r w:rsidRPr="00851EC7">
              <w:rPr>
                <w:rFonts w:asciiTheme="minorHAnsi" w:hAnsiTheme="minorHAnsi"/>
              </w:rPr>
              <w:t>Unit Manager, Development Cooperation, DFAT</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22/10</w:t>
            </w:r>
          </w:p>
        </w:tc>
        <w:tc>
          <w:tcPr>
            <w:tcW w:w="1478" w:type="dxa"/>
            <w:vAlign w:val="center"/>
          </w:tcPr>
          <w:p w:rsidR="003E041C" w:rsidRPr="00851EC7" w:rsidRDefault="003E041C" w:rsidP="001E2A58">
            <w:pPr>
              <w:rPr>
                <w:rFonts w:asciiTheme="minorHAnsi" w:hAnsiTheme="minorHAnsi"/>
              </w:rPr>
            </w:pPr>
            <w:r w:rsidRPr="00851EC7">
              <w:rPr>
                <w:rFonts w:asciiTheme="minorHAnsi" w:hAnsiTheme="minorHAnsi"/>
                <w:b/>
              </w:rPr>
              <w:t>SM</w:t>
            </w:r>
            <w:r w:rsidRPr="00851EC7">
              <w:rPr>
                <w:rFonts w:asciiTheme="minorHAnsi" w:hAnsiTheme="minorHAnsi"/>
              </w:rPr>
              <w:t>, PK, IV</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Karen Taylor</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Operations Manager, EPOS</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22/10</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SM</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color w:val="000000"/>
                <w:lang w:eastAsia="en-GB"/>
              </w:rPr>
              <w:t>Suluh Adiwibowo</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Senior Infrastructure Adviser, SSQ</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22/10</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IV</w:t>
            </w:r>
            <w:r w:rsidRPr="00851EC7">
              <w:rPr>
                <w:rFonts w:asciiTheme="minorHAnsi" w:hAnsiTheme="minorHAnsi"/>
              </w:rPr>
              <w:t>, PK</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color w:val="000000"/>
                <w:lang w:eastAsia="en-GB"/>
              </w:rPr>
              <w:t>Meliana Istanto</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Site Selection Coordinator, SSQ</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22/10</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IV</w:t>
            </w:r>
            <w:r w:rsidRPr="00851EC7">
              <w:rPr>
                <w:rFonts w:asciiTheme="minorHAnsi" w:hAnsiTheme="minorHAnsi"/>
              </w:rPr>
              <w:t>, PK</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Jihad Saad</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Component 1 Manager, School Construction, SSQ</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22/10 &amp; 24/10</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SM</w:t>
            </w:r>
            <w:r w:rsidRPr="00851EC7">
              <w:rPr>
                <w:rFonts w:asciiTheme="minorHAnsi" w:hAnsiTheme="minorHAnsi"/>
              </w:rPr>
              <w:t>, IV</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Aziz Purwanto</w:t>
            </w:r>
          </w:p>
        </w:tc>
        <w:tc>
          <w:tcPr>
            <w:tcW w:w="7655" w:type="dxa"/>
            <w:vAlign w:val="center"/>
          </w:tcPr>
          <w:p w:rsidR="003E041C" w:rsidRPr="00851EC7" w:rsidRDefault="003E041C" w:rsidP="003E041C">
            <w:pPr>
              <w:rPr>
                <w:rFonts w:asciiTheme="minorHAnsi" w:hAnsiTheme="minorHAnsi"/>
              </w:rPr>
            </w:pPr>
            <w:r w:rsidRPr="00851EC7">
              <w:rPr>
                <w:rFonts w:asciiTheme="minorHAnsi" w:hAnsiTheme="minorHAnsi"/>
              </w:rPr>
              <w:t>Head of Infrastructure Section,</w:t>
            </w:r>
            <w:r w:rsidR="00537938">
              <w:rPr>
                <w:rFonts w:asciiTheme="minorHAnsi" w:hAnsiTheme="minorHAnsi"/>
              </w:rPr>
              <w:t xml:space="preserve"> </w:t>
            </w:r>
            <w:r w:rsidRPr="00851EC7">
              <w:rPr>
                <w:rFonts w:asciiTheme="minorHAnsi" w:hAnsiTheme="minorHAnsi"/>
              </w:rPr>
              <w:t xml:space="preserve">Directorate of JSE Management, </w:t>
            </w:r>
            <w:r w:rsidR="006D4DD4">
              <w:rPr>
                <w:rFonts w:asciiTheme="minorHAnsi" w:hAnsiTheme="minorHAnsi"/>
              </w:rPr>
              <w:t>MoEC</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23/10</w:t>
            </w:r>
          </w:p>
        </w:tc>
        <w:tc>
          <w:tcPr>
            <w:tcW w:w="1478" w:type="dxa"/>
            <w:vAlign w:val="center"/>
          </w:tcPr>
          <w:p w:rsidR="003E041C" w:rsidRPr="00851EC7" w:rsidRDefault="003E041C" w:rsidP="001E2A58">
            <w:pPr>
              <w:rPr>
                <w:rFonts w:asciiTheme="minorHAnsi" w:hAnsiTheme="minorHAnsi"/>
              </w:rPr>
            </w:pPr>
            <w:r w:rsidRPr="00851EC7">
              <w:rPr>
                <w:rFonts w:asciiTheme="minorHAnsi" w:hAnsiTheme="minorHAnsi"/>
                <w:b/>
              </w:rPr>
              <w:t xml:space="preserve">PK, </w:t>
            </w:r>
            <w:r w:rsidRPr="00851EC7">
              <w:rPr>
                <w:rFonts w:asciiTheme="minorHAnsi" w:hAnsiTheme="minorHAnsi"/>
              </w:rPr>
              <w:t>MS</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highlight w:val="yellow"/>
              </w:rPr>
            </w:pPr>
            <w:r w:rsidRPr="00851EC7">
              <w:rPr>
                <w:rFonts w:asciiTheme="minorHAnsi" w:hAnsiTheme="minorHAnsi"/>
              </w:rPr>
              <w:t>Dedi Karyana</w:t>
            </w:r>
          </w:p>
        </w:tc>
        <w:tc>
          <w:tcPr>
            <w:tcW w:w="7655" w:type="dxa"/>
            <w:vAlign w:val="center"/>
          </w:tcPr>
          <w:p w:rsidR="003E041C" w:rsidRPr="00851EC7" w:rsidRDefault="003E041C" w:rsidP="003E041C">
            <w:pPr>
              <w:rPr>
                <w:rFonts w:asciiTheme="minorHAnsi" w:hAnsiTheme="minorHAnsi"/>
              </w:rPr>
            </w:pPr>
            <w:r w:rsidRPr="00851EC7">
              <w:rPr>
                <w:rFonts w:asciiTheme="minorHAnsi" w:hAnsiTheme="minorHAnsi"/>
              </w:rPr>
              <w:t xml:space="preserve">Head of Facilities Section, Directorate of JSE Management, </w:t>
            </w:r>
            <w:r w:rsidR="006D4DD4">
              <w:rPr>
                <w:rFonts w:asciiTheme="minorHAnsi" w:hAnsiTheme="minorHAnsi"/>
              </w:rPr>
              <w:t>MoEC</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23/10</w:t>
            </w:r>
          </w:p>
        </w:tc>
        <w:tc>
          <w:tcPr>
            <w:tcW w:w="1478" w:type="dxa"/>
            <w:vAlign w:val="center"/>
          </w:tcPr>
          <w:p w:rsidR="003E041C" w:rsidRPr="00851EC7" w:rsidRDefault="003E041C" w:rsidP="001E2A58">
            <w:pPr>
              <w:rPr>
                <w:rFonts w:asciiTheme="minorHAnsi" w:hAnsiTheme="minorHAnsi"/>
              </w:rPr>
            </w:pPr>
            <w:r w:rsidRPr="00851EC7">
              <w:rPr>
                <w:rFonts w:asciiTheme="minorHAnsi" w:hAnsiTheme="minorHAnsi"/>
                <w:b/>
              </w:rPr>
              <w:t>PK</w:t>
            </w:r>
            <w:r w:rsidRPr="00851EC7">
              <w:rPr>
                <w:rFonts w:asciiTheme="minorHAnsi" w:hAnsiTheme="minorHAnsi"/>
              </w:rPr>
              <w:t>, MS</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Bia Puspita</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Program Manager, Development Cooperation, DFAT</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23/10</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NI</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Julia Wheeler</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Senior Program Manager, Development Cooperation, DFAT</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23/10</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SM</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Dewi Sudharta</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Program Manager, Development Cooperation, DFAT</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23/10</w:t>
            </w:r>
            <w:r w:rsidRPr="00851EC7">
              <w:rPr>
                <w:rFonts w:asciiTheme="minorHAnsi" w:hAnsiTheme="minorHAnsi"/>
              </w:rPr>
              <w:tab/>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SM</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Aryanti Savitri</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Senior Program Manager, Basic Education Unit, Development Cooperation, DFAT</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24/10</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PK</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Sri Novelma</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Program Manager, Development Cooperation, DFAT</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24/10</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PK</w:t>
            </w:r>
            <w:r w:rsidRPr="00851EC7">
              <w:rPr>
                <w:rFonts w:asciiTheme="minorHAnsi" w:hAnsiTheme="minorHAnsi"/>
              </w:rPr>
              <w:t>, SM</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Yudi Herman</w:t>
            </w:r>
          </w:p>
        </w:tc>
        <w:tc>
          <w:tcPr>
            <w:tcW w:w="7655" w:type="dxa"/>
            <w:vAlign w:val="center"/>
          </w:tcPr>
          <w:p w:rsidR="003E041C" w:rsidRPr="00851EC7" w:rsidRDefault="003E041C" w:rsidP="003E041C">
            <w:pPr>
              <w:rPr>
                <w:rFonts w:asciiTheme="minorHAnsi" w:hAnsiTheme="minorHAnsi"/>
              </w:rPr>
            </w:pPr>
            <w:r w:rsidRPr="00851EC7">
              <w:rPr>
                <w:rFonts w:asciiTheme="minorHAnsi" w:hAnsiTheme="minorHAnsi"/>
              </w:rPr>
              <w:t xml:space="preserve">Sub Section for Evaluation, Technical and Functional Non Educator Staff Development Section, Center for Education Personnel Development, </w:t>
            </w:r>
            <w:r w:rsidR="006D4DD4">
              <w:rPr>
                <w:rFonts w:asciiTheme="minorHAnsi" w:hAnsiTheme="minorHAnsi"/>
              </w:rPr>
              <w:t>MoEC</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27/10</w:t>
            </w:r>
          </w:p>
        </w:tc>
        <w:tc>
          <w:tcPr>
            <w:tcW w:w="1478" w:type="dxa"/>
            <w:vAlign w:val="center"/>
          </w:tcPr>
          <w:p w:rsidR="003E041C" w:rsidRPr="00851EC7" w:rsidRDefault="003E041C" w:rsidP="001E2A58">
            <w:pPr>
              <w:rPr>
                <w:rFonts w:asciiTheme="minorHAnsi" w:hAnsiTheme="minorHAnsi"/>
              </w:rPr>
            </w:pPr>
            <w:r w:rsidRPr="00851EC7">
              <w:rPr>
                <w:rFonts w:asciiTheme="minorHAnsi" w:hAnsiTheme="minorHAnsi"/>
                <w:b/>
              </w:rPr>
              <w:t>PK</w:t>
            </w:r>
            <w:r w:rsidRPr="00851EC7">
              <w:rPr>
                <w:rFonts w:asciiTheme="minorHAnsi" w:hAnsiTheme="minorHAnsi"/>
              </w:rPr>
              <w:t>, NI</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lastRenderedPageBreak/>
              <w:t>Fiona Kotvojs</w:t>
            </w:r>
          </w:p>
        </w:tc>
        <w:tc>
          <w:tcPr>
            <w:tcW w:w="7655" w:type="dxa"/>
            <w:vAlign w:val="center"/>
          </w:tcPr>
          <w:p w:rsidR="003E041C" w:rsidRPr="00851EC7" w:rsidRDefault="003E041C" w:rsidP="001E2A58">
            <w:pPr>
              <w:rPr>
                <w:rFonts w:asciiTheme="minorHAnsi" w:hAnsiTheme="minorHAnsi"/>
              </w:rPr>
            </w:pPr>
            <w:r w:rsidRPr="00851EC7">
              <w:rPr>
                <w:rFonts w:asciiTheme="minorHAnsi" w:hAnsiTheme="minorHAnsi"/>
              </w:rPr>
              <w:t>Monitoring and Evaluation Adviser, SSQ</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27/10</w:t>
            </w:r>
          </w:p>
        </w:tc>
        <w:tc>
          <w:tcPr>
            <w:tcW w:w="1478" w:type="dxa"/>
            <w:vAlign w:val="center"/>
          </w:tcPr>
          <w:p w:rsidR="003E041C" w:rsidRPr="00851EC7" w:rsidRDefault="003E041C" w:rsidP="001E2A58">
            <w:pPr>
              <w:rPr>
                <w:rFonts w:asciiTheme="minorHAnsi" w:hAnsiTheme="minorHAnsi"/>
                <w:b/>
              </w:rPr>
            </w:pPr>
            <w:r w:rsidRPr="00851EC7">
              <w:rPr>
                <w:rFonts w:asciiTheme="minorHAnsi" w:hAnsiTheme="minorHAnsi"/>
                <w:b/>
              </w:rPr>
              <w:t>NC</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Bambang Indriyanto</w:t>
            </w:r>
          </w:p>
        </w:tc>
        <w:tc>
          <w:tcPr>
            <w:tcW w:w="7655" w:type="dxa"/>
            <w:vAlign w:val="center"/>
          </w:tcPr>
          <w:p w:rsidR="00325766" w:rsidRPr="00851EC7" w:rsidRDefault="00325766" w:rsidP="00D52465">
            <w:pPr>
              <w:rPr>
                <w:szCs w:val="24"/>
              </w:rPr>
            </w:pPr>
            <w:r w:rsidRPr="00851EC7">
              <w:rPr>
                <w:szCs w:val="24"/>
              </w:rPr>
              <w:t xml:space="preserve">Director of Center for Policy Research, </w:t>
            </w:r>
            <w:r w:rsidR="006D4DD4">
              <w:rPr>
                <w:szCs w:val="24"/>
              </w:rPr>
              <w:t>MoEC</w:t>
            </w:r>
          </w:p>
        </w:tc>
        <w:tc>
          <w:tcPr>
            <w:tcW w:w="1559" w:type="dxa"/>
            <w:vAlign w:val="center"/>
          </w:tcPr>
          <w:p w:rsidR="00325766" w:rsidRPr="00851EC7" w:rsidRDefault="00325766" w:rsidP="00D52465">
            <w:pPr>
              <w:rPr>
                <w:szCs w:val="24"/>
              </w:rPr>
            </w:pPr>
            <w:r w:rsidRPr="00851EC7">
              <w:rPr>
                <w:szCs w:val="24"/>
              </w:rPr>
              <w:t>28/10</w:t>
            </w:r>
          </w:p>
        </w:tc>
        <w:tc>
          <w:tcPr>
            <w:tcW w:w="1478" w:type="dxa"/>
            <w:vAlign w:val="center"/>
          </w:tcPr>
          <w:p w:rsidR="00325766" w:rsidRPr="00851EC7" w:rsidRDefault="00325766" w:rsidP="00D52465">
            <w:pPr>
              <w:rPr>
                <w:b/>
                <w:szCs w:val="24"/>
              </w:rPr>
            </w:pPr>
            <w:r w:rsidRPr="00851EC7">
              <w:rPr>
                <w:b/>
                <w:szCs w:val="24"/>
              </w:rPr>
              <w:t>SM</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Peter Marien</w:t>
            </w:r>
          </w:p>
        </w:tc>
        <w:tc>
          <w:tcPr>
            <w:tcW w:w="7655" w:type="dxa"/>
            <w:vAlign w:val="center"/>
          </w:tcPr>
          <w:p w:rsidR="00325766" w:rsidRPr="00851EC7" w:rsidRDefault="00325766" w:rsidP="00D52465">
            <w:pPr>
              <w:rPr>
                <w:szCs w:val="24"/>
              </w:rPr>
            </w:pPr>
            <w:r w:rsidRPr="00851EC7">
              <w:rPr>
                <w:szCs w:val="24"/>
              </w:rPr>
              <w:t>Attaché – Programme Manager, Education and Public Financial Management, European Union</w:t>
            </w:r>
          </w:p>
        </w:tc>
        <w:tc>
          <w:tcPr>
            <w:tcW w:w="1559" w:type="dxa"/>
            <w:vAlign w:val="center"/>
          </w:tcPr>
          <w:p w:rsidR="00325766" w:rsidRPr="00851EC7" w:rsidRDefault="00325766" w:rsidP="00D52465">
            <w:pPr>
              <w:rPr>
                <w:szCs w:val="24"/>
              </w:rPr>
            </w:pPr>
            <w:r w:rsidRPr="00851EC7">
              <w:rPr>
                <w:szCs w:val="24"/>
              </w:rPr>
              <w:t>28/10</w:t>
            </w:r>
          </w:p>
        </w:tc>
        <w:tc>
          <w:tcPr>
            <w:tcW w:w="1478" w:type="dxa"/>
            <w:vAlign w:val="center"/>
          </w:tcPr>
          <w:p w:rsidR="00325766" w:rsidRPr="00851EC7" w:rsidRDefault="00325766" w:rsidP="00D52465">
            <w:pPr>
              <w:rPr>
                <w:b/>
                <w:szCs w:val="24"/>
              </w:rPr>
            </w:pPr>
            <w:r w:rsidRPr="00851EC7">
              <w:rPr>
                <w:b/>
                <w:szCs w:val="24"/>
              </w:rPr>
              <w:t xml:space="preserve">NC, </w:t>
            </w:r>
            <w:r w:rsidRPr="00851EC7">
              <w:rPr>
                <w:szCs w:val="24"/>
              </w:rPr>
              <w:t>SM</w:t>
            </w:r>
          </w:p>
        </w:tc>
      </w:tr>
      <w:tr w:rsidR="003E041C" w:rsidRPr="00851EC7" w:rsidTr="00620804">
        <w:trPr>
          <w:trHeight w:val="537"/>
        </w:trPr>
        <w:tc>
          <w:tcPr>
            <w:tcW w:w="2376" w:type="dxa"/>
            <w:vAlign w:val="center"/>
          </w:tcPr>
          <w:p w:rsidR="003E041C" w:rsidRPr="00851EC7" w:rsidDel="0049282C" w:rsidRDefault="003E041C" w:rsidP="001E2A58">
            <w:pPr>
              <w:rPr>
                <w:rFonts w:asciiTheme="minorHAnsi" w:hAnsiTheme="minorHAnsi"/>
              </w:rPr>
            </w:pPr>
            <w:r w:rsidRPr="00851EC7">
              <w:rPr>
                <w:rFonts w:asciiTheme="minorHAnsi" w:hAnsiTheme="minorHAnsi"/>
              </w:rPr>
              <w:t>Taufik Hanafi</w:t>
            </w:r>
          </w:p>
        </w:tc>
        <w:tc>
          <w:tcPr>
            <w:tcW w:w="7655" w:type="dxa"/>
            <w:vAlign w:val="center"/>
          </w:tcPr>
          <w:p w:rsidR="003E041C" w:rsidRPr="00851EC7" w:rsidDel="0049282C" w:rsidRDefault="003E041C" w:rsidP="001E2A58">
            <w:pPr>
              <w:rPr>
                <w:rFonts w:asciiTheme="minorHAnsi" w:hAnsiTheme="minorHAnsi"/>
              </w:rPr>
            </w:pPr>
            <w:r w:rsidRPr="00851EC7">
              <w:rPr>
                <w:rFonts w:asciiTheme="minorHAnsi" w:hAnsiTheme="minorHAnsi"/>
              </w:rPr>
              <w:t xml:space="preserve">Minister Expert Staff, </w:t>
            </w:r>
            <w:r w:rsidR="006D4DD4">
              <w:rPr>
                <w:rFonts w:asciiTheme="minorHAnsi" w:hAnsiTheme="minorHAnsi"/>
              </w:rPr>
              <w:t>MoEC</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28/10</w:t>
            </w:r>
          </w:p>
        </w:tc>
        <w:tc>
          <w:tcPr>
            <w:tcW w:w="1478" w:type="dxa"/>
            <w:vAlign w:val="center"/>
          </w:tcPr>
          <w:p w:rsidR="003E041C" w:rsidRPr="00851EC7" w:rsidRDefault="003E041C" w:rsidP="001E2A58">
            <w:pPr>
              <w:rPr>
                <w:rFonts w:asciiTheme="minorHAnsi" w:hAnsiTheme="minorHAnsi"/>
                <w:b/>
              </w:rPr>
            </w:pPr>
            <w:r w:rsidRPr="00851EC7">
              <w:rPr>
                <w:rFonts w:asciiTheme="minorHAnsi" w:hAnsiTheme="minorHAnsi"/>
                <w:b/>
              </w:rPr>
              <w:t xml:space="preserve">IV, </w:t>
            </w:r>
            <w:r w:rsidRPr="00851EC7">
              <w:rPr>
                <w:rFonts w:asciiTheme="minorHAnsi" w:hAnsiTheme="minorHAnsi"/>
              </w:rPr>
              <w:t>NI</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Abdul Munir</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Component 3 Manager, Madrasah Accreditation, SSQ</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28/10</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NI</w:t>
            </w:r>
            <w:r w:rsidRPr="00851EC7">
              <w:rPr>
                <w:rFonts w:asciiTheme="minorHAnsi" w:hAnsiTheme="minorHAnsi"/>
              </w:rPr>
              <w:t>, IV</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Nurkholis Setiawan</w:t>
            </w:r>
          </w:p>
        </w:tc>
        <w:tc>
          <w:tcPr>
            <w:tcW w:w="7655" w:type="dxa"/>
            <w:vAlign w:val="center"/>
          </w:tcPr>
          <w:p w:rsidR="003E041C" w:rsidRPr="00851EC7" w:rsidRDefault="003E041C" w:rsidP="001E2A58">
            <w:pPr>
              <w:rPr>
                <w:rFonts w:asciiTheme="minorHAnsi" w:hAnsiTheme="minorHAnsi"/>
              </w:rPr>
            </w:pPr>
            <w:r w:rsidRPr="00851EC7">
              <w:rPr>
                <w:rFonts w:asciiTheme="minorHAnsi" w:hAnsiTheme="minorHAnsi"/>
              </w:rPr>
              <w:t xml:space="preserve">Director of Madrasah Education, </w:t>
            </w:r>
            <w:r w:rsidR="006D4DD4">
              <w:rPr>
                <w:rFonts w:asciiTheme="minorHAnsi" w:hAnsiTheme="minorHAnsi"/>
              </w:rPr>
              <w:t>MoRA</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29/10</w:t>
            </w:r>
          </w:p>
        </w:tc>
        <w:tc>
          <w:tcPr>
            <w:tcW w:w="1478" w:type="dxa"/>
            <w:vAlign w:val="center"/>
          </w:tcPr>
          <w:p w:rsidR="003E041C" w:rsidRPr="00851EC7" w:rsidRDefault="003E041C" w:rsidP="001E2A58">
            <w:pPr>
              <w:rPr>
                <w:rFonts w:asciiTheme="minorHAnsi" w:hAnsiTheme="minorHAnsi"/>
              </w:rPr>
            </w:pPr>
            <w:r w:rsidRPr="00851EC7">
              <w:rPr>
                <w:rFonts w:asciiTheme="minorHAnsi" w:hAnsiTheme="minorHAnsi"/>
                <w:b/>
              </w:rPr>
              <w:t>NI</w:t>
            </w:r>
            <w:r w:rsidRPr="00851EC7">
              <w:rPr>
                <w:rFonts w:asciiTheme="minorHAnsi" w:hAnsiTheme="minorHAnsi"/>
              </w:rPr>
              <w:t>, IV</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Sarah Leslie</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Senior Program Manager, Development Cooperation, DFAT</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29/10</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NC</w:t>
            </w:r>
            <w:r w:rsidRPr="00851EC7">
              <w:rPr>
                <w:rFonts w:asciiTheme="minorHAnsi" w:hAnsiTheme="minorHAnsi"/>
              </w:rPr>
              <w:t>, SM</w:t>
            </w:r>
          </w:p>
        </w:tc>
      </w:tr>
      <w:tr w:rsidR="00325766" w:rsidRPr="00851EC7" w:rsidTr="00620804">
        <w:trPr>
          <w:trHeight w:val="537"/>
        </w:trPr>
        <w:tc>
          <w:tcPr>
            <w:tcW w:w="2376" w:type="dxa"/>
            <w:vAlign w:val="center"/>
          </w:tcPr>
          <w:p w:rsidR="00325766" w:rsidRPr="00851EC7" w:rsidRDefault="00325766" w:rsidP="00D52465">
            <w:pPr>
              <w:rPr>
                <w:color w:val="000000"/>
                <w:lang w:eastAsia="en-GB"/>
              </w:rPr>
            </w:pPr>
            <w:r w:rsidRPr="00851EC7">
              <w:rPr>
                <w:color w:val="000000"/>
                <w:lang w:eastAsia="en-GB"/>
              </w:rPr>
              <w:t>Muljani Nurhadi</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National Adviser, ACDP</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29/10</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SM</w:t>
            </w:r>
          </w:p>
        </w:tc>
      </w:tr>
      <w:tr w:rsidR="00325766" w:rsidRPr="00851EC7" w:rsidTr="00620804">
        <w:trPr>
          <w:trHeight w:val="537"/>
        </w:trPr>
        <w:tc>
          <w:tcPr>
            <w:tcW w:w="2376" w:type="dxa"/>
            <w:vAlign w:val="center"/>
          </w:tcPr>
          <w:p w:rsidR="00325766" w:rsidRPr="00851EC7" w:rsidRDefault="00325766" w:rsidP="00D52465">
            <w:pPr>
              <w:rPr>
                <w:color w:val="000000"/>
                <w:lang w:eastAsia="en-GB"/>
              </w:rPr>
            </w:pPr>
            <w:r w:rsidRPr="00851EC7">
              <w:rPr>
                <w:color w:val="000000"/>
                <w:lang w:eastAsia="en-GB"/>
              </w:rPr>
              <w:t>A. Syafi'i</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 xml:space="preserve">Head of Education and Education Personnel Sub Directorate, Madrasah Education Directorate, </w:t>
            </w:r>
            <w:r w:rsidR="006D4DD4">
              <w:rPr>
                <w:rFonts w:asciiTheme="minorHAnsi" w:hAnsiTheme="minorHAnsi"/>
              </w:rPr>
              <w:t>MoRA</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29/10</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IV</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 xml:space="preserve">Jenny Donohoe </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First Secretary, Development Cooperation, DFAT</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29/10</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NC</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Graham Dawson</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Component 2 Manager, Education Quality, SSQ</w:t>
            </w:r>
          </w:p>
        </w:tc>
        <w:tc>
          <w:tcPr>
            <w:tcW w:w="1559" w:type="dxa"/>
            <w:vAlign w:val="center"/>
          </w:tcPr>
          <w:p w:rsidR="00325766" w:rsidRPr="00851EC7" w:rsidRDefault="00325766" w:rsidP="00D52465">
            <w:pPr>
              <w:rPr>
                <w:rFonts w:asciiTheme="minorHAnsi" w:hAnsiTheme="minorHAnsi"/>
              </w:rPr>
            </w:pPr>
            <w:r w:rsidRPr="00851EC7">
              <w:rPr>
                <w:szCs w:val="24"/>
              </w:rPr>
              <w:t>30/10</w:t>
            </w:r>
          </w:p>
        </w:tc>
        <w:tc>
          <w:tcPr>
            <w:tcW w:w="1478" w:type="dxa"/>
            <w:vAlign w:val="center"/>
          </w:tcPr>
          <w:p w:rsidR="00325766" w:rsidRPr="00851EC7" w:rsidRDefault="00325766" w:rsidP="00D52465">
            <w:pPr>
              <w:rPr>
                <w:rFonts w:asciiTheme="minorHAnsi" w:hAnsiTheme="minorHAnsi"/>
              </w:rPr>
            </w:pPr>
            <w:r w:rsidRPr="00851EC7">
              <w:rPr>
                <w:b/>
                <w:szCs w:val="24"/>
              </w:rPr>
              <w:t xml:space="preserve">NC, </w:t>
            </w:r>
            <w:r w:rsidRPr="00851EC7">
              <w:rPr>
                <w:szCs w:val="24"/>
              </w:rPr>
              <w:t>PK</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Yaya Kardiawarman</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Senior Professional Development Advisor, SSQ</w:t>
            </w:r>
          </w:p>
        </w:tc>
        <w:tc>
          <w:tcPr>
            <w:tcW w:w="1559" w:type="dxa"/>
            <w:vAlign w:val="center"/>
          </w:tcPr>
          <w:p w:rsidR="00325766" w:rsidRPr="00851EC7" w:rsidRDefault="00325766" w:rsidP="00D52465">
            <w:pPr>
              <w:rPr>
                <w:rFonts w:asciiTheme="minorHAnsi" w:hAnsiTheme="minorHAnsi"/>
              </w:rPr>
            </w:pPr>
            <w:r w:rsidRPr="00851EC7">
              <w:rPr>
                <w:szCs w:val="24"/>
              </w:rPr>
              <w:t>30/10</w:t>
            </w:r>
          </w:p>
        </w:tc>
        <w:tc>
          <w:tcPr>
            <w:tcW w:w="1478" w:type="dxa"/>
            <w:vAlign w:val="center"/>
          </w:tcPr>
          <w:p w:rsidR="00325766" w:rsidRPr="00851EC7" w:rsidRDefault="00325766" w:rsidP="00D52465">
            <w:pPr>
              <w:rPr>
                <w:rFonts w:asciiTheme="minorHAnsi" w:hAnsiTheme="minorHAnsi"/>
              </w:rPr>
            </w:pPr>
            <w:r w:rsidRPr="00851EC7">
              <w:rPr>
                <w:b/>
                <w:szCs w:val="24"/>
              </w:rPr>
              <w:t xml:space="preserve">NC, </w:t>
            </w:r>
            <w:r w:rsidRPr="00851EC7">
              <w:rPr>
                <w:szCs w:val="24"/>
              </w:rPr>
              <w:t>PK</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Alison Atwell</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International Adviser Provincial and District Development, SSQ</w:t>
            </w:r>
          </w:p>
        </w:tc>
        <w:tc>
          <w:tcPr>
            <w:tcW w:w="1559" w:type="dxa"/>
            <w:vAlign w:val="center"/>
          </w:tcPr>
          <w:p w:rsidR="00325766" w:rsidRPr="00851EC7" w:rsidRDefault="00325766" w:rsidP="00D52465">
            <w:pPr>
              <w:rPr>
                <w:rFonts w:asciiTheme="minorHAnsi" w:hAnsiTheme="minorHAnsi"/>
              </w:rPr>
            </w:pPr>
            <w:r w:rsidRPr="00851EC7">
              <w:rPr>
                <w:szCs w:val="24"/>
              </w:rPr>
              <w:t>30/10</w:t>
            </w:r>
          </w:p>
        </w:tc>
        <w:tc>
          <w:tcPr>
            <w:tcW w:w="1478" w:type="dxa"/>
            <w:vAlign w:val="center"/>
          </w:tcPr>
          <w:p w:rsidR="00325766" w:rsidRPr="00851EC7" w:rsidRDefault="00325766" w:rsidP="00D52465">
            <w:pPr>
              <w:rPr>
                <w:rFonts w:asciiTheme="minorHAnsi" w:hAnsiTheme="minorHAnsi"/>
              </w:rPr>
            </w:pPr>
            <w:r w:rsidRPr="00851EC7">
              <w:rPr>
                <w:b/>
                <w:szCs w:val="24"/>
              </w:rPr>
              <w:t xml:space="preserve">NC, </w:t>
            </w:r>
            <w:r w:rsidRPr="00851EC7">
              <w:rPr>
                <w:szCs w:val="24"/>
              </w:rPr>
              <w:t>PK</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John Virtue</w:t>
            </w:r>
          </w:p>
        </w:tc>
        <w:tc>
          <w:tcPr>
            <w:tcW w:w="7655" w:type="dxa"/>
            <w:vAlign w:val="center"/>
          </w:tcPr>
          <w:p w:rsidR="00325766" w:rsidRPr="00851EC7" w:rsidRDefault="00325766" w:rsidP="00D52465">
            <w:pPr>
              <w:rPr>
                <w:rFonts w:asciiTheme="minorHAnsi" w:hAnsiTheme="minorHAnsi"/>
              </w:rPr>
            </w:pPr>
            <w:r w:rsidRPr="00851EC7">
              <w:rPr>
                <w:szCs w:val="24"/>
              </w:rPr>
              <w:t>Education Sector Governance &amp; Capacity Development Advisor, ACDP</w:t>
            </w:r>
          </w:p>
        </w:tc>
        <w:tc>
          <w:tcPr>
            <w:tcW w:w="1559" w:type="dxa"/>
            <w:vAlign w:val="center"/>
          </w:tcPr>
          <w:p w:rsidR="00325766" w:rsidRPr="00851EC7" w:rsidRDefault="00325766" w:rsidP="00D52465">
            <w:pPr>
              <w:rPr>
                <w:szCs w:val="24"/>
              </w:rPr>
            </w:pPr>
            <w:r w:rsidRPr="00851EC7">
              <w:rPr>
                <w:szCs w:val="24"/>
              </w:rPr>
              <w:t>30/10</w:t>
            </w:r>
          </w:p>
        </w:tc>
        <w:tc>
          <w:tcPr>
            <w:tcW w:w="1478" w:type="dxa"/>
            <w:vAlign w:val="center"/>
          </w:tcPr>
          <w:p w:rsidR="00325766" w:rsidRPr="00851EC7" w:rsidRDefault="00325766" w:rsidP="00D52465">
            <w:pPr>
              <w:rPr>
                <w:szCs w:val="24"/>
              </w:rPr>
            </w:pPr>
            <w:r w:rsidRPr="00851EC7">
              <w:rPr>
                <w:b/>
                <w:szCs w:val="24"/>
              </w:rPr>
              <w:t>SM</w:t>
            </w:r>
            <w:r w:rsidRPr="00851EC7">
              <w:rPr>
                <w:szCs w:val="24"/>
              </w:rPr>
              <w:t>, NI</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Alan Prouty</w:t>
            </w:r>
          </w:p>
        </w:tc>
        <w:tc>
          <w:tcPr>
            <w:tcW w:w="7655" w:type="dxa"/>
            <w:vAlign w:val="center"/>
          </w:tcPr>
          <w:p w:rsidR="00325766" w:rsidRPr="00851EC7" w:rsidRDefault="00325766" w:rsidP="00D52465">
            <w:pPr>
              <w:ind w:firstLine="34"/>
              <w:rPr>
                <w:rFonts w:asciiTheme="minorHAnsi" w:hAnsiTheme="minorHAnsi"/>
              </w:rPr>
            </w:pPr>
            <w:r w:rsidRPr="00851EC7">
              <w:rPr>
                <w:rFonts w:asciiTheme="minorHAnsi" w:hAnsiTheme="minorHAnsi"/>
              </w:rPr>
              <w:t>Operational Management Specialist, ACDP</w:t>
            </w:r>
          </w:p>
        </w:tc>
        <w:tc>
          <w:tcPr>
            <w:tcW w:w="1559" w:type="dxa"/>
            <w:vAlign w:val="center"/>
          </w:tcPr>
          <w:p w:rsidR="00325766" w:rsidRPr="00851EC7" w:rsidRDefault="00325766" w:rsidP="00D52465">
            <w:pPr>
              <w:rPr>
                <w:rFonts w:asciiTheme="minorHAnsi" w:hAnsiTheme="minorHAnsi"/>
              </w:rPr>
            </w:pPr>
            <w:r w:rsidRPr="00851EC7">
              <w:rPr>
                <w:szCs w:val="24"/>
              </w:rPr>
              <w:t>30/10</w:t>
            </w:r>
          </w:p>
        </w:tc>
        <w:tc>
          <w:tcPr>
            <w:tcW w:w="1478" w:type="dxa"/>
            <w:vAlign w:val="center"/>
          </w:tcPr>
          <w:p w:rsidR="00325766" w:rsidRPr="00851EC7" w:rsidRDefault="00325766" w:rsidP="00D52465">
            <w:pPr>
              <w:rPr>
                <w:rFonts w:asciiTheme="minorHAnsi" w:hAnsiTheme="minorHAnsi"/>
              </w:rPr>
            </w:pPr>
            <w:r w:rsidRPr="00851EC7">
              <w:rPr>
                <w:b/>
                <w:szCs w:val="24"/>
              </w:rPr>
              <w:t>SM</w:t>
            </w:r>
            <w:r w:rsidRPr="00851EC7">
              <w:rPr>
                <w:szCs w:val="24"/>
              </w:rPr>
              <w:t>, NI</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lastRenderedPageBreak/>
              <w:t>David Harding</w:t>
            </w:r>
          </w:p>
        </w:tc>
        <w:tc>
          <w:tcPr>
            <w:tcW w:w="7655" w:type="dxa"/>
            <w:vAlign w:val="center"/>
          </w:tcPr>
          <w:p w:rsidR="00325766" w:rsidRPr="00851EC7" w:rsidRDefault="00325766" w:rsidP="00D52465">
            <w:pPr>
              <w:rPr>
                <w:rFonts w:asciiTheme="minorHAnsi" w:hAnsiTheme="minorHAnsi"/>
              </w:rPr>
            </w:pPr>
            <w:r w:rsidRPr="00851EC7">
              <w:rPr>
                <w:szCs w:val="24"/>
              </w:rPr>
              <w:t>Senior Education Advisor, ACDP</w:t>
            </w:r>
            <w:r w:rsidRPr="00851EC7">
              <w:rPr>
                <w:rFonts w:asciiTheme="minorHAnsi" w:hAnsiTheme="minorHAnsi"/>
              </w:rPr>
              <w:tab/>
            </w:r>
          </w:p>
        </w:tc>
        <w:tc>
          <w:tcPr>
            <w:tcW w:w="1559" w:type="dxa"/>
            <w:vAlign w:val="center"/>
          </w:tcPr>
          <w:p w:rsidR="00325766" w:rsidRPr="00851EC7" w:rsidRDefault="00325766" w:rsidP="00D52465">
            <w:pPr>
              <w:rPr>
                <w:szCs w:val="24"/>
              </w:rPr>
            </w:pPr>
            <w:r w:rsidRPr="00851EC7">
              <w:rPr>
                <w:szCs w:val="24"/>
              </w:rPr>
              <w:t>30/10</w:t>
            </w:r>
          </w:p>
        </w:tc>
        <w:tc>
          <w:tcPr>
            <w:tcW w:w="1478" w:type="dxa"/>
            <w:vAlign w:val="center"/>
          </w:tcPr>
          <w:p w:rsidR="00325766" w:rsidRPr="00851EC7" w:rsidRDefault="00325766" w:rsidP="00D52465">
            <w:pPr>
              <w:rPr>
                <w:szCs w:val="24"/>
              </w:rPr>
            </w:pPr>
            <w:r w:rsidRPr="00851EC7">
              <w:rPr>
                <w:b/>
                <w:szCs w:val="24"/>
              </w:rPr>
              <w:t>SM</w:t>
            </w:r>
            <w:r w:rsidRPr="00851EC7">
              <w:rPr>
                <w:szCs w:val="24"/>
              </w:rPr>
              <w:t>, NI</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Basilius Bengoteku</w:t>
            </w:r>
          </w:p>
        </w:tc>
        <w:tc>
          <w:tcPr>
            <w:tcW w:w="7655" w:type="dxa"/>
            <w:vAlign w:val="center"/>
          </w:tcPr>
          <w:p w:rsidR="00325766" w:rsidRPr="00851EC7" w:rsidRDefault="00325766" w:rsidP="00D52465">
            <w:pPr>
              <w:rPr>
                <w:rFonts w:asciiTheme="minorHAnsi" w:hAnsiTheme="minorHAnsi"/>
              </w:rPr>
            </w:pPr>
            <w:r w:rsidRPr="00851EC7">
              <w:rPr>
                <w:szCs w:val="24"/>
              </w:rPr>
              <w:t>Education Sector Research and Capacity Planning Advisor, ACDP</w:t>
            </w:r>
          </w:p>
        </w:tc>
        <w:tc>
          <w:tcPr>
            <w:tcW w:w="1559" w:type="dxa"/>
            <w:vAlign w:val="center"/>
          </w:tcPr>
          <w:p w:rsidR="00325766" w:rsidRPr="00851EC7" w:rsidRDefault="00325766" w:rsidP="00D52465">
            <w:pPr>
              <w:rPr>
                <w:szCs w:val="24"/>
              </w:rPr>
            </w:pPr>
            <w:r w:rsidRPr="00851EC7">
              <w:rPr>
                <w:szCs w:val="24"/>
              </w:rPr>
              <w:t>30/10</w:t>
            </w:r>
          </w:p>
        </w:tc>
        <w:tc>
          <w:tcPr>
            <w:tcW w:w="1478" w:type="dxa"/>
            <w:vAlign w:val="center"/>
          </w:tcPr>
          <w:p w:rsidR="00325766" w:rsidRPr="00851EC7" w:rsidRDefault="00325766" w:rsidP="00D52465">
            <w:pPr>
              <w:rPr>
                <w:szCs w:val="24"/>
              </w:rPr>
            </w:pPr>
            <w:r w:rsidRPr="00851EC7">
              <w:rPr>
                <w:b/>
                <w:szCs w:val="24"/>
              </w:rPr>
              <w:t>SM</w:t>
            </w:r>
            <w:r w:rsidRPr="00851EC7">
              <w:rPr>
                <w:szCs w:val="24"/>
              </w:rPr>
              <w:t>, NI</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Abdul Malik</w:t>
            </w:r>
          </w:p>
        </w:tc>
        <w:tc>
          <w:tcPr>
            <w:tcW w:w="7655" w:type="dxa"/>
            <w:vAlign w:val="center"/>
          </w:tcPr>
          <w:p w:rsidR="00325766" w:rsidRPr="00851EC7" w:rsidRDefault="00325766" w:rsidP="00D52465">
            <w:pPr>
              <w:rPr>
                <w:rFonts w:asciiTheme="minorHAnsi" w:hAnsiTheme="minorHAnsi"/>
              </w:rPr>
            </w:pPr>
            <w:r w:rsidRPr="00851EC7">
              <w:rPr>
                <w:szCs w:val="24"/>
              </w:rPr>
              <w:t>Education Sector Research, Information &amp; Accountability Advisor, ACDP</w:t>
            </w:r>
          </w:p>
        </w:tc>
        <w:tc>
          <w:tcPr>
            <w:tcW w:w="1559" w:type="dxa"/>
            <w:vAlign w:val="center"/>
          </w:tcPr>
          <w:p w:rsidR="00325766" w:rsidRPr="00851EC7" w:rsidRDefault="00325766" w:rsidP="00D52465">
            <w:pPr>
              <w:rPr>
                <w:szCs w:val="24"/>
              </w:rPr>
            </w:pPr>
            <w:r w:rsidRPr="00851EC7">
              <w:rPr>
                <w:szCs w:val="24"/>
              </w:rPr>
              <w:t>30/10</w:t>
            </w:r>
          </w:p>
        </w:tc>
        <w:tc>
          <w:tcPr>
            <w:tcW w:w="1478" w:type="dxa"/>
            <w:vAlign w:val="center"/>
          </w:tcPr>
          <w:p w:rsidR="00325766" w:rsidRPr="00851EC7" w:rsidRDefault="00325766" w:rsidP="00D52465">
            <w:pPr>
              <w:rPr>
                <w:szCs w:val="24"/>
              </w:rPr>
            </w:pPr>
            <w:r w:rsidRPr="00851EC7">
              <w:rPr>
                <w:b/>
                <w:szCs w:val="24"/>
              </w:rPr>
              <w:t>SM</w:t>
            </w:r>
            <w:r w:rsidRPr="00851EC7">
              <w:rPr>
                <w:szCs w:val="24"/>
              </w:rPr>
              <w:t>, NI</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Rob Kingham</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Islamic Education Specialist, SSQ</w:t>
            </w:r>
          </w:p>
        </w:tc>
        <w:tc>
          <w:tcPr>
            <w:tcW w:w="1559" w:type="dxa"/>
            <w:vAlign w:val="center"/>
          </w:tcPr>
          <w:p w:rsidR="00325766" w:rsidRPr="00851EC7" w:rsidRDefault="00325766" w:rsidP="00D52465">
            <w:pPr>
              <w:rPr>
                <w:szCs w:val="24"/>
              </w:rPr>
            </w:pPr>
            <w:r w:rsidRPr="00851EC7">
              <w:rPr>
                <w:szCs w:val="24"/>
              </w:rPr>
              <w:t>31/10</w:t>
            </w:r>
          </w:p>
        </w:tc>
        <w:tc>
          <w:tcPr>
            <w:tcW w:w="1478" w:type="dxa"/>
            <w:vAlign w:val="center"/>
          </w:tcPr>
          <w:p w:rsidR="00325766" w:rsidRPr="00851EC7" w:rsidRDefault="00325766" w:rsidP="00D52465">
            <w:pPr>
              <w:rPr>
                <w:b/>
                <w:szCs w:val="24"/>
              </w:rPr>
            </w:pPr>
            <w:r w:rsidRPr="00851EC7">
              <w:rPr>
                <w:b/>
                <w:szCs w:val="24"/>
              </w:rPr>
              <w:t>NI</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Sam Muller</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Operations Manager, SSQ</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31/10</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NC</w:t>
            </w:r>
            <w:r w:rsidRPr="00851EC7">
              <w:rPr>
                <w:rFonts w:asciiTheme="minorHAnsi" w:hAnsiTheme="minorHAnsi"/>
              </w:rPr>
              <w:t>, SM</w:t>
            </w:r>
          </w:p>
        </w:tc>
      </w:tr>
      <w:tr w:rsidR="00325766" w:rsidRPr="00851EC7" w:rsidTr="00620804">
        <w:trPr>
          <w:trHeight w:val="537"/>
        </w:trPr>
        <w:tc>
          <w:tcPr>
            <w:tcW w:w="2376" w:type="dxa"/>
            <w:vAlign w:val="center"/>
          </w:tcPr>
          <w:p w:rsidR="00325766" w:rsidRPr="00851EC7" w:rsidRDefault="00325766" w:rsidP="00D52465">
            <w:pPr>
              <w:rPr>
                <w:rFonts w:asciiTheme="minorHAnsi" w:hAnsiTheme="minorHAnsi"/>
              </w:rPr>
            </w:pPr>
            <w:r w:rsidRPr="00851EC7">
              <w:rPr>
                <w:rFonts w:asciiTheme="minorHAnsi" w:hAnsiTheme="minorHAnsi"/>
              </w:rPr>
              <w:t>Jerry Strudwick</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Lead Education Specialist, DFAT</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31/10</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NC</w:t>
            </w:r>
            <w:r w:rsidRPr="00851EC7">
              <w:rPr>
                <w:rFonts w:asciiTheme="minorHAnsi" w:hAnsiTheme="minorHAnsi"/>
              </w:rPr>
              <w:t>, SM</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Hannah Birdsey</w:t>
            </w:r>
          </w:p>
        </w:tc>
        <w:tc>
          <w:tcPr>
            <w:tcW w:w="7655" w:type="dxa"/>
            <w:vAlign w:val="center"/>
          </w:tcPr>
          <w:p w:rsidR="003E041C" w:rsidRPr="00851EC7" w:rsidRDefault="003E041C" w:rsidP="001E2A58">
            <w:pPr>
              <w:rPr>
                <w:rFonts w:asciiTheme="minorHAnsi" w:hAnsiTheme="minorHAnsi"/>
              </w:rPr>
            </w:pPr>
            <w:r w:rsidRPr="00851EC7">
              <w:rPr>
                <w:rFonts w:asciiTheme="minorHAnsi" w:hAnsiTheme="minorHAnsi"/>
              </w:rPr>
              <w:t>Counsellor, Education and Scholarships, DFAT</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31/10</w:t>
            </w:r>
          </w:p>
        </w:tc>
        <w:tc>
          <w:tcPr>
            <w:tcW w:w="1478" w:type="dxa"/>
            <w:vAlign w:val="center"/>
          </w:tcPr>
          <w:p w:rsidR="003E041C" w:rsidRPr="00851EC7" w:rsidRDefault="003E041C" w:rsidP="001E2A58">
            <w:pPr>
              <w:rPr>
                <w:rFonts w:asciiTheme="minorHAnsi" w:hAnsiTheme="minorHAnsi"/>
              </w:rPr>
            </w:pPr>
            <w:r w:rsidRPr="00851EC7">
              <w:rPr>
                <w:rFonts w:asciiTheme="minorHAnsi" w:hAnsiTheme="minorHAnsi"/>
                <w:b/>
              </w:rPr>
              <w:t>NC</w:t>
            </w:r>
            <w:r w:rsidRPr="00851EC7">
              <w:rPr>
                <w:rFonts w:asciiTheme="minorHAnsi" w:hAnsiTheme="minorHAnsi"/>
              </w:rPr>
              <w:t>, SM</w:t>
            </w:r>
          </w:p>
        </w:tc>
      </w:tr>
      <w:tr w:rsidR="00325766" w:rsidRPr="00851EC7" w:rsidTr="00620804">
        <w:trPr>
          <w:trHeight w:val="537"/>
        </w:trPr>
        <w:tc>
          <w:tcPr>
            <w:tcW w:w="2376" w:type="dxa"/>
            <w:vAlign w:val="center"/>
          </w:tcPr>
          <w:p w:rsidR="00325766" w:rsidRPr="00851EC7" w:rsidRDefault="00325766" w:rsidP="00D52465">
            <w:pPr>
              <w:rPr>
                <w:color w:val="000000"/>
                <w:lang w:eastAsia="en-GB"/>
              </w:rPr>
            </w:pPr>
            <w:r w:rsidRPr="00851EC7">
              <w:rPr>
                <w:color w:val="000000"/>
                <w:lang w:eastAsia="en-GB"/>
              </w:rPr>
              <w:t>Subandi</w:t>
            </w:r>
            <w:r w:rsidR="00015838">
              <w:rPr>
                <w:color w:val="000000"/>
                <w:lang w:eastAsia="en-GB"/>
              </w:rPr>
              <w:t xml:space="preserve"> Sardjoko</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Director of Education, Ministry of National Development Planning</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03/11</w:t>
            </w:r>
          </w:p>
        </w:tc>
        <w:tc>
          <w:tcPr>
            <w:tcW w:w="1478" w:type="dxa"/>
            <w:vAlign w:val="center"/>
          </w:tcPr>
          <w:p w:rsidR="00325766" w:rsidRPr="00851EC7" w:rsidRDefault="00325766" w:rsidP="00D52465">
            <w:pPr>
              <w:rPr>
                <w:rFonts w:asciiTheme="minorHAnsi" w:hAnsiTheme="minorHAnsi"/>
              </w:rPr>
            </w:pPr>
            <w:r w:rsidRPr="00851EC7">
              <w:rPr>
                <w:rFonts w:asciiTheme="minorHAnsi" w:hAnsiTheme="minorHAnsi"/>
                <w:b/>
              </w:rPr>
              <w:t>SM</w:t>
            </w:r>
            <w:r w:rsidRPr="00851EC7">
              <w:rPr>
                <w:rFonts w:asciiTheme="minorHAnsi" w:hAnsiTheme="minorHAnsi"/>
              </w:rPr>
              <w:t>, NC</w:t>
            </w:r>
          </w:p>
        </w:tc>
      </w:tr>
      <w:tr w:rsidR="00325766" w:rsidRPr="00851EC7" w:rsidTr="00620804">
        <w:trPr>
          <w:trHeight w:val="537"/>
        </w:trPr>
        <w:tc>
          <w:tcPr>
            <w:tcW w:w="2376" w:type="dxa"/>
            <w:vAlign w:val="center"/>
          </w:tcPr>
          <w:p w:rsidR="00325766" w:rsidRPr="00851EC7" w:rsidRDefault="00325766" w:rsidP="00D52465">
            <w:pPr>
              <w:rPr>
                <w:color w:val="000000"/>
                <w:lang w:eastAsia="en-GB"/>
              </w:rPr>
            </w:pPr>
            <w:r w:rsidRPr="00851EC7">
              <w:rPr>
                <w:color w:val="000000"/>
                <w:lang w:eastAsia="en-GB"/>
              </w:rPr>
              <w:t>Rohmat Mulyana</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 xml:space="preserve">Head of Institutional Sub Directorate, Madrasah Education Directorate, </w:t>
            </w:r>
            <w:r w:rsidR="006D4DD4">
              <w:rPr>
                <w:rFonts w:asciiTheme="minorHAnsi" w:hAnsiTheme="minorHAnsi"/>
              </w:rPr>
              <w:t>MoRA</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03/11</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NI</w:t>
            </w:r>
            <w:r w:rsidRPr="00851EC7">
              <w:rPr>
                <w:rFonts w:asciiTheme="minorHAnsi" w:hAnsiTheme="minorHAnsi"/>
              </w:rPr>
              <w:t>, IV</w:t>
            </w:r>
          </w:p>
        </w:tc>
      </w:tr>
      <w:tr w:rsidR="00325766" w:rsidRPr="00851EC7" w:rsidTr="00620804">
        <w:trPr>
          <w:trHeight w:val="537"/>
        </w:trPr>
        <w:tc>
          <w:tcPr>
            <w:tcW w:w="2376" w:type="dxa"/>
            <w:vAlign w:val="center"/>
          </w:tcPr>
          <w:p w:rsidR="00325766" w:rsidRPr="00851EC7" w:rsidRDefault="00325766" w:rsidP="00D52465">
            <w:pPr>
              <w:rPr>
                <w:color w:val="000000"/>
                <w:lang w:eastAsia="en-GB"/>
              </w:rPr>
            </w:pPr>
            <w:r w:rsidRPr="00851EC7">
              <w:rPr>
                <w:color w:val="000000"/>
                <w:lang w:eastAsia="en-GB"/>
              </w:rPr>
              <w:t>Nurul Islam</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 xml:space="preserve">Head of Madrasah Supervision, Education and Education Personnel Sub Directorate, Madrasah Education Directorate, </w:t>
            </w:r>
            <w:r w:rsidR="006D4DD4">
              <w:rPr>
                <w:rFonts w:asciiTheme="minorHAnsi" w:hAnsiTheme="minorHAnsi"/>
              </w:rPr>
              <w:t>MoRA</w:t>
            </w:r>
            <w:r w:rsidRPr="00851EC7">
              <w:rPr>
                <w:rFonts w:asciiTheme="minorHAnsi" w:hAnsiTheme="minorHAnsi"/>
              </w:rPr>
              <w:t xml:space="preserve"> </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03/11</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PK</w:t>
            </w:r>
          </w:p>
        </w:tc>
      </w:tr>
      <w:tr w:rsidR="00325766" w:rsidRPr="00851EC7" w:rsidTr="00620804">
        <w:trPr>
          <w:trHeight w:val="537"/>
        </w:trPr>
        <w:tc>
          <w:tcPr>
            <w:tcW w:w="2376" w:type="dxa"/>
            <w:vAlign w:val="center"/>
          </w:tcPr>
          <w:p w:rsidR="00325766" w:rsidRPr="00851EC7" w:rsidRDefault="00325766" w:rsidP="00D52465">
            <w:pPr>
              <w:rPr>
                <w:color w:val="000000"/>
                <w:lang w:eastAsia="en-GB"/>
              </w:rPr>
            </w:pPr>
            <w:r w:rsidRPr="00851EC7">
              <w:rPr>
                <w:color w:val="000000"/>
                <w:lang w:eastAsia="en-GB"/>
              </w:rPr>
              <w:t>Dadang Sudiyarto</w:t>
            </w:r>
          </w:p>
        </w:tc>
        <w:tc>
          <w:tcPr>
            <w:tcW w:w="7655" w:type="dxa"/>
            <w:vAlign w:val="center"/>
          </w:tcPr>
          <w:p w:rsidR="00325766" w:rsidRPr="00851EC7" w:rsidRDefault="00325766" w:rsidP="00D52465">
            <w:pPr>
              <w:rPr>
                <w:rFonts w:asciiTheme="minorHAnsi" w:hAnsiTheme="minorHAnsi"/>
              </w:rPr>
            </w:pPr>
            <w:r w:rsidRPr="00851EC7">
              <w:rPr>
                <w:rFonts w:asciiTheme="minorHAnsi" w:hAnsiTheme="minorHAnsi"/>
              </w:rPr>
              <w:t xml:space="preserve">Secretary of Research and Development Agency, </w:t>
            </w:r>
            <w:r w:rsidR="006D4DD4">
              <w:rPr>
                <w:rFonts w:asciiTheme="minorHAnsi" w:hAnsiTheme="minorHAnsi"/>
              </w:rPr>
              <w:t>MoEC</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07/11</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 xml:space="preserve">SM, </w:t>
            </w:r>
            <w:r w:rsidRPr="00851EC7">
              <w:rPr>
                <w:rFonts w:asciiTheme="minorHAnsi" w:hAnsiTheme="minorHAnsi"/>
              </w:rPr>
              <w:t>PK</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Murray O’Hanlon</w:t>
            </w:r>
          </w:p>
        </w:tc>
        <w:tc>
          <w:tcPr>
            <w:tcW w:w="7655" w:type="dxa"/>
            <w:vAlign w:val="center"/>
          </w:tcPr>
          <w:p w:rsidR="003E041C" w:rsidRPr="00851EC7" w:rsidRDefault="003E041C" w:rsidP="001E2A58">
            <w:pPr>
              <w:rPr>
                <w:rFonts w:asciiTheme="minorHAnsi" w:hAnsiTheme="minorHAnsi"/>
              </w:rPr>
            </w:pPr>
            <w:r w:rsidRPr="00851EC7">
              <w:rPr>
                <w:rFonts w:asciiTheme="minorHAnsi" w:hAnsiTheme="minorHAnsi"/>
              </w:rPr>
              <w:t>First Secretary, Development Cooperation, DFAT</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07/11</w:t>
            </w:r>
          </w:p>
        </w:tc>
        <w:tc>
          <w:tcPr>
            <w:tcW w:w="1478" w:type="dxa"/>
            <w:vAlign w:val="center"/>
          </w:tcPr>
          <w:p w:rsidR="003E041C" w:rsidRPr="00851EC7" w:rsidRDefault="003E041C" w:rsidP="001E2A58">
            <w:pPr>
              <w:rPr>
                <w:rFonts w:asciiTheme="minorHAnsi" w:hAnsiTheme="minorHAnsi"/>
                <w:b/>
              </w:rPr>
            </w:pPr>
            <w:r w:rsidRPr="00851EC7">
              <w:rPr>
                <w:rFonts w:asciiTheme="minorHAnsi" w:hAnsiTheme="minorHAnsi"/>
                <w:b/>
              </w:rPr>
              <w:t>NC</w:t>
            </w:r>
          </w:p>
        </w:tc>
      </w:tr>
      <w:tr w:rsidR="00325766" w:rsidRPr="00851EC7" w:rsidTr="00620804">
        <w:trPr>
          <w:trHeight w:val="537"/>
        </w:trPr>
        <w:tc>
          <w:tcPr>
            <w:tcW w:w="2376" w:type="dxa"/>
            <w:vAlign w:val="center"/>
          </w:tcPr>
          <w:p w:rsidR="00325766" w:rsidRPr="00851EC7" w:rsidDel="0049282C" w:rsidRDefault="00325766" w:rsidP="00D52465">
            <w:pPr>
              <w:rPr>
                <w:rFonts w:asciiTheme="minorHAnsi" w:hAnsiTheme="minorHAnsi"/>
              </w:rPr>
            </w:pPr>
            <w:r w:rsidRPr="00851EC7">
              <w:rPr>
                <w:rFonts w:asciiTheme="minorHAnsi" w:hAnsiTheme="minorHAnsi"/>
              </w:rPr>
              <w:t>Achmad Zufar</w:t>
            </w:r>
          </w:p>
        </w:tc>
        <w:tc>
          <w:tcPr>
            <w:tcW w:w="7655" w:type="dxa"/>
            <w:vAlign w:val="center"/>
          </w:tcPr>
          <w:p w:rsidR="00325766" w:rsidRPr="00851EC7" w:rsidDel="0049282C" w:rsidRDefault="00325766" w:rsidP="00D52465">
            <w:pPr>
              <w:rPr>
                <w:rFonts w:asciiTheme="minorHAnsi" w:hAnsiTheme="minorHAnsi"/>
              </w:rPr>
            </w:pPr>
            <w:r w:rsidRPr="00851EC7">
              <w:rPr>
                <w:rFonts w:asciiTheme="minorHAnsi" w:hAnsiTheme="minorHAnsi"/>
              </w:rPr>
              <w:t xml:space="preserve">Consultant at Directorate of Junior Secondary Education Management, </w:t>
            </w:r>
            <w:r w:rsidR="006D4DD4">
              <w:rPr>
                <w:rFonts w:asciiTheme="minorHAnsi" w:hAnsiTheme="minorHAnsi"/>
              </w:rPr>
              <w:t>MoEC</w:t>
            </w:r>
          </w:p>
        </w:tc>
        <w:tc>
          <w:tcPr>
            <w:tcW w:w="1559" w:type="dxa"/>
            <w:vAlign w:val="center"/>
          </w:tcPr>
          <w:p w:rsidR="00325766" w:rsidRPr="00851EC7" w:rsidRDefault="00325766" w:rsidP="00D52465">
            <w:pPr>
              <w:rPr>
                <w:rFonts w:asciiTheme="minorHAnsi" w:hAnsiTheme="minorHAnsi"/>
              </w:rPr>
            </w:pPr>
            <w:r w:rsidRPr="00851EC7">
              <w:rPr>
                <w:rFonts w:asciiTheme="minorHAnsi" w:hAnsiTheme="minorHAnsi"/>
              </w:rPr>
              <w:t>11/11, 12/11 &amp; 13/11</w:t>
            </w:r>
          </w:p>
        </w:tc>
        <w:tc>
          <w:tcPr>
            <w:tcW w:w="1478" w:type="dxa"/>
            <w:vAlign w:val="center"/>
          </w:tcPr>
          <w:p w:rsidR="00325766" w:rsidRPr="00851EC7" w:rsidRDefault="00325766" w:rsidP="00D52465">
            <w:pPr>
              <w:rPr>
                <w:rFonts w:asciiTheme="minorHAnsi" w:hAnsiTheme="minorHAnsi"/>
                <w:b/>
              </w:rPr>
            </w:pPr>
            <w:r w:rsidRPr="00851EC7">
              <w:rPr>
                <w:rFonts w:asciiTheme="minorHAnsi" w:hAnsiTheme="minorHAnsi"/>
                <w:b/>
              </w:rPr>
              <w:t xml:space="preserve">IV, </w:t>
            </w:r>
            <w:r w:rsidRPr="00851EC7">
              <w:rPr>
                <w:rFonts w:asciiTheme="minorHAnsi" w:hAnsiTheme="minorHAnsi"/>
              </w:rPr>
              <w:t>NC, PK</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Susetyo Widiasmoro</w:t>
            </w:r>
          </w:p>
        </w:tc>
        <w:tc>
          <w:tcPr>
            <w:tcW w:w="7655" w:type="dxa"/>
            <w:vAlign w:val="center"/>
          </w:tcPr>
          <w:p w:rsidR="003E041C" w:rsidRPr="00851EC7" w:rsidRDefault="003E041C" w:rsidP="003E041C">
            <w:pPr>
              <w:rPr>
                <w:rFonts w:asciiTheme="minorHAnsi" w:hAnsiTheme="minorHAnsi"/>
              </w:rPr>
            </w:pPr>
            <w:r w:rsidRPr="00851EC7">
              <w:rPr>
                <w:rFonts w:asciiTheme="minorHAnsi" w:hAnsiTheme="minorHAnsi"/>
              </w:rPr>
              <w:t xml:space="preserve">Head of Sub-directorate for Infrastructure and Facilities, Directorate of Junior Secondary Education Development, </w:t>
            </w:r>
            <w:r w:rsidR="006D4DD4">
              <w:rPr>
                <w:rFonts w:asciiTheme="minorHAnsi" w:hAnsiTheme="minorHAnsi"/>
              </w:rPr>
              <w:t>MoEC</w:t>
            </w:r>
          </w:p>
        </w:tc>
        <w:tc>
          <w:tcPr>
            <w:tcW w:w="1559" w:type="dxa"/>
            <w:vAlign w:val="center"/>
          </w:tcPr>
          <w:p w:rsidR="003E041C" w:rsidRPr="00851EC7" w:rsidRDefault="003E041C" w:rsidP="003E041C">
            <w:pPr>
              <w:rPr>
                <w:rFonts w:asciiTheme="minorHAnsi" w:hAnsiTheme="minorHAnsi"/>
              </w:rPr>
            </w:pPr>
            <w:r w:rsidRPr="00851EC7">
              <w:rPr>
                <w:rFonts w:asciiTheme="minorHAnsi" w:hAnsiTheme="minorHAnsi"/>
              </w:rPr>
              <w:t>12/11 &amp; 13/11</w:t>
            </w:r>
          </w:p>
        </w:tc>
        <w:tc>
          <w:tcPr>
            <w:tcW w:w="1478" w:type="dxa"/>
            <w:vAlign w:val="center"/>
          </w:tcPr>
          <w:p w:rsidR="003E041C" w:rsidRPr="00851EC7" w:rsidRDefault="003E041C" w:rsidP="001E2A58">
            <w:pPr>
              <w:rPr>
                <w:rFonts w:asciiTheme="minorHAnsi" w:hAnsiTheme="minorHAnsi"/>
              </w:rPr>
            </w:pPr>
            <w:r w:rsidRPr="00851EC7">
              <w:rPr>
                <w:rFonts w:asciiTheme="minorHAnsi" w:hAnsiTheme="minorHAnsi"/>
                <w:b/>
              </w:rPr>
              <w:t xml:space="preserve">IV, </w:t>
            </w:r>
            <w:r w:rsidRPr="00851EC7">
              <w:rPr>
                <w:rFonts w:asciiTheme="minorHAnsi" w:hAnsiTheme="minorHAnsi"/>
              </w:rPr>
              <w:t>NC, PK</w:t>
            </w:r>
          </w:p>
        </w:tc>
      </w:tr>
      <w:tr w:rsidR="003E041C" w:rsidRPr="00851EC7" w:rsidTr="00620804">
        <w:trPr>
          <w:trHeight w:val="537"/>
        </w:trPr>
        <w:tc>
          <w:tcPr>
            <w:tcW w:w="2376" w:type="dxa"/>
            <w:vAlign w:val="center"/>
          </w:tcPr>
          <w:p w:rsidR="003E041C" w:rsidRPr="00851EC7" w:rsidRDefault="003E041C" w:rsidP="001E2A58">
            <w:pPr>
              <w:rPr>
                <w:rFonts w:asciiTheme="minorHAnsi" w:hAnsiTheme="minorHAnsi"/>
              </w:rPr>
            </w:pPr>
            <w:r w:rsidRPr="00851EC7">
              <w:rPr>
                <w:rFonts w:asciiTheme="minorHAnsi" w:hAnsiTheme="minorHAnsi"/>
              </w:rPr>
              <w:t>Didik Suhardi</w:t>
            </w:r>
          </w:p>
        </w:tc>
        <w:tc>
          <w:tcPr>
            <w:tcW w:w="7655" w:type="dxa"/>
            <w:vAlign w:val="center"/>
          </w:tcPr>
          <w:p w:rsidR="003E041C" w:rsidRPr="00851EC7" w:rsidDel="0049282C" w:rsidRDefault="003E041C" w:rsidP="001E2A58">
            <w:pPr>
              <w:rPr>
                <w:rFonts w:asciiTheme="minorHAnsi" w:hAnsiTheme="minorHAnsi"/>
              </w:rPr>
            </w:pPr>
            <w:r w:rsidRPr="00851EC7">
              <w:rPr>
                <w:rFonts w:asciiTheme="minorHAnsi" w:hAnsiTheme="minorHAnsi"/>
              </w:rPr>
              <w:t xml:space="preserve">Director of Junior Secondary Education Management, </w:t>
            </w:r>
            <w:r w:rsidR="006D4DD4">
              <w:rPr>
                <w:rFonts w:asciiTheme="minorHAnsi" w:hAnsiTheme="minorHAnsi"/>
              </w:rPr>
              <w:t>MoEC</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13/11</w:t>
            </w:r>
          </w:p>
        </w:tc>
        <w:tc>
          <w:tcPr>
            <w:tcW w:w="1478" w:type="dxa"/>
            <w:vAlign w:val="center"/>
          </w:tcPr>
          <w:p w:rsidR="003E041C" w:rsidRPr="00851EC7" w:rsidRDefault="003E041C" w:rsidP="001E2A58">
            <w:pPr>
              <w:rPr>
                <w:rFonts w:asciiTheme="minorHAnsi" w:hAnsiTheme="minorHAnsi"/>
                <w:b/>
              </w:rPr>
            </w:pPr>
            <w:r w:rsidRPr="00851EC7">
              <w:rPr>
                <w:rFonts w:asciiTheme="minorHAnsi" w:hAnsiTheme="minorHAnsi"/>
                <w:b/>
              </w:rPr>
              <w:t xml:space="preserve">NC, </w:t>
            </w:r>
            <w:r w:rsidRPr="00851EC7">
              <w:rPr>
                <w:rFonts w:asciiTheme="minorHAnsi" w:hAnsiTheme="minorHAnsi"/>
              </w:rPr>
              <w:t>IV, PK</w:t>
            </w:r>
          </w:p>
        </w:tc>
      </w:tr>
      <w:tr w:rsidR="003E041C" w:rsidRPr="00851EC7" w:rsidTr="00620804">
        <w:trPr>
          <w:trHeight w:val="537"/>
        </w:trPr>
        <w:tc>
          <w:tcPr>
            <w:tcW w:w="2376" w:type="dxa"/>
            <w:vAlign w:val="center"/>
          </w:tcPr>
          <w:p w:rsidR="003E041C" w:rsidRPr="00851EC7" w:rsidRDefault="003E041C" w:rsidP="001E2A58">
            <w:pPr>
              <w:rPr>
                <w:color w:val="000000"/>
                <w:lang w:eastAsia="en-GB"/>
              </w:rPr>
            </w:pPr>
            <w:r w:rsidRPr="00851EC7">
              <w:rPr>
                <w:color w:val="000000"/>
                <w:lang w:eastAsia="en-GB"/>
              </w:rPr>
              <w:lastRenderedPageBreak/>
              <w:t>Abi Sujak</w:t>
            </w:r>
          </w:p>
        </w:tc>
        <w:tc>
          <w:tcPr>
            <w:tcW w:w="7655" w:type="dxa"/>
            <w:vAlign w:val="center"/>
          </w:tcPr>
          <w:p w:rsidR="003E041C" w:rsidRPr="00851EC7" w:rsidRDefault="003E041C" w:rsidP="003E041C">
            <w:pPr>
              <w:rPr>
                <w:rFonts w:asciiTheme="minorHAnsi" w:hAnsiTheme="minorHAnsi"/>
              </w:rPr>
            </w:pPr>
            <w:r w:rsidRPr="00851EC7">
              <w:rPr>
                <w:rFonts w:asciiTheme="minorHAnsi" w:hAnsiTheme="minorHAnsi"/>
              </w:rPr>
              <w:t>Secretary of</w:t>
            </w:r>
            <w:r w:rsidR="00537938">
              <w:rPr>
                <w:rFonts w:asciiTheme="minorHAnsi" w:hAnsiTheme="minorHAnsi"/>
              </w:rPr>
              <w:t xml:space="preserve"> </w:t>
            </w:r>
            <w:r w:rsidRPr="00851EC7">
              <w:rPr>
                <w:rFonts w:asciiTheme="minorHAnsi" w:hAnsiTheme="minorHAnsi"/>
              </w:rPr>
              <w:t xml:space="preserve">Board of Education and Culture Human Resources Development &amp; Education Quality Assurance, </w:t>
            </w:r>
            <w:r w:rsidR="006D4DD4">
              <w:rPr>
                <w:rFonts w:asciiTheme="minorHAnsi" w:hAnsiTheme="minorHAnsi"/>
              </w:rPr>
              <w:t>MoEC</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17/11</w:t>
            </w:r>
          </w:p>
        </w:tc>
        <w:tc>
          <w:tcPr>
            <w:tcW w:w="1478" w:type="dxa"/>
            <w:vAlign w:val="center"/>
          </w:tcPr>
          <w:p w:rsidR="003E041C" w:rsidRPr="00851EC7" w:rsidRDefault="003E041C" w:rsidP="001E2A58">
            <w:pPr>
              <w:rPr>
                <w:rFonts w:asciiTheme="minorHAnsi" w:hAnsiTheme="minorHAnsi"/>
                <w:b/>
              </w:rPr>
            </w:pPr>
            <w:r w:rsidRPr="00851EC7">
              <w:rPr>
                <w:rFonts w:asciiTheme="minorHAnsi" w:hAnsiTheme="minorHAnsi"/>
                <w:b/>
              </w:rPr>
              <w:t xml:space="preserve">NC, </w:t>
            </w:r>
            <w:r w:rsidRPr="00851EC7">
              <w:rPr>
                <w:rFonts w:asciiTheme="minorHAnsi" w:hAnsiTheme="minorHAnsi"/>
              </w:rPr>
              <w:t>PK</w:t>
            </w:r>
          </w:p>
        </w:tc>
      </w:tr>
      <w:tr w:rsidR="003E041C" w:rsidRPr="00851EC7" w:rsidTr="00620804">
        <w:trPr>
          <w:trHeight w:val="537"/>
        </w:trPr>
        <w:tc>
          <w:tcPr>
            <w:tcW w:w="2376" w:type="dxa"/>
            <w:vAlign w:val="center"/>
          </w:tcPr>
          <w:p w:rsidR="003E041C" w:rsidRPr="00851EC7" w:rsidRDefault="003E041C" w:rsidP="001E2A58">
            <w:pPr>
              <w:rPr>
                <w:color w:val="000000"/>
                <w:lang w:eastAsia="en-GB"/>
              </w:rPr>
            </w:pPr>
            <w:r w:rsidRPr="00851EC7">
              <w:rPr>
                <w:color w:val="000000"/>
                <w:lang w:eastAsia="en-GB"/>
              </w:rPr>
              <w:t>Muhammad Hatta</w:t>
            </w:r>
          </w:p>
        </w:tc>
        <w:tc>
          <w:tcPr>
            <w:tcW w:w="7655" w:type="dxa"/>
            <w:vAlign w:val="center"/>
          </w:tcPr>
          <w:p w:rsidR="003E041C" w:rsidRPr="00851EC7" w:rsidRDefault="003E041C" w:rsidP="001E2A58">
            <w:pPr>
              <w:rPr>
                <w:rFonts w:asciiTheme="minorHAnsi" w:hAnsiTheme="minorHAnsi"/>
              </w:rPr>
            </w:pPr>
            <w:r w:rsidRPr="00851EC7">
              <w:rPr>
                <w:rFonts w:asciiTheme="minorHAnsi" w:hAnsiTheme="minorHAnsi"/>
              </w:rPr>
              <w:t xml:space="preserve">Head of Center for Education Personnel Development , </w:t>
            </w:r>
            <w:r w:rsidR="006D4DD4">
              <w:rPr>
                <w:rFonts w:asciiTheme="minorHAnsi" w:hAnsiTheme="minorHAnsi"/>
              </w:rPr>
              <w:t>MoEC</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21/11</w:t>
            </w:r>
          </w:p>
        </w:tc>
        <w:tc>
          <w:tcPr>
            <w:tcW w:w="1478" w:type="dxa"/>
            <w:vAlign w:val="center"/>
          </w:tcPr>
          <w:p w:rsidR="003E041C" w:rsidRPr="00851EC7" w:rsidRDefault="003E041C" w:rsidP="001E2A58">
            <w:pPr>
              <w:rPr>
                <w:rFonts w:asciiTheme="minorHAnsi" w:hAnsiTheme="minorHAnsi"/>
                <w:b/>
              </w:rPr>
            </w:pPr>
            <w:r w:rsidRPr="00851EC7">
              <w:rPr>
                <w:rFonts w:asciiTheme="minorHAnsi" w:hAnsiTheme="minorHAnsi"/>
                <w:b/>
              </w:rPr>
              <w:t xml:space="preserve">NC, </w:t>
            </w:r>
            <w:r w:rsidRPr="00851EC7">
              <w:rPr>
                <w:rFonts w:asciiTheme="minorHAnsi" w:hAnsiTheme="minorHAnsi"/>
              </w:rPr>
              <w:t>PK</w:t>
            </w:r>
          </w:p>
        </w:tc>
      </w:tr>
      <w:tr w:rsidR="003E041C" w:rsidRPr="00851EC7" w:rsidTr="00620804">
        <w:trPr>
          <w:trHeight w:val="537"/>
        </w:trPr>
        <w:tc>
          <w:tcPr>
            <w:tcW w:w="2376" w:type="dxa"/>
            <w:vAlign w:val="center"/>
          </w:tcPr>
          <w:p w:rsidR="003E041C" w:rsidRPr="00851EC7" w:rsidRDefault="003E041C" w:rsidP="001E2A58">
            <w:pPr>
              <w:rPr>
                <w:color w:val="000000"/>
                <w:lang w:eastAsia="en-GB"/>
              </w:rPr>
            </w:pPr>
            <w:r w:rsidRPr="00851EC7">
              <w:rPr>
                <w:color w:val="000000"/>
                <w:lang w:eastAsia="en-GB"/>
              </w:rPr>
              <w:t>Komarrudin Amin</w:t>
            </w:r>
          </w:p>
        </w:tc>
        <w:tc>
          <w:tcPr>
            <w:tcW w:w="7655" w:type="dxa"/>
            <w:vAlign w:val="center"/>
          </w:tcPr>
          <w:p w:rsidR="003E041C" w:rsidRPr="00851EC7" w:rsidRDefault="003E041C" w:rsidP="001E2A58">
            <w:pPr>
              <w:rPr>
                <w:rFonts w:asciiTheme="minorHAnsi" w:hAnsiTheme="minorHAnsi"/>
              </w:rPr>
            </w:pPr>
            <w:r w:rsidRPr="00851EC7">
              <w:rPr>
                <w:rFonts w:asciiTheme="minorHAnsi" w:hAnsiTheme="minorHAnsi"/>
              </w:rPr>
              <w:t xml:space="preserve">Director General of Islamic Education, </w:t>
            </w:r>
            <w:r w:rsidR="006D4DD4">
              <w:rPr>
                <w:rFonts w:asciiTheme="minorHAnsi" w:hAnsiTheme="minorHAnsi"/>
              </w:rPr>
              <w:t>MoRA</w:t>
            </w:r>
          </w:p>
        </w:tc>
        <w:tc>
          <w:tcPr>
            <w:tcW w:w="1559" w:type="dxa"/>
            <w:vAlign w:val="center"/>
          </w:tcPr>
          <w:p w:rsidR="003E041C" w:rsidRPr="00851EC7" w:rsidRDefault="003E041C" w:rsidP="001E2A58">
            <w:pPr>
              <w:rPr>
                <w:rFonts w:asciiTheme="minorHAnsi" w:hAnsiTheme="minorHAnsi"/>
              </w:rPr>
            </w:pPr>
            <w:r w:rsidRPr="00851EC7">
              <w:rPr>
                <w:rFonts w:asciiTheme="minorHAnsi" w:hAnsiTheme="minorHAnsi"/>
              </w:rPr>
              <w:t>Meetings scheduled</w:t>
            </w:r>
            <w:r w:rsidR="00620804">
              <w:rPr>
                <w:rFonts w:asciiTheme="minorHAnsi" w:hAnsiTheme="minorHAnsi"/>
              </w:rPr>
              <w:t>**</w:t>
            </w:r>
          </w:p>
        </w:tc>
        <w:tc>
          <w:tcPr>
            <w:tcW w:w="1478" w:type="dxa"/>
            <w:vAlign w:val="center"/>
          </w:tcPr>
          <w:p w:rsidR="003E041C" w:rsidRPr="00851EC7" w:rsidRDefault="003E041C" w:rsidP="001E2A58">
            <w:pPr>
              <w:rPr>
                <w:rFonts w:asciiTheme="minorHAnsi" w:hAnsiTheme="minorHAnsi"/>
                <w:b/>
              </w:rPr>
            </w:pPr>
            <w:r w:rsidRPr="00851EC7">
              <w:rPr>
                <w:rFonts w:asciiTheme="minorHAnsi" w:hAnsiTheme="minorHAnsi"/>
                <w:b/>
              </w:rPr>
              <w:t xml:space="preserve">NI, </w:t>
            </w:r>
            <w:r w:rsidRPr="00851EC7">
              <w:rPr>
                <w:rFonts w:asciiTheme="minorHAnsi" w:hAnsiTheme="minorHAnsi"/>
              </w:rPr>
              <w:t>IV</w:t>
            </w:r>
          </w:p>
        </w:tc>
      </w:tr>
      <w:tr w:rsidR="00A3750B" w:rsidRPr="00851EC7" w:rsidTr="00620804">
        <w:trPr>
          <w:trHeight w:val="537"/>
        </w:trPr>
        <w:tc>
          <w:tcPr>
            <w:tcW w:w="2376" w:type="dxa"/>
            <w:vAlign w:val="center"/>
          </w:tcPr>
          <w:p w:rsidR="00A3750B" w:rsidRPr="00D20962" w:rsidRDefault="00A3750B" w:rsidP="00650F75">
            <w:pPr>
              <w:rPr>
                <w:color w:val="000000"/>
                <w:lang w:eastAsia="en-GB"/>
              </w:rPr>
            </w:pPr>
            <w:r w:rsidRPr="00D20962">
              <w:rPr>
                <w:color w:val="000000"/>
                <w:lang w:eastAsia="en-GB"/>
              </w:rPr>
              <w:t>Nina Sardjunani</w:t>
            </w:r>
          </w:p>
        </w:tc>
        <w:tc>
          <w:tcPr>
            <w:tcW w:w="7655" w:type="dxa"/>
            <w:vAlign w:val="center"/>
          </w:tcPr>
          <w:p w:rsidR="00A3750B" w:rsidRPr="00D20962" w:rsidRDefault="00A3750B" w:rsidP="00650F75">
            <w:pPr>
              <w:rPr>
                <w:rFonts w:asciiTheme="minorHAnsi" w:hAnsiTheme="minorHAnsi"/>
              </w:rPr>
            </w:pPr>
            <w:r w:rsidRPr="00D20962">
              <w:rPr>
                <w:rFonts w:asciiTheme="minorHAnsi" w:hAnsiTheme="minorHAnsi"/>
              </w:rPr>
              <w:t>Deputy of Human Resource and Culture, Ministry of National Development Planning</w:t>
            </w:r>
          </w:p>
        </w:tc>
        <w:tc>
          <w:tcPr>
            <w:tcW w:w="1559" w:type="dxa"/>
            <w:vAlign w:val="center"/>
          </w:tcPr>
          <w:p w:rsidR="00A3750B" w:rsidRPr="00D20962" w:rsidRDefault="00A3750B" w:rsidP="00650F75">
            <w:pPr>
              <w:rPr>
                <w:rFonts w:asciiTheme="minorHAnsi" w:hAnsiTheme="minorHAnsi"/>
              </w:rPr>
            </w:pPr>
            <w:r w:rsidRPr="00D20962">
              <w:rPr>
                <w:rFonts w:asciiTheme="minorHAnsi" w:hAnsiTheme="minorHAnsi"/>
              </w:rPr>
              <w:t>Meetings scheduled**</w:t>
            </w:r>
          </w:p>
        </w:tc>
        <w:tc>
          <w:tcPr>
            <w:tcW w:w="1478" w:type="dxa"/>
            <w:vAlign w:val="center"/>
          </w:tcPr>
          <w:p w:rsidR="00A3750B" w:rsidRPr="00D20962" w:rsidRDefault="00A3750B" w:rsidP="00650F75">
            <w:pPr>
              <w:rPr>
                <w:rFonts w:asciiTheme="minorHAnsi" w:hAnsiTheme="minorHAnsi"/>
                <w:b/>
              </w:rPr>
            </w:pPr>
            <w:r w:rsidRPr="00D20962">
              <w:rPr>
                <w:rFonts w:asciiTheme="minorHAnsi" w:hAnsiTheme="minorHAnsi"/>
                <w:b/>
              </w:rPr>
              <w:t xml:space="preserve">NC, </w:t>
            </w:r>
            <w:r w:rsidRPr="00D20962">
              <w:rPr>
                <w:rFonts w:asciiTheme="minorHAnsi" w:hAnsiTheme="minorHAnsi"/>
              </w:rPr>
              <w:t>SM, PK</w:t>
            </w:r>
          </w:p>
        </w:tc>
      </w:tr>
      <w:tr w:rsidR="00A3750B" w:rsidRPr="00851EC7" w:rsidTr="00620804">
        <w:trPr>
          <w:trHeight w:val="537"/>
        </w:trPr>
        <w:tc>
          <w:tcPr>
            <w:tcW w:w="2376" w:type="dxa"/>
            <w:vAlign w:val="center"/>
          </w:tcPr>
          <w:p w:rsidR="00A3750B" w:rsidRPr="00D20962" w:rsidRDefault="00A3750B" w:rsidP="00650F75">
            <w:pPr>
              <w:rPr>
                <w:color w:val="000000"/>
                <w:lang w:eastAsia="en-GB"/>
              </w:rPr>
            </w:pPr>
            <w:r w:rsidRPr="00D20962">
              <w:rPr>
                <w:bCs/>
              </w:rPr>
              <w:t>Sutarum Wiryono</w:t>
            </w:r>
          </w:p>
        </w:tc>
        <w:tc>
          <w:tcPr>
            <w:tcW w:w="7655" w:type="dxa"/>
            <w:vAlign w:val="center"/>
          </w:tcPr>
          <w:p w:rsidR="00A3750B" w:rsidRPr="00D20962" w:rsidRDefault="00A3750B" w:rsidP="00650F75">
            <w:pPr>
              <w:rPr>
                <w:rFonts w:asciiTheme="minorHAnsi" w:hAnsiTheme="minorHAnsi"/>
              </w:rPr>
            </w:pPr>
            <w:r w:rsidRPr="00D20962">
              <w:t xml:space="preserve">Senior Project Officer (Education), </w:t>
            </w:r>
            <w:r w:rsidRPr="00D20962">
              <w:rPr>
                <w:rFonts w:asciiTheme="minorHAnsi" w:hAnsiTheme="minorHAnsi"/>
              </w:rPr>
              <w:t>Asian Development Bank</w:t>
            </w:r>
          </w:p>
        </w:tc>
        <w:tc>
          <w:tcPr>
            <w:tcW w:w="1559" w:type="dxa"/>
            <w:vAlign w:val="center"/>
          </w:tcPr>
          <w:p w:rsidR="00A3750B" w:rsidRPr="00D20962" w:rsidRDefault="00A3750B" w:rsidP="00650F75">
            <w:pPr>
              <w:rPr>
                <w:rFonts w:asciiTheme="minorHAnsi" w:hAnsiTheme="minorHAnsi"/>
              </w:rPr>
            </w:pPr>
            <w:r w:rsidRPr="00D20962">
              <w:rPr>
                <w:rFonts w:asciiTheme="minorHAnsi" w:hAnsiTheme="minorHAnsi"/>
              </w:rPr>
              <w:t>Feedback Session***</w:t>
            </w:r>
          </w:p>
        </w:tc>
        <w:tc>
          <w:tcPr>
            <w:tcW w:w="1478" w:type="dxa"/>
            <w:vAlign w:val="center"/>
          </w:tcPr>
          <w:p w:rsidR="00A3750B" w:rsidRPr="00D20962" w:rsidRDefault="00A3750B" w:rsidP="00650F75">
            <w:pPr>
              <w:rPr>
                <w:rFonts w:asciiTheme="minorHAnsi" w:hAnsiTheme="minorHAnsi"/>
              </w:rPr>
            </w:pPr>
            <w:r w:rsidRPr="00D20962">
              <w:rPr>
                <w:rFonts w:asciiTheme="minorHAnsi" w:hAnsiTheme="minorHAnsi"/>
              </w:rPr>
              <w:t>All</w:t>
            </w:r>
          </w:p>
        </w:tc>
      </w:tr>
    </w:tbl>
    <w:p w:rsidR="00D20962" w:rsidRPr="00D20962" w:rsidRDefault="00D20962" w:rsidP="00D20962">
      <w:pPr>
        <w:spacing w:before="120"/>
        <w:ind w:left="709" w:hanging="709"/>
        <w:rPr>
          <w:rFonts w:asciiTheme="minorHAnsi" w:hAnsiTheme="minorHAnsi"/>
          <w:lang w:val="en-AU"/>
        </w:rPr>
      </w:pPr>
      <w:r w:rsidRPr="00D20962">
        <w:rPr>
          <w:rFonts w:asciiTheme="minorHAnsi" w:hAnsiTheme="minorHAnsi"/>
          <w:lang w:val="en-AU"/>
        </w:rPr>
        <w:t xml:space="preserve">* </w:t>
      </w:r>
      <w:r w:rsidRPr="00D20962">
        <w:rPr>
          <w:rFonts w:asciiTheme="minorHAnsi" w:hAnsiTheme="minorHAnsi"/>
          <w:lang w:val="en-AU"/>
        </w:rPr>
        <w:tab/>
        <w:t>POM Staff: NC = Nick Clinch; IV = Ingga Vistara; SM = Simon Milligan; PK = Paskal Kleden; NI = Nelson Ireland; MS = Maulyati Slamet (POM staff identified in bold led the interview.</w:t>
      </w:r>
    </w:p>
    <w:p w:rsidR="00D20962" w:rsidRPr="00D20962" w:rsidRDefault="00D20962" w:rsidP="00D20962">
      <w:pPr>
        <w:spacing w:before="120"/>
        <w:rPr>
          <w:rFonts w:asciiTheme="minorHAnsi" w:hAnsiTheme="minorHAnsi"/>
          <w:lang w:val="en-AU"/>
        </w:rPr>
      </w:pPr>
      <w:r w:rsidRPr="00D20962">
        <w:rPr>
          <w:rFonts w:asciiTheme="minorHAnsi" w:hAnsiTheme="minorHAnsi"/>
          <w:lang w:val="en-AU"/>
        </w:rPr>
        <w:t>**</w:t>
      </w:r>
      <w:r w:rsidRPr="00D20962">
        <w:rPr>
          <w:rFonts w:asciiTheme="minorHAnsi" w:hAnsiTheme="minorHAnsi"/>
          <w:lang w:val="en-AU"/>
        </w:rPr>
        <w:tab/>
        <w:t xml:space="preserve">Meetings were scheduled with these key informants but, for reasons beyond control, the consultations did not take place. </w:t>
      </w:r>
    </w:p>
    <w:p w:rsidR="008819C6" w:rsidRPr="00851EC7" w:rsidRDefault="00D20962" w:rsidP="00D20962">
      <w:pPr>
        <w:spacing w:before="120"/>
        <w:rPr>
          <w:rFonts w:asciiTheme="minorHAnsi" w:hAnsiTheme="minorHAnsi"/>
          <w:lang w:val="en-AU"/>
        </w:rPr>
        <w:sectPr w:rsidR="008819C6" w:rsidRPr="00851EC7" w:rsidSect="00FB28C4">
          <w:pgSz w:w="16838" w:h="11906" w:orient="landscape"/>
          <w:pgMar w:top="1440" w:right="1440" w:bottom="1440" w:left="1440" w:header="708" w:footer="708" w:gutter="0"/>
          <w:cols w:space="708"/>
          <w:docGrid w:linePitch="360"/>
        </w:sectPr>
      </w:pPr>
      <w:r w:rsidRPr="00D20962">
        <w:rPr>
          <w:rFonts w:asciiTheme="minorHAnsi" w:hAnsiTheme="minorHAnsi"/>
          <w:lang w:val="en-AU"/>
        </w:rPr>
        <w:t>***</w:t>
      </w:r>
      <w:r w:rsidRPr="00D20962">
        <w:rPr>
          <w:rFonts w:asciiTheme="minorHAnsi" w:hAnsiTheme="minorHAnsi"/>
          <w:lang w:val="en-AU"/>
        </w:rPr>
        <w:tab/>
        <w:t>Pak Sutarum was invited to the APPR Feedback session on 25</w:t>
      </w:r>
      <w:r w:rsidRPr="00D20962">
        <w:rPr>
          <w:rFonts w:asciiTheme="minorHAnsi" w:hAnsiTheme="minorHAnsi"/>
          <w:vertAlign w:val="superscript"/>
          <w:lang w:val="en-AU"/>
        </w:rPr>
        <w:t>th</w:t>
      </w:r>
      <w:r w:rsidRPr="00D20962">
        <w:rPr>
          <w:rFonts w:asciiTheme="minorHAnsi" w:hAnsiTheme="minorHAnsi"/>
          <w:lang w:val="en-AU"/>
        </w:rPr>
        <w:t xml:space="preserve"> November but was unable to attend.</w:t>
      </w:r>
      <w:r w:rsidR="00536B8B" w:rsidRPr="00851EC7">
        <w:rPr>
          <w:rFonts w:asciiTheme="minorHAnsi" w:hAnsiTheme="minorHAnsi"/>
          <w:lang w:val="en-AU"/>
        </w:rPr>
        <w:t xml:space="preserve"> </w:t>
      </w:r>
    </w:p>
    <w:p w:rsidR="007269E9" w:rsidRPr="00851EC7" w:rsidRDefault="007269E9" w:rsidP="007269E9">
      <w:pPr>
        <w:keepNext/>
        <w:ind w:left="720" w:hanging="720"/>
        <w:outlineLvl w:val="0"/>
        <w:rPr>
          <w:rFonts w:asciiTheme="minorHAnsi" w:hAnsiTheme="minorHAnsi" w:cstheme="minorHAnsi"/>
          <w:bCs/>
          <w:color w:val="003880"/>
          <w:kern w:val="32"/>
          <w:sz w:val="32"/>
          <w:szCs w:val="72"/>
          <w:lang w:val="en-AU"/>
        </w:rPr>
      </w:pPr>
      <w:bookmarkStart w:id="76" w:name="_Toc407779893"/>
      <w:r w:rsidRPr="00851EC7">
        <w:rPr>
          <w:rFonts w:asciiTheme="minorHAnsi" w:hAnsiTheme="minorHAnsi" w:cstheme="minorHAnsi"/>
          <w:bCs/>
          <w:color w:val="003880"/>
          <w:kern w:val="32"/>
          <w:sz w:val="32"/>
          <w:szCs w:val="72"/>
          <w:lang w:val="en-AU"/>
        </w:rPr>
        <w:lastRenderedPageBreak/>
        <w:t>Annex V</w:t>
      </w:r>
      <w:r w:rsidR="00814744" w:rsidRPr="00851EC7">
        <w:rPr>
          <w:rFonts w:asciiTheme="minorHAnsi" w:hAnsiTheme="minorHAnsi" w:cstheme="minorHAnsi"/>
          <w:bCs/>
          <w:color w:val="003880"/>
          <w:kern w:val="32"/>
          <w:sz w:val="32"/>
          <w:szCs w:val="72"/>
          <w:lang w:val="en-AU"/>
        </w:rPr>
        <w:t>II</w:t>
      </w:r>
      <w:r w:rsidR="00A51D38" w:rsidRPr="00851EC7">
        <w:rPr>
          <w:rFonts w:asciiTheme="minorHAnsi" w:hAnsiTheme="minorHAnsi" w:cstheme="minorHAnsi"/>
          <w:bCs/>
          <w:color w:val="003880"/>
          <w:kern w:val="32"/>
          <w:sz w:val="32"/>
          <w:szCs w:val="72"/>
          <w:lang w:val="en-AU"/>
        </w:rPr>
        <w:t xml:space="preserve">: </w:t>
      </w:r>
      <w:r w:rsidRPr="00851EC7">
        <w:rPr>
          <w:rFonts w:asciiTheme="minorHAnsi" w:hAnsiTheme="minorHAnsi" w:cstheme="minorHAnsi"/>
          <w:bCs/>
          <w:color w:val="003880"/>
          <w:kern w:val="32"/>
          <w:sz w:val="32"/>
          <w:szCs w:val="72"/>
          <w:lang w:val="en-AU"/>
        </w:rPr>
        <w:t>ECBP M&amp;E Standards</w:t>
      </w:r>
      <w:r w:rsidR="00A51D38" w:rsidRPr="00851EC7">
        <w:rPr>
          <w:rFonts w:asciiTheme="minorHAnsi" w:hAnsiTheme="minorHAnsi" w:cstheme="minorHAnsi"/>
          <w:bCs/>
          <w:color w:val="003880"/>
          <w:kern w:val="32"/>
          <w:sz w:val="32"/>
          <w:szCs w:val="72"/>
          <w:lang w:val="en-AU"/>
        </w:rPr>
        <w:t xml:space="preserve">: </w:t>
      </w:r>
      <w:r w:rsidRPr="00851EC7">
        <w:rPr>
          <w:rFonts w:asciiTheme="minorHAnsi" w:hAnsiTheme="minorHAnsi" w:cstheme="minorHAnsi"/>
          <w:bCs/>
          <w:color w:val="003880"/>
          <w:kern w:val="32"/>
          <w:sz w:val="32"/>
          <w:szCs w:val="72"/>
          <w:lang w:val="en-AU"/>
        </w:rPr>
        <w:t>Standard 3: Initiative Progress Reporting</w:t>
      </w:r>
      <w:bookmarkEnd w:id="76"/>
    </w:p>
    <w:p w:rsidR="007269E9" w:rsidRPr="00851EC7" w:rsidRDefault="007269E9" w:rsidP="007269E9">
      <w:pPr>
        <w:rPr>
          <w:lang w:val="en-AU"/>
        </w:rPr>
      </w:pPr>
    </w:p>
    <w:tbl>
      <w:tblPr>
        <w:tblW w:w="5000" w:type="pct"/>
        <w:tblLayout w:type="fixed"/>
        <w:tblLook w:val="04A0" w:firstRow="1" w:lastRow="0" w:firstColumn="1" w:lastColumn="0" w:noHBand="0" w:noVBand="1"/>
      </w:tblPr>
      <w:tblGrid>
        <w:gridCol w:w="675"/>
        <w:gridCol w:w="7087"/>
        <w:gridCol w:w="6412"/>
      </w:tblGrid>
      <w:tr w:rsidR="007269E9" w:rsidRPr="00851EC7" w:rsidTr="00884C6C">
        <w:trPr>
          <w:trHeight w:val="660"/>
        </w:trPr>
        <w:tc>
          <w:tcPr>
            <w:tcW w:w="238" w:type="pct"/>
            <w:tcBorders>
              <w:top w:val="single" w:sz="8" w:space="0" w:color="auto"/>
              <w:left w:val="single" w:sz="8" w:space="0" w:color="auto"/>
              <w:bottom w:val="nil"/>
              <w:right w:val="single" w:sz="4" w:space="0" w:color="auto"/>
            </w:tcBorders>
            <w:shd w:val="clear" w:color="auto" w:fill="365F91" w:themeFill="accent1" w:themeFillShade="BF"/>
            <w:noWrap/>
            <w:vAlign w:val="center"/>
            <w:hideMark/>
          </w:tcPr>
          <w:p w:rsidR="007269E9" w:rsidRPr="00851EC7" w:rsidRDefault="007269E9" w:rsidP="00722245">
            <w:pPr>
              <w:keepNext/>
              <w:jc w:val="center"/>
              <w:rPr>
                <w:b/>
                <w:bCs/>
                <w:color w:val="FFFFFF" w:themeColor="background1"/>
                <w:lang w:val="en-AU"/>
              </w:rPr>
            </w:pPr>
            <w:r w:rsidRPr="00851EC7">
              <w:rPr>
                <w:b/>
                <w:bCs/>
                <w:color w:val="FFFFFF" w:themeColor="background1"/>
                <w:lang w:val="en-AU"/>
              </w:rPr>
              <w:t>No</w:t>
            </w:r>
          </w:p>
        </w:tc>
        <w:tc>
          <w:tcPr>
            <w:tcW w:w="2500" w:type="pct"/>
            <w:tcBorders>
              <w:top w:val="single" w:sz="8" w:space="0" w:color="auto"/>
              <w:left w:val="nil"/>
              <w:bottom w:val="nil"/>
              <w:right w:val="single" w:sz="4" w:space="0" w:color="auto"/>
            </w:tcBorders>
            <w:shd w:val="clear" w:color="auto" w:fill="365F91" w:themeFill="accent1" w:themeFillShade="BF"/>
            <w:noWrap/>
            <w:vAlign w:val="center"/>
            <w:hideMark/>
          </w:tcPr>
          <w:p w:rsidR="007269E9" w:rsidRPr="00851EC7" w:rsidRDefault="007269E9" w:rsidP="00722245">
            <w:pPr>
              <w:keepNext/>
              <w:jc w:val="center"/>
              <w:rPr>
                <w:b/>
                <w:bCs/>
                <w:color w:val="FFFFFF" w:themeColor="background1"/>
                <w:lang w:val="en-AU"/>
              </w:rPr>
            </w:pPr>
            <w:r w:rsidRPr="00851EC7">
              <w:rPr>
                <w:b/>
                <w:bCs/>
                <w:color w:val="FFFFFF" w:themeColor="background1"/>
                <w:lang w:val="en-AU"/>
              </w:rPr>
              <w:t>Feature of Progress Report</w:t>
            </w:r>
          </w:p>
        </w:tc>
        <w:tc>
          <w:tcPr>
            <w:tcW w:w="2262" w:type="pct"/>
            <w:tcBorders>
              <w:top w:val="single" w:sz="8" w:space="0" w:color="auto"/>
              <w:left w:val="nil"/>
              <w:bottom w:val="nil"/>
              <w:right w:val="single" w:sz="8" w:space="0" w:color="auto"/>
            </w:tcBorders>
            <w:shd w:val="clear" w:color="auto" w:fill="365F91" w:themeFill="accent1" w:themeFillShade="BF"/>
            <w:noWrap/>
            <w:vAlign w:val="center"/>
            <w:hideMark/>
          </w:tcPr>
          <w:p w:rsidR="007269E9" w:rsidRPr="00851EC7" w:rsidRDefault="007269E9" w:rsidP="00722245">
            <w:pPr>
              <w:keepNext/>
              <w:jc w:val="center"/>
              <w:rPr>
                <w:b/>
                <w:bCs/>
                <w:color w:val="FFFFFF" w:themeColor="background1"/>
                <w:lang w:val="en-AU"/>
              </w:rPr>
            </w:pPr>
            <w:r w:rsidRPr="00851EC7">
              <w:rPr>
                <w:b/>
                <w:bCs/>
                <w:color w:val="FFFFFF" w:themeColor="background1"/>
                <w:lang w:val="en-AU"/>
              </w:rPr>
              <w:t>EP-APPR Compliance</w:t>
            </w:r>
          </w:p>
        </w:tc>
      </w:tr>
      <w:tr w:rsidR="007269E9" w:rsidRPr="00851EC7" w:rsidTr="00884C6C">
        <w:trPr>
          <w:trHeight w:val="510"/>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3.1</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There is an executive summary that communicates the key information required for QAI reporting</w:t>
            </w:r>
          </w:p>
        </w:tc>
        <w:tc>
          <w:tcPr>
            <w:tcW w:w="2262" w:type="pct"/>
            <w:tcBorders>
              <w:top w:val="single" w:sz="4" w:space="0" w:color="auto"/>
              <w:left w:val="nil"/>
              <w:bottom w:val="single" w:sz="4" w:space="0" w:color="auto"/>
              <w:right w:val="single" w:sz="8"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See Executive Summary</w:t>
            </w:r>
            <w:r w:rsidR="00A51D38" w:rsidRPr="00851EC7">
              <w:rPr>
                <w:color w:val="000000"/>
                <w:lang w:val="en-AU" w:eastAsia="en-GB"/>
              </w:rPr>
              <w:t>.</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3.2</w:t>
            </w:r>
          </w:p>
        </w:tc>
        <w:tc>
          <w:tcPr>
            <w:tcW w:w="2500" w:type="pct"/>
            <w:tcBorders>
              <w:top w:val="nil"/>
              <w:left w:val="nil"/>
              <w:bottom w:val="single" w:sz="4" w:space="0" w:color="auto"/>
              <w:right w:val="single" w:sz="4" w:space="0" w:color="auto"/>
            </w:tcBorders>
            <w:shd w:val="clear" w:color="auto" w:fill="auto"/>
            <w:noWrap/>
            <w:vAlign w:val="center"/>
            <w:hideMark/>
          </w:tcPr>
          <w:p w:rsidR="007269E9" w:rsidRPr="00851EC7" w:rsidRDefault="007269E9" w:rsidP="00722245">
            <w:pPr>
              <w:rPr>
                <w:color w:val="000000"/>
                <w:lang w:val="en-AU" w:eastAsia="en-GB"/>
              </w:rPr>
            </w:pPr>
            <w:r w:rsidRPr="00851EC7">
              <w:rPr>
                <w:color w:val="000000"/>
                <w:lang w:val="en-AU" w:eastAsia="en-GB"/>
              </w:rPr>
              <w:t>The relevant aspects of the context are adequately described</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7269E9" w:rsidP="00123F1E">
            <w:pPr>
              <w:rPr>
                <w:color w:val="000000"/>
                <w:lang w:val="en-AU" w:eastAsia="en-GB"/>
              </w:rPr>
            </w:pPr>
            <w:r w:rsidRPr="00851EC7">
              <w:rPr>
                <w:color w:val="000000"/>
                <w:lang w:val="en-AU" w:eastAsia="en-GB"/>
              </w:rPr>
              <w:t xml:space="preserve">Each component section </w:t>
            </w:r>
            <w:r w:rsidR="00A51D38" w:rsidRPr="00851EC7">
              <w:rPr>
                <w:color w:val="000000"/>
                <w:lang w:val="en-AU" w:eastAsia="en-GB"/>
              </w:rPr>
              <w:t xml:space="preserve">and the program oversight section </w:t>
            </w:r>
            <w:r w:rsidRPr="00851EC7">
              <w:rPr>
                <w:color w:val="000000"/>
                <w:lang w:val="en-AU" w:eastAsia="en-GB"/>
              </w:rPr>
              <w:t>ha</w:t>
            </w:r>
            <w:r w:rsidR="00123F1E">
              <w:rPr>
                <w:color w:val="000000"/>
                <w:lang w:val="en-AU" w:eastAsia="en-GB"/>
              </w:rPr>
              <w:t>ve</w:t>
            </w:r>
            <w:r w:rsidRPr="00851EC7">
              <w:rPr>
                <w:color w:val="000000"/>
                <w:lang w:val="en-AU" w:eastAsia="en-GB"/>
              </w:rPr>
              <w:t xml:space="preserve"> an individual section on Context</w:t>
            </w:r>
            <w:r w:rsidR="00A51D38" w:rsidRPr="00851EC7">
              <w:rPr>
                <w:color w:val="000000"/>
                <w:lang w:val="en-AU" w:eastAsia="en-GB"/>
              </w:rPr>
              <w:t>.</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3.3</w:t>
            </w:r>
          </w:p>
        </w:tc>
        <w:tc>
          <w:tcPr>
            <w:tcW w:w="2500" w:type="pct"/>
            <w:tcBorders>
              <w:top w:val="nil"/>
              <w:left w:val="nil"/>
              <w:bottom w:val="single" w:sz="4" w:space="0" w:color="auto"/>
              <w:right w:val="single" w:sz="4" w:space="0" w:color="auto"/>
            </w:tcBorders>
            <w:shd w:val="clear" w:color="auto" w:fill="auto"/>
            <w:noWrap/>
            <w:vAlign w:val="center"/>
            <w:hideMark/>
          </w:tcPr>
          <w:p w:rsidR="007269E9" w:rsidRPr="00851EC7" w:rsidRDefault="007269E9" w:rsidP="00722245">
            <w:pPr>
              <w:rPr>
                <w:color w:val="000000"/>
                <w:lang w:val="en-AU" w:eastAsia="en-GB"/>
              </w:rPr>
            </w:pPr>
            <w:r w:rsidRPr="00851EC7">
              <w:rPr>
                <w:color w:val="000000"/>
                <w:lang w:val="en-AU" w:eastAsia="en-GB"/>
              </w:rPr>
              <w:t>There is a reflection on the continuing relevance of the expected end-of-program outcomes</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7269E9" w:rsidP="00722245">
            <w:pPr>
              <w:rPr>
                <w:color w:val="000000"/>
                <w:lang w:val="en-AU" w:eastAsia="en-GB"/>
              </w:rPr>
            </w:pPr>
            <w:r w:rsidRPr="00851EC7">
              <w:rPr>
                <w:color w:val="000000"/>
                <w:lang w:val="en-AU" w:eastAsia="en-GB"/>
              </w:rPr>
              <w:t>Each component section has an individual section on Relevance</w:t>
            </w:r>
            <w:r w:rsidR="00A51D38" w:rsidRPr="00851EC7">
              <w:rPr>
                <w:color w:val="000000"/>
                <w:lang w:val="en-AU" w:eastAsia="en-GB"/>
              </w:rPr>
              <w:t>.</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3.4</w:t>
            </w:r>
          </w:p>
        </w:tc>
        <w:tc>
          <w:tcPr>
            <w:tcW w:w="2500" w:type="pct"/>
            <w:tcBorders>
              <w:top w:val="nil"/>
              <w:left w:val="nil"/>
              <w:bottom w:val="single" w:sz="4"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An assessment of the adequacy of progress toward sustained end-of-program outcomes is described</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7269E9" w:rsidP="00A51D38">
            <w:pPr>
              <w:rPr>
                <w:color w:val="000000"/>
                <w:lang w:val="en-AU" w:eastAsia="en-GB"/>
              </w:rPr>
            </w:pPr>
            <w:r w:rsidRPr="00851EC7">
              <w:rPr>
                <w:color w:val="000000"/>
                <w:lang w:val="en-AU" w:eastAsia="en-GB"/>
              </w:rPr>
              <w:t>Assessment of progress against DAC criteria are scored for each component</w:t>
            </w:r>
            <w:r w:rsidR="00A51D38" w:rsidRPr="00851EC7">
              <w:rPr>
                <w:color w:val="000000"/>
                <w:lang w:val="en-AU" w:eastAsia="en-GB"/>
              </w:rPr>
              <w:t>. Specifically, sections on Effectiveness consider adequacy of progress towards EOPOs.</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3.5</w:t>
            </w:r>
          </w:p>
        </w:tc>
        <w:tc>
          <w:tcPr>
            <w:tcW w:w="2500" w:type="pct"/>
            <w:tcBorders>
              <w:top w:val="nil"/>
              <w:left w:val="nil"/>
              <w:bottom w:val="single" w:sz="4"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The quality, reach and coverage of key outputs or deliverables for the reporting period are described</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7269E9" w:rsidP="00722245">
            <w:pPr>
              <w:rPr>
                <w:color w:val="000000"/>
                <w:lang w:val="en-AU" w:eastAsia="en-GB"/>
              </w:rPr>
            </w:pPr>
            <w:r w:rsidRPr="00851EC7">
              <w:rPr>
                <w:color w:val="000000"/>
                <w:lang w:val="en-AU" w:eastAsia="en-GB"/>
              </w:rPr>
              <w:t>Achievements are listed for each component</w:t>
            </w:r>
            <w:r w:rsidR="00A51D38" w:rsidRPr="00851EC7">
              <w:rPr>
                <w:color w:val="000000"/>
                <w:lang w:val="en-AU" w:eastAsia="en-GB"/>
              </w:rPr>
              <w:t>.</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3.6</w:t>
            </w:r>
          </w:p>
        </w:tc>
        <w:tc>
          <w:tcPr>
            <w:tcW w:w="2500" w:type="pct"/>
            <w:tcBorders>
              <w:top w:val="nil"/>
              <w:left w:val="nil"/>
              <w:bottom w:val="single" w:sz="4" w:space="0" w:color="auto"/>
              <w:right w:val="single" w:sz="4" w:space="0" w:color="auto"/>
            </w:tcBorders>
            <w:shd w:val="clear" w:color="auto" w:fill="auto"/>
            <w:noWrap/>
            <w:vAlign w:val="center"/>
            <w:hideMark/>
          </w:tcPr>
          <w:p w:rsidR="007269E9" w:rsidRPr="00851EC7" w:rsidRDefault="007269E9" w:rsidP="00722245">
            <w:pPr>
              <w:rPr>
                <w:color w:val="000000"/>
                <w:lang w:val="en-AU" w:eastAsia="en-GB"/>
              </w:rPr>
            </w:pPr>
            <w:r w:rsidRPr="00851EC7">
              <w:rPr>
                <w:color w:val="000000"/>
                <w:lang w:val="en-AU" w:eastAsia="en-GB"/>
              </w:rPr>
              <w:t>The adequacy of progress implementing the annual plan is described</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7269E9" w:rsidP="00722245">
            <w:pPr>
              <w:rPr>
                <w:color w:val="000000"/>
                <w:lang w:val="en-AU" w:eastAsia="en-GB"/>
              </w:rPr>
            </w:pPr>
            <w:r w:rsidRPr="00851EC7">
              <w:rPr>
                <w:color w:val="000000"/>
                <w:lang w:val="en-AU" w:eastAsia="en-GB"/>
              </w:rPr>
              <w:t>n/a (implementing partners provide reporting against annual plans)</w:t>
            </w:r>
            <w:r w:rsidR="00A51D38" w:rsidRPr="00851EC7">
              <w:rPr>
                <w:color w:val="000000"/>
                <w:lang w:val="en-AU" w:eastAsia="en-GB"/>
              </w:rPr>
              <w:t>.</w:t>
            </w:r>
            <w:r w:rsidRPr="00851EC7">
              <w:rPr>
                <w:color w:val="000000"/>
                <w:lang w:val="en-AU" w:eastAsia="en-GB"/>
              </w:rPr>
              <w:t> </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3.7</w:t>
            </w:r>
          </w:p>
        </w:tc>
        <w:tc>
          <w:tcPr>
            <w:tcW w:w="2500" w:type="pct"/>
            <w:tcBorders>
              <w:top w:val="nil"/>
              <w:left w:val="nil"/>
              <w:bottom w:val="single" w:sz="4"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A reflection on the adequacy of planned inputs to meet the expected end-of-program outcomes is provided</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A51D38" w:rsidP="00A51D38">
            <w:pPr>
              <w:rPr>
                <w:color w:val="000000"/>
                <w:lang w:val="en-AU" w:eastAsia="en-GB"/>
              </w:rPr>
            </w:pPr>
            <w:r w:rsidRPr="00851EC7">
              <w:rPr>
                <w:color w:val="000000"/>
                <w:lang w:val="en-AU" w:eastAsia="en-GB"/>
              </w:rPr>
              <w:t>Assessment of progress against DAC criteria are scored for each component. Specifically, sections on Efficiency consider adequacy of planned inputs to meet EOPOs.</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3.8</w:t>
            </w:r>
          </w:p>
        </w:tc>
        <w:tc>
          <w:tcPr>
            <w:tcW w:w="2500" w:type="pct"/>
            <w:tcBorders>
              <w:top w:val="nil"/>
              <w:left w:val="nil"/>
              <w:bottom w:val="single" w:sz="4"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The adequacy of progress against the budget is assessed</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A51D38" w:rsidP="00A51D38">
            <w:pPr>
              <w:rPr>
                <w:color w:val="000000"/>
                <w:lang w:val="en-AU" w:eastAsia="en-GB"/>
              </w:rPr>
            </w:pPr>
            <w:r w:rsidRPr="00851EC7">
              <w:rPr>
                <w:color w:val="000000"/>
                <w:lang w:val="en-AU" w:eastAsia="en-GB"/>
              </w:rPr>
              <w:t>Adequacy of EP progress against budget is considered in Program Oversight, Section 6.2.</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3.9</w:t>
            </w:r>
          </w:p>
        </w:tc>
        <w:tc>
          <w:tcPr>
            <w:tcW w:w="2500" w:type="pct"/>
            <w:tcBorders>
              <w:top w:val="nil"/>
              <w:left w:val="nil"/>
              <w:bottom w:val="single" w:sz="4"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The efficiency and effectiveness of key management or implementation system is assessed or demonstrated</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7269E9" w:rsidP="00884C6C">
            <w:pPr>
              <w:rPr>
                <w:color w:val="000000"/>
                <w:lang w:val="en-AU" w:eastAsia="en-GB"/>
              </w:rPr>
            </w:pPr>
            <w:r w:rsidRPr="00851EC7">
              <w:rPr>
                <w:color w:val="000000"/>
                <w:lang w:val="en-AU" w:eastAsia="en-GB"/>
              </w:rPr>
              <w:t>Each component section has an individual section on Efficiency and Effectiveness</w:t>
            </w:r>
            <w:r w:rsidR="00A51D38" w:rsidRPr="00851EC7">
              <w:rPr>
                <w:color w:val="000000"/>
                <w:lang w:val="en-AU" w:eastAsia="en-GB"/>
              </w:rPr>
              <w:t xml:space="preserve">. In addition Management and </w:t>
            </w:r>
            <w:r w:rsidRPr="00851EC7">
              <w:rPr>
                <w:color w:val="000000"/>
                <w:lang w:val="en-AU" w:eastAsia="en-GB"/>
              </w:rPr>
              <w:t xml:space="preserve">Governance </w:t>
            </w:r>
            <w:r w:rsidR="00A51D38" w:rsidRPr="00851EC7">
              <w:rPr>
                <w:color w:val="000000"/>
                <w:lang w:val="en-AU" w:eastAsia="en-GB"/>
              </w:rPr>
              <w:t>of the EP are considered under Program Oversight</w:t>
            </w:r>
            <w:r w:rsidR="00884C6C" w:rsidRPr="00851EC7">
              <w:rPr>
                <w:color w:val="000000"/>
                <w:lang w:val="en-AU" w:eastAsia="en-GB"/>
              </w:rPr>
              <w:t>, Sections 6.3.2 and 6.3.3 respectively.</w:t>
            </w:r>
          </w:p>
        </w:tc>
      </w:tr>
      <w:tr w:rsidR="007269E9" w:rsidRPr="00851EC7" w:rsidTr="00884C6C">
        <w:trPr>
          <w:trHeight w:val="274"/>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3.10</w:t>
            </w:r>
          </w:p>
        </w:tc>
        <w:tc>
          <w:tcPr>
            <w:tcW w:w="2500" w:type="pct"/>
            <w:tcBorders>
              <w:top w:val="nil"/>
              <w:left w:val="nil"/>
              <w:bottom w:val="single" w:sz="4"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The report achieves a fair balance between reporting of positive or negative issues or achievements</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884C6C" w:rsidP="00884C6C">
            <w:pPr>
              <w:rPr>
                <w:color w:val="000000"/>
                <w:lang w:val="en-AU" w:eastAsia="en-GB"/>
              </w:rPr>
            </w:pPr>
            <w:r w:rsidRPr="00851EC7">
              <w:rPr>
                <w:color w:val="000000"/>
                <w:lang w:val="en-AU" w:eastAsia="en-GB"/>
              </w:rPr>
              <w:t>The report is prepared in an independent manner and focuses on both positive and negative aspects of performance.</w:t>
            </w:r>
          </w:p>
        </w:tc>
      </w:tr>
      <w:tr w:rsidR="007269E9" w:rsidRPr="00851EC7" w:rsidTr="00884C6C">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3.11</w:t>
            </w:r>
          </w:p>
        </w:tc>
        <w:tc>
          <w:tcPr>
            <w:tcW w:w="2500" w:type="pct"/>
            <w:tcBorders>
              <w:top w:val="nil"/>
              <w:left w:val="nil"/>
              <w:bottom w:val="single" w:sz="4"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The report provides credible evidence of claims made</w:t>
            </w:r>
          </w:p>
        </w:tc>
        <w:tc>
          <w:tcPr>
            <w:tcW w:w="2262" w:type="pct"/>
            <w:tcBorders>
              <w:top w:val="nil"/>
              <w:left w:val="nil"/>
              <w:bottom w:val="single" w:sz="4" w:space="0" w:color="auto"/>
              <w:right w:val="single" w:sz="8" w:space="0" w:color="auto"/>
            </w:tcBorders>
            <w:shd w:val="clear" w:color="auto" w:fill="auto"/>
            <w:noWrap/>
            <w:vAlign w:val="center"/>
            <w:hideMark/>
          </w:tcPr>
          <w:p w:rsidR="007269E9" w:rsidRPr="00851EC7" w:rsidRDefault="007269E9" w:rsidP="00722245">
            <w:pPr>
              <w:rPr>
                <w:color w:val="000000"/>
                <w:lang w:val="en-AU" w:eastAsia="en-GB"/>
              </w:rPr>
            </w:pPr>
            <w:r w:rsidRPr="00851EC7">
              <w:rPr>
                <w:color w:val="000000"/>
                <w:lang w:val="en-AU" w:eastAsia="en-GB"/>
              </w:rPr>
              <w:t xml:space="preserve">Considerable evidence is presented </w:t>
            </w:r>
            <w:r w:rsidR="00884C6C" w:rsidRPr="00851EC7">
              <w:rPr>
                <w:color w:val="000000"/>
                <w:lang w:val="en-AU" w:eastAsia="en-GB"/>
              </w:rPr>
              <w:t xml:space="preserve">and referenced </w:t>
            </w:r>
            <w:r w:rsidRPr="00851EC7">
              <w:rPr>
                <w:color w:val="000000"/>
                <w:lang w:val="en-AU" w:eastAsia="en-GB"/>
              </w:rPr>
              <w:t>to justify claims</w:t>
            </w:r>
          </w:p>
        </w:tc>
      </w:tr>
      <w:tr w:rsidR="007269E9" w:rsidRPr="00851EC7" w:rsidTr="00884C6C">
        <w:trPr>
          <w:trHeight w:val="510"/>
        </w:trPr>
        <w:tc>
          <w:tcPr>
            <w:tcW w:w="238" w:type="pct"/>
            <w:tcBorders>
              <w:top w:val="nil"/>
              <w:left w:val="single" w:sz="8" w:space="0" w:color="auto"/>
              <w:bottom w:val="single" w:sz="8" w:space="0" w:color="auto"/>
              <w:right w:val="single" w:sz="4" w:space="0" w:color="auto"/>
            </w:tcBorders>
            <w:shd w:val="clear" w:color="auto" w:fill="auto"/>
            <w:noWrap/>
            <w:vAlign w:val="center"/>
            <w:hideMark/>
          </w:tcPr>
          <w:p w:rsidR="007269E9" w:rsidRPr="00851EC7" w:rsidRDefault="007269E9" w:rsidP="00722245">
            <w:pPr>
              <w:jc w:val="center"/>
              <w:rPr>
                <w:color w:val="000000"/>
                <w:lang w:val="en-AU" w:eastAsia="en-GB"/>
              </w:rPr>
            </w:pPr>
            <w:r w:rsidRPr="00851EC7">
              <w:rPr>
                <w:color w:val="000000"/>
                <w:lang w:val="en-AU" w:eastAsia="en-GB"/>
              </w:rPr>
              <w:t>3.12</w:t>
            </w:r>
          </w:p>
        </w:tc>
        <w:tc>
          <w:tcPr>
            <w:tcW w:w="2500" w:type="pct"/>
            <w:tcBorders>
              <w:top w:val="nil"/>
              <w:left w:val="nil"/>
              <w:bottom w:val="single" w:sz="8" w:space="0" w:color="auto"/>
              <w:right w:val="single" w:sz="4" w:space="0" w:color="auto"/>
            </w:tcBorders>
            <w:shd w:val="clear" w:color="auto" w:fill="auto"/>
            <w:vAlign w:val="center"/>
            <w:hideMark/>
          </w:tcPr>
          <w:p w:rsidR="007269E9" w:rsidRPr="00851EC7" w:rsidRDefault="007269E9" w:rsidP="00722245">
            <w:pPr>
              <w:rPr>
                <w:color w:val="000000"/>
                <w:lang w:val="en-AU" w:eastAsia="en-GB"/>
              </w:rPr>
            </w:pPr>
            <w:r w:rsidRPr="00851EC7">
              <w:rPr>
                <w:color w:val="000000"/>
                <w:lang w:val="en-AU" w:eastAsia="en-GB"/>
              </w:rPr>
              <w:t>Important lessons are summarised</w:t>
            </w:r>
          </w:p>
        </w:tc>
        <w:tc>
          <w:tcPr>
            <w:tcW w:w="2262" w:type="pct"/>
            <w:tcBorders>
              <w:top w:val="nil"/>
              <w:left w:val="nil"/>
              <w:bottom w:val="single" w:sz="8" w:space="0" w:color="auto"/>
              <w:right w:val="single" w:sz="8" w:space="0" w:color="auto"/>
            </w:tcBorders>
            <w:shd w:val="clear" w:color="auto" w:fill="auto"/>
            <w:noWrap/>
            <w:vAlign w:val="center"/>
            <w:hideMark/>
          </w:tcPr>
          <w:p w:rsidR="007269E9" w:rsidRPr="00851EC7" w:rsidRDefault="007269E9" w:rsidP="00722245">
            <w:pPr>
              <w:rPr>
                <w:color w:val="000000"/>
                <w:lang w:val="en-AU" w:eastAsia="en-GB"/>
              </w:rPr>
            </w:pPr>
            <w:r w:rsidRPr="00851EC7">
              <w:rPr>
                <w:color w:val="000000"/>
                <w:lang w:val="en-AU" w:eastAsia="en-GB"/>
              </w:rPr>
              <w:t>Findings and associated recommendations are summarised in each section</w:t>
            </w:r>
            <w:r w:rsidR="00884C6C" w:rsidRPr="00851EC7">
              <w:rPr>
                <w:color w:val="000000"/>
                <w:lang w:val="en-AU" w:eastAsia="en-GB"/>
              </w:rPr>
              <w:t xml:space="preserve"> and in the Executive Summary.</w:t>
            </w:r>
          </w:p>
        </w:tc>
      </w:tr>
    </w:tbl>
    <w:p w:rsidR="007269E9" w:rsidRPr="00851EC7" w:rsidRDefault="007269E9" w:rsidP="007269E9">
      <w:pPr>
        <w:rPr>
          <w:lang w:val="en-AU"/>
        </w:rPr>
        <w:sectPr w:rsidR="007269E9" w:rsidRPr="00851EC7" w:rsidSect="00D06F80">
          <w:headerReference w:type="default" r:id="rId43"/>
          <w:pgSz w:w="16838" w:h="11906" w:orient="landscape"/>
          <w:pgMar w:top="1440" w:right="1440" w:bottom="1440" w:left="1440" w:header="708" w:footer="708" w:gutter="0"/>
          <w:cols w:space="708"/>
          <w:docGrid w:linePitch="360"/>
        </w:sect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p>
    <w:p w:rsidR="00854A82" w:rsidRPr="00851EC7" w:rsidRDefault="00854A82" w:rsidP="00854A82">
      <w:pPr>
        <w:rPr>
          <w:rFonts w:asciiTheme="minorHAnsi" w:hAnsiTheme="minorHAnsi" w:cstheme="minorHAnsi"/>
          <w:b/>
          <w:color w:val="003880"/>
          <w:sz w:val="24"/>
          <w:szCs w:val="24"/>
          <w:lang w:val="en-AU"/>
        </w:rPr>
      </w:pPr>
      <w:r w:rsidRPr="00851EC7">
        <w:rPr>
          <w:rFonts w:asciiTheme="minorHAnsi" w:hAnsiTheme="minorHAnsi" w:cstheme="minorHAnsi"/>
          <w:b/>
          <w:noProof/>
          <w:color w:val="003880"/>
          <w:sz w:val="24"/>
          <w:szCs w:val="24"/>
          <w:lang w:val="en-AU" w:eastAsia="en-AU"/>
        </w:rPr>
        <w:drawing>
          <wp:anchor distT="0" distB="0" distL="114300" distR="114300" simplePos="0" relativeHeight="251662336" behindDoc="0" locked="1" layoutInCell="0" allowOverlap="1" wp14:anchorId="765A5582" wp14:editId="028F5727">
            <wp:simplePos x="0" y="0"/>
            <wp:positionH relativeFrom="column">
              <wp:posOffset>-567690</wp:posOffset>
            </wp:positionH>
            <wp:positionV relativeFrom="page">
              <wp:posOffset>10022205</wp:posOffset>
            </wp:positionV>
            <wp:extent cx="7086600" cy="401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EC7">
        <w:rPr>
          <w:rFonts w:asciiTheme="minorHAnsi" w:hAnsiTheme="minorHAnsi" w:cstheme="minorHAnsi"/>
          <w:b/>
          <w:noProof/>
          <w:color w:val="003880"/>
          <w:sz w:val="24"/>
          <w:szCs w:val="24"/>
          <w:lang w:val="en-AU" w:eastAsia="en-AU"/>
        </w:rPr>
        <w:drawing>
          <wp:anchor distT="0" distB="0" distL="114300" distR="114300" simplePos="0" relativeHeight="251661312" behindDoc="0" locked="1" layoutInCell="1" allowOverlap="1" wp14:anchorId="500F12DD" wp14:editId="6D537BC1">
            <wp:simplePos x="0" y="0"/>
            <wp:positionH relativeFrom="column">
              <wp:posOffset>-883920</wp:posOffset>
            </wp:positionH>
            <wp:positionV relativeFrom="paragraph">
              <wp:posOffset>-990600</wp:posOffset>
            </wp:positionV>
            <wp:extent cx="3840480" cy="246380"/>
            <wp:effectExtent l="0" t="0" r="7620" b="1270"/>
            <wp:wrapNone/>
            <wp:docPr id="13" name="Picture 13" descr="F:\WORK\EPOS\REPORT &amp; STATIONARY\emf\Red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EPOS\REPORT &amp; STATIONARY\emf\Red stripe.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38404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EC7">
        <w:rPr>
          <w:rFonts w:asciiTheme="minorHAnsi" w:hAnsiTheme="minorHAnsi" w:cstheme="minorHAnsi"/>
          <w:b/>
          <w:color w:val="003880"/>
          <w:sz w:val="24"/>
          <w:szCs w:val="24"/>
          <w:lang w:val="en-AU"/>
        </w:rPr>
        <w:t>Australia’s Education Partnership with Indonesia</w:t>
      </w:r>
    </w:p>
    <w:p w:rsidR="00854A82" w:rsidRPr="00851EC7" w:rsidRDefault="00854A82" w:rsidP="00854A82">
      <w:pPr>
        <w:rPr>
          <w:b/>
          <w:color w:val="003880"/>
          <w:sz w:val="24"/>
          <w:szCs w:val="24"/>
          <w:lang w:val="en-AU"/>
        </w:rPr>
      </w:pPr>
      <w:r w:rsidRPr="00851EC7">
        <w:rPr>
          <w:b/>
          <w:color w:val="003880"/>
          <w:sz w:val="24"/>
          <w:szCs w:val="24"/>
          <w:lang w:val="en-AU"/>
        </w:rPr>
        <w:t xml:space="preserve">Education Partnership </w:t>
      </w:r>
      <w:r w:rsidR="00814744" w:rsidRPr="00851EC7">
        <w:rPr>
          <w:b/>
          <w:color w:val="003880"/>
          <w:sz w:val="24"/>
          <w:szCs w:val="24"/>
          <w:lang w:val="en-AU"/>
        </w:rPr>
        <w:t xml:space="preserve">- </w:t>
      </w:r>
      <w:r w:rsidRPr="00851EC7">
        <w:rPr>
          <w:b/>
          <w:color w:val="003880"/>
          <w:sz w:val="24"/>
          <w:szCs w:val="24"/>
          <w:lang w:val="en-AU"/>
        </w:rPr>
        <w:t>Performance Oversight and Monitoring</w:t>
      </w:r>
    </w:p>
    <w:p w:rsidR="00854A82" w:rsidRPr="00851EC7" w:rsidRDefault="00854A82" w:rsidP="00854A82">
      <w:pPr>
        <w:rPr>
          <w:b/>
          <w:sz w:val="20"/>
          <w:lang w:val="en-AU"/>
        </w:rPr>
      </w:pPr>
    </w:p>
    <w:p w:rsidR="00854A82" w:rsidRPr="00851EC7" w:rsidRDefault="00854A82" w:rsidP="00854A82">
      <w:pPr>
        <w:rPr>
          <w:b/>
          <w:color w:val="595959" w:themeColor="text1" w:themeTint="A6"/>
          <w:sz w:val="20"/>
          <w:lang w:val="en-AU"/>
        </w:rPr>
      </w:pPr>
    </w:p>
    <w:p w:rsidR="00854A82" w:rsidRPr="00851EC7" w:rsidRDefault="00854A82" w:rsidP="00854A82">
      <w:pPr>
        <w:rPr>
          <w:color w:val="595959" w:themeColor="text1" w:themeTint="A6"/>
          <w:lang w:val="en-AU"/>
        </w:rPr>
      </w:pPr>
      <w:r w:rsidRPr="00851EC7">
        <w:rPr>
          <w:color w:val="595959" w:themeColor="text1" w:themeTint="A6"/>
          <w:lang w:val="en-AU"/>
        </w:rPr>
        <w:t>EP-POM</w:t>
      </w:r>
    </w:p>
    <w:p w:rsidR="00854A82" w:rsidRPr="00851EC7" w:rsidRDefault="00854A82" w:rsidP="00854A82">
      <w:pPr>
        <w:rPr>
          <w:color w:val="595959" w:themeColor="text1" w:themeTint="A6"/>
          <w:lang w:val="en-AU"/>
        </w:rPr>
      </w:pPr>
      <w:r w:rsidRPr="00851EC7">
        <w:rPr>
          <w:color w:val="595959" w:themeColor="text1" w:themeTint="A6"/>
          <w:lang w:val="en-AU"/>
        </w:rPr>
        <w:t>19</w:t>
      </w:r>
      <w:r w:rsidRPr="00851EC7">
        <w:rPr>
          <w:color w:val="595959" w:themeColor="text1" w:themeTint="A6"/>
          <w:vertAlign w:val="superscript"/>
          <w:lang w:val="en-AU"/>
        </w:rPr>
        <w:t>th</w:t>
      </w:r>
      <w:r w:rsidRPr="00851EC7">
        <w:rPr>
          <w:color w:val="595959" w:themeColor="text1" w:themeTint="A6"/>
          <w:lang w:val="en-AU"/>
        </w:rPr>
        <w:t xml:space="preserve"> floor Ratu Plaza Building</w:t>
      </w:r>
    </w:p>
    <w:p w:rsidR="00854A82" w:rsidRPr="00851EC7" w:rsidRDefault="00854A82" w:rsidP="00854A82">
      <w:pPr>
        <w:rPr>
          <w:color w:val="595959" w:themeColor="text1" w:themeTint="A6"/>
          <w:lang w:val="en-AU"/>
        </w:rPr>
      </w:pPr>
      <w:r w:rsidRPr="00851EC7">
        <w:rPr>
          <w:color w:val="595959" w:themeColor="text1" w:themeTint="A6"/>
          <w:lang w:val="en-AU"/>
        </w:rPr>
        <w:t>Jl. Jend. Sudirman No. 9</w:t>
      </w:r>
    </w:p>
    <w:p w:rsidR="00854A82" w:rsidRPr="00851EC7" w:rsidRDefault="00854A82" w:rsidP="00854A82">
      <w:pPr>
        <w:rPr>
          <w:color w:val="595959" w:themeColor="text1" w:themeTint="A6"/>
          <w:lang w:val="en-AU"/>
        </w:rPr>
      </w:pPr>
      <w:r w:rsidRPr="00851EC7">
        <w:rPr>
          <w:color w:val="595959" w:themeColor="text1" w:themeTint="A6"/>
          <w:lang w:val="en-AU"/>
        </w:rPr>
        <w:t>Jakarta 10270</w:t>
      </w:r>
    </w:p>
    <w:p w:rsidR="00854A82" w:rsidRPr="00851EC7" w:rsidRDefault="00854A82" w:rsidP="00854A82">
      <w:pPr>
        <w:rPr>
          <w:color w:val="595959" w:themeColor="text1" w:themeTint="A6"/>
          <w:lang w:val="en-AU"/>
        </w:rPr>
      </w:pPr>
      <w:r w:rsidRPr="00851EC7">
        <w:rPr>
          <w:color w:val="595959" w:themeColor="text1" w:themeTint="A6"/>
          <w:lang w:val="en-AU"/>
        </w:rPr>
        <w:t xml:space="preserve">T: 021 720 6616 </w:t>
      </w:r>
    </w:p>
    <w:p w:rsidR="00854A82" w:rsidRPr="00851EC7" w:rsidRDefault="00854A82" w:rsidP="00854A82">
      <w:pPr>
        <w:rPr>
          <w:color w:val="595959" w:themeColor="text1" w:themeTint="A6"/>
          <w:lang w:val="en-AU"/>
        </w:rPr>
      </w:pPr>
      <w:r w:rsidRPr="00851EC7">
        <w:rPr>
          <w:color w:val="595959" w:themeColor="text1" w:themeTint="A6"/>
          <w:lang w:val="en-AU"/>
        </w:rPr>
        <w:t>F: 021 720 6616 ext.100</w:t>
      </w:r>
    </w:p>
    <w:p w:rsidR="00854A82" w:rsidRPr="00851EC7" w:rsidRDefault="00854A82" w:rsidP="00854A82">
      <w:pPr>
        <w:rPr>
          <w:color w:val="595959" w:themeColor="text1" w:themeTint="A6"/>
          <w:lang w:val="en-AU"/>
        </w:rPr>
      </w:pPr>
      <w:r w:rsidRPr="00851EC7">
        <w:rPr>
          <w:color w:val="595959" w:themeColor="text1" w:themeTint="A6"/>
          <w:lang w:val="en-AU"/>
        </w:rPr>
        <w:t xml:space="preserve">E: </w:t>
      </w:r>
      <w:r w:rsidR="003C0AE1" w:rsidRPr="00851EC7">
        <w:rPr>
          <w:color w:val="595959" w:themeColor="text1" w:themeTint="A6"/>
          <w:lang w:val="en-AU"/>
        </w:rPr>
        <w:t>nick.clinch</w:t>
      </w:r>
      <w:r w:rsidRPr="00851EC7">
        <w:rPr>
          <w:color w:val="595959" w:themeColor="text1" w:themeTint="A6"/>
          <w:lang w:val="en-AU"/>
        </w:rPr>
        <w:t>@ep-pom.com</w:t>
      </w:r>
    </w:p>
    <w:p w:rsidR="00854A82" w:rsidRPr="00851EC7" w:rsidRDefault="00854A82" w:rsidP="00854A82">
      <w:pPr>
        <w:rPr>
          <w:color w:val="595959" w:themeColor="text1" w:themeTint="A6"/>
          <w:lang w:val="en-AU"/>
        </w:rPr>
      </w:pPr>
    </w:p>
    <w:p w:rsidR="00854A82" w:rsidRPr="00851EC7" w:rsidRDefault="00854A82" w:rsidP="00854A82">
      <w:pPr>
        <w:rPr>
          <w:color w:val="595959" w:themeColor="text1" w:themeTint="A6"/>
          <w:lang w:val="en-AU"/>
        </w:rPr>
      </w:pPr>
      <w:r w:rsidRPr="00851EC7">
        <w:rPr>
          <w:color w:val="595959" w:themeColor="text1" w:themeTint="A6"/>
          <w:lang w:val="en-AU"/>
        </w:rPr>
        <w:t>Australian Aid – mana</w:t>
      </w:r>
      <w:r w:rsidR="00814744" w:rsidRPr="00851EC7">
        <w:rPr>
          <w:color w:val="595959" w:themeColor="text1" w:themeTint="A6"/>
          <w:lang w:val="en-AU"/>
        </w:rPr>
        <w:t>ged by GRM International on behalf of the Australian Government</w:t>
      </w:r>
    </w:p>
    <w:p w:rsidR="00854A82" w:rsidRPr="00851EC7" w:rsidRDefault="00854A82" w:rsidP="00854A82">
      <w:pPr>
        <w:rPr>
          <w:color w:val="595959" w:themeColor="text1" w:themeTint="A6"/>
          <w:lang w:val="en-AU"/>
        </w:rPr>
      </w:pPr>
    </w:p>
    <w:p w:rsidR="00854A82" w:rsidRPr="00851EC7" w:rsidRDefault="00854A82" w:rsidP="00854A82">
      <w:pPr>
        <w:rPr>
          <w:b/>
          <w:color w:val="595959" w:themeColor="text1" w:themeTint="A6"/>
          <w:lang w:val="en-AU"/>
        </w:rPr>
      </w:pPr>
      <w:r w:rsidRPr="00851EC7">
        <w:rPr>
          <w:b/>
          <w:color w:val="595959" w:themeColor="text1" w:themeTint="A6"/>
          <w:lang w:val="en-AU"/>
        </w:rPr>
        <w:t>www.kemitraanpendidikan.or.id</w:t>
      </w:r>
    </w:p>
    <w:p w:rsidR="00854A82" w:rsidRPr="00851EC7" w:rsidRDefault="00854A82" w:rsidP="00854A82">
      <w:pPr>
        <w:rPr>
          <w:lang w:val="en-AU"/>
        </w:rPr>
      </w:pPr>
    </w:p>
    <w:sectPr w:rsidR="00854A82" w:rsidRPr="00851EC7" w:rsidSect="00854A82">
      <w:headerReference w:type="default" r:id="rId45"/>
      <w:footerReference w:type="default" r:id="rId46"/>
      <w:footnotePr>
        <w:numRestart w:val="eachSect"/>
      </w:footnotePr>
      <w:endnotePr>
        <w:numRestart w:val="eachSect"/>
      </w:endnotePr>
      <w:type w:val="evenPage"/>
      <w:pgSz w:w="11909" w:h="16834" w:code="9"/>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9D3" w:rsidRDefault="004349D3">
      <w:r>
        <w:separator/>
      </w:r>
    </w:p>
  </w:endnote>
  <w:endnote w:type="continuationSeparator" w:id="0">
    <w:p w:rsidR="004349D3" w:rsidRDefault="004349D3">
      <w:r>
        <w:continuationSeparator/>
      </w:r>
    </w:p>
  </w:endnote>
  <w:endnote w:id="1">
    <w:p w:rsidR="004349D3" w:rsidRPr="008E2B52" w:rsidRDefault="004349D3" w:rsidP="00D52465">
      <w:pPr>
        <w:pStyle w:val="EndnoteText"/>
        <w:spacing w:line="276" w:lineRule="auto"/>
        <w:ind w:left="720" w:hanging="720"/>
        <w:rPr>
          <w:rStyle w:val="EndnoteReference"/>
          <w:rFonts w:asciiTheme="minorHAnsi" w:hAnsiTheme="minorHAnsi"/>
          <w:szCs w:val="20"/>
          <w:vertAlign w:val="baseline"/>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id-ID"/>
        </w:rPr>
        <w:tab/>
      </w:r>
      <w:r>
        <w:rPr>
          <w:rFonts w:asciiTheme="minorHAnsi" w:hAnsiTheme="minorHAnsi"/>
          <w:szCs w:val="20"/>
          <w:lang w:val="en-AU"/>
        </w:rPr>
        <w:t xml:space="preserve">Email from DFAT </w:t>
      </w:r>
      <w:r w:rsidRPr="008E2B52">
        <w:rPr>
          <w:rStyle w:val="EndnoteReference"/>
          <w:rFonts w:asciiTheme="minorHAnsi" w:hAnsiTheme="minorHAnsi"/>
          <w:szCs w:val="20"/>
          <w:vertAlign w:val="baseline"/>
        </w:rPr>
        <w:t>Subject: Official wording: new school building targets</w:t>
      </w:r>
      <w:r>
        <w:rPr>
          <w:rFonts w:asciiTheme="minorHAnsi" w:hAnsiTheme="minorHAnsi"/>
          <w:szCs w:val="20"/>
        </w:rPr>
        <w:t xml:space="preserve">, 8 </w:t>
      </w:r>
      <w:r w:rsidRPr="008E2B52">
        <w:rPr>
          <w:rStyle w:val="EndnoteReference"/>
          <w:rFonts w:asciiTheme="minorHAnsi" w:hAnsiTheme="minorHAnsi"/>
          <w:szCs w:val="20"/>
          <w:vertAlign w:val="baseline"/>
        </w:rPr>
        <w:t>December, 2014</w:t>
      </w:r>
    </w:p>
  </w:endnote>
  <w:endnote w:id="2">
    <w:p w:rsidR="004349D3" w:rsidRPr="008E2B52" w:rsidRDefault="004349D3" w:rsidP="00D52465">
      <w:pPr>
        <w:pStyle w:val="EndnoteText"/>
        <w:spacing w:line="276" w:lineRule="auto"/>
        <w:ind w:left="720" w:hanging="720"/>
        <w:jc w:val="both"/>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AusAID. Draft. The Education Partnership Theory of Change.</w:t>
      </w:r>
    </w:p>
  </w:endnote>
  <w:endnote w:id="3">
    <w:p w:rsidR="004349D3" w:rsidRPr="008E2B52" w:rsidRDefault="004349D3" w:rsidP="00677AAF">
      <w:pPr>
        <w:pStyle w:val="EndnoteText"/>
        <w:spacing w:line="276" w:lineRule="auto"/>
        <w:ind w:left="720" w:hanging="720"/>
        <w:jc w:val="both"/>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677AAF">
        <w:rPr>
          <w:rFonts w:asciiTheme="minorHAnsi" w:hAnsiTheme="minorHAnsi"/>
          <w:szCs w:val="20"/>
          <w:lang w:val="en-AU"/>
        </w:rPr>
        <w:t>An Agreement for Grant Financing Junior Secondary School Construction and Expansion</w:t>
      </w:r>
      <w:r>
        <w:rPr>
          <w:rFonts w:asciiTheme="minorHAnsi" w:hAnsiTheme="minorHAnsi"/>
          <w:szCs w:val="20"/>
          <w:lang w:val="en-AU"/>
        </w:rPr>
        <w:t xml:space="preserve"> </w:t>
      </w:r>
      <w:r w:rsidRPr="00677AAF">
        <w:rPr>
          <w:rFonts w:asciiTheme="minorHAnsi" w:hAnsiTheme="minorHAnsi"/>
          <w:szCs w:val="20"/>
          <w:lang w:val="en-AU"/>
        </w:rPr>
        <w:t>through Australia’s Education Partnership with Indonesia</w:t>
      </w:r>
      <w:r>
        <w:rPr>
          <w:rFonts w:asciiTheme="minorHAnsi" w:hAnsiTheme="minorHAnsi"/>
          <w:szCs w:val="20"/>
          <w:lang w:val="en-AU"/>
        </w:rPr>
        <w:t xml:space="preserve">. </w:t>
      </w:r>
      <w:r w:rsidRPr="00677AAF">
        <w:rPr>
          <w:rFonts w:asciiTheme="minorHAnsi" w:hAnsiTheme="minorHAnsi"/>
          <w:szCs w:val="20"/>
          <w:lang w:val="en-AU"/>
        </w:rPr>
        <w:t>A contribution to the Government of Indonesia’s</w:t>
      </w:r>
      <w:r>
        <w:rPr>
          <w:rFonts w:asciiTheme="minorHAnsi" w:hAnsiTheme="minorHAnsi"/>
          <w:szCs w:val="20"/>
          <w:lang w:val="en-AU"/>
        </w:rPr>
        <w:t xml:space="preserve"> </w:t>
      </w:r>
      <w:r w:rsidRPr="00677AAF">
        <w:rPr>
          <w:rFonts w:asciiTheme="minorHAnsi" w:hAnsiTheme="minorHAnsi"/>
          <w:szCs w:val="20"/>
          <w:lang w:val="en-AU"/>
        </w:rPr>
        <w:t>Education Sector Support Program</w:t>
      </w:r>
      <w:r>
        <w:rPr>
          <w:rFonts w:asciiTheme="minorHAnsi" w:hAnsiTheme="minorHAnsi"/>
          <w:szCs w:val="20"/>
          <w:lang w:val="en-AU"/>
        </w:rPr>
        <w:t xml:space="preserve">, Schedule 1. </w:t>
      </w:r>
      <w:r w:rsidRPr="008E2B52">
        <w:rPr>
          <w:rFonts w:asciiTheme="minorHAnsi" w:hAnsiTheme="minorHAnsi"/>
          <w:szCs w:val="20"/>
          <w:lang w:val="en-AU"/>
        </w:rPr>
        <w:t>AusAID Agreement No. 60472.</w:t>
      </w:r>
    </w:p>
  </w:endnote>
  <w:endnote w:id="4">
    <w:p w:rsidR="004349D3" w:rsidRPr="008E2B52" w:rsidRDefault="004349D3" w:rsidP="008E2B52">
      <w:pPr>
        <w:pStyle w:val="EndnoteText"/>
        <w:spacing w:line="276" w:lineRule="auto"/>
        <w:ind w:left="709" w:hanging="709"/>
        <w:jc w:val="both"/>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677AAF">
        <w:rPr>
          <w:rFonts w:asciiTheme="minorHAnsi" w:hAnsiTheme="minorHAnsi"/>
          <w:szCs w:val="20"/>
          <w:lang w:val="en-AU"/>
        </w:rPr>
        <w:t>An Agreement for Grant Financing Junior Secondary School Construction and Expansion</w:t>
      </w:r>
      <w:r>
        <w:rPr>
          <w:rFonts w:asciiTheme="minorHAnsi" w:hAnsiTheme="minorHAnsi"/>
          <w:szCs w:val="20"/>
          <w:lang w:val="en-AU"/>
        </w:rPr>
        <w:t xml:space="preserve"> </w:t>
      </w:r>
      <w:r w:rsidRPr="00677AAF">
        <w:rPr>
          <w:rFonts w:asciiTheme="minorHAnsi" w:hAnsiTheme="minorHAnsi"/>
          <w:szCs w:val="20"/>
          <w:lang w:val="en-AU"/>
        </w:rPr>
        <w:t>through Australia’s Education Partnership with Indonesia</w:t>
      </w:r>
      <w:r>
        <w:rPr>
          <w:rFonts w:asciiTheme="minorHAnsi" w:hAnsiTheme="minorHAnsi"/>
          <w:szCs w:val="20"/>
          <w:lang w:val="en-AU"/>
        </w:rPr>
        <w:t xml:space="preserve">. </w:t>
      </w:r>
      <w:r w:rsidRPr="00677AAF">
        <w:rPr>
          <w:rFonts w:asciiTheme="minorHAnsi" w:hAnsiTheme="minorHAnsi"/>
          <w:szCs w:val="20"/>
          <w:lang w:val="en-AU"/>
        </w:rPr>
        <w:t>A contribution to the Government of Indonesia’s</w:t>
      </w:r>
      <w:r>
        <w:rPr>
          <w:rFonts w:asciiTheme="minorHAnsi" w:hAnsiTheme="minorHAnsi"/>
          <w:szCs w:val="20"/>
          <w:lang w:val="en-AU"/>
        </w:rPr>
        <w:t xml:space="preserve"> </w:t>
      </w:r>
      <w:r w:rsidRPr="00677AAF">
        <w:rPr>
          <w:rFonts w:asciiTheme="minorHAnsi" w:hAnsiTheme="minorHAnsi"/>
          <w:szCs w:val="20"/>
          <w:lang w:val="en-AU"/>
        </w:rPr>
        <w:t>Education Sector Support Program</w:t>
      </w:r>
      <w:r>
        <w:rPr>
          <w:rFonts w:asciiTheme="minorHAnsi" w:hAnsiTheme="minorHAnsi"/>
          <w:szCs w:val="20"/>
          <w:lang w:val="en-AU"/>
        </w:rPr>
        <w:t xml:space="preserve">, Schedule 1. </w:t>
      </w:r>
      <w:r w:rsidRPr="008E2B52">
        <w:rPr>
          <w:rFonts w:asciiTheme="minorHAnsi" w:hAnsiTheme="minorHAnsi"/>
          <w:szCs w:val="20"/>
          <w:lang w:val="en-AU"/>
        </w:rPr>
        <w:t>AusAID Agreement No. 60472..</w:t>
      </w:r>
    </w:p>
  </w:endnote>
  <w:endnote w:id="5">
    <w:p w:rsidR="004349D3" w:rsidRPr="008E2B52" w:rsidRDefault="004349D3" w:rsidP="008E2B52">
      <w:pPr>
        <w:pStyle w:val="EndnoteText"/>
        <w:spacing w:line="276" w:lineRule="auto"/>
        <w:ind w:left="709" w:hanging="709"/>
        <w:jc w:val="both"/>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677AAF">
        <w:rPr>
          <w:rFonts w:asciiTheme="minorHAnsi" w:hAnsiTheme="minorHAnsi"/>
          <w:szCs w:val="20"/>
          <w:lang w:val="en-AU"/>
        </w:rPr>
        <w:t>An Agreement for Grant Financing Junior Secondary School Construction and Expansion</w:t>
      </w:r>
      <w:r>
        <w:rPr>
          <w:rFonts w:asciiTheme="minorHAnsi" w:hAnsiTheme="minorHAnsi"/>
          <w:szCs w:val="20"/>
          <w:lang w:val="en-AU"/>
        </w:rPr>
        <w:t xml:space="preserve"> </w:t>
      </w:r>
      <w:r w:rsidRPr="00677AAF">
        <w:rPr>
          <w:rFonts w:asciiTheme="minorHAnsi" w:hAnsiTheme="minorHAnsi"/>
          <w:szCs w:val="20"/>
          <w:lang w:val="en-AU"/>
        </w:rPr>
        <w:t>through Australia’s Education Partnership with Indonesia</w:t>
      </w:r>
      <w:r>
        <w:rPr>
          <w:rFonts w:asciiTheme="minorHAnsi" w:hAnsiTheme="minorHAnsi"/>
          <w:szCs w:val="20"/>
          <w:lang w:val="en-AU"/>
        </w:rPr>
        <w:t xml:space="preserve">. </w:t>
      </w:r>
      <w:r w:rsidRPr="00677AAF">
        <w:rPr>
          <w:rFonts w:asciiTheme="minorHAnsi" w:hAnsiTheme="minorHAnsi"/>
          <w:szCs w:val="20"/>
          <w:lang w:val="en-AU"/>
        </w:rPr>
        <w:t>A contribution to the Government of Indonesia’s</w:t>
      </w:r>
      <w:r>
        <w:rPr>
          <w:rFonts w:asciiTheme="minorHAnsi" w:hAnsiTheme="minorHAnsi"/>
          <w:szCs w:val="20"/>
          <w:lang w:val="en-AU"/>
        </w:rPr>
        <w:t xml:space="preserve"> </w:t>
      </w:r>
      <w:r w:rsidRPr="00677AAF">
        <w:rPr>
          <w:rFonts w:asciiTheme="minorHAnsi" w:hAnsiTheme="minorHAnsi"/>
          <w:szCs w:val="20"/>
          <w:lang w:val="en-AU"/>
        </w:rPr>
        <w:t>Education Sector Support Program</w:t>
      </w:r>
      <w:r>
        <w:rPr>
          <w:rFonts w:asciiTheme="minorHAnsi" w:hAnsiTheme="minorHAnsi"/>
          <w:szCs w:val="20"/>
          <w:lang w:val="en-AU"/>
        </w:rPr>
        <w:t xml:space="preserve">, Schedule 1. </w:t>
      </w:r>
      <w:r w:rsidRPr="008E2B52">
        <w:rPr>
          <w:rFonts w:asciiTheme="minorHAnsi" w:hAnsiTheme="minorHAnsi"/>
          <w:szCs w:val="20"/>
          <w:lang w:val="en-AU"/>
        </w:rPr>
        <w:t>AusAID Agreement No. 60472.</w:t>
      </w:r>
    </w:p>
  </w:endnote>
  <w:endnote w:id="6">
    <w:p w:rsidR="004349D3" w:rsidRPr="008E2B52" w:rsidRDefault="004349D3" w:rsidP="008E2B52">
      <w:pPr>
        <w:pStyle w:val="EndnoteText"/>
        <w:spacing w:line="276" w:lineRule="auto"/>
        <w:ind w:left="709" w:hanging="709"/>
        <w:jc w:val="both"/>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677AAF">
        <w:rPr>
          <w:rFonts w:asciiTheme="minorHAnsi" w:hAnsiTheme="minorHAnsi"/>
          <w:szCs w:val="20"/>
          <w:lang w:val="en-AU"/>
        </w:rPr>
        <w:t>An Agreement for Grant Financing Junior Secondary School Construction and Expansion</w:t>
      </w:r>
      <w:r>
        <w:rPr>
          <w:rFonts w:asciiTheme="minorHAnsi" w:hAnsiTheme="minorHAnsi"/>
          <w:szCs w:val="20"/>
          <w:lang w:val="en-AU"/>
        </w:rPr>
        <w:t xml:space="preserve"> </w:t>
      </w:r>
      <w:r w:rsidRPr="00677AAF">
        <w:rPr>
          <w:rFonts w:asciiTheme="minorHAnsi" w:hAnsiTheme="minorHAnsi"/>
          <w:szCs w:val="20"/>
          <w:lang w:val="en-AU"/>
        </w:rPr>
        <w:t>through Australia’s Education Partnership with Indonesia</w:t>
      </w:r>
      <w:r>
        <w:rPr>
          <w:rFonts w:asciiTheme="minorHAnsi" w:hAnsiTheme="minorHAnsi"/>
          <w:szCs w:val="20"/>
          <w:lang w:val="en-AU"/>
        </w:rPr>
        <w:t xml:space="preserve">. </w:t>
      </w:r>
      <w:r w:rsidRPr="00677AAF">
        <w:rPr>
          <w:rFonts w:asciiTheme="minorHAnsi" w:hAnsiTheme="minorHAnsi"/>
          <w:szCs w:val="20"/>
          <w:lang w:val="en-AU"/>
        </w:rPr>
        <w:t>A contribution to the Government of Indonesia’s</w:t>
      </w:r>
      <w:r>
        <w:rPr>
          <w:rFonts w:asciiTheme="minorHAnsi" w:hAnsiTheme="minorHAnsi"/>
          <w:szCs w:val="20"/>
          <w:lang w:val="en-AU"/>
        </w:rPr>
        <w:t xml:space="preserve"> </w:t>
      </w:r>
      <w:r w:rsidRPr="00677AAF">
        <w:rPr>
          <w:rFonts w:asciiTheme="minorHAnsi" w:hAnsiTheme="minorHAnsi"/>
          <w:szCs w:val="20"/>
          <w:lang w:val="en-AU"/>
        </w:rPr>
        <w:t>Education Sector Support Program</w:t>
      </w:r>
      <w:r>
        <w:rPr>
          <w:rFonts w:asciiTheme="minorHAnsi" w:hAnsiTheme="minorHAnsi"/>
          <w:szCs w:val="20"/>
          <w:lang w:val="en-AU"/>
        </w:rPr>
        <w:t xml:space="preserve">, Schedule 1. </w:t>
      </w:r>
      <w:r w:rsidRPr="008E2B52">
        <w:rPr>
          <w:rFonts w:asciiTheme="minorHAnsi" w:hAnsiTheme="minorHAnsi"/>
          <w:szCs w:val="20"/>
          <w:lang w:val="en-AU"/>
        </w:rPr>
        <w:t>AusAID Agreement No. 60472..</w:t>
      </w:r>
    </w:p>
  </w:endnote>
  <w:endnote w:id="7">
    <w:p w:rsidR="004349D3" w:rsidRPr="008E2B52" w:rsidRDefault="004349D3" w:rsidP="008E2B52">
      <w:pPr>
        <w:pStyle w:val="EndnoteText"/>
        <w:tabs>
          <w:tab w:val="left" w:pos="709"/>
        </w:tabs>
        <w:spacing w:line="276" w:lineRule="auto"/>
        <w:ind w:left="709" w:hanging="709"/>
        <w:jc w:val="both"/>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677AAF">
        <w:rPr>
          <w:rFonts w:asciiTheme="minorHAnsi" w:hAnsiTheme="minorHAnsi"/>
          <w:szCs w:val="20"/>
          <w:lang w:val="en-AU"/>
        </w:rPr>
        <w:t>An Agreement for Grant Financing Junior Secondary School Construction and Expansion</w:t>
      </w:r>
      <w:r>
        <w:rPr>
          <w:rFonts w:asciiTheme="minorHAnsi" w:hAnsiTheme="minorHAnsi"/>
          <w:szCs w:val="20"/>
          <w:lang w:val="en-AU"/>
        </w:rPr>
        <w:t xml:space="preserve"> </w:t>
      </w:r>
      <w:r w:rsidRPr="00677AAF">
        <w:rPr>
          <w:rFonts w:asciiTheme="minorHAnsi" w:hAnsiTheme="minorHAnsi"/>
          <w:szCs w:val="20"/>
          <w:lang w:val="en-AU"/>
        </w:rPr>
        <w:t>through Australia’s Education Partnership with Indonesia</w:t>
      </w:r>
      <w:r>
        <w:rPr>
          <w:rFonts w:asciiTheme="minorHAnsi" w:hAnsiTheme="minorHAnsi"/>
          <w:szCs w:val="20"/>
          <w:lang w:val="en-AU"/>
        </w:rPr>
        <w:t xml:space="preserve">. </w:t>
      </w:r>
      <w:r w:rsidRPr="00677AAF">
        <w:rPr>
          <w:rFonts w:asciiTheme="minorHAnsi" w:hAnsiTheme="minorHAnsi"/>
          <w:szCs w:val="20"/>
          <w:lang w:val="en-AU"/>
        </w:rPr>
        <w:t>A contribution to the Government of Indonesia’s</w:t>
      </w:r>
      <w:r>
        <w:rPr>
          <w:rFonts w:asciiTheme="minorHAnsi" w:hAnsiTheme="minorHAnsi"/>
          <w:szCs w:val="20"/>
          <w:lang w:val="en-AU"/>
        </w:rPr>
        <w:t xml:space="preserve"> </w:t>
      </w:r>
      <w:r w:rsidRPr="00677AAF">
        <w:rPr>
          <w:rFonts w:asciiTheme="minorHAnsi" w:hAnsiTheme="minorHAnsi"/>
          <w:szCs w:val="20"/>
          <w:lang w:val="en-AU"/>
        </w:rPr>
        <w:t>Education Sector Support Program</w:t>
      </w:r>
      <w:r>
        <w:rPr>
          <w:rFonts w:asciiTheme="minorHAnsi" w:hAnsiTheme="minorHAnsi"/>
          <w:szCs w:val="20"/>
          <w:lang w:val="en-AU"/>
        </w:rPr>
        <w:t xml:space="preserve">, Schedule 1. </w:t>
      </w:r>
      <w:r w:rsidRPr="008E2B52">
        <w:rPr>
          <w:rFonts w:asciiTheme="minorHAnsi" w:hAnsiTheme="minorHAnsi"/>
          <w:szCs w:val="20"/>
          <w:lang w:val="en-AU"/>
        </w:rPr>
        <w:t>AusAID Agreement No. 60472.</w:t>
      </w:r>
    </w:p>
  </w:endnote>
  <w:endnote w:id="8">
    <w:p w:rsidR="004349D3" w:rsidRPr="008E2B52" w:rsidRDefault="004349D3" w:rsidP="008E2B52">
      <w:pPr>
        <w:pStyle w:val="EndnoteText"/>
        <w:spacing w:line="276" w:lineRule="auto"/>
        <w:ind w:left="720" w:hanging="720"/>
        <w:rPr>
          <w:rFonts w:asciiTheme="minorHAnsi" w:hAnsiTheme="minorHAnsi"/>
          <w:szCs w:val="20"/>
          <w:lang w:val="id-ID"/>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id-ID"/>
        </w:rPr>
        <w:tab/>
      </w:r>
      <w:r>
        <w:rPr>
          <w:rFonts w:asciiTheme="minorHAnsi" w:hAnsiTheme="minorHAnsi"/>
          <w:szCs w:val="20"/>
          <w:lang w:val="en-AU"/>
        </w:rPr>
        <w:t xml:space="preserve">Email from DFAT </w:t>
      </w:r>
      <w:r w:rsidRPr="008E2B52">
        <w:rPr>
          <w:rStyle w:val="EndnoteReference"/>
          <w:rFonts w:asciiTheme="minorHAnsi" w:hAnsiTheme="minorHAnsi"/>
          <w:szCs w:val="20"/>
          <w:vertAlign w:val="baseline"/>
        </w:rPr>
        <w:t>Subject: Official wording: new school building targets</w:t>
      </w:r>
      <w:r>
        <w:rPr>
          <w:rFonts w:asciiTheme="minorHAnsi" w:hAnsiTheme="minorHAnsi"/>
          <w:szCs w:val="20"/>
        </w:rPr>
        <w:t xml:space="preserve">, 8 </w:t>
      </w:r>
      <w:r w:rsidRPr="008E2B52">
        <w:rPr>
          <w:rStyle w:val="EndnoteReference"/>
          <w:rFonts w:asciiTheme="minorHAnsi" w:hAnsiTheme="minorHAnsi"/>
          <w:szCs w:val="20"/>
          <w:vertAlign w:val="baseline"/>
        </w:rPr>
        <w:t>December, 2014</w:t>
      </w:r>
    </w:p>
  </w:endnote>
  <w:endnote w:id="9">
    <w:p w:rsidR="004349D3" w:rsidRPr="00722CAD" w:rsidRDefault="004349D3">
      <w:pPr>
        <w:pStyle w:val="EndnoteText"/>
      </w:pPr>
      <w:r>
        <w:rPr>
          <w:rStyle w:val="EndnoteReference"/>
        </w:rPr>
        <w:endnoteRef/>
      </w:r>
      <w:r>
        <w:t xml:space="preserve"> </w:t>
      </w:r>
      <w:r>
        <w:rPr>
          <w:lang w:val="id-ID"/>
        </w:rPr>
        <w:tab/>
      </w:r>
      <w:r w:rsidRPr="008E2B52">
        <w:rPr>
          <w:rFonts w:asciiTheme="minorHAnsi" w:hAnsiTheme="minorHAnsi"/>
          <w:szCs w:val="20"/>
        </w:rPr>
        <w:t>SSQ. Annual Progress Report 2014</w:t>
      </w:r>
      <w:r>
        <w:rPr>
          <w:rFonts w:asciiTheme="minorHAnsi" w:hAnsiTheme="minorHAnsi"/>
          <w:szCs w:val="20"/>
        </w:rPr>
        <w:t>,</w:t>
      </w:r>
      <w:r w:rsidRPr="008E2B52">
        <w:rPr>
          <w:rFonts w:asciiTheme="minorHAnsi" w:hAnsiTheme="minorHAnsi"/>
          <w:szCs w:val="20"/>
        </w:rPr>
        <w:t xml:space="preserve"> p</w:t>
      </w:r>
      <w:r>
        <w:rPr>
          <w:rFonts w:asciiTheme="minorHAnsi" w:hAnsiTheme="minorHAnsi"/>
          <w:szCs w:val="20"/>
        </w:rPr>
        <w:t>.</w:t>
      </w:r>
      <w:r>
        <w:rPr>
          <w:rFonts w:asciiTheme="minorHAnsi" w:hAnsiTheme="minorHAnsi"/>
          <w:szCs w:val="20"/>
          <w:lang w:val="id-ID"/>
        </w:rPr>
        <w:t>3</w:t>
      </w:r>
      <w:r>
        <w:rPr>
          <w:lang w:val="id-ID"/>
        </w:rPr>
        <w:t>,</w:t>
      </w:r>
    </w:p>
  </w:endnote>
  <w:endnote w:id="10">
    <w:p w:rsidR="004349D3" w:rsidRPr="008E2B52" w:rsidRDefault="004349D3" w:rsidP="008E2B52">
      <w:pPr>
        <w:pStyle w:val="EndnoteText"/>
        <w:spacing w:line="276" w:lineRule="auto"/>
        <w:ind w:left="720" w:hanging="720"/>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 Annual Progress Report 2014</w:t>
      </w:r>
      <w:r>
        <w:rPr>
          <w:rFonts w:asciiTheme="minorHAnsi" w:hAnsiTheme="minorHAnsi"/>
          <w:szCs w:val="20"/>
        </w:rPr>
        <w:t>,</w:t>
      </w:r>
      <w:r w:rsidRPr="008E2B52">
        <w:rPr>
          <w:rFonts w:asciiTheme="minorHAnsi" w:hAnsiTheme="minorHAnsi"/>
          <w:szCs w:val="20"/>
        </w:rPr>
        <w:t xml:space="preserve"> p</w:t>
      </w:r>
      <w:r>
        <w:rPr>
          <w:rFonts w:asciiTheme="minorHAnsi" w:hAnsiTheme="minorHAnsi"/>
          <w:szCs w:val="20"/>
        </w:rPr>
        <w:t>.</w:t>
      </w:r>
      <w:r w:rsidRPr="008E2B52">
        <w:rPr>
          <w:rFonts w:asciiTheme="minorHAnsi" w:hAnsiTheme="minorHAnsi"/>
          <w:szCs w:val="20"/>
        </w:rPr>
        <w:t>19</w:t>
      </w:r>
      <w:r>
        <w:rPr>
          <w:rFonts w:asciiTheme="minorHAnsi" w:hAnsiTheme="minorHAnsi"/>
          <w:szCs w:val="20"/>
        </w:rPr>
        <w:t>.</w:t>
      </w:r>
    </w:p>
  </w:endnote>
  <w:endnote w:id="11">
    <w:p w:rsidR="004349D3" w:rsidRPr="00A3750B" w:rsidRDefault="004349D3">
      <w:pPr>
        <w:pStyle w:val="EndnoteText"/>
        <w:rPr>
          <w:lang w:val="en-AU"/>
        </w:rPr>
      </w:pPr>
      <w:r>
        <w:rPr>
          <w:rStyle w:val="EndnoteReference"/>
        </w:rPr>
        <w:endnoteRef/>
      </w:r>
      <w:r>
        <w:t xml:space="preserve"> </w:t>
      </w:r>
      <w:r>
        <w:tab/>
      </w:r>
      <w:r w:rsidRPr="008E2B52">
        <w:rPr>
          <w:rFonts w:asciiTheme="minorHAnsi" w:hAnsiTheme="minorHAnsi"/>
          <w:szCs w:val="20"/>
          <w:lang w:val="en-AU"/>
        </w:rPr>
        <w:t>POM (2014). Consolidated Audit Report 2013 (submitted to DFAT 29 October 2014)</w:t>
      </w:r>
      <w:r>
        <w:rPr>
          <w:rFonts w:asciiTheme="minorHAnsi" w:hAnsiTheme="minorHAnsi"/>
          <w:szCs w:val="20"/>
          <w:lang w:val="en-AU"/>
        </w:rPr>
        <w:t>, pp. 5-7, 10-11.</w:t>
      </w:r>
    </w:p>
  </w:endnote>
  <w:endnote w:id="12">
    <w:p w:rsidR="004349D3" w:rsidRPr="00677AAF" w:rsidRDefault="004349D3" w:rsidP="004E10FA">
      <w:pPr>
        <w:pStyle w:val="EndnoteText"/>
        <w:spacing w:line="276" w:lineRule="auto"/>
        <w:ind w:left="720" w:hanging="720"/>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id-ID"/>
        </w:rPr>
        <w:tab/>
        <w:t>SSQ. Mid Year Progress Report 2014</w:t>
      </w:r>
      <w:r>
        <w:rPr>
          <w:rFonts w:asciiTheme="minorHAnsi" w:hAnsiTheme="minorHAnsi"/>
          <w:szCs w:val="20"/>
          <w:lang w:val="en-AU"/>
        </w:rPr>
        <w:t>,</w:t>
      </w:r>
      <w:r w:rsidRPr="008E2B52">
        <w:rPr>
          <w:rFonts w:asciiTheme="minorHAnsi" w:hAnsiTheme="minorHAnsi"/>
          <w:szCs w:val="20"/>
          <w:lang w:val="id-ID"/>
        </w:rPr>
        <w:t xml:space="preserve"> p</w:t>
      </w:r>
      <w:r>
        <w:rPr>
          <w:rFonts w:asciiTheme="minorHAnsi" w:hAnsiTheme="minorHAnsi"/>
          <w:szCs w:val="20"/>
          <w:lang w:val="en-AU"/>
        </w:rPr>
        <w:t>.</w:t>
      </w:r>
      <w:r w:rsidRPr="008E2B52">
        <w:rPr>
          <w:rFonts w:asciiTheme="minorHAnsi" w:hAnsiTheme="minorHAnsi"/>
          <w:szCs w:val="20"/>
          <w:lang w:val="id-ID"/>
        </w:rPr>
        <w:t>4</w:t>
      </w:r>
      <w:r>
        <w:rPr>
          <w:rFonts w:asciiTheme="minorHAnsi" w:hAnsiTheme="minorHAnsi"/>
          <w:szCs w:val="20"/>
          <w:lang w:val="en-AU"/>
        </w:rPr>
        <w:t>.</w:t>
      </w:r>
    </w:p>
  </w:endnote>
  <w:endnote w:id="13">
    <w:p w:rsidR="004349D3" w:rsidRDefault="004349D3" w:rsidP="003D20EC">
      <w:pPr>
        <w:pStyle w:val="EndnoteText"/>
        <w:ind w:left="709" w:hanging="709"/>
      </w:pPr>
      <w:r>
        <w:rPr>
          <w:rStyle w:val="EndnoteReference"/>
        </w:rPr>
        <w:endnoteRef/>
      </w:r>
      <w:r>
        <w:t xml:space="preserve"> </w:t>
      </w:r>
      <w:r>
        <w:tab/>
        <w:t>SSQ, ME015 Component 1 The 2013 Construction Cycle Evaluation Report, p.31</w:t>
      </w:r>
    </w:p>
  </w:endnote>
  <w:endnote w:id="14">
    <w:p w:rsidR="004349D3" w:rsidRPr="008E2B52" w:rsidRDefault="004349D3" w:rsidP="008E2B52">
      <w:pPr>
        <w:pStyle w:val="EndnoteText"/>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 xml:space="preserve">Alexander and Lloyd Group (2014). Independent Monitoring of School Construction Technical </w:t>
      </w:r>
      <w:r>
        <w:rPr>
          <w:rFonts w:asciiTheme="minorHAnsi" w:hAnsiTheme="minorHAnsi"/>
          <w:szCs w:val="20"/>
          <w:lang w:val="en-AU"/>
        </w:rPr>
        <w:t>E</w:t>
      </w:r>
      <w:r w:rsidRPr="008E2B52">
        <w:rPr>
          <w:rFonts w:asciiTheme="minorHAnsi" w:hAnsiTheme="minorHAnsi"/>
          <w:szCs w:val="20"/>
          <w:lang w:val="en-AU"/>
        </w:rPr>
        <w:t>valuation Mission 27 October-10 November 2014. Back to Office Report (Final)</w:t>
      </w:r>
      <w:r>
        <w:rPr>
          <w:rFonts w:asciiTheme="minorHAnsi" w:hAnsiTheme="minorHAnsi"/>
          <w:szCs w:val="20"/>
          <w:lang w:val="en-AU"/>
        </w:rPr>
        <w:t>, Annex 3, Conclusions.</w:t>
      </w:r>
    </w:p>
  </w:endnote>
  <w:endnote w:id="15">
    <w:p w:rsidR="004349D3" w:rsidRDefault="004349D3">
      <w:pPr>
        <w:pStyle w:val="EndnoteText"/>
      </w:pPr>
      <w:r>
        <w:rPr>
          <w:rStyle w:val="EndnoteReference"/>
        </w:rPr>
        <w:endnoteRef/>
      </w:r>
      <w:r>
        <w:t xml:space="preserve"> </w:t>
      </w:r>
      <w:r>
        <w:tab/>
        <w:t>SSQ, Annual Progress Report 2014, p. 19.</w:t>
      </w:r>
    </w:p>
  </w:endnote>
  <w:endnote w:id="16">
    <w:p w:rsidR="004349D3" w:rsidRPr="008E2B52" w:rsidRDefault="004349D3" w:rsidP="008E2B52">
      <w:pPr>
        <w:pStyle w:val="EndnoteText"/>
        <w:spacing w:line="276" w:lineRule="auto"/>
        <w:ind w:left="720" w:hanging="720"/>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Interview with MoEC officials</w:t>
      </w:r>
      <w:r>
        <w:rPr>
          <w:rFonts w:asciiTheme="minorHAnsi" w:hAnsiTheme="minorHAnsi"/>
          <w:szCs w:val="20"/>
        </w:rPr>
        <w:t xml:space="preserve">, </w:t>
      </w:r>
      <w:r w:rsidRPr="008E2B52">
        <w:rPr>
          <w:rFonts w:asciiTheme="minorHAnsi" w:hAnsiTheme="minorHAnsi"/>
          <w:szCs w:val="20"/>
        </w:rPr>
        <w:t>13 November 2014.</w:t>
      </w:r>
    </w:p>
  </w:endnote>
  <w:endnote w:id="17">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DFAT.</w:t>
      </w:r>
      <w:r w:rsidRPr="008E2B52">
        <w:rPr>
          <w:rFonts w:asciiTheme="minorHAnsi" w:hAnsiTheme="minorHAnsi"/>
          <w:szCs w:val="20"/>
        </w:rPr>
        <w:t xml:space="preserve"> EP Program Logic, 26 May 2014</w:t>
      </w:r>
    </w:p>
  </w:endnote>
  <w:endnote w:id="18">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w:t>
      </w:r>
      <w:r>
        <w:rPr>
          <w:rFonts w:asciiTheme="minorHAnsi" w:hAnsiTheme="minorHAnsi"/>
          <w:szCs w:val="20"/>
        </w:rPr>
        <w:t>. Annual Progress Report 2013, p.22.</w:t>
      </w:r>
    </w:p>
  </w:endnote>
  <w:endnote w:id="19">
    <w:p w:rsidR="004349D3" w:rsidRPr="008E2B52" w:rsidRDefault="004349D3" w:rsidP="00D20962">
      <w:pPr>
        <w:pStyle w:val="EndnoteText"/>
        <w:spacing w:line="276" w:lineRule="auto"/>
        <w:ind w:left="709" w:hanging="709"/>
        <w:rPr>
          <w:rFonts w:asciiTheme="minorHAnsi" w:hAnsiTheme="minorHAnsi"/>
          <w:szCs w:val="20"/>
        </w:rPr>
      </w:pPr>
      <w:r w:rsidRPr="00677AAF">
        <w:rPr>
          <w:rStyle w:val="EndnoteReference"/>
          <w:rFonts w:asciiTheme="minorHAnsi" w:hAnsiTheme="minorHAnsi"/>
          <w:szCs w:val="20"/>
        </w:rPr>
        <w:endnoteRef/>
      </w:r>
      <w:r w:rsidRPr="00677AAF">
        <w:rPr>
          <w:rFonts w:asciiTheme="minorHAnsi" w:hAnsiTheme="minorHAnsi"/>
          <w:szCs w:val="20"/>
        </w:rPr>
        <w:t xml:space="preserve"> </w:t>
      </w:r>
      <w:r w:rsidRPr="00677AAF">
        <w:rPr>
          <w:rFonts w:asciiTheme="minorHAnsi" w:hAnsiTheme="minorHAnsi"/>
          <w:szCs w:val="20"/>
        </w:rPr>
        <w:tab/>
      </w:r>
      <w:r w:rsidRPr="00677AAF">
        <w:rPr>
          <w:rFonts w:asciiTheme="minorHAnsi" w:hAnsiTheme="minorHAnsi"/>
          <w:szCs w:val="20"/>
          <w:lang w:val="en-AU"/>
        </w:rPr>
        <w:t>Grant Agreement Deed between the Commonwealth of Australia and the Government of the Republic</w:t>
      </w:r>
      <w:r w:rsidRPr="008E2B52">
        <w:rPr>
          <w:rFonts w:asciiTheme="minorHAnsi" w:hAnsiTheme="minorHAnsi"/>
          <w:szCs w:val="20"/>
          <w:lang w:val="en-AU"/>
        </w:rPr>
        <w:t xml:space="preserve"> of Indonesia relating to the Professional Development for Education Personnel through Australia’s Education Partnership with Indonesia. A contribution </w:t>
      </w:r>
      <w:r w:rsidRPr="00677AAF">
        <w:rPr>
          <w:rFonts w:asciiTheme="minorHAnsi" w:hAnsiTheme="minorHAnsi"/>
          <w:szCs w:val="20"/>
          <w:lang w:val="en-AU"/>
        </w:rPr>
        <w:t>to the Government of Indonesia’s Education Sector Support Program. AusAID Agreement No. 64705,</w:t>
      </w:r>
      <w:r w:rsidRPr="00677AAF">
        <w:rPr>
          <w:rFonts w:asciiTheme="minorHAnsi" w:hAnsiTheme="minorHAnsi"/>
          <w:szCs w:val="20"/>
        </w:rPr>
        <w:t xml:space="preserve"> p. 4</w:t>
      </w:r>
      <w:r>
        <w:rPr>
          <w:rFonts w:asciiTheme="minorHAnsi" w:hAnsiTheme="minorHAnsi"/>
          <w:szCs w:val="20"/>
        </w:rPr>
        <w:t>.</w:t>
      </w:r>
    </w:p>
  </w:endnote>
  <w:endnote w:id="20">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w:t>
      </w:r>
      <w:r>
        <w:rPr>
          <w:rFonts w:asciiTheme="minorHAnsi" w:hAnsiTheme="minorHAnsi"/>
          <w:szCs w:val="20"/>
        </w:rPr>
        <w:t>.</w:t>
      </w:r>
      <w:r w:rsidRPr="008E2B52">
        <w:rPr>
          <w:rFonts w:asciiTheme="minorHAnsi" w:hAnsiTheme="minorHAnsi"/>
          <w:szCs w:val="20"/>
        </w:rPr>
        <w:t xml:space="preserve"> Annual Plan 2014</w:t>
      </w:r>
      <w:r>
        <w:rPr>
          <w:rFonts w:asciiTheme="minorHAnsi" w:hAnsiTheme="minorHAnsi"/>
          <w:szCs w:val="20"/>
        </w:rPr>
        <w:t xml:space="preserve">, </w:t>
      </w:r>
      <w:r w:rsidRPr="008E2B52">
        <w:rPr>
          <w:rFonts w:asciiTheme="minorHAnsi" w:hAnsiTheme="minorHAnsi"/>
          <w:szCs w:val="20"/>
        </w:rPr>
        <w:t>pp.47-57</w:t>
      </w:r>
    </w:p>
  </w:endnote>
  <w:endnote w:id="21">
    <w:p w:rsidR="004349D3" w:rsidRPr="008E2B52" w:rsidRDefault="004349D3" w:rsidP="00D20962">
      <w:pPr>
        <w:pStyle w:val="EndnoteText"/>
        <w:spacing w:line="276" w:lineRule="auto"/>
        <w:ind w:left="709" w:hanging="709"/>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 / Pusbangtendik, Sosialisasi Program Hibah, Professional Development for Education Personnel (ProDEP), power point presentation, Jakarta March – April 2014.</w:t>
      </w:r>
    </w:p>
  </w:endnote>
  <w:endnote w:id="22">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 The New School Induction Program (NSIP) Evaluation Report, June 2014, p. 12</w:t>
      </w:r>
    </w:p>
  </w:endnote>
  <w:endnote w:id="23">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t xml:space="preserve">SSQ. Mid-Year Progress </w:t>
      </w:r>
      <w:r w:rsidRPr="00251B53">
        <w:rPr>
          <w:rFonts w:asciiTheme="minorHAnsi" w:hAnsiTheme="minorHAnsi"/>
          <w:szCs w:val="20"/>
        </w:rPr>
        <w:t>Report 2014</w:t>
      </w:r>
      <w:r>
        <w:rPr>
          <w:rFonts w:asciiTheme="minorHAnsi" w:hAnsiTheme="minorHAnsi"/>
          <w:szCs w:val="20"/>
        </w:rPr>
        <w:t xml:space="preserve">, </w:t>
      </w:r>
      <w:r w:rsidRPr="008E2B52">
        <w:rPr>
          <w:rFonts w:asciiTheme="minorHAnsi" w:hAnsiTheme="minorHAnsi"/>
          <w:szCs w:val="20"/>
        </w:rPr>
        <w:t>p.17.</w:t>
      </w:r>
    </w:p>
  </w:endnote>
  <w:endnote w:id="24">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ACDP, ‘Pendidikan Indonesia Gawat Darurat’, </w:t>
      </w:r>
      <w:r w:rsidRPr="008E2B52">
        <w:rPr>
          <w:rFonts w:asciiTheme="minorHAnsi" w:hAnsiTheme="minorHAnsi"/>
          <w:i/>
          <w:szCs w:val="20"/>
        </w:rPr>
        <w:t>Republika</w:t>
      </w:r>
      <w:r w:rsidRPr="008E2B52">
        <w:rPr>
          <w:rFonts w:asciiTheme="minorHAnsi" w:hAnsiTheme="minorHAnsi"/>
          <w:szCs w:val="20"/>
        </w:rPr>
        <w:t xml:space="preserve">, 2 December 2014, p.5. </w:t>
      </w:r>
    </w:p>
  </w:endnote>
  <w:endnote w:id="25">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ACDP, ‘Madrasah Kian Diminati’, </w:t>
      </w:r>
      <w:r w:rsidRPr="008E2B52">
        <w:rPr>
          <w:rFonts w:asciiTheme="minorHAnsi" w:hAnsiTheme="minorHAnsi"/>
          <w:i/>
          <w:szCs w:val="20"/>
        </w:rPr>
        <w:t>Republika</w:t>
      </w:r>
      <w:r>
        <w:rPr>
          <w:rFonts w:asciiTheme="minorHAnsi" w:hAnsiTheme="minorHAnsi"/>
          <w:szCs w:val="20"/>
        </w:rPr>
        <w:t>, 18 November 2014, p.</w:t>
      </w:r>
      <w:r w:rsidRPr="008E2B52">
        <w:rPr>
          <w:rFonts w:asciiTheme="minorHAnsi" w:hAnsiTheme="minorHAnsi"/>
          <w:szCs w:val="20"/>
        </w:rPr>
        <w:t>22.</w:t>
      </w:r>
      <w:r>
        <w:rPr>
          <w:rFonts w:asciiTheme="minorHAnsi" w:hAnsiTheme="minorHAnsi"/>
          <w:szCs w:val="20"/>
        </w:rPr>
        <w:t xml:space="preserve"> </w:t>
      </w:r>
    </w:p>
  </w:endnote>
  <w:endnote w:id="26">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DFAT</w:t>
      </w:r>
      <w:r>
        <w:rPr>
          <w:rFonts w:asciiTheme="minorHAnsi" w:hAnsiTheme="minorHAnsi"/>
          <w:szCs w:val="20"/>
        </w:rPr>
        <w:t xml:space="preserve">. </w:t>
      </w:r>
      <w:r w:rsidRPr="008E2B52">
        <w:rPr>
          <w:rFonts w:asciiTheme="minorHAnsi" w:hAnsiTheme="minorHAnsi"/>
          <w:szCs w:val="20"/>
        </w:rPr>
        <w:t xml:space="preserve">Weekly </w:t>
      </w:r>
      <w:r>
        <w:rPr>
          <w:rFonts w:asciiTheme="minorHAnsi" w:hAnsiTheme="minorHAnsi"/>
          <w:szCs w:val="20"/>
        </w:rPr>
        <w:t>U</w:t>
      </w:r>
      <w:r w:rsidRPr="008E2B52">
        <w:rPr>
          <w:rFonts w:asciiTheme="minorHAnsi" w:hAnsiTheme="minorHAnsi"/>
          <w:szCs w:val="20"/>
        </w:rPr>
        <w:t>pdate 4 July 2014.</w:t>
      </w:r>
    </w:p>
  </w:endnote>
  <w:endnote w:id="27">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SSQ, </w:t>
      </w:r>
      <w:r w:rsidRPr="00251B53">
        <w:rPr>
          <w:rFonts w:asciiTheme="minorHAnsi" w:hAnsiTheme="minorHAnsi"/>
          <w:szCs w:val="20"/>
        </w:rPr>
        <w:t>Annual Progress Report 2014</w:t>
      </w:r>
      <w:r>
        <w:rPr>
          <w:rFonts w:asciiTheme="minorHAnsi" w:hAnsiTheme="minorHAnsi"/>
          <w:szCs w:val="20"/>
        </w:rPr>
        <w:t xml:space="preserve">, </w:t>
      </w:r>
      <w:r w:rsidRPr="008E2B52">
        <w:rPr>
          <w:rFonts w:asciiTheme="minorHAnsi" w:hAnsiTheme="minorHAnsi"/>
          <w:szCs w:val="20"/>
        </w:rPr>
        <w:t>pp.12-14</w:t>
      </w:r>
    </w:p>
  </w:endnote>
  <w:endnote w:id="28">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id-ID"/>
        </w:rPr>
        <w:t>SSQ. Mid Year Progress Report 2014</w:t>
      </w:r>
      <w:r>
        <w:rPr>
          <w:rFonts w:asciiTheme="minorHAnsi" w:hAnsiTheme="minorHAnsi"/>
          <w:szCs w:val="20"/>
          <w:lang w:val="en-AU"/>
        </w:rPr>
        <w:t xml:space="preserve">, </w:t>
      </w:r>
      <w:r>
        <w:rPr>
          <w:rFonts w:asciiTheme="minorHAnsi" w:hAnsiTheme="minorHAnsi"/>
          <w:szCs w:val="20"/>
        </w:rPr>
        <w:t>p.</w:t>
      </w:r>
      <w:r w:rsidRPr="008E2B52">
        <w:rPr>
          <w:rFonts w:asciiTheme="minorHAnsi" w:hAnsiTheme="minorHAnsi"/>
          <w:szCs w:val="20"/>
        </w:rPr>
        <w:t>17.</w:t>
      </w:r>
    </w:p>
  </w:endnote>
  <w:endnote w:id="29">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w:t>
      </w:r>
      <w:r>
        <w:rPr>
          <w:rFonts w:asciiTheme="minorHAnsi" w:hAnsiTheme="minorHAnsi"/>
          <w:szCs w:val="20"/>
        </w:rPr>
        <w:t>.</w:t>
      </w:r>
      <w:r w:rsidRPr="008E2B52">
        <w:rPr>
          <w:rFonts w:asciiTheme="minorHAnsi" w:hAnsiTheme="minorHAnsi"/>
          <w:szCs w:val="20"/>
        </w:rPr>
        <w:t xml:space="preserve"> Weekly </w:t>
      </w:r>
      <w:r>
        <w:rPr>
          <w:rFonts w:asciiTheme="minorHAnsi" w:hAnsiTheme="minorHAnsi"/>
          <w:szCs w:val="20"/>
        </w:rPr>
        <w:t>U</w:t>
      </w:r>
      <w:r w:rsidRPr="008E2B52">
        <w:rPr>
          <w:rFonts w:asciiTheme="minorHAnsi" w:hAnsiTheme="minorHAnsi"/>
          <w:szCs w:val="20"/>
        </w:rPr>
        <w:t>pdate 12 March 2014.</w:t>
      </w:r>
    </w:p>
  </w:endnote>
  <w:endnote w:id="30">
    <w:p w:rsidR="004349D3" w:rsidRPr="008E2B52" w:rsidRDefault="004349D3" w:rsidP="00D20962">
      <w:pPr>
        <w:pStyle w:val="EndnoteText"/>
        <w:spacing w:line="276" w:lineRule="auto"/>
        <w:rPr>
          <w:rFonts w:asciiTheme="minorHAnsi" w:hAnsiTheme="minorHAnsi"/>
          <w:szCs w:val="20"/>
        </w:rPr>
      </w:pPr>
      <w:r w:rsidRPr="002F63E7">
        <w:rPr>
          <w:rStyle w:val="EndnoteReference"/>
          <w:rFonts w:asciiTheme="minorHAnsi" w:hAnsiTheme="minorHAnsi"/>
          <w:szCs w:val="20"/>
        </w:rPr>
        <w:endnoteRef/>
      </w:r>
      <w:r w:rsidRPr="002F63E7">
        <w:rPr>
          <w:rFonts w:asciiTheme="minorHAnsi" w:hAnsiTheme="minorHAnsi"/>
          <w:szCs w:val="20"/>
        </w:rPr>
        <w:t xml:space="preserve"> </w:t>
      </w:r>
      <w:r w:rsidRPr="002F63E7">
        <w:rPr>
          <w:rFonts w:asciiTheme="minorHAnsi" w:hAnsiTheme="minorHAnsi"/>
          <w:szCs w:val="20"/>
        </w:rPr>
        <w:tab/>
        <w:t>Discussion with MOEC official, 28 October 2014.</w:t>
      </w:r>
    </w:p>
  </w:endnote>
  <w:endnote w:id="31">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The Jakarta Post, ‘Anies highlights teachers role in mental revolution’, 24 November 2014.</w:t>
      </w:r>
    </w:p>
  </w:endnote>
  <w:endnote w:id="32">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SSQ, New School Induction Program (NSIP), Evaluation Report, </w:t>
      </w:r>
      <w:r>
        <w:rPr>
          <w:rFonts w:asciiTheme="minorHAnsi" w:hAnsiTheme="minorHAnsi"/>
          <w:szCs w:val="20"/>
        </w:rPr>
        <w:t xml:space="preserve">June </w:t>
      </w:r>
      <w:r w:rsidRPr="008E2B52">
        <w:rPr>
          <w:rFonts w:asciiTheme="minorHAnsi" w:hAnsiTheme="minorHAnsi"/>
          <w:szCs w:val="20"/>
        </w:rPr>
        <w:t>2014, p. vi</w:t>
      </w:r>
      <w:r>
        <w:rPr>
          <w:rFonts w:asciiTheme="minorHAnsi" w:hAnsiTheme="minorHAnsi"/>
          <w:szCs w:val="20"/>
        </w:rPr>
        <w:t>.</w:t>
      </w:r>
    </w:p>
  </w:endnote>
  <w:endnote w:id="33">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r>
      <w:r w:rsidRPr="008E2B52">
        <w:rPr>
          <w:rFonts w:asciiTheme="minorHAnsi" w:hAnsiTheme="minorHAnsi"/>
          <w:szCs w:val="20"/>
        </w:rPr>
        <w:t xml:space="preserve">SSQ, New School Induction Program (NSIP), Evaluation Report, </w:t>
      </w:r>
      <w:r>
        <w:rPr>
          <w:rFonts w:asciiTheme="minorHAnsi" w:hAnsiTheme="minorHAnsi"/>
          <w:szCs w:val="20"/>
        </w:rPr>
        <w:t xml:space="preserve">June </w:t>
      </w:r>
      <w:r w:rsidRPr="008E2B52">
        <w:rPr>
          <w:rFonts w:asciiTheme="minorHAnsi" w:hAnsiTheme="minorHAnsi"/>
          <w:szCs w:val="20"/>
        </w:rPr>
        <w:t>2014, p. vi.</w:t>
      </w:r>
    </w:p>
  </w:endnote>
  <w:endnote w:id="34">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251B53">
        <w:rPr>
          <w:rFonts w:asciiTheme="minorHAnsi" w:hAnsiTheme="minorHAnsi"/>
          <w:szCs w:val="20"/>
        </w:rPr>
        <w:t>SSQ, Mid-Year Progress Report 2014</w:t>
      </w:r>
      <w:r>
        <w:rPr>
          <w:rFonts w:asciiTheme="minorHAnsi" w:hAnsiTheme="minorHAnsi"/>
          <w:szCs w:val="20"/>
        </w:rPr>
        <w:t xml:space="preserve">, </w:t>
      </w:r>
      <w:r w:rsidRPr="008E2B52">
        <w:rPr>
          <w:rFonts w:asciiTheme="minorHAnsi" w:hAnsiTheme="minorHAnsi"/>
          <w:szCs w:val="20"/>
        </w:rPr>
        <w:t>p.14.</w:t>
      </w:r>
    </w:p>
  </w:endnote>
  <w:endnote w:id="35">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w:t>
      </w:r>
      <w:r>
        <w:rPr>
          <w:rFonts w:asciiTheme="minorHAnsi" w:hAnsiTheme="minorHAnsi"/>
          <w:szCs w:val="20"/>
        </w:rPr>
        <w:t>.</w:t>
      </w:r>
      <w:r w:rsidRPr="008E2B52">
        <w:rPr>
          <w:rFonts w:asciiTheme="minorHAnsi" w:hAnsiTheme="minorHAnsi"/>
          <w:szCs w:val="20"/>
        </w:rPr>
        <w:t xml:space="preserve"> Annual Progress Report 2014</w:t>
      </w:r>
      <w:r>
        <w:rPr>
          <w:rFonts w:asciiTheme="minorHAnsi" w:hAnsiTheme="minorHAnsi"/>
          <w:szCs w:val="20"/>
        </w:rPr>
        <w:t>, p.</w:t>
      </w:r>
      <w:r w:rsidRPr="008E2B52">
        <w:rPr>
          <w:rFonts w:asciiTheme="minorHAnsi" w:hAnsiTheme="minorHAnsi"/>
          <w:szCs w:val="20"/>
        </w:rPr>
        <w:t xml:space="preserve">52. </w:t>
      </w:r>
    </w:p>
  </w:endnote>
  <w:endnote w:id="36">
    <w:p w:rsidR="004349D3" w:rsidRPr="008E2B52" w:rsidRDefault="004349D3" w:rsidP="00D20962">
      <w:pPr>
        <w:pStyle w:val="EndnoteText"/>
        <w:spacing w:line="276" w:lineRule="auto"/>
        <w:ind w:left="709" w:hanging="709"/>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Board of Development for Human Resource Education and Culture and Education Quality Assurance, </w:t>
      </w:r>
      <w:r w:rsidRPr="008E2B52">
        <w:rPr>
          <w:rFonts w:asciiTheme="minorHAnsi" w:hAnsiTheme="minorHAnsi"/>
          <w:i/>
          <w:szCs w:val="20"/>
        </w:rPr>
        <w:t>Circulation Letter Number 29479/J/LL/2014</w:t>
      </w:r>
      <w:r w:rsidRPr="008E2B52">
        <w:rPr>
          <w:rFonts w:asciiTheme="minorHAnsi" w:hAnsiTheme="minorHAnsi"/>
          <w:szCs w:val="20"/>
        </w:rPr>
        <w:t>, 27 November 2014.</w:t>
      </w:r>
    </w:p>
  </w:endnote>
  <w:endnote w:id="37">
    <w:p w:rsidR="004349D3" w:rsidRPr="00501D51" w:rsidRDefault="004349D3" w:rsidP="00D20962">
      <w:pPr>
        <w:pStyle w:val="EndnoteText"/>
        <w:rPr>
          <w:lang w:val="en-AU"/>
        </w:rPr>
      </w:pPr>
      <w:r>
        <w:rPr>
          <w:rStyle w:val="EndnoteReference"/>
        </w:rPr>
        <w:endnoteRef/>
      </w:r>
      <w:r>
        <w:t xml:space="preserve"> </w:t>
      </w:r>
      <w:r>
        <w:tab/>
      </w:r>
      <w:r>
        <w:rPr>
          <w:lang w:val="en-AU"/>
        </w:rPr>
        <w:t>Ibid.</w:t>
      </w:r>
    </w:p>
  </w:endnote>
  <w:endnote w:id="38">
    <w:p w:rsidR="004349D3" w:rsidRPr="00501D51" w:rsidRDefault="004349D3" w:rsidP="00D20962">
      <w:pPr>
        <w:pStyle w:val="EndnoteText"/>
        <w:rPr>
          <w:lang w:val="en-AU"/>
        </w:rPr>
      </w:pPr>
      <w:r>
        <w:rPr>
          <w:rStyle w:val="EndnoteReference"/>
        </w:rPr>
        <w:endnoteRef/>
      </w:r>
      <w:r>
        <w:t xml:space="preserve"> </w:t>
      </w:r>
      <w:r>
        <w:tab/>
      </w:r>
      <w:r>
        <w:rPr>
          <w:lang w:val="en-AU"/>
        </w:rPr>
        <w:t>Comment by Santi Savitri, APPR feedback discussion 05 January 2015.</w:t>
      </w:r>
    </w:p>
  </w:endnote>
  <w:endnote w:id="39">
    <w:p w:rsidR="004349D3" w:rsidRPr="008E2B52" w:rsidRDefault="004349D3" w:rsidP="00D20962">
      <w:pPr>
        <w:pStyle w:val="EndnoteText"/>
        <w:spacing w:line="276" w:lineRule="auto"/>
        <w:ind w:left="709" w:hanging="709"/>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SSQ, </w:t>
      </w:r>
      <w:r w:rsidRPr="00251B53">
        <w:rPr>
          <w:rFonts w:asciiTheme="minorHAnsi" w:hAnsiTheme="minorHAnsi"/>
          <w:szCs w:val="20"/>
        </w:rPr>
        <w:t>ProDEP Socialization and Eligible Entity Capacity Review and Training Needs Analysis 2014</w:t>
      </w:r>
      <w:r w:rsidRPr="008E2B52">
        <w:rPr>
          <w:rFonts w:asciiTheme="minorHAnsi" w:hAnsiTheme="minorHAnsi"/>
          <w:szCs w:val="20"/>
        </w:rPr>
        <w:t xml:space="preserve">, </w:t>
      </w:r>
      <w:r>
        <w:rPr>
          <w:rFonts w:asciiTheme="minorHAnsi" w:hAnsiTheme="minorHAnsi"/>
          <w:szCs w:val="20"/>
        </w:rPr>
        <w:t xml:space="preserve">Final Report, </w:t>
      </w:r>
      <w:r w:rsidRPr="008E2B52">
        <w:rPr>
          <w:rFonts w:asciiTheme="minorHAnsi" w:hAnsiTheme="minorHAnsi"/>
          <w:szCs w:val="20"/>
        </w:rPr>
        <w:t>p.10.</w:t>
      </w:r>
      <w:r>
        <w:rPr>
          <w:rFonts w:asciiTheme="minorHAnsi" w:hAnsiTheme="minorHAnsi"/>
          <w:szCs w:val="20"/>
        </w:rPr>
        <w:t xml:space="preserve"> </w:t>
      </w:r>
    </w:p>
  </w:endnote>
  <w:endnote w:id="40">
    <w:p w:rsidR="004349D3" w:rsidRPr="008E2B52" w:rsidRDefault="004349D3" w:rsidP="00D20962">
      <w:pPr>
        <w:pStyle w:val="EndnoteText"/>
        <w:tabs>
          <w:tab w:val="left" w:pos="709"/>
        </w:tabs>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 xml:space="preserve">Minutes of the SDTOG Coordination Meeting, </w:t>
      </w:r>
      <w:r w:rsidRPr="008E2B52">
        <w:rPr>
          <w:rFonts w:asciiTheme="minorHAnsi" w:hAnsiTheme="minorHAnsi"/>
          <w:szCs w:val="20"/>
        </w:rPr>
        <w:t>October 2014</w:t>
      </w:r>
      <w:r>
        <w:rPr>
          <w:rFonts w:asciiTheme="minorHAnsi" w:hAnsiTheme="minorHAnsi"/>
          <w:szCs w:val="20"/>
        </w:rPr>
        <w:t>.</w:t>
      </w:r>
    </w:p>
  </w:endnote>
  <w:endnote w:id="41">
    <w:p w:rsidR="004349D3" w:rsidRPr="00501D51" w:rsidRDefault="004349D3" w:rsidP="00D20962">
      <w:pPr>
        <w:pStyle w:val="EndnoteText"/>
        <w:rPr>
          <w:lang w:val="en-AU"/>
        </w:rPr>
      </w:pPr>
      <w:r>
        <w:rPr>
          <w:rStyle w:val="EndnoteReference"/>
        </w:rPr>
        <w:endnoteRef/>
      </w:r>
      <w:r>
        <w:t xml:space="preserve"> </w:t>
      </w:r>
      <w:r>
        <w:tab/>
      </w:r>
      <w:r>
        <w:rPr>
          <w:lang w:val="en-AU"/>
        </w:rPr>
        <w:t>DFAT, written feedback to the APPR, 30 January 2015.</w:t>
      </w:r>
    </w:p>
  </w:endnote>
  <w:endnote w:id="42">
    <w:p w:rsidR="004349D3" w:rsidRPr="00501D51" w:rsidRDefault="004349D3" w:rsidP="00D20962">
      <w:pPr>
        <w:pStyle w:val="EndnoteText"/>
        <w:rPr>
          <w:lang w:val="en-AU"/>
        </w:rPr>
      </w:pPr>
      <w:r>
        <w:rPr>
          <w:rStyle w:val="EndnoteReference"/>
        </w:rPr>
        <w:endnoteRef/>
      </w:r>
      <w:r>
        <w:t xml:space="preserve"> </w:t>
      </w:r>
      <w:r>
        <w:tab/>
      </w:r>
      <w:r>
        <w:rPr>
          <w:lang w:val="en-AU"/>
        </w:rPr>
        <w:t>Updated ProDEP data, provided by C2 on 30 January 2015.</w:t>
      </w:r>
    </w:p>
  </w:endnote>
  <w:endnote w:id="43">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Board of Development for Human Resource Education and Culture and Education Quality Assurance,</w:t>
      </w:r>
    </w:p>
    <w:p w:rsidR="004349D3" w:rsidRPr="008E2B52" w:rsidRDefault="004349D3" w:rsidP="00D20962">
      <w:pPr>
        <w:pStyle w:val="EndnoteText"/>
        <w:spacing w:line="276" w:lineRule="auto"/>
        <w:rPr>
          <w:rFonts w:asciiTheme="minorHAnsi" w:hAnsiTheme="minorHAnsi"/>
          <w:szCs w:val="20"/>
        </w:rPr>
      </w:pPr>
      <w:r w:rsidRPr="008E2B52">
        <w:rPr>
          <w:rFonts w:asciiTheme="minorHAnsi" w:hAnsiTheme="minorHAnsi"/>
          <w:szCs w:val="20"/>
        </w:rPr>
        <w:tab/>
      </w:r>
      <w:r w:rsidRPr="008E2B52">
        <w:rPr>
          <w:rFonts w:asciiTheme="minorHAnsi" w:hAnsiTheme="minorHAnsi"/>
          <w:i/>
          <w:szCs w:val="20"/>
        </w:rPr>
        <w:t>Rapat Koordinasi SDTOG 30 Oktober 2014</w:t>
      </w:r>
      <w:r w:rsidRPr="008E2B52">
        <w:rPr>
          <w:rFonts w:asciiTheme="minorHAnsi" w:hAnsiTheme="minorHAnsi"/>
          <w:szCs w:val="20"/>
        </w:rPr>
        <w:t>, handout, p.14.</w:t>
      </w:r>
    </w:p>
  </w:endnote>
  <w:endnote w:id="44">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Email</w:t>
      </w:r>
      <w:r>
        <w:rPr>
          <w:rFonts w:asciiTheme="minorHAnsi" w:hAnsiTheme="minorHAnsi"/>
          <w:szCs w:val="20"/>
        </w:rPr>
        <w:t xml:space="preserve"> from G</w:t>
      </w:r>
      <w:r w:rsidRPr="008E2B52">
        <w:rPr>
          <w:rFonts w:asciiTheme="minorHAnsi" w:hAnsiTheme="minorHAnsi"/>
          <w:szCs w:val="20"/>
        </w:rPr>
        <w:t>raham Dawson, 21 October 2014.</w:t>
      </w:r>
    </w:p>
  </w:endnote>
  <w:endnote w:id="45">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 xml:space="preserve">Email from </w:t>
      </w:r>
      <w:r w:rsidRPr="008E2B52">
        <w:rPr>
          <w:rFonts w:asciiTheme="minorHAnsi" w:hAnsiTheme="minorHAnsi"/>
          <w:szCs w:val="20"/>
        </w:rPr>
        <w:t>Graham Dawson</w:t>
      </w:r>
      <w:r>
        <w:rPr>
          <w:rFonts w:asciiTheme="minorHAnsi" w:hAnsiTheme="minorHAnsi"/>
          <w:szCs w:val="20"/>
        </w:rPr>
        <w:t>, 18 December 2014.</w:t>
      </w:r>
    </w:p>
  </w:endnote>
  <w:endnote w:id="46">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t xml:space="preserve">Email from </w:t>
      </w:r>
      <w:r w:rsidRPr="008E2B52">
        <w:rPr>
          <w:rFonts w:asciiTheme="minorHAnsi" w:hAnsiTheme="minorHAnsi"/>
          <w:szCs w:val="20"/>
        </w:rPr>
        <w:t>Graham Dawson, 22 December 2014.</w:t>
      </w:r>
    </w:p>
  </w:endnote>
  <w:endnote w:id="47">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w:t>
      </w:r>
      <w:r>
        <w:rPr>
          <w:rFonts w:asciiTheme="minorHAnsi" w:hAnsiTheme="minorHAnsi"/>
          <w:szCs w:val="20"/>
        </w:rPr>
        <w:t xml:space="preserve">. </w:t>
      </w:r>
      <w:r w:rsidRPr="00A748B3">
        <w:rPr>
          <w:rFonts w:asciiTheme="minorHAnsi" w:hAnsiTheme="minorHAnsi"/>
          <w:szCs w:val="20"/>
        </w:rPr>
        <w:t>Mid-Year Progress Report, 2014</w:t>
      </w:r>
      <w:r>
        <w:rPr>
          <w:rFonts w:asciiTheme="minorHAnsi" w:hAnsiTheme="minorHAnsi"/>
          <w:szCs w:val="20"/>
        </w:rPr>
        <w:t>, p.</w:t>
      </w:r>
      <w:r w:rsidRPr="008E2B52">
        <w:rPr>
          <w:rFonts w:asciiTheme="minorHAnsi" w:hAnsiTheme="minorHAnsi"/>
          <w:szCs w:val="20"/>
        </w:rPr>
        <w:t>20.</w:t>
      </w:r>
    </w:p>
  </w:endnote>
  <w:endnote w:id="48">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SSQ, New School Induction Program (NSIP), Evaluation Report, </w:t>
      </w:r>
      <w:r>
        <w:rPr>
          <w:rFonts w:asciiTheme="minorHAnsi" w:hAnsiTheme="minorHAnsi"/>
          <w:szCs w:val="20"/>
        </w:rPr>
        <w:t xml:space="preserve">June </w:t>
      </w:r>
      <w:r w:rsidRPr="008E2B52">
        <w:rPr>
          <w:rFonts w:asciiTheme="minorHAnsi" w:hAnsiTheme="minorHAnsi"/>
          <w:szCs w:val="20"/>
        </w:rPr>
        <w:t>2014, p 3</w:t>
      </w:r>
      <w:r>
        <w:rPr>
          <w:rFonts w:asciiTheme="minorHAnsi" w:hAnsiTheme="minorHAnsi"/>
          <w:szCs w:val="20"/>
        </w:rPr>
        <w:t>.</w:t>
      </w:r>
    </w:p>
  </w:endnote>
  <w:endnote w:id="49">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SSQ, Annual Progress Report 2014</w:t>
      </w:r>
      <w:r>
        <w:rPr>
          <w:rFonts w:asciiTheme="minorHAnsi" w:hAnsiTheme="minorHAnsi"/>
          <w:szCs w:val="20"/>
        </w:rPr>
        <w:t xml:space="preserve">, </w:t>
      </w:r>
      <w:r w:rsidRPr="008E2B52">
        <w:rPr>
          <w:rFonts w:asciiTheme="minorHAnsi" w:hAnsiTheme="minorHAnsi"/>
          <w:szCs w:val="20"/>
        </w:rPr>
        <w:t xml:space="preserve">p. 20. </w:t>
      </w:r>
    </w:p>
  </w:endnote>
  <w:endnote w:id="50">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t xml:space="preserve">Interview with </w:t>
      </w:r>
      <w:r w:rsidRPr="008E2B52">
        <w:rPr>
          <w:rFonts w:asciiTheme="minorHAnsi" w:hAnsiTheme="minorHAnsi"/>
          <w:szCs w:val="20"/>
        </w:rPr>
        <w:t>Muktiono Waspodo, 28 October 2014.</w:t>
      </w:r>
    </w:p>
  </w:endnote>
  <w:endnote w:id="51">
    <w:p w:rsidR="004349D3" w:rsidRPr="008E2B52" w:rsidRDefault="004349D3" w:rsidP="00D20962">
      <w:pPr>
        <w:pStyle w:val="EndnoteText"/>
        <w:spacing w:line="276" w:lineRule="auto"/>
        <w:ind w:left="709" w:hanging="709"/>
        <w:rPr>
          <w:rFonts w:asciiTheme="minorHAnsi" w:hAnsiTheme="minorHAnsi"/>
          <w:szCs w:val="20"/>
        </w:rPr>
      </w:pPr>
      <w:r w:rsidRPr="008E2B52">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t>ACDP.</w:t>
      </w:r>
      <w:r w:rsidRPr="008E2B52">
        <w:rPr>
          <w:rFonts w:asciiTheme="minorHAnsi" w:hAnsiTheme="minorHAnsi"/>
          <w:szCs w:val="20"/>
        </w:rPr>
        <w:t xml:space="preserve"> School and Madrasah Principals and Supervisors Competencies Baseline Study </w:t>
      </w:r>
      <w:r>
        <w:rPr>
          <w:rFonts w:asciiTheme="minorHAnsi" w:hAnsiTheme="minorHAnsi"/>
          <w:szCs w:val="20"/>
        </w:rPr>
        <w:t>2013.</w:t>
      </w:r>
      <w:r w:rsidRPr="008E2B52">
        <w:rPr>
          <w:rFonts w:asciiTheme="minorHAnsi" w:hAnsiTheme="minorHAnsi"/>
          <w:szCs w:val="20"/>
        </w:rPr>
        <w:t xml:space="preserve"> p. 25.</w:t>
      </w:r>
    </w:p>
  </w:endnote>
  <w:endnote w:id="52">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Email from G</w:t>
      </w:r>
      <w:r w:rsidRPr="008E2B52">
        <w:rPr>
          <w:rFonts w:asciiTheme="minorHAnsi" w:hAnsiTheme="minorHAnsi"/>
          <w:szCs w:val="20"/>
        </w:rPr>
        <w:t>raham Dawson</w:t>
      </w:r>
      <w:r>
        <w:rPr>
          <w:rFonts w:asciiTheme="minorHAnsi" w:hAnsiTheme="minorHAnsi"/>
          <w:szCs w:val="20"/>
        </w:rPr>
        <w:t xml:space="preserve">, </w:t>
      </w:r>
      <w:r w:rsidRPr="008E2B52">
        <w:rPr>
          <w:rFonts w:asciiTheme="minorHAnsi" w:hAnsiTheme="minorHAnsi"/>
          <w:szCs w:val="20"/>
        </w:rPr>
        <w:t>18 December 2014</w:t>
      </w:r>
    </w:p>
  </w:endnote>
  <w:endnote w:id="53">
    <w:p w:rsidR="004349D3" w:rsidRPr="008E2B52" w:rsidRDefault="004349D3" w:rsidP="00D20962">
      <w:pPr>
        <w:ind w:left="709" w:hanging="709"/>
        <w:rPr>
          <w:rFonts w:asciiTheme="minorHAnsi" w:hAnsiTheme="minorHAnsi"/>
          <w:szCs w:val="20"/>
        </w:rPr>
      </w:pPr>
      <w:r w:rsidRPr="008E2B52">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r>
      <w:r w:rsidRPr="00F47513">
        <w:rPr>
          <w:rFonts w:asciiTheme="minorHAnsi" w:hAnsiTheme="minorHAnsi"/>
          <w:sz w:val="20"/>
          <w:szCs w:val="20"/>
        </w:rPr>
        <w:t>Enrolment data for school year 2013/2014</w:t>
      </w:r>
      <w:r>
        <w:rPr>
          <w:rFonts w:asciiTheme="minorHAnsi" w:hAnsiTheme="minorHAnsi"/>
          <w:sz w:val="20"/>
          <w:szCs w:val="20"/>
        </w:rPr>
        <w:t xml:space="preserve">, sourced from: </w:t>
      </w:r>
      <w:hyperlink r:id="rId1" w:history="1">
        <w:r w:rsidRPr="00F47513">
          <w:rPr>
            <w:sz w:val="20"/>
            <w:szCs w:val="20"/>
          </w:rPr>
          <w:t>http://dapo.dikdas.kemdikbud.go.id/exreport/</w:t>
        </w:r>
      </w:hyperlink>
      <w:r w:rsidRPr="00F47513">
        <w:rPr>
          <w:rFonts w:asciiTheme="minorHAnsi" w:hAnsiTheme="minorHAnsi"/>
          <w:sz w:val="20"/>
          <w:szCs w:val="20"/>
        </w:rPr>
        <w:t xml:space="preserve"> </w:t>
      </w:r>
    </w:p>
  </w:endnote>
  <w:endnote w:id="54">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 xml:space="preserve">Interview with </w:t>
      </w:r>
      <w:r w:rsidRPr="008E2B52">
        <w:rPr>
          <w:rFonts w:asciiTheme="minorHAnsi" w:hAnsiTheme="minorHAnsi"/>
          <w:szCs w:val="20"/>
        </w:rPr>
        <w:t>Yudi Herman</w:t>
      </w:r>
      <w:r>
        <w:rPr>
          <w:rFonts w:asciiTheme="minorHAnsi" w:hAnsiTheme="minorHAnsi"/>
          <w:szCs w:val="20"/>
        </w:rPr>
        <w:t>, 27 October 2014; and with A</w:t>
      </w:r>
      <w:r w:rsidRPr="008E2B52">
        <w:rPr>
          <w:rFonts w:asciiTheme="minorHAnsi" w:hAnsiTheme="minorHAnsi"/>
          <w:szCs w:val="20"/>
        </w:rPr>
        <w:t>bi Sujak</w:t>
      </w:r>
      <w:r>
        <w:rPr>
          <w:rFonts w:asciiTheme="minorHAnsi" w:hAnsiTheme="minorHAnsi"/>
          <w:szCs w:val="20"/>
        </w:rPr>
        <w:t xml:space="preserve">, </w:t>
      </w:r>
      <w:r w:rsidRPr="008E2B52">
        <w:rPr>
          <w:rFonts w:asciiTheme="minorHAnsi" w:hAnsiTheme="minorHAnsi"/>
          <w:szCs w:val="20"/>
        </w:rPr>
        <w:t>17</w:t>
      </w:r>
      <w:r>
        <w:rPr>
          <w:rFonts w:asciiTheme="minorHAnsi" w:hAnsiTheme="minorHAnsi"/>
          <w:szCs w:val="20"/>
        </w:rPr>
        <w:t xml:space="preserve"> </w:t>
      </w:r>
      <w:r w:rsidRPr="008E2B52">
        <w:rPr>
          <w:rFonts w:asciiTheme="minorHAnsi" w:hAnsiTheme="minorHAnsi"/>
          <w:szCs w:val="20"/>
        </w:rPr>
        <w:t>November 2014.</w:t>
      </w:r>
    </w:p>
  </w:endnote>
  <w:endnote w:id="55">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Interview </w:t>
      </w:r>
      <w:r>
        <w:rPr>
          <w:rFonts w:asciiTheme="minorHAnsi" w:hAnsiTheme="minorHAnsi"/>
          <w:szCs w:val="20"/>
        </w:rPr>
        <w:t xml:space="preserve">with </w:t>
      </w:r>
      <w:r w:rsidRPr="008E2B52">
        <w:rPr>
          <w:rFonts w:asciiTheme="minorHAnsi" w:hAnsiTheme="minorHAnsi"/>
          <w:szCs w:val="20"/>
        </w:rPr>
        <w:t>Santi Savitri</w:t>
      </w:r>
      <w:r>
        <w:rPr>
          <w:rFonts w:asciiTheme="minorHAnsi" w:hAnsiTheme="minorHAnsi"/>
          <w:szCs w:val="20"/>
        </w:rPr>
        <w:t xml:space="preserve">, </w:t>
      </w:r>
      <w:r w:rsidRPr="008E2B52">
        <w:rPr>
          <w:rFonts w:asciiTheme="minorHAnsi" w:hAnsiTheme="minorHAnsi"/>
          <w:szCs w:val="20"/>
        </w:rPr>
        <w:t>24 October 2014</w:t>
      </w:r>
      <w:r>
        <w:rPr>
          <w:rFonts w:asciiTheme="minorHAnsi" w:hAnsiTheme="minorHAnsi"/>
          <w:szCs w:val="20"/>
        </w:rPr>
        <w:t xml:space="preserve">; and with </w:t>
      </w:r>
      <w:r w:rsidRPr="008E2B52">
        <w:rPr>
          <w:rFonts w:asciiTheme="minorHAnsi" w:hAnsiTheme="minorHAnsi"/>
          <w:szCs w:val="20"/>
        </w:rPr>
        <w:t>Yaya Kardiawarman</w:t>
      </w:r>
      <w:r>
        <w:rPr>
          <w:rFonts w:asciiTheme="minorHAnsi" w:hAnsiTheme="minorHAnsi"/>
          <w:szCs w:val="20"/>
        </w:rPr>
        <w:t xml:space="preserve">, </w:t>
      </w:r>
      <w:r w:rsidRPr="008E2B52">
        <w:rPr>
          <w:rFonts w:asciiTheme="minorHAnsi" w:hAnsiTheme="minorHAnsi"/>
          <w:szCs w:val="20"/>
        </w:rPr>
        <w:t xml:space="preserve">30 October 2014. </w:t>
      </w:r>
    </w:p>
  </w:endnote>
  <w:endnote w:id="56">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A748B3">
        <w:rPr>
          <w:rFonts w:asciiTheme="minorHAnsi" w:hAnsiTheme="minorHAnsi"/>
          <w:szCs w:val="20"/>
        </w:rPr>
        <w:t>SSQ, Annual Progress Report 2014</w:t>
      </w:r>
      <w:r>
        <w:rPr>
          <w:rFonts w:asciiTheme="minorHAnsi" w:hAnsiTheme="minorHAnsi"/>
          <w:szCs w:val="20"/>
        </w:rPr>
        <w:t xml:space="preserve">, </w:t>
      </w:r>
      <w:r w:rsidRPr="008E2B52">
        <w:rPr>
          <w:rFonts w:asciiTheme="minorHAnsi" w:hAnsiTheme="minorHAnsi"/>
          <w:szCs w:val="20"/>
        </w:rPr>
        <w:t>p.62.</w:t>
      </w:r>
    </w:p>
  </w:endnote>
  <w:endnote w:id="57">
    <w:p w:rsidR="004349D3" w:rsidRPr="008E2B52" w:rsidRDefault="004349D3" w:rsidP="00D20962">
      <w:pPr>
        <w:pStyle w:val="EndnoteText"/>
        <w:spacing w:line="276" w:lineRule="auto"/>
        <w:ind w:left="709" w:hanging="709"/>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A748B3">
        <w:rPr>
          <w:rFonts w:asciiTheme="minorHAnsi" w:hAnsiTheme="minorHAnsi"/>
          <w:szCs w:val="20"/>
        </w:rPr>
        <w:t xml:space="preserve">SSQ, ProDEP Socialization and Eligible Entity Capacity Review and Training Needs Analysis 2014, </w:t>
      </w:r>
      <w:r>
        <w:rPr>
          <w:rFonts w:asciiTheme="minorHAnsi" w:hAnsiTheme="minorHAnsi"/>
          <w:szCs w:val="20"/>
        </w:rPr>
        <w:t>V</w:t>
      </w:r>
      <w:r w:rsidRPr="00A748B3">
        <w:rPr>
          <w:rFonts w:asciiTheme="minorHAnsi" w:hAnsiTheme="minorHAnsi"/>
          <w:szCs w:val="20"/>
        </w:rPr>
        <w:t>ersion 2, August</w:t>
      </w:r>
      <w:r w:rsidRPr="008E2B52">
        <w:rPr>
          <w:rFonts w:asciiTheme="minorHAnsi" w:hAnsiTheme="minorHAnsi"/>
          <w:szCs w:val="20"/>
        </w:rPr>
        <w:t xml:space="preserve"> 2014</w:t>
      </w:r>
      <w:r>
        <w:rPr>
          <w:rFonts w:asciiTheme="minorHAnsi" w:hAnsiTheme="minorHAnsi"/>
          <w:szCs w:val="20"/>
        </w:rPr>
        <w:t xml:space="preserve">, </w:t>
      </w:r>
      <w:r w:rsidRPr="008E2B52">
        <w:rPr>
          <w:rFonts w:asciiTheme="minorHAnsi" w:hAnsiTheme="minorHAnsi"/>
          <w:szCs w:val="20"/>
        </w:rPr>
        <w:t xml:space="preserve">p.28. </w:t>
      </w:r>
    </w:p>
  </w:endnote>
  <w:endnote w:id="58">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Email from G</w:t>
      </w:r>
      <w:r w:rsidRPr="008E2B52">
        <w:rPr>
          <w:rFonts w:asciiTheme="minorHAnsi" w:hAnsiTheme="minorHAnsi"/>
          <w:szCs w:val="20"/>
        </w:rPr>
        <w:t>raham Dawson</w:t>
      </w:r>
      <w:r>
        <w:rPr>
          <w:rFonts w:asciiTheme="minorHAnsi" w:hAnsiTheme="minorHAnsi"/>
          <w:szCs w:val="20"/>
        </w:rPr>
        <w:t xml:space="preserve">, </w:t>
      </w:r>
      <w:r w:rsidRPr="008E2B52">
        <w:rPr>
          <w:rFonts w:asciiTheme="minorHAnsi" w:hAnsiTheme="minorHAnsi"/>
          <w:szCs w:val="20"/>
        </w:rPr>
        <w:t xml:space="preserve">18 December 2014. </w:t>
      </w:r>
    </w:p>
  </w:endnote>
  <w:endnote w:id="59">
    <w:p w:rsidR="004349D3" w:rsidRPr="008E2B52" w:rsidRDefault="004349D3" w:rsidP="00D20962">
      <w:pPr>
        <w:pStyle w:val="EndnoteText"/>
        <w:spacing w:line="276" w:lineRule="auto"/>
        <w:ind w:left="709" w:hanging="709"/>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Minutes of the SDTOG Coordination Meeting,</w:t>
      </w:r>
      <w:r w:rsidRPr="008E2B52">
        <w:rPr>
          <w:rFonts w:asciiTheme="minorHAnsi" w:hAnsiTheme="minorHAnsi"/>
          <w:szCs w:val="20"/>
        </w:rPr>
        <w:t xml:space="preserve"> 30 October 2014. </w:t>
      </w:r>
    </w:p>
  </w:endnote>
  <w:endnote w:id="60">
    <w:p w:rsidR="004349D3" w:rsidRPr="00501D51" w:rsidRDefault="004349D3" w:rsidP="00D20962">
      <w:pPr>
        <w:pStyle w:val="EndnoteText"/>
        <w:rPr>
          <w:lang w:val="en-AU"/>
        </w:rPr>
      </w:pPr>
      <w:r>
        <w:rPr>
          <w:rStyle w:val="EndnoteReference"/>
        </w:rPr>
        <w:endnoteRef/>
      </w:r>
      <w:r>
        <w:t xml:space="preserve"> </w:t>
      </w:r>
      <w:r>
        <w:tab/>
      </w:r>
      <w:r>
        <w:rPr>
          <w:lang w:val="en-AU"/>
        </w:rPr>
        <w:t>DFAT written feedback provided on 30 January 2015.</w:t>
      </w:r>
    </w:p>
  </w:endnote>
  <w:endnote w:id="61">
    <w:p w:rsidR="004349D3" w:rsidRPr="008E2B52" w:rsidRDefault="004349D3" w:rsidP="00D20962">
      <w:pPr>
        <w:pStyle w:val="EndnoteText"/>
        <w:spacing w:line="276" w:lineRule="auto"/>
        <w:rPr>
          <w:rFonts w:asciiTheme="minorHAnsi" w:hAnsiTheme="minorHAnsi"/>
          <w:szCs w:val="20"/>
        </w:rPr>
      </w:pPr>
      <w:r w:rsidRPr="008E2B52">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t xml:space="preserve">POM. PMF Guidance Note, </w:t>
      </w:r>
      <w:r w:rsidRPr="008E2B52">
        <w:rPr>
          <w:rFonts w:asciiTheme="minorHAnsi" w:hAnsiTheme="minorHAnsi"/>
          <w:szCs w:val="20"/>
        </w:rPr>
        <w:t xml:space="preserve">p.13. </w:t>
      </w:r>
    </w:p>
  </w:endnote>
  <w:endnote w:id="62">
    <w:p w:rsidR="004349D3" w:rsidRPr="008E2B52" w:rsidRDefault="004349D3" w:rsidP="00D20962">
      <w:pPr>
        <w:pStyle w:val="EndnoteText"/>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MoRA</w:t>
      </w:r>
      <w:r>
        <w:rPr>
          <w:rFonts w:asciiTheme="minorHAnsi" w:hAnsiTheme="minorHAnsi"/>
          <w:szCs w:val="20"/>
        </w:rPr>
        <w:t xml:space="preserve">. </w:t>
      </w:r>
      <w:r w:rsidRPr="008E2B52">
        <w:rPr>
          <w:rFonts w:asciiTheme="minorHAnsi" w:hAnsiTheme="minorHAnsi"/>
          <w:szCs w:val="20"/>
        </w:rPr>
        <w:t>‘</w:t>
      </w:r>
      <w:r w:rsidRPr="00A748B3">
        <w:rPr>
          <w:rFonts w:asciiTheme="minorHAnsi" w:hAnsiTheme="minorHAnsi"/>
          <w:i/>
          <w:szCs w:val="20"/>
        </w:rPr>
        <w:t>Profil Direktorat Jenderal Pendidikan Islam Tahun Anggaran</w:t>
      </w:r>
      <w:r w:rsidRPr="008E2B52">
        <w:rPr>
          <w:rFonts w:asciiTheme="minorHAnsi" w:hAnsiTheme="minorHAnsi"/>
          <w:szCs w:val="20"/>
        </w:rPr>
        <w:t xml:space="preserve"> 2012/ 2013’.</w:t>
      </w:r>
    </w:p>
  </w:endnote>
  <w:endnote w:id="63">
    <w:p w:rsidR="004349D3" w:rsidRPr="008E2B52" w:rsidRDefault="004349D3" w:rsidP="00D20962">
      <w:pPr>
        <w:pStyle w:val="FootnoteText"/>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 xml:space="preserve">DFAT. </w:t>
      </w:r>
      <w:r w:rsidRPr="008E2B52">
        <w:rPr>
          <w:rFonts w:asciiTheme="minorHAnsi" w:hAnsiTheme="minorHAnsi"/>
          <w:szCs w:val="20"/>
          <w:lang w:val="en-AU"/>
        </w:rPr>
        <w:t xml:space="preserve">Education Partnership Theory of Change 2013 </w:t>
      </w:r>
      <w:r>
        <w:rPr>
          <w:rFonts w:asciiTheme="minorHAnsi" w:hAnsiTheme="minorHAnsi"/>
          <w:szCs w:val="20"/>
          <w:lang w:val="en-AU"/>
        </w:rPr>
        <w:t>V</w:t>
      </w:r>
      <w:r w:rsidRPr="008E2B52">
        <w:rPr>
          <w:rFonts w:asciiTheme="minorHAnsi" w:hAnsiTheme="minorHAnsi"/>
          <w:szCs w:val="20"/>
          <w:lang w:val="en-AU"/>
        </w:rPr>
        <w:t>ersion 12, p</w:t>
      </w:r>
      <w:r>
        <w:rPr>
          <w:rFonts w:asciiTheme="minorHAnsi" w:hAnsiTheme="minorHAnsi"/>
          <w:szCs w:val="20"/>
          <w:lang w:val="en-AU"/>
        </w:rPr>
        <w:t xml:space="preserve"> </w:t>
      </w:r>
      <w:r w:rsidRPr="008E2B52">
        <w:rPr>
          <w:rFonts w:asciiTheme="minorHAnsi" w:hAnsiTheme="minorHAnsi"/>
          <w:szCs w:val="20"/>
          <w:lang w:val="en-AU"/>
        </w:rPr>
        <w:t>5.</w:t>
      </w:r>
    </w:p>
  </w:endnote>
  <w:endnote w:id="64">
    <w:p w:rsidR="004349D3" w:rsidRPr="008E2B52" w:rsidRDefault="004349D3" w:rsidP="00D20962">
      <w:pPr>
        <w:pStyle w:val="EndnoteText"/>
        <w:spacing w:line="276" w:lineRule="auto"/>
        <w:rPr>
          <w:rFonts w:asciiTheme="minorHAnsi" w:hAnsiTheme="minorHAnsi"/>
          <w:szCs w:val="20"/>
          <w:lang w:val="en-AU"/>
        </w:rPr>
      </w:pPr>
      <w:r w:rsidRPr="00015838">
        <w:rPr>
          <w:rStyle w:val="EndnoteReference"/>
          <w:rFonts w:asciiTheme="minorHAnsi" w:hAnsiTheme="minorHAnsi"/>
          <w:szCs w:val="20"/>
        </w:rPr>
        <w:endnoteRef/>
      </w:r>
      <w:r w:rsidRPr="00015838">
        <w:rPr>
          <w:rFonts w:asciiTheme="minorHAnsi" w:hAnsiTheme="minorHAnsi"/>
          <w:szCs w:val="20"/>
        </w:rPr>
        <w:t xml:space="preserve"> </w:t>
      </w:r>
      <w:r w:rsidRPr="00015838">
        <w:rPr>
          <w:rFonts w:asciiTheme="minorHAnsi" w:hAnsiTheme="minorHAnsi"/>
          <w:szCs w:val="20"/>
        </w:rPr>
        <w:tab/>
        <w:t>SSQ Mid-Year Report 2014, p. 22.</w:t>
      </w:r>
      <w:r>
        <w:rPr>
          <w:rFonts w:asciiTheme="minorHAnsi" w:hAnsiTheme="minorHAnsi"/>
          <w:szCs w:val="20"/>
        </w:rPr>
        <w:t xml:space="preserve"> </w:t>
      </w:r>
    </w:p>
  </w:endnote>
  <w:endnote w:id="65">
    <w:p w:rsidR="004349D3" w:rsidRPr="008E2B52" w:rsidRDefault="004349D3" w:rsidP="00D20962">
      <w:pPr>
        <w:pStyle w:val="EndnoteText"/>
        <w:spacing w:line="276" w:lineRule="auto"/>
        <w:ind w:left="709" w:hanging="709"/>
        <w:rPr>
          <w:rFonts w:asciiTheme="minorHAnsi" w:hAnsiTheme="minorHAnsi"/>
          <w:szCs w:val="20"/>
          <w:lang w:val="en-AU"/>
        </w:rPr>
      </w:pPr>
      <w:r w:rsidRPr="002F63E7">
        <w:rPr>
          <w:rStyle w:val="EndnoteReference"/>
          <w:rFonts w:asciiTheme="minorHAnsi" w:hAnsiTheme="minorHAnsi"/>
          <w:szCs w:val="20"/>
        </w:rPr>
        <w:endnoteRef/>
      </w:r>
      <w:r w:rsidRPr="002F63E7">
        <w:rPr>
          <w:rFonts w:asciiTheme="minorHAnsi" w:hAnsiTheme="minorHAnsi"/>
          <w:szCs w:val="20"/>
        </w:rPr>
        <w:t xml:space="preserve"> </w:t>
      </w:r>
      <w:r w:rsidRPr="002F63E7">
        <w:rPr>
          <w:rFonts w:asciiTheme="minorHAnsi" w:hAnsiTheme="minorHAnsi"/>
          <w:szCs w:val="20"/>
        </w:rPr>
        <w:tab/>
        <w:t xml:space="preserve">Confirmation of the number of 150 madrasah was made by a MoRA official during discussions at the </w:t>
      </w:r>
      <w:r w:rsidRPr="002F63E7">
        <w:rPr>
          <w:rFonts w:asciiTheme="minorHAnsi" w:hAnsiTheme="minorHAnsi"/>
          <w:szCs w:val="20"/>
          <w:lang w:val="en-AU"/>
        </w:rPr>
        <w:t>2014 APPR C3 presentation.</w:t>
      </w:r>
    </w:p>
  </w:endnote>
  <w:endnote w:id="66">
    <w:p w:rsidR="004349D3" w:rsidRPr="008E2B52" w:rsidRDefault="004349D3" w:rsidP="00D20962">
      <w:pPr>
        <w:pStyle w:val="EndnoteText"/>
        <w:spacing w:line="276" w:lineRule="auto"/>
        <w:rPr>
          <w:rFonts w:asciiTheme="minorHAnsi" w:hAnsiTheme="minorHAnsi"/>
          <w:szCs w:val="20"/>
          <w:lang w:val="en-AU"/>
        </w:rPr>
      </w:pPr>
      <w:r w:rsidRPr="00DF73D2">
        <w:rPr>
          <w:rStyle w:val="EndnoteReference"/>
          <w:rFonts w:asciiTheme="minorHAnsi" w:hAnsiTheme="minorHAnsi"/>
          <w:szCs w:val="20"/>
        </w:rPr>
        <w:endnoteRef/>
      </w:r>
      <w:r w:rsidRPr="00DF73D2">
        <w:rPr>
          <w:rFonts w:asciiTheme="minorHAnsi" w:hAnsiTheme="minorHAnsi"/>
          <w:szCs w:val="20"/>
        </w:rPr>
        <w:t xml:space="preserve"> </w:t>
      </w:r>
      <w:r w:rsidRPr="00DF73D2">
        <w:rPr>
          <w:rFonts w:asciiTheme="minorHAnsi" w:hAnsiTheme="minorHAnsi"/>
          <w:szCs w:val="20"/>
        </w:rPr>
        <w:tab/>
      </w:r>
      <w:r w:rsidRPr="00DF73D2">
        <w:rPr>
          <w:rFonts w:asciiTheme="minorHAnsi" w:hAnsiTheme="minorHAnsi"/>
          <w:szCs w:val="20"/>
          <w:lang w:val="en-AU"/>
        </w:rPr>
        <w:t>SSQ Annual Progress Report 2014, p.28.</w:t>
      </w:r>
    </w:p>
  </w:endnote>
  <w:endnote w:id="67">
    <w:p w:rsidR="004349D3" w:rsidRPr="008E2B52" w:rsidRDefault="004349D3" w:rsidP="00D20962">
      <w:pPr>
        <w:pStyle w:val="EndnoteText"/>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ADB</w:t>
      </w:r>
      <w:r>
        <w:rPr>
          <w:rFonts w:asciiTheme="minorHAnsi" w:hAnsiTheme="minorHAnsi"/>
          <w:szCs w:val="20"/>
          <w:lang w:val="en-AU"/>
        </w:rPr>
        <w:t>.</w:t>
      </w:r>
      <w:r w:rsidRPr="008E2B52">
        <w:rPr>
          <w:rFonts w:asciiTheme="minorHAnsi" w:hAnsiTheme="minorHAnsi"/>
          <w:szCs w:val="20"/>
          <w:lang w:val="en-AU"/>
        </w:rPr>
        <w:t xml:space="preserve"> Madrasah Education Development Project Completion Report, 2014</w:t>
      </w:r>
      <w:r>
        <w:rPr>
          <w:rFonts w:asciiTheme="minorHAnsi" w:hAnsiTheme="minorHAnsi"/>
          <w:szCs w:val="20"/>
          <w:lang w:val="en-AU"/>
        </w:rPr>
        <w:t>, p.</w:t>
      </w:r>
      <w:r w:rsidRPr="008E2B52">
        <w:rPr>
          <w:rFonts w:asciiTheme="minorHAnsi" w:hAnsiTheme="minorHAnsi"/>
          <w:szCs w:val="20"/>
          <w:lang w:val="en-AU"/>
        </w:rPr>
        <w:t xml:space="preserve"> 7 and </w:t>
      </w:r>
      <w:r>
        <w:rPr>
          <w:rFonts w:asciiTheme="minorHAnsi" w:hAnsiTheme="minorHAnsi"/>
          <w:szCs w:val="20"/>
          <w:lang w:val="en-AU"/>
        </w:rPr>
        <w:t xml:space="preserve">p. </w:t>
      </w:r>
      <w:r w:rsidRPr="008E2B52">
        <w:rPr>
          <w:rFonts w:asciiTheme="minorHAnsi" w:hAnsiTheme="minorHAnsi"/>
          <w:szCs w:val="20"/>
          <w:lang w:val="en-AU"/>
        </w:rPr>
        <w:t>55.</w:t>
      </w:r>
    </w:p>
  </w:endnote>
  <w:endnote w:id="68">
    <w:p w:rsidR="004349D3" w:rsidRPr="002F63E7" w:rsidRDefault="004349D3" w:rsidP="00D20962">
      <w:pPr>
        <w:pStyle w:val="EndnoteText"/>
        <w:spacing w:line="276" w:lineRule="auto"/>
        <w:rPr>
          <w:rFonts w:asciiTheme="minorHAnsi" w:hAnsiTheme="minorHAnsi"/>
          <w:szCs w:val="20"/>
          <w:lang w:val="en-AU"/>
        </w:rPr>
      </w:pPr>
      <w:r w:rsidRPr="002F63E7">
        <w:rPr>
          <w:rStyle w:val="EndnoteReference"/>
          <w:rFonts w:asciiTheme="minorHAnsi" w:hAnsiTheme="minorHAnsi"/>
          <w:szCs w:val="20"/>
        </w:rPr>
        <w:endnoteRef/>
      </w:r>
      <w:r w:rsidRPr="002F63E7">
        <w:rPr>
          <w:rFonts w:asciiTheme="minorHAnsi" w:hAnsiTheme="minorHAnsi"/>
          <w:szCs w:val="20"/>
        </w:rPr>
        <w:t xml:space="preserve"> </w:t>
      </w:r>
      <w:r w:rsidRPr="002F63E7">
        <w:rPr>
          <w:rFonts w:asciiTheme="minorHAnsi" w:hAnsiTheme="minorHAnsi"/>
          <w:szCs w:val="20"/>
        </w:rPr>
        <w:tab/>
        <w:t>SSQ. Evaluation of Component 3, Phase 1. ME011, p. 36.</w:t>
      </w:r>
    </w:p>
  </w:endnote>
  <w:endnote w:id="69">
    <w:p w:rsidR="004349D3" w:rsidRPr="00DF73D2" w:rsidRDefault="004349D3" w:rsidP="00D20962">
      <w:pPr>
        <w:pStyle w:val="EndnoteText"/>
        <w:spacing w:line="276" w:lineRule="auto"/>
        <w:rPr>
          <w:rFonts w:asciiTheme="minorHAnsi" w:hAnsiTheme="minorHAnsi"/>
          <w:szCs w:val="20"/>
          <w:lang w:val="en-AU"/>
        </w:rPr>
      </w:pPr>
      <w:r w:rsidRPr="00DF73D2">
        <w:rPr>
          <w:rStyle w:val="EndnoteReference"/>
          <w:rFonts w:asciiTheme="minorHAnsi" w:hAnsiTheme="minorHAnsi"/>
          <w:szCs w:val="20"/>
        </w:rPr>
        <w:endnoteRef/>
      </w:r>
      <w:r w:rsidRPr="00DF73D2">
        <w:rPr>
          <w:rFonts w:asciiTheme="minorHAnsi" w:hAnsiTheme="minorHAnsi"/>
          <w:szCs w:val="20"/>
        </w:rPr>
        <w:t xml:space="preserve"> </w:t>
      </w:r>
      <w:r w:rsidRPr="00DF73D2">
        <w:rPr>
          <w:rFonts w:asciiTheme="minorHAnsi" w:hAnsiTheme="minorHAnsi"/>
          <w:szCs w:val="20"/>
        </w:rPr>
        <w:tab/>
      </w:r>
      <w:r w:rsidRPr="00DF73D2">
        <w:rPr>
          <w:rFonts w:asciiTheme="minorHAnsi" w:hAnsiTheme="minorHAnsi"/>
          <w:szCs w:val="20"/>
          <w:lang w:val="en-AU"/>
        </w:rPr>
        <w:t>SSQ Annual Progress Report 2014, p.23.</w:t>
      </w:r>
    </w:p>
  </w:endnote>
  <w:endnote w:id="70">
    <w:p w:rsidR="004349D3" w:rsidRPr="008E2B52" w:rsidRDefault="004349D3" w:rsidP="00D20962">
      <w:pPr>
        <w:pStyle w:val="EndnoteText"/>
        <w:spacing w:line="276" w:lineRule="auto"/>
        <w:rPr>
          <w:rFonts w:asciiTheme="minorHAnsi" w:hAnsiTheme="minorHAnsi"/>
          <w:szCs w:val="20"/>
          <w:lang w:val="en-AU"/>
        </w:rPr>
      </w:pPr>
      <w:r w:rsidRPr="00DF73D2">
        <w:rPr>
          <w:rStyle w:val="EndnoteReference"/>
          <w:rFonts w:asciiTheme="minorHAnsi" w:hAnsiTheme="minorHAnsi"/>
          <w:szCs w:val="20"/>
        </w:rPr>
        <w:endnoteRef/>
      </w:r>
      <w:r w:rsidRPr="00DF73D2">
        <w:rPr>
          <w:rFonts w:asciiTheme="minorHAnsi" w:hAnsiTheme="minorHAnsi"/>
          <w:szCs w:val="20"/>
        </w:rPr>
        <w:t xml:space="preserve"> </w:t>
      </w:r>
      <w:r w:rsidRPr="00DF73D2">
        <w:rPr>
          <w:rFonts w:asciiTheme="minorHAnsi" w:hAnsiTheme="minorHAnsi"/>
          <w:szCs w:val="20"/>
        </w:rPr>
        <w:tab/>
      </w:r>
      <w:r w:rsidRPr="00DF73D2">
        <w:rPr>
          <w:rFonts w:asciiTheme="minorHAnsi" w:hAnsiTheme="minorHAnsi"/>
          <w:szCs w:val="20"/>
          <w:lang w:val="en-AU"/>
        </w:rPr>
        <w:t>SSQ Annual Progress Report 2014, p</w:t>
      </w:r>
      <w:r>
        <w:rPr>
          <w:rFonts w:asciiTheme="minorHAnsi" w:hAnsiTheme="minorHAnsi"/>
          <w:szCs w:val="20"/>
          <w:lang w:val="en-AU"/>
        </w:rPr>
        <w:t>.</w:t>
      </w:r>
      <w:r w:rsidRPr="00DF73D2">
        <w:rPr>
          <w:rFonts w:asciiTheme="minorHAnsi" w:hAnsiTheme="minorHAnsi"/>
          <w:szCs w:val="20"/>
          <w:lang w:val="en-AU"/>
        </w:rPr>
        <w:t>23.</w:t>
      </w:r>
    </w:p>
  </w:endnote>
  <w:endnote w:id="71">
    <w:p w:rsidR="004349D3" w:rsidRPr="003A3E1F" w:rsidRDefault="004349D3" w:rsidP="00D20962">
      <w:pPr>
        <w:pStyle w:val="EndnoteText"/>
        <w:rPr>
          <w:lang w:val="en-AU"/>
        </w:rPr>
      </w:pPr>
      <w:r>
        <w:rPr>
          <w:rStyle w:val="EndnoteReference"/>
        </w:rPr>
        <w:endnoteRef/>
      </w:r>
      <w:r>
        <w:t xml:space="preserve"> </w:t>
      </w:r>
      <w:r>
        <w:rPr>
          <w:lang w:val="en-AU"/>
        </w:rPr>
        <w:tab/>
        <w:t>Interview with MoRA official, October 2014.</w:t>
      </w:r>
    </w:p>
  </w:endnote>
  <w:endnote w:id="72">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ACDP. Six Monthly Progress Report, Mid</w:t>
      </w:r>
      <w:r>
        <w:rPr>
          <w:rFonts w:asciiTheme="minorHAnsi" w:hAnsiTheme="minorHAnsi"/>
          <w:szCs w:val="20"/>
          <w:lang w:val="en-AU"/>
        </w:rPr>
        <w:t>-2014, September 2014 (Revision), p.1.</w:t>
      </w:r>
    </w:p>
  </w:endnote>
  <w:endnote w:id="73">
    <w:p w:rsidR="004349D3" w:rsidRPr="008E2B52" w:rsidRDefault="004349D3" w:rsidP="00D20962">
      <w:pPr>
        <w:pStyle w:val="EndnoteText"/>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Pr>
          <w:rFonts w:asciiTheme="minorHAnsi" w:hAnsiTheme="minorHAnsi"/>
          <w:szCs w:val="20"/>
        </w:rPr>
        <w:tab/>
        <w:t>E</w:t>
      </w:r>
      <w:r w:rsidRPr="008E2B52">
        <w:rPr>
          <w:rFonts w:asciiTheme="minorHAnsi" w:hAnsiTheme="minorHAnsi"/>
          <w:szCs w:val="20"/>
          <w:lang w:val="en-AU"/>
        </w:rPr>
        <w:t>ducation Sector – Analytical and Capacity Development Partnership Indonesia. Mid-term Review.</w:t>
      </w:r>
    </w:p>
  </w:endnote>
  <w:endnote w:id="74">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 xml:space="preserve">Email from </w:t>
      </w:r>
      <w:r w:rsidRPr="008E2B52">
        <w:rPr>
          <w:rFonts w:asciiTheme="minorHAnsi" w:hAnsiTheme="minorHAnsi"/>
          <w:szCs w:val="20"/>
          <w:lang w:val="en-AU"/>
        </w:rPr>
        <w:t>John Virtue, 09 December 2014.</w:t>
      </w:r>
    </w:p>
  </w:endnote>
  <w:endnote w:id="75">
    <w:p w:rsidR="004349D3" w:rsidRPr="00DF73D2" w:rsidRDefault="004349D3" w:rsidP="00D20962">
      <w:pPr>
        <w:pStyle w:val="EndnoteText"/>
        <w:tabs>
          <w:tab w:val="left" w:pos="709"/>
        </w:tabs>
        <w:spacing w:line="276" w:lineRule="auto"/>
        <w:rPr>
          <w:rFonts w:asciiTheme="minorHAnsi" w:hAnsiTheme="minorHAnsi"/>
          <w:szCs w:val="20"/>
          <w:lang w:val="en-AU"/>
        </w:rPr>
      </w:pPr>
      <w:r w:rsidRPr="00DF73D2">
        <w:rPr>
          <w:rStyle w:val="EndnoteReference"/>
          <w:rFonts w:asciiTheme="minorHAnsi" w:hAnsiTheme="minorHAnsi"/>
          <w:szCs w:val="20"/>
        </w:rPr>
        <w:endnoteRef/>
      </w:r>
      <w:r w:rsidRPr="00DF73D2">
        <w:rPr>
          <w:rFonts w:asciiTheme="minorHAnsi" w:hAnsiTheme="minorHAnsi"/>
          <w:szCs w:val="20"/>
        </w:rPr>
        <w:t xml:space="preserve"> </w:t>
      </w:r>
      <w:r w:rsidRPr="00DF73D2">
        <w:rPr>
          <w:rFonts w:asciiTheme="minorHAnsi" w:hAnsiTheme="minorHAnsi"/>
          <w:szCs w:val="20"/>
        </w:rPr>
        <w:tab/>
      </w:r>
      <w:r w:rsidRPr="00DF73D2">
        <w:rPr>
          <w:rFonts w:asciiTheme="minorHAnsi" w:hAnsiTheme="minorHAnsi"/>
          <w:szCs w:val="20"/>
          <w:lang w:val="en-AU"/>
        </w:rPr>
        <w:t>ACDP. Six Monthly Progress Report, Mid 2014, September 2014 (Revision), p.26.</w:t>
      </w:r>
    </w:p>
  </w:endnote>
  <w:endnote w:id="76">
    <w:p w:rsidR="004349D3" w:rsidRPr="008E2B52" w:rsidRDefault="004349D3" w:rsidP="00D20962">
      <w:pPr>
        <w:pStyle w:val="EndnoteText"/>
        <w:tabs>
          <w:tab w:val="left" w:pos="709"/>
        </w:tabs>
        <w:spacing w:line="276" w:lineRule="auto"/>
        <w:rPr>
          <w:rFonts w:asciiTheme="minorHAnsi" w:hAnsiTheme="minorHAnsi"/>
          <w:szCs w:val="20"/>
          <w:lang w:val="en-AU"/>
        </w:rPr>
      </w:pPr>
      <w:r w:rsidRPr="00DF73D2">
        <w:rPr>
          <w:rStyle w:val="EndnoteReference"/>
          <w:rFonts w:asciiTheme="minorHAnsi" w:hAnsiTheme="minorHAnsi"/>
          <w:szCs w:val="20"/>
        </w:rPr>
        <w:endnoteRef/>
      </w:r>
      <w:r w:rsidRPr="00DF73D2">
        <w:rPr>
          <w:rFonts w:asciiTheme="minorHAnsi" w:hAnsiTheme="minorHAnsi"/>
          <w:szCs w:val="20"/>
        </w:rPr>
        <w:t xml:space="preserve"> </w:t>
      </w:r>
      <w:r w:rsidRPr="00DF73D2">
        <w:rPr>
          <w:rFonts w:asciiTheme="minorHAnsi" w:hAnsiTheme="minorHAnsi"/>
          <w:szCs w:val="20"/>
        </w:rPr>
        <w:tab/>
      </w:r>
      <w:r w:rsidRPr="00DF73D2">
        <w:rPr>
          <w:rFonts w:asciiTheme="minorHAnsi" w:hAnsiTheme="minorHAnsi"/>
          <w:szCs w:val="20"/>
          <w:lang w:val="en-AU"/>
        </w:rPr>
        <w:t>ACDP. Six Monthly Progress Report, Mid 2014, September 2014 (Revision), p.</w:t>
      </w:r>
      <w:r>
        <w:rPr>
          <w:rFonts w:asciiTheme="minorHAnsi" w:hAnsiTheme="minorHAnsi"/>
          <w:szCs w:val="20"/>
          <w:lang w:val="en-AU"/>
        </w:rPr>
        <w:t>33.</w:t>
      </w:r>
    </w:p>
  </w:endnote>
  <w:endnote w:id="77">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Pr>
          <w:rFonts w:asciiTheme="minorHAnsi" w:hAnsiTheme="minorHAnsi"/>
          <w:szCs w:val="20"/>
        </w:rPr>
        <w:tab/>
      </w:r>
      <w:r w:rsidRPr="008E2B52">
        <w:rPr>
          <w:rFonts w:asciiTheme="minorHAnsi" w:hAnsiTheme="minorHAnsi"/>
          <w:szCs w:val="20"/>
          <w:lang w:val="en-AU"/>
        </w:rPr>
        <w:t>Roundtable d</w:t>
      </w:r>
      <w:r>
        <w:rPr>
          <w:rFonts w:asciiTheme="minorHAnsi" w:hAnsiTheme="minorHAnsi"/>
          <w:szCs w:val="20"/>
          <w:lang w:val="en-AU"/>
        </w:rPr>
        <w:t xml:space="preserve">iscussion with ACDP Secretariat, </w:t>
      </w:r>
      <w:r w:rsidRPr="008E2B52">
        <w:rPr>
          <w:rFonts w:asciiTheme="minorHAnsi" w:hAnsiTheme="minorHAnsi"/>
          <w:szCs w:val="20"/>
          <w:lang w:val="en-AU"/>
        </w:rPr>
        <w:t>31 October 2014.</w:t>
      </w:r>
    </w:p>
  </w:endnote>
  <w:endnote w:id="78">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ACDP. Six Monthly Progress Report, Mid 2014, September 2014 (Revision); roundtable discussion with ACDP Secretariat</w:t>
      </w:r>
      <w:r>
        <w:rPr>
          <w:rFonts w:asciiTheme="minorHAnsi" w:hAnsiTheme="minorHAnsi"/>
          <w:szCs w:val="20"/>
          <w:lang w:val="en-AU"/>
        </w:rPr>
        <w:t xml:space="preserve">, </w:t>
      </w:r>
      <w:r w:rsidRPr="008E2B52">
        <w:rPr>
          <w:rFonts w:asciiTheme="minorHAnsi" w:hAnsiTheme="minorHAnsi"/>
          <w:szCs w:val="20"/>
          <w:lang w:val="en-AU"/>
        </w:rPr>
        <w:t>31 October 2014.</w:t>
      </w:r>
    </w:p>
  </w:endnote>
  <w:endnote w:id="79">
    <w:p w:rsidR="004349D3" w:rsidRPr="008E2B52" w:rsidRDefault="004349D3" w:rsidP="00D20962">
      <w:pPr>
        <w:pStyle w:val="EndnoteText"/>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Pr>
          <w:rFonts w:asciiTheme="minorHAnsi" w:hAnsiTheme="minorHAnsi"/>
          <w:szCs w:val="20"/>
        </w:rPr>
        <w:tab/>
      </w:r>
      <w:hyperlink r:id="rId2" w:anchor="more-44642" w:history="1">
        <w:r w:rsidRPr="008E2B52">
          <w:rPr>
            <w:rStyle w:val="Hyperlink"/>
            <w:rFonts w:asciiTheme="minorHAnsi" w:hAnsiTheme="minorHAnsi"/>
            <w:sz w:val="20"/>
            <w:szCs w:val="20"/>
          </w:rPr>
          <w:t>http://www.eastasiaforum.org/2014/12/22/hopes-on-the-economic-upside-in-indonesia/#more-44642</w:t>
        </w:r>
      </w:hyperlink>
      <w:r w:rsidRPr="008E2B52">
        <w:rPr>
          <w:rFonts w:asciiTheme="minorHAnsi" w:hAnsiTheme="minorHAnsi"/>
          <w:szCs w:val="20"/>
        </w:rPr>
        <w:t xml:space="preserve"> (accessed 22 December 2014)</w:t>
      </w:r>
      <w:r>
        <w:rPr>
          <w:rFonts w:asciiTheme="minorHAnsi" w:hAnsiTheme="minorHAnsi"/>
          <w:szCs w:val="20"/>
        </w:rPr>
        <w:t>.</w:t>
      </w:r>
    </w:p>
  </w:endnote>
  <w:endnote w:id="80">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Telephone conversation with J</w:t>
      </w:r>
      <w:r w:rsidRPr="008E2B52">
        <w:rPr>
          <w:rFonts w:asciiTheme="minorHAnsi" w:hAnsiTheme="minorHAnsi"/>
          <w:szCs w:val="20"/>
          <w:lang w:val="en-AU"/>
        </w:rPr>
        <w:t>ohn Virtue, 09 December 2014.</w:t>
      </w:r>
    </w:p>
  </w:endnote>
  <w:endnote w:id="81">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Education Sector – Analytical and Capacity Development Partnership Indonesia. Mid-term Rev</w:t>
      </w:r>
      <w:r>
        <w:rPr>
          <w:rFonts w:asciiTheme="minorHAnsi" w:hAnsiTheme="minorHAnsi"/>
          <w:szCs w:val="20"/>
          <w:lang w:val="en-AU"/>
        </w:rPr>
        <w:t>iew. Final Report. October 2014, p.8.</w:t>
      </w:r>
    </w:p>
  </w:endnote>
  <w:endnote w:id="82">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Roundtable d</w:t>
      </w:r>
      <w:r>
        <w:rPr>
          <w:rFonts w:asciiTheme="minorHAnsi" w:hAnsiTheme="minorHAnsi"/>
          <w:szCs w:val="20"/>
          <w:lang w:val="en-AU"/>
        </w:rPr>
        <w:t xml:space="preserve">iscussion with ACDP Secretariat, </w:t>
      </w:r>
      <w:r w:rsidRPr="008E2B52">
        <w:rPr>
          <w:rFonts w:asciiTheme="minorHAnsi" w:hAnsiTheme="minorHAnsi"/>
          <w:szCs w:val="20"/>
          <w:lang w:val="en-AU"/>
        </w:rPr>
        <w:t>31 October 2014.</w:t>
      </w:r>
    </w:p>
  </w:endnote>
  <w:endnote w:id="83">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To safeguard anonymity sources cannot be provided.</w:t>
      </w:r>
    </w:p>
  </w:endnote>
  <w:endnote w:id="84">
    <w:p w:rsidR="004349D3" w:rsidRPr="008E2B52" w:rsidRDefault="004349D3" w:rsidP="00D20962">
      <w:pPr>
        <w:pStyle w:val="EndnoteText"/>
        <w:tabs>
          <w:tab w:val="left" w:pos="709"/>
        </w:tabs>
        <w:spacing w:line="276" w:lineRule="auto"/>
        <w:rPr>
          <w:rFonts w:asciiTheme="minorHAnsi" w:hAnsiTheme="minorHAnsi"/>
          <w:szCs w:val="20"/>
          <w:lang w:val="en-AU"/>
        </w:rPr>
      </w:pPr>
      <w:r w:rsidRPr="002F63E7">
        <w:rPr>
          <w:rStyle w:val="EndnoteReference"/>
          <w:rFonts w:asciiTheme="minorHAnsi" w:hAnsiTheme="minorHAnsi"/>
          <w:szCs w:val="20"/>
        </w:rPr>
        <w:endnoteRef/>
      </w:r>
      <w:r w:rsidRPr="002F63E7">
        <w:rPr>
          <w:rFonts w:asciiTheme="minorHAnsi" w:hAnsiTheme="minorHAnsi"/>
          <w:szCs w:val="20"/>
        </w:rPr>
        <w:t xml:space="preserve"> </w:t>
      </w:r>
      <w:r w:rsidRPr="002F63E7">
        <w:rPr>
          <w:rFonts w:asciiTheme="minorHAnsi" w:hAnsiTheme="minorHAnsi"/>
          <w:szCs w:val="20"/>
          <w:lang w:val="en-AU"/>
        </w:rPr>
        <w:tab/>
        <w:t>Interview with GoI civil servant.</w:t>
      </w:r>
      <w:r w:rsidRPr="008E2B52">
        <w:rPr>
          <w:rFonts w:asciiTheme="minorHAnsi" w:hAnsiTheme="minorHAnsi"/>
          <w:szCs w:val="20"/>
          <w:lang w:val="en-AU"/>
        </w:rPr>
        <w:t xml:space="preserve"> </w:t>
      </w:r>
    </w:p>
  </w:endnote>
  <w:endnote w:id="85">
    <w:p w:rsidR="004349D3" w:rsidRPr="008E2B52" w:rsidRDefault="004349D3" w:rsidP="00D20962">
      <w:pPr>
        <w:pStyle w:val="EndnoteText"/>
        <w:tabs>
          <w:tab w:val="left" w:pos="709"/>
        </w:tabs>
        <w:spacing w:line="276" w:lineRule="auto"/>
        <w:rPr>
          <w:rFonts w:asciiTheme="minorHAnsi" w:hAnsiTheme="minorHAnsi"/>
          <w:szCs w:val="20"/>
          <w:lang w:val="en-AU"/>
        </w:rPr>
      </w:pPr>
      <w:r w:rsidRPr="00DF73D2">
        <w:rPr>
          <w:rStyle w:val="EndnoteReference"/>
          <w:rFonts w:asciiTheme="minorHAnsi" w:hAnsiTheme="minorHAnsi"/>
          <w:szCs w:val="20"/>
        </w:rPr>
        <w:endnoteRef/>
      </w:r>
      <w:r w:rsidRPr="00DF73D2">
        <w:rPr>
          <w:rFonts w:asciiTheme="minorHAnsi" w:hAnsiTheme="minorHAnsi"/>
          <w:szCs w:val="20"/>
        </w:rPr>
        <w:t xml:space="preserve"> </w:t>
      </w:r>
      <w:r w:rsidRPr="00DF73D2">
        <w:rPr>
          <w:rFonts w:asciiTheme="minorHAnsi" w:hAnsiTheme="minorHAnsi"/>
          <w:szCs w:val="20"/>
        </w:rPr>
        <w:tab/>
      </w:r>
      <w:r w:rsidRPr="00DF73D2">
        <w:rPr>
          <w:rFonts w:asciiTheme="minorHAnsi" w:hAnsiTheme="minorHAnsi"/>
          <w:szCs w:val="20"/>
          <w:lang w:val="en-AU"/>
        </w:rPr>
        <w:t>ACDP. Six Monthly Progress Report, Mid 2014, September 2014 (Revision), p.87.</w:t>
      </w:r>
    </w:p>
  </w:endnote>
  <w:endnote w:id="86">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 xml:space="preserve">Interview with </w:t>
      </w:r>
      <w:r w:rsidRPr="008E2B52">
        <w:rPr>
          <w:rFonts w:asciiTheme="minorHAnsi" w:hAnsiTheme="minorHAnsi"/>
          <w:szCs w:val="20"/>
          <w:lang w:val="en-AU"/>
        </w:rPr>
        <w:t>Subandi Sardjoko, 03 November 2014.</w:t>
      </w:r>
    </w:p>
  </w:endnote>
  <w:endnote w:id="87">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Alan Prouty, Roundtable APPR discussion about POM’s draft findings of ACDP, 25 November 2014.</w:t>
      </w:r>
    </w:p>
  </w:endnote>
  <w:endnote w:id="88">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Roundtable discussion with ACDP Secretariat</w:t>
      </w:r>
      <w:r>
        <w:rPr>
          <w:rFonts w:asciiTheme="minorHAnsi" w:hAnsiTheme="minorHAnsi"/>
          <w:szCs w:val="20"/>
          <w:lang w:val="en-AU"/>
        </w:rPr>
        <w:t xml:space="preserve">, </w:t>
      </w:r>
      <w:r w:rsidRPr="008E2B52">
        <w:rPr>
          <w:rFonts w:asciiTheme="minorHAnsi" w:hAnsiTheme="minorHAnsi"/>
          <w:szCs w:val="20"/>
          <w:lang w:val="en-AU"/>
        </w:rPr>
        <w:t>31 October 2014.</w:t>
      </w:r>
    </w:p>
  </w:endnote>
  <w:endnote w:id="89">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Minutes of the ATOG Meeting, 08 July 2014</w:t>
      </w:r>
      <w:r>
        <w:rPr>
          <w:rFonts w:asciiTheme="minorHAnsi" w:hAnsiTheme="minorHAnsi"/>
          <w:szCs w:val="20"/>
          <w:lang w:val="en-AU"/>
        </w:rPr>
        <w:t>, p</w:t>
      </w:r>
      <w:r w:rsidRPr="008E2B52">
        <w:rPr>
          <w:rFonts w:asciiTheme="minorHAnsi" w:hAnsiTheme="minorHAnsi"/>
          <w:szCs w:val="20"/>
        </w:rPr>
        <w:t>aragraph 26 (</w:t>
      </w:r>
      <w:r w:rsidRPr="008E2B52">
        <w:rPr>
          <w:rFonts w:asciiTheme="minorHAnsi" w:hAnsiTheme="minorHAnsi"/>
          <w:szCs w:val="20"/>
          <w:lang w:val="en-AU"/>
        </w:rPr>
        <w:t>David Harding),</w:t>
      </w:r>
    </w:p>
  </w:endnote>
  <w:endnote w:id="90">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Roundtable discussion with ACDP Secretariat</w:t>
      </w:r>
      <w:r>
        <w:rPr>
          <w:rFonts w:asciiTheme="minorHAnsi" w:hAnsiTheme="minorHAnsi"/>
          <w:szCs w:val="20"/>
          <w:lang w:val="en-AU"/>
        </w:rPr>
        <w:t xml:space="preserve">, </w:t>
      </w:r>
      <w:r w:rsidRPr="008E2B52">
        <w:rPr>
          <w:rFonts w:asciiTheme="minorHAnsi" w:hAnsiTheme="minorHAnsi"/>
          <w:szCs w:val="20"/>
          <w:lang w:val="en-AU"/>
        </w:rPr>
        <w:t>31 October 2014.</w:t>
      </w:r>
    </w:p>
  </w:endnote>
  <w:endnote w:id="91">
    <w:p w:rsidR="004349D3" w:rsidRPr="008E2B52" w:rsidRDefault="004349D3" w:rsidP="00D20962">
      <w:pPr>
        <w:pStyle w:val="EndnoteText"/>
        <w:spacing w:line="276" w:lineRule="auto"/>
        <w:ind w:left="709" w:hanging="709"/>
        <w:rPr>
          <w:rFonts w:asciiTheme="minorHAnsi" w:hAnsiTheme="minorHAnsi"/>
          <w:szCs w:val="20"/>
          <w:lang w:val="en-AU"/>
        </w:rPr>
      </w:pPr>
      <w:r w:rsidRPr="002F63E7">
        <w:rPr>
          <w:rStyle w:val="EndnoteReference"/>
          <w:rFonts w:asciiTheme="minorHAnsi" w:hAnsiTheme="minorHAnsi"/>
          <w:szCs w:val="20"/>
        </w:rPr>
        <w:endnoteRef/>
      </w:r>
      <w:r w:rsidRPr="002F63E7">
        <w:rPr>
          <w:rFonts w:asciiTheme="minorHAnsi" w:hAnsiTheme="minorHAnsi"/>
          <w:szCs w:val="20"/>
        </w:rPr>
        <w:t xml:space="preserve"> </w:t>
      </w:r>
      <w:r w:rsidRPr="002F63E7">
        <w:rPr>
          <w:rFonts w:asciiTheme="minorHAnsi" w:hAnsiTheme="minorHAnsi"/>
          <w:szCs w:val="20"/>
        </w:rPr>
        <w:tab/>
      </w:r>
      <w:r w:rsidRPr="002F63E7">
        <w:rPr>
          <w:rFonts w:asciiTheme="minorHAnsi" w:hAnsiTheme="minorHAnsi"/>
          <w:szCs w:val="20"/>
          <w:lang w:val="en-AU"/>
        </w:rPr>
        <w:t>ADB (May 2010). ADB Technical Assistance Report: Republic of Indonesia: Education Sector Analytical and Capacity Development Partnership</w:t>
      </w:r>
      <w:r>
        <w:rPr>
          <w:rFonts w:asciiTheme="minorHAnsi" w:hAnsiTheme="minorHAnsi"/>
          <w:szCs w:val="20"/>
          <w:lang w:val="en-AU"/>
        </w:rPr>
        <w:t>, p.</w:t>
      </w:r>
      <w:r w:rsidRPr="002F63E7">
        <w:rPr>
          <w:rFonts w:asciiTheme="minorHAnsi" w:hAnsiTheme="minorHAnsi"/>
          <w:szCs w:val="20"/>
          <w:lang w:val="en-AU"/>
        </w:rPr>
        <w:t>7.</w:t>
      </w:r>
    </w:p>
  </w:endnote>
  <w:endnote w:id="92">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hyperlink r:id="rId3" w:tgtFrame="_blank" w:history="1">
        <w:r w:rsidRPr="00D423A7">
          <w:rPr>
            <w:lang w:val="en-AU"/>
          </w:rPr>
          <w:t>http://kemdikbud.go.id/kemdikbud/sites/default/files/rkakl2014.pdf</w:t>
        </w:r>
      </w:hyperlink>
      <w:r w:rsidRPr="00D423A7">
        <w:rPr>
          <w:lang w:val="en-AU"/>
        </w:rPr>
        <w:t>. (accessed 03 January 2015)</w:t>
      </w:r>
    </w:p>
  </w:endnote>
  <w:endnote w:id="93">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Education Sector – Analytical and Capacity Development Partnership Indonesia. Mid-term Review. Final Report. October 2014</w:t>
      </w:r>
      <w:r>
        <w:rPr>
          <w:rFonts w:asciiTheme="minorHAnsi" w:hAnsiTheme="minorHAnsi"/>
          <w:szCs w:val="20"/>
          <w:lang w:val="en-AU"/>
        </w:rPr>
        <w:t>, p.18.</w:t>
      </w:r>
    </w:p>
  </w:endnote>
  <w:endnote w:id="94">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http://aid.dfat.gov.au/aidpolicy/Pages/home.aspx</w:t>
      </w:r>
    </w:p>
  </w:endnote>
  <w:endnote w:id="95">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POM (2014). Consolidated Audit Report 2013 (submitted to DFAT 29 October 2014)</w:t>
      </w:r>
      <w:r>
        <w:rPr>
          <w:rFonts w:asciiTheme="minorHAnsi" w:hAnsiTheme="minorHAnsi"/>
          <w:szCs w:val="20"/>
          <w:lang w:val="en-AU"/>
        </w:rPr>
        <w:t>, pp. 5-7.</w:t>
      </w:r>
    </w:p>
  </w:endnote>
  <w:endnote w:id="96">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POM (2013). Annual Partnership Performance Report, p</w:t>
      </w:r>
      <w:r>
        <w:rPr>
          <w:rFonts w:asciiTheme="minorHAnsi" w:hAnsiTheme="minorHAnsi"/>
          <w:szCs w:val="20"/>
          <w:lang w:val="en-AU"/>
        </w:rPr>
        <w:t>.</w:t>
      </w:r>
      <w:r w:rsidRPr="008E2B52">
        <w:rPr>
          <w:rFonts w:asciiTheme="minorHAnsi" w:hAnsiTheme="minorHAnsi"/>
          <w:szCs w:val="20"/>
          <w:lang w:val="en-AU"/>
        </w:rPr>
        <w:t>49.</w:t>
      </w:r>
      <w:r>
        <w:rPr>
          <w:rFonts w:asciiTheme="minorHAnsi" w:hAnsiTheme="minorHAnsi"/>
          <w:szCs w:val="20"/>
          <w:lang w:val="en-AU"/>
        </w:rPr>
        <w:t xml:space="preserve"> </w:t>
      </w:r>
    </w:p>
  </w:endnote>
  <w:endnote w:id="97">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 xml:space="preserve">Interview with </w:t>
      </w:r>
      <w:r w:rsidRPr="008E2B52">
        <w:rPr>
          <w:rFonts w:asciiTheme="minorHAnsi" w:hAnsiTheme="minorHAnsi"/>
          <w:szCs w:val="20"/>
          <w:lang w:val="en-AU"/>
        </w:rPr>
        <w:t xml:space="preserve">Hannah Birdsey, </w:t>
      </w:r>
      <w:r>
        <w:rPr>
          <w:rFonts w:asciiTheme="minorHAnsi" w:hAnsiTheme="minorHAnsi"/>
          <w:szCs w:val="20"/>
          <w:lang w:val="en-AU"/>
        </w:rPr>
        <w:t>3</w:t>
      </w:r>
      <w:r w:rsidRPr="008E2B52">
        <w:rPr>
          <w:rFonts w:asciiTheme="minorHAnsi" w:hAnsiTheme="minorHAnsi"/>
          <w:szCs w:val="20"/>
          <w:lang w:val="en-AU"/>
        </w:rPr>
        <w:t>1 October 2014.</w:t>
      </w:r>
    </w:p>
  </w:endnote>
  <w:endnote w:id="98">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POM (2013). Annual Partnership Performance Report, p</w:t>
      </w:r>
      <w:r>
        <w:rPr>
          <w:rFonts w:asciiTheme="minorHAnsi" w:hAnsiTheme="minorHAnsi"/>
          <w:szCs w:val="20"/>
          <w:lang w:val="en-AU"/>
        </w:rPr>
        <w:t>.</w:t>
      </w:r>
      <w:r w:rsidRPr="008E2B52">
        <w:rPr>
          <w:rFonts w:asciiTheme="minorHAnsi" w:hAnsiTheme="minorHAnsi"/>
          <w:szCs w:val="20"/>
          <w:lang w:val="en-AU"/>
        </w:rPr>
        <w:t>51</w:t>
      </w:r>
      <w:r>
        <w:rPr>
          <w:rFonts w:asciiTheme="minorHAnsi" w:hAnsiTheme="minorHAnsi"/>
          <w:szCs w:val="20"/>
          <w:lang w:val="en-AU"/>
        </w:rPr>
        <w:t>.</w:t>
      </w:r>
    </w:p>
  </w:endnote>
  <w:endnote w:id="99">
    <w:p w:rsidR="004349D3" w:rsidRPr="008E2B52" w:rsidRDefault="004349D3" w:rsidP="00D20962">
      <w:pPr>
        <w:tabs>
          <w:tab w:val="left" w:pos="709"/>
        </w:tabs>
        <w:spacing w:line="276" w:lineRule="auto"/>
        <w:rPr>
          <w:rFonts w:asciiTheme="minorHAnsi" w:hAnsiTheme="minorHAnsi"/>
          <w:sz w:val="20"/>
          <w:szCs w:val="20"/>
          <w:lang w:val="en-AU"/>
        </w:rPr>
      </w:pPr>
      <w:r w:rsidRPr="008E2B52">
        <w:rPr>
          <w:rStyle w:val="EndnoteReference"/>
          <w:rFonts w:asciiTheme="minorHAnsi" w:hAnsiTheme="minorHAnsi"/>
          <w:sz w:val="20"/>
          <w:szCs w:val="20"/>
        </w:rPr>
        <w:endnoteRef/>
      </w:r>
      <w:r w:rsidRPr="008E2B52">
        <w:rPr>
          <w:rFonts w:asciiTheme="minorHAnsi" w:hAnsiTheme="minorHAnsi"/>
          <w:sz w:val="20"/>
          <w:szCs w:val="20"/>
        </w:rPr>
        <w:t xml:space="preserve"> </w:t>
      </w:r>
      <w:r w:rsidRPr="008E2B52">
        <w:rPr>
          <w:rFonts w:asciiTheme="minorHAnsi" w:hAnsiTheme="minorHAnsi"/>
          <w:sz w:val="20"/>
          <w:szCs w:val="20"/>
        </w:rPr>
        <w:tab/>
      </w:r>
      <w:r w:rsidRPr="008E2B52">
        <w:rPr>
          <w:rFonts w:asciiTheme="minorHAnsi" w:eastAsiaTheme="minorHAnsi" w:hAnsiTheme="minorHAnsi" w:cstheme="minorBidi"/>
          <w:sz w:val="20"/>
          <w:szCs w:val="20"/>
          <w:lang w:val="en-AU"/>
        </w:rPr>
        <w:t>Minutes of Infrastructure Technical Oversight Group (ITOG) Meeting, 13 May 2014</w:t>
      </w:r>
    </w:p>
  </w:endnote>
  <w:endnote w:id="100">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Minutes of the SDTOG Coordination Meeting, 17 June 2014.</w:t>
      </w:r>
    </w:p>
  </w:endnote>
  <w:endnote w:id="101">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Minutes of the Meeting of the Technical Oversight Group of the Education Sector Analytical &amp; Capacity Development Partnership (ACDP), 8 July 2014.</w:t>
      </w:r>
    </w:p>
  </w:endnote>
  <w:endnote w:id="102">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Australia Indonesia Partnership (2010). Australia’s Education Partnership with Indonesia – A Contribution to the Government of Indonesia’s Educa</w:t>
      </w:r>
      <w:r>
        <w:rPr>
          <w:rFonts w:asciiTheme="minorHAnsi" w:hAnsiTheme="minorHAnsi"/>
          <w:szCs w:val="20"/>
          <w:lang w:val="en-AU"/>
        </w:rPr>
        <w:t>tion Sector Support Program, pp.</w:t>
      </w:r>
      <w:r w:rsidRPr="008E2B52">
        <w:rPr>
          <w:rFonts w:asciiTheme="minorHAnsi" w:hAnsiTheme="minorHAnsi"/>
          <w:szCs w:val="20"/>
          <w:lang w:val="en-AU"/>
        </w:rPr>
        <w:t>33-34.</w:t>
      </w:r>
    </w:p>
  </w:endnote>
  <w:endnote w:id="103">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t>http://aid.dfat.gov.au/aidpolicy/developmentpolicy/Pages/strategic-performance-targets.aspx</w:t>
      </w:r>
    </w:p>
  </w:endnote>
  <w:endnote w:id="104">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POM (2013). Annual Partnership Performance Report, p</w:t>
      </w:r>
      <w:r>
        <w:rPr>
          <w:rFonts w:asciiTheme="minorHAnsi" w:hAnsiTheme="minorHAnsi"/>
          <w:szCs w:val="20"/>
          <w:lang w:val="en-AU"/>
        </w:rPr>
        <w:t>p.</w:t>
      </w:r>
      <w:r w:rsidRPr="008E2B52">
        <w:rPr>
          <w:rFonts w:asciiTheme="minorHAnsi" w:hAnsiTheme="minorHAnsi"/>
          <w:szCs w:val="20"/>
          <w:lang w:val="en-AU"/>
        </w:rPr>
        <w:t>42-43.</w:t>
      </w:r>
      <w:r>
        <w:rPr>
          <w:rFonts w:asciiTheme="minorHAnsi" w:hAnsiTheme="minorHAnsi"/>
          <w:szCs w:val="20"/>
          <w:lang w:val="en-AU"/>
        </w:rPr>
        <w:t xml:space="preserve"> </w:t>
      </w:r>
    </w:p>
  </w:endnote>
  <w:endnote w:id="105">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Sam Muller, comment at EP Communications Working Group Meeting held at Cyber II, Jakarta</w:t>
      </w:r>
      <w:r>
        <w:rPr>
          <w:rFonts w:asciiTheme="minorHAnsi" w:hAnsiTheme="minorHAnsi"/>
          <w:szCs w:val="20"/>
          <w:lang w:val="en-AU"/>
        </w:rPr>
        <w:t xml:space="preserve">, </w:t>
      </w:r>
      <w:r w:rsidRPr="008E2B52">
        <w:rPr>
          <w:rFonts w:asciiTheme="minorHAnsi" w:hAnsiTheme="minorHAnsi"/>
          <w:szCs w:val="20"/>
          <w:lang w:val="en-AU"/>
        </w:rPr>
        <w:t>5 December 2014.</w:t>
      </w:r>
    </w:p>
  </w:endnote>
  <w:endnote w:id="106">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DFAT (2014). Aid Program Performance Report 2013-14 Indonesia, p.39</w:t>
      </w:r>
    </w:p>
  </w:endnote>
  <w:endnote w:id="107">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Linda Kelly and Lorraine Wapling (2012). AusAID Development For All Strategy Mid-Term Review Report</w:t>
      </w:r>
    </w:p>
  </w:endnote>
  <w:endnote w:id="108">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http://foreignminister.gov.au/releases/Pages/2014/jb_mr_140618.aspx</w:t>
      </w:r>
    </w:p>
  </w:endnote>
  <w:endnote w:id="109">
    <w:p w:rsidR="004349D3" w:rsidRPr="008E2B52" w:rsidRDefault="004349D3" w:rsidP="00D20962">
      <w:pPr>
        <w:pStyle w:val="EndnoteText"/>
        <w:tabs>
          <w:tab w:val="left" w:pos="709"/>
        </w:tabs>
        <w:spacing w:line="276" w:lineRule="auto"/>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http://www.foreignminister.gov.au/speeches/Pages/2014/jb_sp_140213.aspx?ministerid=4</w:t>
      </w:r>
    </w:p>
  </w:endnote>
  <w:endnote w:id="110">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sidRPr="008E2B52">
        <w:rPr>
          <w:rFonts w:asciiTheme="minorHAnsi" w:hAnsiTheme="minorHAnsi"/>
          <w:szCs w:val="20"/>
          <w:lang w:val="en-AU"/>
        </w:rPr>
        <w:t xml:space="preserve">United Nations Development Group (2014). Delivering the Post-2015 Development Agenda: opportunities at the national and local levels. </w:t>
      </w:r>
    </w:p>
  </w:endnote>
  <w:endnote w:id="111">
    <w:p w:rsidR="004349D3" w:rsidRPr="008E2B52" w:rsidRDefault="004349D3" w:rsidP="00D20962">
      <w:pPr>
        <w:pStyle w:val="EndnoteText"/>
        <w:tabs>
          <w:tab w:val="left" w:pos="709"/>
        </w:tabs>
        <w:spacing w:line="276" w:lineRule="auto"/>
        <w:ind w:left="709" w:hanging="709"/>
        <w:rPr>
          <w:rFonts w:asciiTheme="minorHAnsi" w:hAnsiTheme="minorHAnsi"/>
          <w:szCs w:val="20"/>
          <w:lang w:val="en-AU"/>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en-AU"/>
        </w:rPr>
        <w:tab/>
        <w:t>DFAT (2014). Strategic Targets for the Aid Program: Technical Note, Target 8: Ensuring Value for Money.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HelveticaNeueLT Std">
    <w:altName w:val="Cambria"/>
    <w:panose1 w:val="00000000000000000000"/>
    <w:charset w:val="00"/>
    <w:family w:val="swiss"/>
    <w:notTrueType/>
    <w:pitch w:val="variable"/>
    <w:sig w:usb0="00000003" w:usb1="00000000" w:usb2="00000000" w:usb3="00000000" w:csb0="00000001" w:csb1="00000000"/>
  </w:font>
  <w:font w:name="MinioMM_485 SB 585 NO 11 OP">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ill Sans">
    <w:altName w:val="Arial"/>
    <w:charset w:val="00"/>
    <w:family w:val="auto"/>
    <w:pitch w:val="variable"/>
    <w:sig w:usb0="80000267" w:usb1="00000000" w:usb2="00000000" w:usb3="00000000" w:csb0="000001F7" w:csb1="00000000"/>
  </w:font>
  <w:font w:name="Cardo">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CFD" w:rsidRDefault="00E80C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CFD" w:rsidRDefault="00E80C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CFD" w:rsidRDefault="00E80C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Pr="00AF7AFA" w:rsidRDefault="004349D3"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PARTNERSHIP PERFORMANCE REPORT 2014</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E80CFD" w:rsidRPr="00E80CFD">
      <w:rPr>
        <w:rFonts w:ascii="Arial Narrow" w:hAnsi="Arial Narrow"/>
        <w:b/>
        <w:noProof/>
        <w:color w:val="7F7F7F"/>
        <w:sz w:val="20"/>
      </w:rPr>
      <w:t>iii</w:t>
    </w:r>
    <w:r w:rsidRPr="00AF7AFA">
      <w:rPr>
        <w:rFonts w:ascii="Arial Narrow" w:hAnsi="Arial Narrow"/>
        <w:b/>
        <w:caps/>
        <w:noProof/>
        <w:color w:val="7F7F7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Pr="00AF7AFA" w:rsidRDefault="004349D3"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PARTNERSHIP PERFORMANCE REPORT 2014</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E80CFD">
      <w:rPr>
        <w:rFonts w:ascii="Arial Narrow" w:hAnsi="Arial Narrow"/>
        <w:b/>
        <w:caps/>
        <w:noProof/>
        <w:color w:val="7F7F7F"/>
        <w:sz w:val="20"/>
      </w:rPr>
      <w:t>104</w:t>
    </w:r>
    <w:r w:rsidRPr="00AF7AFA">
      <w:rPr>
        <w:rFonts w:ascii="Arial Narrow" w:hAnsi="Arial Narrow"/>
        <w:b/>
        <w:caps/>
        <w:noProof/>
        <w:color w:val="7F7F7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Pr="00854A82" w:rsidRDefault="004349D3" w:rsidP="00854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9D3" w:rsidRDefault="004349D3">
      <w:r>
        <w:separator/>
      </w:r>
    </w:p>
  </w:footnote>
  <w:footnote w:type="continuationSeparator" w:id="0">
    <w:p w:rsidR="004349D3" w:rsidRDefault="004349D3">
      <w:r>
        <w:continuationSeparator/>
      </w:r>
    </w:p>
  </w:footnote>
  <w:footnote w:id="1">
    <w:p w:rsidR="004349D3" w:rsidRPr="0022598A" w:rsidRDefault="004349D3">
      <w:pPr>
        <w:pStyle w:val="FootnoteText"/>
        <w:rPr>
          <w:lang w:val="en-AU"/>
        </w:rPr>
      </w:pPr>
      <w:r>
        <w:rPr>
          <w:rStyle w:val="FootnoteReference"/>
        </w:rPr>
        <w:footnoteRef/>
      </w:r>
      <w:r>
        <w:t xml:space="preserve"> </w:t>
      </w:r>
      <w:r>
        <w:rPr>
          <w:lang w:val="en-AU"/>
        </w:rPr>
        <w:t>The original budget for the Education Partnership was AUD 500m. A minute was signed by the Director General of AusAID on 23 April 2013, increasing the value of the EP from AUD 500m to AUD 524m.</w:t>
      </w:r>
    </w:p>
  </w:footnote>
  <w:footnote w:id="2">
    <w:p w:rsidR="004349D3" w:rsidRPr="00196F93" w:rsidRDefault="004349D3">
      <w:pPr>
        <w:pStyle w:val="FootnoteText"/>
        <w:rPr>
          <w:lang w:val="en-AU"/>
        </w:rPr>
      </w:pPr>
      <w:r>
        <w:rPr>
          <w:rStyle w:val="FootnoteReference"/>
        </w:rPr>
        <w:footnoteRef/>
      </w:r>
      <w:r>
        <w:t xml:space="preserve"> </w:t>
      </w:r>
      <w:r>
        <w:rPr>
          <w:lang w:val="en-AU"/>
        </w:rPr>
        <w:t>As at end of December 2014.</w:t>
      </w:r>
    </w:p>
  </w:footnote>
  <w:footnote w:id="3">
    <w:p w:rsidR="004349D3" w:rsidRPr="00ED1BF6" w:rsidRDefault="004349D3" w:rsidP="00B33BC8">
      <w:pPr>
        <w:pStyle w:val="FootnoteText"/>
        <w:rPr>
          <w:rFonts w:asciiTheme="minorHAnsi" w:hAnsiTheme="minorHAnsi"/>
          <w:szCs w:val="20"/>
          <w:lang w:val="en-AU"/>
        </w:rPr>
      </w:pPr>
      <w:r w:rsidRPr="00ED1BF6">
        <w:rPr>
          <w:rStyle w:val="FootnoteReference"/>
          <w:lang w:val="en-AU"/>
        </w:rPr>
        <w:footnoteRef/>
      </w:r>
      <w:r w:rsidRPr="00ED1BF6">
        <w:rPr>
          <w:lang w:val="en-AU"/>
        </w:rPr>
        <w:t xml:space="preserve"> </w:t>
      </w:r>
      <w:r>
        <w:t>Districts with low</w:t>
      </w:r>
      <w:r w:rsidRPr="00B728B0">
        <w:t xml:space="preserve"> junior secondary enrolment </w:t>
      </w:r>
      <w:r>
        <w:t>were initially</w:t>
      </w:r>
      <w:r w:rsidRPr="00B728B0">
        <w:t xml:space="preserve"> defined as district</w:t>
      </w:r>
      <w:r>
        <w:t>s</w:t>
      </w:r>
      <w:r w:rsidRPr="00B728B0">
        <w:t xml:space="preserve"> with </w:t>
      </w:r>
      <w:r>
        <w:t xml:space="preserve">a </w:t>
      </w:r>
      <w:r w:rsidRPr="00B728B0">
        <w:t xml:space="preserve">JSE-GER </w:t>
      </w:r>
      <w:r>
        <w:t xml:space="preserve">of &lt;90%. This was subsequently revised in 2013 </w:t>
      </w:r>
      <w:r w:rsidRPr="00B728B0">
        <w:t>to &lt;95%</w:t>
      </w:r>
      <w:r>
        <w:t>.</w:t>
      </w:r>
    </w:p>
  </w:footnote>
  <w:footnote w:id="4">
    <w:p w:rsidR="004349D3" w:rsidRPr="00ED1BF6" w:rsidRDefault="004349D3" w:rsidP="00B33BC8">
      <w:pPr>
        <w:pStyle w:val="FootnoteText"/>
        <w:rPr>
          <w:rFonts w:asciiTheme="minorHAnsi" w:hAnsiTheme="minorHAnsi"/>
          <w:szCs w:val="20"/>
          <w:lang w:val="en-AU"/>
        </w:rPr>
      </w:pPr>
      <w:r w:rsidRPr="00ED1BF6">
        <w:rPr>
          <w:rStyle w:val="FootnoteReference"/>
          <w:rFonts w:asciiTheme="minorHAnsi" w:hAnsiTheme="minorHAnsi"/>
          <w:szCs w:val="20"/>
          <w:lang w:val="en-AU"/>
        </w:rPr>
        <w:footnoteRef/>
      </w:r>
      <w:r w:rsidRPr="00ED1BF6">
        <w:rPr>
          <w:rFonts w:asciiTheme="minorHAnsi" w:hAnsiTheme="minorHAnsi"/>
          <w:szCs w:val="20"/>
          <w:lang w:val="en-AU"/>
        </w:rPr>
        <w:t xml:space="preserve"> </w:t>
      </w:r>
      <w:r w:rsidRPr="00B728B0">
        <w:t>i.e. a change in practice and/or relationships which create better performance, e.g. in terms of the services received by end users.</w:t>
      </w:r>
      <w:r w:rsidRPr="00ED1BF6">
        <w:rPr>
          <w:rFonts w:asciiTheme="minorHAnsi" w:hAnsiTheme="minorHAnsi"/>
          <w:szCs w:val="20"/>
          <w:lang w:val="en-AU"/>
        </w:rPr>
        <w:t xml:space="preserve"> </w:t>
      </w:r>
    </w:p>
  </w:footnote>
  <w:footnote w:id="5">
    <w:p w:rsidR="004349D3" w:rsidRPr="00ED1BF6" w:rsidRDefault="004349D3" w:rsidP="00B33BC8">
      <w:pPr>
        <w:pStyle w:val="FootnoteText"/>
        <w:rPr>
          <w:lang w:val="en-AU"/>
        </w:rPr>
      </w:pPr>
      <w:r w:rsidRPr="00ED1BF6">
        <w:rPr>
          <w:rStyle w:val="FootnoteReference"/>
          <w:lang w:val="en-AU"/>
        </w:rPr>
        <w:footnoteRef/>
      </w:r>
      <w:r w:rsidRPr="00ED1BF6">
        <w:rPr>
          <w:lang w:val="en-AU"/>
        </w:rPr>
        <w:t xml:space="preserve"> </w:t>
      </w:r>
      <w:r w:rsidRPr="00B728B0">
        <w:t>The number of classroom</w:t>
      </w:r>
      <w:r>
        <w:t>s</w:t>
      </w:r>
      <w:r w:rsidRPr="00B728B0">
        <w:t xml:space="preserve"> is obtained by multiplying </w:t>
      </w:r>
      <w:r>
        <w:t xml:space="preserve">the </w:t>
      </w:r>
      <w:r w:rsidRPr="00B728B0">
        <w:t xml:space="preserve">number of USB by 6, and </w:t>
      </w:r>
      <w:r>
        <w:t xml:space="preserve">by </w:t>
      </w:r>
      <w:r w:rsidRPr="00B728B0">
        <w:t xml:space="preserve">multiplying </w:t>
      </w:r>
      <w:r>
        <w:t xml:space="preserve">the number of </w:t>
      </w:r>
      <w:r w:rsidRPr="00B728B0">
        <w:t>SATAP by 3</w:t>
      </w:r>
    </w:p>
  </w:footnote>
  <w:footnote w:id="6">
    <w:p w:rsidR="004349D3" w:rsidRPr="00ED1BF6" w:rsidRDefault="004349D3" w:rsidP="00B33BC8">
      <w:pPr>
        <w:pStyle w:val="FootnoteText"/>
        <w:rPr>
          <w:lang w:val="en-AU"/>
        </w:rPr>
      </w:pPr>
      <w:r w:rsidRPr="00ED1BF6">
        <w:rPr>
          <w:rStyle w:val="FootnoteReference"/>
          <w:lang w:val="en-AU"/>
        </w:rPr>
        <w:footnoteRef/>
      </w:r>
      <w:r w:rsidRPr="00ED1BF6">
        <w:rPr>
          <w:lang w:val="en-AU"/>
        </w:rPr>
        <w:t xml:space="preserve"> </w:t>
      </w:r>
      <w:r w:rsidRPr="00B728B0">
        <w:t xml:space="preserve">The number of additional student places is calculated by multiplying </w:t>
      </w:r>
      <w:r>
        <w:t xml:space="preserve">the </w:t>
      </w:r>
      <w:r w:rsidRPr="00B728B0">
        <w:t>number of classrooms by 36 (Minimum Service Standards)</w:t>
      </w:r>
      <w:r>
        <w:t>.</w:t>
      </w:r>
    </w:p>
  </w:footnote>
  <w:footnote w:id="7">
    <w:p w:rsidR="004349D3" w:rsidRPr="00E56459" w:rsidRDefault="004349D3" w:rsidP="00B33BC8">
      <w:pPr>
        <w:pStyle w:val="FootnoteText"/>
        <w:rPr>
          <w:rFonts w:asciiTheme="minorHAnsi" w:hAnsiTheme="minorHAnsi"/>
          <w:szCs w:val="20"/>
          <w:lang w:val="en-AU"/>
        </w:rPr>
      </w:pPr>
      <w:r w:rsidRPr="00E56459">
        <w:rPr>
          <w:rStyle w:val="FootnoteReference"/>
          <w:rFonts w:asciiTheme="minorHAnsi" w:hAnsiTheme="minorHAnsi"/>
          <w:sz w:val="20"/>
          <w:szCs w:val="20"/>
          <w:lang w:val="en-AU"/>
        </w:rPr>
        <w:footnoteRef/>
      </w:r>
      <w:r w:rsidRPr="00E56459">
        <w:rPr>
          <w:rFonts w:asciiTheme="minorHAnsi" w:hAnsiTheme="minorHAnsi"/>
          <w:szCs w:val="20"/>
          <w:lang w:val="en-AU"/>
        </w:rPr>
        <w:t xml:space="preserve"> </w:t>
      </w:r>
      <w:r w:rsidRPr="00E56459">
        <w:rPr>
          <w:rFonts w:asciiTheme="minorHAnsi" w:hAnsiTheme="minorHAnsi"/>
          <w:szCs w:val="20"/>
        </w:rPr>
        <w:t xml:space="preserve">According to </w:t>
      </w:r>
      <w:r>
        <w:rPr>
          <w:rFonts w:asciiTheme="minorHAnsi" w:hAnsiTheme="minorHAnsi"/>
          <w:szCs w:val="20"/>
        </w:rPr>
        <w:t>MoEC</w:t>
      </w:r>
      <w:r w:rsidRPr="00E56459">
        <w:rPr>
          <w:rFonts w:asciiTheme="minorHAnsi" w:hAnsiTheme="minorHAnsi"/>
          <w:szCs w:val="20"/>
        </w:rPr>
        <w:t xml:space="preserve"> 2013 statistics, this represents 13% of the number of existing SMP schools.</w:t>
      </w:r>
    </w:p>
  </w:footnote>
  <w:footnote w:id="8">
    <w:p w:rsidR="004349D3" w:rsidRPr="00E56459" w:rsidRDefault="004349D3" w:rsidP="00B33BC8">
      <w:pPr>
        <w:pStyle w:val="FootnoteText"/>
        <w:rPr>
          <w:rFonts w:asciiTheme="minorHAnsi" w:hAnsiTheme="minorHAnsi"/>
          <w:szCs w:val="20"/>
        </w:rPr>
      </w:pPr>
      <w:r w:rsidRPr="00E56459">
        <w:rPr>
          <w:rStyle w:val="FootnoteReference"/>
          <w:rFonts w:asciiTheme="minorHAnsi" w:hAnsiTheme="minorHAnsi"/>
          <w:sz w:val="20"/>
          <w:szCs w:val="20"/>
        </w:rPr>
        <w:footnoteRef/>
      </w:r>
      <w:r w:rsidRPr="00E56459">
        <w:rPr>
          <w:rFonts w:asciiTheme="minorHAnsi" w:hAnsiTheme="minorHAnsi"/>
          <w:szCs w:val="20"/>
        </w:rPr>
        <w:t xml:space="preserve"> The selection process has continuously been strengthened cycle-on-cycle. This means Cycle 3 selection process is much more stringent than Cycles 1 and 2.</w:t>
      </w:r>
      <w:r>
        <w:rPr>
          <w:rFonts w:asciiTheme="minorHAnsi" w:hAnsiTheme="minorHAnsi"/>
          <w:szCs w:val="20"/>
        </w:rPr>
        <w:t xml:space="preserve"> </w:t>
      </w:r>
    </w:p>
  </w:footnote>
  <w:footnote w:id="9">
    <w:p w:rsidR="004349D3" w:rsidRPr="00103A7F" w:rsidRDefault="004349D3" w:rsidP="004E10FA">
      <w:pPr>
        <w:pStyle w:val="FootnoteText"/>
        <w:rPr>
          <w:lang w:val="en-AU"/>
        </w:rPr>
      </w:pPr>
      <w:r>
        <w:rPr>
          <w:rStyle w:val="FootnoteReference"/>
        </w:rPr>
        <w:footnoteRef/>
      </w:r>
      <w:r>
        <w:t xml:space="preserve"> Based on i</w:t>
      </w:r>
      <w:r w:rsidRPr="00103A7F">
        <w:t>nformation collected from 227 out of 409 new principals</w:t>
      </w:r>
      <w:r>
        <w:t xml:space="preserve"> in receipt of NSIP training in Cycle 1 schools.</w:t>
      </w:r>
    </w:p>
  </w:footnote>
  <w:footnote w:id="10">
    <w:p w:rsidR="004349D3" w:rsidRPr="00ED1BF6" w:rsidRDefault="004349D3" w:rsidP="004E10FA">
      <w:pPr>
        <w:pStyle w:val="FootnoteText"/>
        <w:rPr>
          <w:lang w:val="en-AU"/>
        </w:rPr>
      </w:pPr>
      <w:r w:rsidRPr="00ED1BF6">
        <w:rPr>
          <w:rStyle w:val="FootnoteReference"/>
          <w:lang w:val="en-AU"/>
        </w:rPr>
        <w:footnoteRef/>
      </w:r>
      <w:r w:rsidRPr="00ED1BF6">
        <w:rPr>
          <w:lang w:val="en-AU"/>
        </w:rPr>
        <w:t xml:space="preserve"> </w:t>
      </w:r>
      <w:r w:rsidRPr="00B728B0">
        <w:t xml:space="preserve">While the data is released in 2014, the data collected from these principals are for academic year 2013/2014 which made it fit for the 2013 PMF milestone being evaluated </w:t>
      </w:r>
      <w:r>
        <w:t>at</w:t>
      </w:r>
      <w:r w:rsidRPr="00B728B0">
        <w:t xml:space="preserve"> the end of 2013.</w:t>
      </w:r>
    </w:p>
  </w:footnote>
  <w:footnote w:id="11">
    <w:p w:rsidR="004349D3" w:rsidRDefault="004349D3" w:rsidP="00B33BC8">
      <w:pPr>
        <w:pStyle w:val="FootnoteText"/>
      </w:pPr>
      <w:r>
        <w:rPr>
          <w:rStyle w:val="FootnoteReference"/>
        </w:rPr>
        <w:footnoteRef/>
      </w:r>
      <w:r>
        <w:t xml:space="preserve"> This is made possible by utilising existing SD facilities to house SM classes.</w:t>
      </w:r>
    </w:p>
  </w:footnote>
  <w:footnote w:id="12">
    <w:p w:rsidR="004349D3" w:rsidRDefault="004349D3" w:rsidP="00B33BC8">
      <w:pPr>
        <w:pStyle w:val="FootnoteText"/>
      </w:pPr>
      <w:r>
        <w:rPr>
          <w:rStyle w:val="FootnoteReference"/>
        </w:rPr>
        <w:footnoteRef/>
      </w:r>
      <w:r>
        <w:t xml:space="preserve"> New enrollees are defined as prospective students who would not attend JSE schooling if the EP school was not constructed. The decision not to attend JSE schooling was for various reasons (e.g. no accessible JSE schooling, insufficient funding for transport costs, etc.). These new enrollees will have a direct effect on GER.</w:t>
      </w:r>
    </w:p>
  </w:footnote>
  <w:footnote w:id="13">
    <w:p w:rsidR="004349D3" w:rsidRDefault="004349D3" w:rsidP="00B33BC8">
      <w:pPr>
        <w:pStyle w:val="FootnoteText"/>
      </w:pPr>
      <w:r>
        <w:rPr>
          <w:rStyle w:val="FootnoteReference"/>
        </w:rPr>
        <w:footnoteRef/>
      </w:r>
      <w:r>
        <w:t xml:space="preserve"> Transferees are defined as prospective students who would attend JSE schooling even if EP schools had not been constructed, albeit attending existing JSE schooling would be more expensive. These students will not directly increase GER of the districts. Nevertheless these students may result in improved GER as they would be less likely to drop-out from school.</w:t>
      </w:r>
    </w:p>
  </w:footnote>
  <w:footnote w:id="14">
    <w:p w:rsidR="004349D3" w:rsidRPr="00ED1BF6" w:rsidRDefault="004349D3" w:rsidP="00B33BC8">
      <w:pPr>
        <w:pStyle w:val="FootnoteText"/>
        <w:rPr>
          <w:lang w:val="en-AU"/>
        </w:rPr>
      </w:pPr>
      <w:r w:rsidRPr="00ED1BF6">
        <w:rPr>
          <w:rStyle w:val="FootnoteReference"/>
          <w:lang w:val="en-AU"/>
        </w:rPr>
        <w:footnoteRef/>
      </w:r>
      <w:r w:rsidRPr="00ED1BF6">
        <w:rPr>
          <w:lang w:val="en-AU"/>
        </w:rPr>
        <w:t xml:space="preserve"> </w:t>
      </w:r>
      <w:r w:rsidRPr="00B728B0">
        <w:t>The POM evaluation (whose results will be known in 2015) will only provide information on the additionally of enrolment (i.e. new enrol</w:t>
      </w:r>
      <w:r>
        <w:t>l</w:t>
      </w:r>
      <w:r w:rsidRPr="00B728B0">
        <w:t xml:space="preserve">ees figures) for schools constructed under </w:t>
      </w:r>
      <w:r>
        <w:t>C</w:t>
      </w:r>
      <w:r w:rsidRPr="00B728B0">
        <w:t>ycle 1, i.e. before major improvements in site selection process took place.</w:t>
      </w:r>
    </w:p>
  </w:footnote>
  <w:footnote w:id="15">
    <w:p w:rsidR="004349D3" w:rsidRPr="00ED1BF6" w:rsidRDefault="004349D3" w:rsidP="00B33BC8">
      <w:pPr>
        <w:pStyle w:val="FootnoteText"/>
        <w:rPr>
          <w:lang w:val="en-AU"/>
        </w:rPr>
      </w:pPr>
      <w:r w:rsidRPr="00ED1BF6">
        <w:rPr>
          <w:rStyle w:val="FootnoteReference"/>
          <w:lang w:val="en-AU"/>
        </w:rPr>
        <w:footnoteRef/>
      </w:r>
      <w:r w:rsidRPr="00ED1BF6">
        <w:rPr>
          <w:lang w:val="en-AU"/>
        </w:rPr>
        <w:t xml:space="preserve"> </w:t>
      </w:r>
      <w:r w:rsidRPr="00B728B0">
        <w:t xml:space="preserve">The </w:t>
      </w:r>
      <w:r>
        <w:t>M</w:t>
      </w:r>
      <w:r w:rsidRPr="00B728B0">
        <w:t xml:space="preserve">inistry of </w:t>
      </w:r>
      <w:r>
        <w:t>P</w:t>
      </w:r>
      <w:r w:rsidRPr="00B728B0">
        <w:t xml:space="preserve">ublic </w:t>
      </w:r>
      <w:r>
        <w:t>W</w:t>
      </w:r>
      <w:r w:rsidRPr="00B728B0">
        <w:t>orks decree (PermenPU No. 45 2007) regulates that government owned building</w:t>
      </w:r>
      <w:r>
        <w:t>s</w:t>
      </w:r>
      <w:r w:rsidRPr="00B728B0">
        <w:t xml:space="preserve"> must have a </w:t>
      </w:r>
      <w:r>
        <w:t xml:space="preserve">lifespan of </w:t>
      </w:r>
      <w:r w:rsidRPr="00B728B0">
        <w:t>50 years.</w:t>
      </w:r>
    </w:p>
  </w:footnote>
  <w:footnote w:id="16">
    <w:p w:rsidR="004349D3" w:rsidRDefault="004349D3" w:rsidP="00B33BC8">
      <w:pPr>
        <w:pStyle w:val="FootnoteText"/>
      </w:pPr>
      <w:r>
        <w:rPr>
          <w:rStyle w:val="FootnoteReference"/>
        </w:rPr>
        <w:footnoteRef/>
      </w:r>
      <w:r>
        <w:t xml:space="preserve"> It must be noted that NSIP data reflect the 2013/2014 academic year, while the DAPODIK data reflect the 2014/2015 academic year.</w:t>
      </w:r>
    </w:p>
  </w:footnote>
  <w:footnote w:id="17">
    <w:p w:rsidR="004349D3" w:rsidRDefault="004349D3" w:rsidP="00B33BC8">
      <w:pPr>
        <w:pStyle w:val="FootnoteText"/>
      </w:pPr>
      <w:r>
        <w:rPr>
          <w:rStyle w:val="FootnoteReference"/>
        </w:rPr>
        <w:footnoteRef/>
      </w:r>
      <w:r>
        <w:t xml:space="preserve"> Curriculum 2013 or the previous KTSP curriculum consists of approximately 10 subjects. Each subject requires four hours per week from the teacher for every class, with a maximum of six classes (for USB). This results in a maximum of 24 hours per week for every subject teacher. Thus every school ideally requires only 10 subject teachers, with additional teachers for additional religious subjects (beyond Islamic education) and the principal.</w:t>
      </w:r>
    </w:p>
  </w:footnote>
  <w:footnote w:id="18">
    <w:p w:rsidR="004349D3" w:rsidRPr="008C7230" w:rsidRDefault="004349D3" w:rsidP="00812052">
      <w:pPr>
        <w:pStyle w:val="FootnoteText"/>
        <w:rPr>
          <w:lang w:val="en-AU"/>
        </w:rPr>
      </w:pPr>
      <w:r>
        <w:rPr>
          <w:rStyle w:val="FootnoteReference"/>
        </w:rPr>
        <w:footnoteRef/>
      </w:r>
      <w:r>
        <w:t xml:space="preserve"> </w:t>
      </w:r>
      <w:r>
        <w:rPr>
          <w:lang w:val="en-AU"/>
        </w:rPr>
        <w:t>C1 schools in this analysis comprise Cycle 1 and Cycle 2 schools that are identifiable on the DAPODIK website. Out of 767 schools, only 612 are identifiable on the website.</w:t>
      </w:r>
    </w:p>
  </w:footnote>
  <w:footnote w:id="19">
    <w:p w:rsidR="004349D3" w:rsidRPr="00ED1BF6" w:rsidRDefault="004349D3" w:rsidP="00B33BC8">
      <w:pPr>
        <w:pStyle w:val="FootnoteText"/>
        <w:rPr>
          <w:lang w:val="en-AU"/>
        </w:rPr>
      </w:pPr>
      <w:r w:rsidRPr="00ED1BF6">
        <w:rPr>
          <w:rStyle w:val="FootnoteReference"/>
          <w:lang w:val="en-AU"/>
        </w:rPr>
        <w:footnoteRef/>
      </w:r>
      <w:r w:rsidRPr="00ED1BF6">
        <w:rPr>
          <w:lang w:val="en-AU"/>
        </w:rPr>
        <w:t xml:space="preserve"> </w:t>
      </w:r>
      <w:r w:rsidRPr="00B728B0">
        <w:t xml:space="preserve">The </w:t>
      </w:r>
      <w:r>
        <w:t>M</w:t>
      </w:r>
      <w:r w:rsidRPr="00B728B0">
        <w:t xml:space="preserve">inistry of </w:t>
      </w:r>
      <w:r>
        <w:t>P</w:t>
      </w:r>
      <w:r w:rsidRPr="00B728B0">
        <w:t xml:space="preserve">ublic </w:t>
      </w:r>
      <w:r>
        <w:t>W</w:t>
      </w:r>
      <w:r w:rsidRPr="00B728B0">
        <w:t xml:space="preserve">orks decree (PermenPU No. 45 2007) only regulates Construction Management Consultants. The same </w:t>
      </w:r>
      <w:r>
        <w:t>M</w:t>
      </w:r>
      <w:r w:rsidRPr="00B728B0">
        <w:t xml:space="preserve">inistry of </w:t>
      </w:r>
      <w:r>
        <w:t>P</w:t>
      </w:r>
      <w:r w:rsidRPr="00B728B0">
        <w:t xml:space="preserve">ublic </w:t>
      </w:r>
      <w:r>
        <w:t>W</w:t>
      </w:r>
      <w:r w:rsidRPr="00B728B0">
        <w:t>orks decree also limit</w:t>
      </w:r>
      <w:r>
        <w:t>s</w:t>
      </w:r>
      <w:r w:rsidRPr="00B728B0">
        <w:t xml:space="preserve"> the budget allocated for monitoring purposes to 1.5% - 6% of the construction budget.</w:t>
      </w:r>
      <w:r w:rsidRPr="00ED1BF6">
        <w:rPr>
          <w:lang w:val="en-AU"/>
        </w:rPr>
        <w:t xml:space="preserve"> </w:t>
      </w:r>
    </w:p>
  </w:footnote>
  <w:footnote w:id="20">
    <w:p w:rsidR="004349D3" w:rsidRPr="00EA0F4B" w:rsidRDefault="004349D3" w:rsidP="00D20962">
      <w:pPr>
        <w:pStyle w:val="FootnoteText"/>
        <w:rPr>
          <w:rFonts w:asciiTheme="minorHAnsi" w:hAnsiTheme="minorHAnsi"/>
        </w:rPr>
      </w:pPr>
      <w:r>
        <w:rPr>
          <w:rStyle w:val="FootnoteReference"/>
        </w:rPr>
        <w:footnoteRef/>
      </w:r>
      <w:r>
        <w:t xml:space="preserve"> </w:t>
      </w:r>
      <w:r>
        <w:rPr>
          <w:rFonts w:asciiTheme="minorHAnsi" w:hAnsiTheme="minorHAnsi"/>
        </w:rPr>
        <w:t xml:space="preserve">The 2014 budget managed by SSQ Component 2 consists of AUD 1,899,763 for NSIP and AUD 2,348,983 for ProDEP. </w:t>
      </w:r>
    </w:p>
  </w:footnote>
  <w:footnote w:id="21">
    <w:p w:rsidR="004349D3" w:rsidRPr="00007F0B" w:rsidRDefault="004349D3" w:rsidP="00D20962">
      <w:pPr>
        <w:pStyle w:val="FootnoteText"/>
        <w:rPr>
          <w:rFonts w:asciiTheme="minorHAnsi" w:hAnsiTheme="minorHAnsi"/>
          <w:b/>
        </w:rPr>
      </w:pPr>
      <w:r>
        <w:rPr>
          <w:rStyle w:val="FootnoteReference"/>
        </w:rPr>
        <w:footnoteRef/>
      </w:r>
      <w:r>
        <w:t xml:space="preserve"> </w:t>
      </w:r>
      <w:r w:rsidRPr="00007F0B">
        <w:rPr>
          <w:rFonts w:asciiTheme="minorHAnsi" w:hAnsiTheme="minorHAnsi"/>
          <w:bCs/>
        </w:rPr>
        <w:t>Program for International Student Assessment</w:t>
      </w:r>
      <w:r>
        <w:rPr>
          <w:rFonts w:asciiTheme="minorHAnsi" w:hAnsiTheme="minorHAnsi"/>
          <w:bCs/>
        </w:rPr>
        <w:t>.</w:t>
      </w:r>
    </w:p>
  </w:footnote>
  <w:footnote w:id="22">
    <w:p w:rsidR="004349D3" w:rsidRPr="00D52465" w:rsidRDefault="004349D3" w:rsidP="00D20962">
      <w:pPr>
        <w:pStyle w:val="FootnoteText"/>
        <w:rPr>
          <w:rFonts w:asciiTheme="minorHAnsi" w:hAnsiTheme="minorHAnsi"/>
          <w:szCs w:val="20"/>
        </w:rPr>
      </w:pPr>
      <w:r w:rsidRPr="00882ECD">
        <w:rPr>
          <w:rStyle w:val="FootnoteReference"/>
          <w:rFonts w:asciiTheme="minorHAnsi" w:hAnsiTheme="minorHAnsi"/>
        </w:rPr>
        <w:footnoteRef/>
      </w:r>
      <w:r w:rsidRPr="00882ECD">
        <w:rPr>
          <w:rFonts w:asciiTheme="minorHAnsi" w:hAnsiTheme="minorHAnsi"/>
        </w:rPr>
        <w:t xml:space="preserve"> </w:t>
      </w:r>
      <w:r>
        <w:rPr>
          <w:rFonts w:asciiTheme="minorHAnsi" w:hAnsiTheme="minorHAnsi"/>
        </w:rPr>
        <w:t xml:space="preserve">The </w:t>
      </w:r>
      <w:r w:rsidRPr="00C2587E">
        <w:rPr>
          <w:rFonts w:asciiTheme="minorHAnsi" w:hAnsiTheme="minorHAnsi"/>
        </w:rPr>
        <w:t xml:space="preserve">Minister of Culture and Primary </w:t>
      </w:r>
      <w:r>
        <w:rPr>
          <w:rFonts w:asciiTheme="minorHAnsi" w:hAnsiTheme="minorHAnsi"/>
        </w:rPr>
        <w:t>and</w:t>
      </w:r>
      <w:r w:rsidRPr="00C2587E">
        <w:rPr>
          <w:rFonts w:asciiTheme="minorHAnsi" w:hAnsiTheme="minorHAnsi"/>
        </w:rPr>
        <w:t xml:space="preserve"> Secondary Education</w:t>
      </w:r>
      <w:r>
        <w:rPr>
          <w:rFonts w:asciiTheme="minorHAnsi" w:hAnsiTheme="minorHAnsi"/>
        </w:rPr>
        <w:t xml:space="preserve"> </w:t>
      </w:r>
      <w:r w:rsidRPr="00882ECD">
        <w:rPr>
          <w:rFonts w:asciiTheme="minorHAnsi" w:hAnsiTheme="minorHAnsi"/>
        </w:rPr>
        <w:t>stated that the roll-out of Curriculum 2013 is currently on hold and schools are advised to revert to the 2006 curriculum (KTSP). Curriculum 2013 will only be implemented in th</w:t>
      </w:r>
      <w:r>
        <w:rPr>
          <w:rFonts w:asciiTheme="minorHAnsi" w:hAnsiTheme="minorHAnsi"/>
        </w:rPr>
        <w:t>ose</w:t>
      </w:r>
      <w:r w:rsidRPr="00882ECD">
        <w:rPr>
          <w:rFonts w:asciiTheme="minorHAnsi" w:hAnsiTheme="minorHAnsi"/>
        </w:rPr>
        <w:t xml:space="preserve"> 6,221</w:t>
      </w:r>
      <w:r>
        <w:rPr>
          <w:rFonts w:asciiTheme="minorHAnsi" w:hAnsiTheme="minorHAnsi"/>
        </w:rPr>
        <w:t xml:space="preserve"> </w:t>
      </w:r>
      <w:r w:rsidRPr="00882ECD">
        <w:rPr>
          <w:rFonts w:asciiTheme="minorHAnsi" w:hAnsiTheme="minorHAnsi"/>
        </w:rPr>
        <w:t xml:space="preserve">schools that have implemented the curriculum in the past three </w:t>
      </w:r>
      <w:r w:rsidRPr="00D52465">
        <w:rPr>
          <w:rFonts w:asciiTheme="minorHAnsi" w:hAnsiTheme="minorHAnsi"/>
          <w:szCs w:val="20"/>
        </w:rPr>
        <w:t xml:space="preserve">semesters. See </w:t>
      </w:r>
      <w:hyperlink r:id="rId1" w:history="1">
        <w:r w:rsidRPr="00D52465">
          <w:rPr>
            <w:rStyle w:val="Hyperlink"/>
            <w:rFonts w:asciiTheme="minorHAnsi" w:hAnsiTheme="minorHAnsi"/>
            <w:sz w:val="20"/>
            <w:szCs w:val="20"/>
          </w:rPr>
          <w:t>http://www.thejakartapost.com/news/2014/12/07/anies-nixes-much-maligned-2013-curriculum.html</w:t>
        </w:r>
      </w:hyperlink>
      <w:r w:rsidRPr="00D52465">
        <w:rPr>
          <w:rFonts w:asciiTheme="minorHAnsi" w:hAnsiTheme="minorHAnsi"/>
          <w:szCs w:val="20"/>
        </w:rPr>
        <w:t xml:space="preserve"> </w:t>
      </w:r>
    </w:p>
  </w:footnote>
  <w:footnote w:id="23">
    <w:p w:rsidR="004349D3" w:rsidRPr="00882ECD" w:rsidRDefault="004349D3" w:rsidP="00D20962">
      <w:pPr>
        <w:pStyle w:val="FootnoteText"/>
        <w:rPr>
          <w:rFonts w:asciiTheme="minorHAnsi" w:hAnsiTheme="minorHAnsi"/>
        </w:rPr>
      </w:pPr>
      <w:r w:rsidRPr="00882ECD">
        <w:rPr>
          <w:rStyle w:val="FootnoteReference"/>
          <w:rFonts w:asciiTheme="minorHAnsi" w:hAnsiTheme="minorHAnsi"/>
        </w:rPr>
        <w:footnoteRef/>
      </w:r>
      <w:r w:rsidRPr="00882ECD">
        <w:rPr>
          <w:rFonts w:asciiTheme="minorHAnsi" w:hAnsiTheme="minorHAnsi"/>
        </w:rPr>
        <w:t xml:space="preserve"> Anecdotal evidence indicates that this might only happen in 2016.</w:t>
      </w:r>
    </w:p>
  </w:footnote>
  <w:footnote w:id="24">
    <w:p w:rsidR="004349D3" w:rsidRPr="00AC682E" w:rsidRDefault="004349D3" w:rsidP="00D20962">
      <w:pPr>
        <w:pStyle w:val="FootnoteText"/>
        <w:rPr>
          <w:rFonts w:asciiTheme="minorHAnsi" w:hAnsiTheme="minorHAnsi"/>
        </w:rPr>
      </w:pPr>
      <w:r w:rsidRPr="00AC682E">
        <w:rPr>
          <w:rStyle w:val="FootnoteReference"/>
          <w:rFonts w:asciiTheme="minorHAnsi" w:hAnsiTheme="minorHAnsi"/>
        </w:rPr>
        <w:footnoteRef/>
      </w:r>
      <w:r w:rsidRPr="00AC682E">
        <w:rPr>
          <w:rFonts w:asciiTheme="minorHAnsi" w:hAnsiTheme="minorHAnsi"/>
        </w:rPr>
        <w:t xml:space="preserve"> The indicators co</w:t>
      </w:r>
      <w:r>
        <w:rPr>
          <w:rFonts w:asciiTheme="minorHAnsi" w:hAnsiTheme="minorHAnsi"/>
        </w:rPr>
        <w:t>mprise</w:t>
      </w:r>
      <w:r w:rsidRPr="00AC682E">
        <w:rPr>
          <w:rFonts w:asciiTheme="minorHAnsi" w:hAnsiTheme="minorHAnsi"/>
        </w:rPr>
        <w:t xml:space="preserve">: 1) Percentage of principals who work according to standards; 2) Percentage of supervisors with increased competencies and professionalism; 3) Percentage of principals with increased competencies and professionalism. </w:t>
      </w:r>
    </w:p>
  </w:footnote>
  <w:footnote w:id="25">
    <w:p w:rsidR="004349D3" w:rsidRPr="008342E5" w:rsidRDefault="004349D3" w:rsidP="00D20962">
      <w:pPr>
        <w:pStyle w:val="FootnoteText"/>
        <w:rPr>
          <w:rFonts w:asciiTheme="minorHAnsi" w:hAnsiTheme="minorHAnsi"/>
        </w:rPr>
      </w:pPr>
      <w:r w:rsidRPr="002D2E2A">
        <w:rPr>
          <w:rStyle w:val="FootnoteReference"/>
          <w:rFonts w:asciiTheme="minorHAnsi" w:hAnsiTheme="minorHAnsi"/>
        </w:rPr>
        <w:footnoteRef/>
      </w:r>
      <w:r w:rsidRPr="002D2E2A">
        <w:rPr>
          <w:rFonts w:asciiTheme="minorHAnsi" w:hAnsiTheme="minorHAnsi"/>
        </w:rPr>
        <w:t xml:space="preserve"> Persons trained under NSIP include supervisors, principals, teachers, treasurers</w:t>
      </w:r>
      <w:r>
        <w:rPr>
          <w:rFonts w:asciiTheme="minorHAnsi" w:hAnsiTheme="minorHAnsi"/>
        </w:rPr>
        <w:t xml:space="preserve"> and </w:t>
      </w:r>
      <w:r w:rsidRPr="002D2E2A">
        <w:rPr>
          <w:rFonts w:asciiTheme="minorHAnsi" w:hAnsiTheme="minorHAnsi"/>
        </w:rPr>
        <w:t xml:space="preserve">school committees, </w:t>
      </w:r>
      <w:r>
        <w:rPr>
          <w:rFonts w:asciiTheme="minorHAnsi" w:hAnsiTheme="minorHAnsi"/>
        </w:rPr>
        <w:t>(</w:t>
      </w:r>
      <w:r w:rsidRPr="002D2E2A">
        <w:rPr>
          <w:rFonts w:asciiTheme="minorHAnsi" w:hAnsiTheme="minorHAnsi"/>
        </w:rPr>
        <w:t>see NSIP Evaluation Report</w:t>
      </w:r>
      <w:r>
        <w:rPr>
          <w:rFonts w:asciiTheme="minorHAnsi" w:hAnsiTheme="minorHAnsi"/>
        </w:rPr>
        <w:t xml:space="preserve">, </w:t>
      </w:r>
      <w:r w:rsidRPr="002D2E2A">
        <w:rPr>
          <w:rFonts w:asciiTheme="minorHAnsi" w:hAnsiTheme="minorHAnsi"/>
        </w:rPr>
        <w:t>2014</w:t>
      </w:r>
      <w:r>
        <w:rPr>
          <w:rFonts w:asciiTheme="minorHAnsi" w:hAnsiTheme="minorHAnsi"/>
        </w:rPr>
        <w:t>)</w:t>
      </w:r>
      <w:r w:rsidRPr="008342E5">
        <w:rPr>
          <w:rFonts w:asciiTheme="minorHAnsi" w:hAnsiTheme="minorHAnsi"/>
        </w:rPr>
        <w:t xml:space="preserve">. </w:t>
      </w:r>
    </w:p>
  </w:footnote>
  <w:footnote w:id="26">
    <w:p w:rsidR="004349D3" w:rsidRPr="002D2E2A" w:rsidRDefault="004349D3" w:rsidP="00D20962">
      <w:pPr>
        <w:pStyle w:val="FootnoteText"/>
        <w:rPr>
          <w:rFonts w:asciiTheme="minorHAnsi" w:hAnsiTheme="minorHAnsi"/>
        </w:rPr>
      </w:pPr>
      <w:r w:rsidRPr="008342E5">
        <w:rPr>
          <w:rStyle w:val="FootnoteReference"/>
          <w:rFonts w:asciiTheme="minorHAnsi" w:hAnsiTheme="minorHAnsi"/>
        </w:rPr>
        <w:footnoteRef/>
      </w:r>
      <w:r w:rsidRPr="008342E5">
        <w:rPr>
          <w:rFonts w:asciiTheme="minorHAnsi" w:hAnsiTheme="minorHAnsi"/>
        </w:rPr>
        <w:t xml:space="preserve"> According to Component 2, the low number of participants in CPD is not because training </w:t>
      </w:r>
      <w:r>
        <w:rPr>
          <w:rFonts w:asciiTheme="minorHAnsi" w:hAnsiTheme="minorHAnsi"/>
        </w:rPr>
        <w:t>is not on track</w:t>
      </w:r>
      <w:r w:rsidRPr="002D2E2A">
        <w:rPr>
          <w:rFonts w:asciiTheme="minorHAnsi" w:hAnsiTheme="minorHAnsi"/>
        </w:rPr>
        <w:t>, but because Eligible Entities have not entered the required data into the system. A reporting workshop is planned</w:t>
      </w:r>
      <w:r>
        <w:rPr>
          <w:rFonts w:asciiTheme="minorHAnsi" w:hAnsiTheme="minorHAnsi"/>
        </w:rPr>
        <w:t xml:space="preserve"> </w:t>
      </w:r>
      <w:r w:rsidRPr="002D2E2A">
        <w:rPr>
          <w:rFonts w:asciiTheme="minorHAnsi" w:hAnsiTheme="minorHAnsi"/>
        </w:rPr>
        <w:t>for 6-9 January</w:t>
      </w:r>
      <w:r>
        <w:rPr>
          <w:rFonts w:asciiTheme="minorHAnsi" w:hAnsiTheme="minorHAnsi"/>
        </w:rPr>
        <w:t xml:space="preserve"> 2015 during which time </w:t>
      </w:r>
      <w:r w:rsidRPr="002D2E2A">
        <w:rPr>
          <w:rFonts w:asciiTheme="minorHAnsi" w:hAnsiTheme="minorHAnsi"/>
        </w:rPr>
        <w:t>the numbers</w:t>
      </w:r>
      <w:r>
        <w:rPr>
          <w:rFonts w:asciiTheme="minorHAnsi" w:hAnsiTheme="minorHAnsi"/>
        </w:rPr>
        <w:t xml:space="preserve"> should be updated</w:t>
      </w:r>
      <w:r w:rsidRPr="002D2E2A">
        <w:rPr>
          <w:rFonts w:asciiTheme="minorHAnsi" w:hAnsiTheme="minorHAnsi"/>
        </w:rPr>
        <w:t xml:space="preserve">. It is probable </w:t>
      </w:r>
      <w:r>
        <w:rPr>
          <w:rFonts w:asciiTheme="minorHAnsi" w:hAnsiTheme="minorHAnsi"/>
        </w:rPr>
        <w:t xml:space="preserve">that </w:t>
      </w:r>
      <w:r w:rsidRPr="002D2E2A">
        <w:rPr>
          <w:rFonts w:asciiTheme="minorHAnsi" w:hAnsiTheme="minorHAnsi"/>
        </w:rPr>
        <w:t>an updated number of CPD participants</w:t>
      </w:r>
      <w:r>
        <w:rPr>
          <w:rFonts w:asciiTheme="minorHAnsi" w:hAnsiTheme="minorHAnsi"/>
        </w:rPr>
        <w:t xml:space="preserve"> will be reported at the next SDTOG, scheduled to be in early 2015</w:t>
      </w:r>
      <w:r w:rsidRPr="002D2E2A">
        <w:rPr>
          <w:rFonts w:asciiTheme="minorHAnsi" w:hAnsiTheme="minorHAnsi"/>
        </w:rPr>
        <w:t xml:space="preserve">. </w:t>
      </w:r>
    </w:p>
  </w:footnote>
  <w:footnote w:id="27">
    <w:p w:rsidR="004349D3" w:rsidRPr="00EA0F4B" w:rsidRDefault="004349D3" w:rsidP="00D20962">
      <w:pPr>
        <w:pStyle w:val="FootnoteText"/>
        <w:rPr>
          <w:rFonts w:asciiTheme="minorHAnsi" w:hAnsiTheme="minorHAnsi"/>
        </w:rPr>
      </w:pPr>
      <w:r w:rsidRPr="002F30C5">
        <w:rPr>
          <w:rStyle w:val="FootnoteReference"/>
          <w:rFonts w:asciiTheme="minorHAnsi" w:hAnsiTheme="minorHAnsi"/>
        </w:rPr>
        <w:footnoteRef/>
      </w:r>
      <w:r w:rsidRPr="002F30C5">
        <w:rPr>
          <w:rFonts w:asciiTheme="minorHAnsi" w:hAnsiTheme="minorHAnsi"/>
        </w:rPr>
        <w:t xml:space="preserve"> The World Bank benchmark for courses demonstrating statistically significant learning is 80%.</w:t>
      </w:r>
      <w:r w:rsidRPr="00EA0F4B">
        <w:rPr>
          <w:rFonts w:asciiTheme="minorHAnsi" w:hAnsiTheme="minorHAnsi"/>
        </w:rPr>
        <w:t xml:space="preserve"> </w:t>
      </w:r>
    </w:p>
  </w:footnote>
  <w:footnote w:id="28">
    <w:p w:rsidR="004349D3" w:rsidRPr="00C651EE" w:rsidRDefault="004349D3" w:rsidP="00D20962">
      <w:pPr>
        <w:pStyle w:val="FootnoteText"/>
        <w:rPr>
          <w:rFonts w:asciiTheme="minorHAnsi" w:hAnsiTheme="minorHAnsi"/>
          <w:szCs w:val="20"/>
          <w:lang w:val="en-AU"/>
        </w:rPr>
      </w:pPr>
      <w:r>
        <w:rPr>
          <w:rStyle w:val="FootnoteReference"/>
        </w:rPr>
        <w:footnoteRef/>
      </w:r>
      <w:r>
        <w:t xml:space="preserve"> </w:t>
      </w:r>
      <w:r>
        <w:rPr>
          <w:rFonts w:asciiTheme="minorHAnsi" w:hAnsiTheme="minorHAnsi"/>
          <w:szCs w:val="20"/>
        </w:rPr>
        <w:t>As presented in the SDTOG on 13 February 2015, all Level One Uols were offered to participants</w:t>
      </w:r>
      <w:r>
        <w:rPr>
          <w:rFonts w:asciiTheme="minorHAnsi" w:hAnsiTheme="minorHAnsi"/>
          <w:szCs w:val="20"/>
          <w:lang w:val="en-AU"/>
        </w:rPr>
        <w:t xml:space="preserve"> with most participants taking the UoL on Curriculum and Academic Supervision. The UoL least taken by participants were Management of New Students and Financial Management.</w:t>
      </w:r>
    </w:p>
  </w:footnote>
  <w:footnote w:id="29">
    <w:p w:rsidR="004349D3" w:rsidRDefault="004349D3" w:rsidP="00D20962">
      <w:pPr>
        <w:pStyle w:val="FootnoteText"/>
      </w:pPr>
      <w:r>
        <w:rPr>
          <w:rStyle w:val="FootnoteReference"/>
        </w:rPr>
        <w:footnoteRef/>
      </w:r>
      <w:r>
        <w:t xml:space="preserve"> </w:t>
      </w:r>
      <w:r w:rsidRPr="00571371">
        <w:rPr>
          <w:rFonts w:asciiTheme="minorHAnsi" w:hAnsiTheme="minorHAnsi"/>
        </w:rPr>
        <w:t>A large number of current supervisors are devoted to managing Islamic Studies.</w:t>
      </w:r>
    </w:p>
  </w:footnote>
  <w:footnote w:id="30">
    <w:p w:rsidR="004349D3" w:rsidRPr="00537D4D" w:rsidRDefault="004349D3" w:rsidP="00D20962">
      <w:pPr>
        <w:pStyle w:val="FootnoteText"/>
        <w:rPr>
          <w:rFonts w:asciiTheme="minorHAnsi" w:hAnsiTheme="minorHAnsi"/>
        </w:rPr>
      </w:pPr>
      <w:r w:rsidRPr="00BA036A">
        <w:rPr>
          <w:rStyle w:val="FootnoteReference"/>
          <w:rFonts w:asciiTheme="minorHAnsi" w:hAnsiTheme="minorHAnsi"/>
        </w:rPr>
        <w:footnoteRef/>
      </w:r>
      <w:r w:rsidRPr="00BA036A">
        <w:rPr>
          <w:rFonts w:asciiTheme="minorHAnsi" w:hAnsiTheme="minorHAnsi"/>
        </w:rPr>
        <w:t xml:space="preserve"> </w:t>
      </w:r>
      <w:r w:rsidRPr="00537D4D">
        <w:rPr>
          <w:rFonts w:asciiTheme="minorHAnsi" w:hAnsiTheme="minorHAnsi"/>
        </w:rPr>
        <w:t xml:space="preserve">Numbers of students in the 2013/2014 school year at primary level: 29,973,015; junior secondary level: 12,891,887; senior secondary level: 9,830,287. The number includes students from special schools, Madrasah, and packages A, B and C. </w:t>
      </w:r>
    </w:p>
  </w:footnote>
  <w:footnote w:id="31">
    <w:p w:rsidR="004349D3" w:rsidRPr="00571371" w:rsidRDefault="004349D3" w:rsidP="00D20962">
      <w:pPr>
        <w:pStyle w:val="FootnoteText"/>
        <w:rPr>
          <w:rFonts w:asciiTheme="minorHAnsi" w:hAnsiTheme="minorHAnsi"/>
        </w:rPr>
      </w:pPr>
      <w:r w:rsidRPr="00571371">
        <w:rPr>
          <w:rStyle w:val="FootnoteReference"/>
          <w:rFonts w:asciiTheme="minorHAnsi" w:hAnsiTheme="minorHAnsi"/>
        </w:rPr>
        <w:footnoteRef/>
      </w:r>
      <w:r w:rsidRPr="00571371">
        <w:rPr>
          <w:rFonts w:asciiTheme="minorHAnsi" w:hAnsiTheme="minorHAnsi"/>
        </w:rPr>
        <w:t xml:space="preserve"> LPMPs’ core mandate is education quality assurance, and therefore the budget available to them to engage with district stakeholders to stimulate buy-in for ProDEP activities might be limited. </w:t>
      </w:r>
    </w:p>
  </w:footnote>
  <w:footnote w:id="32">
    <w:p w:rsidR="004349D3" w:rsidRPr="00573A71" w:rsidRDefault="004349D3" w:rsidP="00D20962">
      <w:pPr>
        <w:pStyle w:val="FootnoteText"/>
        <w:rPr>
          <w:lang w:val="en-AU"/>
        </w:rPr>
      </w:pPr>
      <w:r>
        <w:rPr>
          <w:rStyle w:val="FootnoteReference"/>
        </w:rPr>
        <w:footnoteRef/>
      </w:r>
      <w:r>
        <w:t xml:space="preserve"> </w:t>
      </w:r>
      <w:r>
        <w:rPr>
          <w:lang w:val="en-AU"/>
        </w:rPr>
        <w:t>POM (Research) proposed to look at district willingness and ability to pay for ProDEP, but was asked to postpone by both DFAT and SSQ to allow time for “demonstration effects” from ProDEP training to occur. Subject to DFAT agreement, the study is planned to be implemented in 2015.</w:t>
      </w:r>
    </w:p>
  </w:footnote>
  <w:footnote w:id="33">
    <w:p w:rsidR="004349D3" w:rsidRPr="0094701E" w:rsidRDefault="004349D3" w:rsidP="00D20962">
      <w:pPr>
        <w:pStyle w:val="FootnoteText"/>
        <w:rPr>
          <w:szCs w:val="20"/>
          <w:lang w:val="en-AU"/>
        </w:rPr>
      </w:pPr>
      <w:r w:rsidRPr="0094701E">
        <w:rPr>
          <w:rStyle w:val="FootnoteReference"/>
          <w:sz w:val="18"/>
          <w:szCs w:val="18"/>
        </w:rPr>
        <w:footnoteRef/>
      </w:r>
      <w:r w:rsidRPr="0094701E">
        <w:rPr>
          <w:sz w:val="18"/>
          <w:szCs w:val="18"/>
        </w:rPr>
        <w:t xml:space="preserve"> </w:t>
      </w:r>
      <w:r w:rsidRPr="0094701E">
        <w:rPr>
          <w:szCs w:val="20"/>
          <w:lang w:val="en-AU"/>
        </w:rPr>
        <w:t>10% at the primary level and 23% at the junior secondary level.</w:t>
      </w:r>
    </w:p>
  </w:footnote>
  <w:footnote w:id="34">
    <w:p w:rsidR="004349D3" w:rsidRPr="00FB541C" w:rsidRDefault="004349D3" w:rsidP="00D20962">
      <w:pPr>
        <w:pStyle w:val="FootnoteText"/>
        <w:rPr>
          <w:sz w:val="18"/>
          <w:szCs w:val="18"/>
          <w:lang w:val="en-AU"/>
        </w:rPr>
      </w:pPr>
      <w:r w:rsidRPr="00FB541C">
        <w:rPr>
          <w:rStyle w:val="FootnoteReference"/>
          <w:sz w:val="18"/>
          <w:szCs w:val="18"/>
        </w:rPr>
        <w:footnoteRef/>
      </w:r>
      <w:r w:rsidRPr="00FB541C">
        <w:rPr>
          <w:sz w:val="18"/>
          <w:szCs w:val="18"/>
        </w:rPr>
        <w:t xml:space="preserve"> </w:t>
      </w:r>
      <w:r w:rsidRPr="0094701E">
        <w:rPr>
          <w:szCs w:val="20"/>
          <w:lang w:val="en-AU"/>
        </w:rPr>
        <w:t>As</w:t>
      </w:r>
      <w:r>
        <w:rPr>
          <w:szCs w:val="20"/>
          <w:lang w:val="en-AU"/>
        </w:rPr>
        <w:t xml:space="preserve"> </w:t>
      </w:r>
      <w:r w:rsidRPr="0094701E">
        <w:rPr>
          <w:szCs w:val="20"/>
          <w:lang w:val="en-AU"/>
        </w:rPr>
        <w:t>reported in the SSQ Annual Report for 2014.</w:t>
      </w:r>
    </w:p>
  </w:footnote>
  <w:footnote w:id="35">
    <w:p w:rsidR="004349D3" w:rsidRPr="0094701E" w:rsidRDefault="004349D3" w:rsidP="00D20962">
      <w:pPr>
        <w:pStyle w:val="FootnoteText"/>
        <w:rPr>
          <w:rFonts w:asciiTheme="minorHAnsi" w:hAnsiTheme="minorHAnsi"/>
          <w:szCs w:val="20"/>
          <w:lang w:val="en-AU"/>
        </w:rPr>
      </w:pPr>
      <w:r w:rsidRPr="0094701E">
        <w:rPr>
          <w:rStyle w:val="FootnoteReference"/>
          <w:sz w:val="18"/>
          <w:szCs w:val="18"/>
        </w:rPr>
        <w:footnoteRef/>
      </w:r>
      <w:r>
        <w:t xml:space="preserve"> </w:t>
      </w:r>
      <w:r w:rsidRPr="0094701E">
        <w:rPr>
          <w:szCs w:val="20"/>
        </w:rPr>
        <w:t xml:space="preserve">The 2014 SSQ Mid-Year Progress Report reported that </w:t>
      </w:r>
      <w:r w:rsidRPr="0094701E">
        <w:rPr>
          <w:rFonts w:asciiTheme="minorHAnsi" w:hAnsiTheme="minorHAnsi"/>
          <w:szCs w:val="20"/>
        </w:rPr>
        <w:t>“a</w:t>
      </w:r>
      <w:r w:rsidRPr="0094701E">
        <w:rPr>
          <w:rStyle w:val="Emphasis"/>
          <w:color w:val="000000"/>
          <w:szCs w:val="20"/>
          <w:shd w:val="clear" w:color="auto" w:fill="FFFFFF"/>
        </w:rPr>
        <w:t xml:space="preserve"> </w:t>
      </w:r>
      <w:r w:rsidRPr="0094701E">
        <w:rPr>
          <w:rStyle w:val="Emphasis"/>
          <w:rFonts w:asciiTheme="minorHAnsi" w:hAnsiTheme="minorHAnsi"/>
          <w:color w:val="000000"/>
          <w:szCs w:val="20"/>
          <w:shd w:val="clear" w:color="auto" w:fill="FFFFFF"/>
        </w:rPr>
        <w:t>number of factors contributed to this significant result, including extensive socialisation of accreditation,</w:t>
      </w:r>
      <w:r>
        <w:rPr>
          <w:rStyle w:val="Emphasis"/>
          <w:rFonts w:asciiTheme="minorHAnsi" w:hAnsiTheme="minorHAnsi"/>
          <w:color w:val="000000"/>
          <w:szCs w:val="20"/>
          <w:shd w:val="clear" w:color="auto" w:fill="FFFFFF"/>
        </w:rPr>
        <w:t xml:space="preserve"> </w:t>
      </w:r>
      <w:r w:rsidRPr="0094701E">
        <w:rPr>
          <w:rStyle w:val="Emphasis"/>
          <w:rFonts w:asciiTheme="minorHAnsi" w:hAnsiTheme="minorHAnsi"/>
          <w:color w:val="000000"/>
          <w:szCs w:val="20"/>
          <w:shd w:val="clear" w:color="auto" w:fill="FFFFFF"/>
        </w:rPr>
        <w:t>and the IDR</w:t>
      </w:r>
      <w:r>
        <w:rPr>
          <w:rStyle w:val="Emphasis"/>
          <w:rFonts w:asciiTheme="minorHAnsi" w:hAnsiTheme="minorHAnsi"/>
          <w:color w:val="000000"/>
          <w:szCs w:val="20"/>
          <w:shd w:val="clear" w:color="auto" w:fill="FFFFFF"/>
        </w:rPr>
        <w:t xml:space="preserve"> </w:t>
      </w:r>
      <w:r w:rsidRPr="0094701E">
        <w:rPr>
          <w:rStyle w:val="Emphasis"/>
          <w:rFonts w:asciiTheme="minorHAnsi" w:hAnsiTheme="minorHAnsi"/>
          <w:color w:val="000000"/>
          <w:szCs w:val="20"/>
          <w:shd w:val="clear" w:color="auto" w:fill="FFFFFF"/>
        </w:rPr>
        <w:t>28 billion MoRA allocation to increase the quota for accreditation in 2013. The results have re-energised MoRA’s commitment to madrasah quality improvements.”</w:t>
      </w:r>
      <w:r w:rsidRPr="0094701E">
        <w:rPr>
          <w:rStyle w:val="Emphasis"/>
          <w:rFonts w:asciiTheme="minorHAnsi" w:hAnsiTheme="minorHAnsi"/>
          <w:b/>
          <w:i w:val="0"/>
          <w:color w:val="000000"/>
          <w:szCs w:val="20"/>
          <w:shd w:val="clear" w:color="auto" w:fill="FFFFFF"/>
        </w:rPr>
        <w:t xml:space="preserve"> </w:t>
      </w:r>
      <w:r w:rsidRPr="0094701E">
        <w:rPr>
          <w:rStyle w:val="Emphasis"/>
          <w:rFonts w:asciiTheme="minorHAnsi" w:hAnsiTheme="minorHAnsi"/>
          <w:i w:val="0"/>
          <w:color w:val="000000"/>
          <w:szCs w:val="20"/>
          <w:shd w:val="clear" w:color="auto" w:fill="FFFFFF"/>
        </w:rPr>
        <w:t>The adoption and adaptation by MoRA of LAPIS systems and products, a regular budget allocation to support accreditation in MoRA’s Renstras (including funds to support BAN S/M to conduct accreditation madrasah), the 2013 Madrasah Registration regulation and the work of C3 in support of MoRA accreditation efforts are also viewed as significant contributors to the ongoing successful drive for the accreditation of madrasah.</w:t>
      </w:r>
    </w:p>
  </w:footnote>
  <w:footnote w:id="36">
    <w:p w:rsidR="004349D3" w:rsidRPr="0094701E" w:rsidRDefault="004349D3" w:rsidP="00D20962">
      <w:pPr>
        <w:pStyle w:val="FootnoteText"/>
        <w:rPr>
          <w:rFonts w:asciiTheme="minorHAnsi" w:hAnsiTheme="minorHAnsi"/>
          <w:szCs w:val="20"/>
          <w:lang w:val="en-AU"/>
        </w:rPr>
      </w:pPr>
      <w:r w:rsidRPr="0094701E">
        <w:rPr>
          <w:rStyle w:val="FootnoteReference"/>
          <w:rFonts w:asciiTheme="minorHAnsi" w:hAnsiTheme="minorHAnsi"/>
          <w:sz w:val="20"/>
          <w:szCs w:val="20"/>
        </w:rPr>
        <w:footnoteRef/>
      </w:r>
      <w:r w:rsidRPr="0094701E">
        <w:rPr>
          <w:rFonts w:asciiTheme="minorHAnsi" w:hAnsiTheme="minorHAnsi"/>
          <w:szCs w:val="20"/>
        </w:rPr>
        <w:t xml:space="preserve"> </w:t>
      </w:r>
      <w:r w:rsidRPr="0094701E">
        <w:rPr>
          <w:rStyle w:val="Emphasis"/>
          <w:rFonts w:asciiTheme="minorHAnsi" w:hAnsiTheme="minorHAnsi"/>
          <w:i w:val="0"/>
          <w:color w:val="000000"/>
          <w:szCs w:val="20"/>
          <w:shd w:val="clear" w:color="auto" w:fill="FFFFFF"/>
        </w:rPr>
        <w:t>The percentage of madrasah that remain unaccredited</w:t>
      </w:r>
      <w:r>
        <w:rPr>
          <w:rStyle w:val="Emphasis"/>
          <w:rFonts w:asciiTheme="minorHAnsi" w:hAnsiTheme="minorHAnsi"/>
          <w:i w:val="0"/>
          <w:color w:val="000000"/>
          <w:szCs w:val="20"/>
          <w:shd w:val="clear" w:color="auto" w:fill="FFFFFF"/>
        </w:rPr>
        <w:t>,</w:t>
      </w:r>
      <w:r w:rsidRPr="0094701E">
        <w:rPr>
          <w:rStyle w:val="Emphasis"/>
          <w:rFonts w:asciiTheme="minorHAnsi" w:hAnsiTheme="minorHAnsi"/>
          <w:i w:val="0"/>
          <w:color w:val="000000"/>
          <w:szCs w:val="20"/>
          <w:shd w:val="clear" w:color="auto" w:fill="FFFFFF"/>
        </w:rPr>
        <w:t xml:space="preserve"> however</w:t>
      </w:r>
      <w:r>
        <w:rPr>
          <w:rStyle w:val="Emphasis"/>
          <w:rFonts w:asciiTheme="minorHAnsi" w:hAnsiTheme="minorHAnsi"/>
          <w:i w:val="0"/>
          <w:color w:val="000000"/>
          <w:szCs w:val="20"/>
          <w:shd w:val="clear" w:color="auto" w:fill="FFFFFF"/>
        </w:rPr>
        <w:t>,</w:t>
      </w:r>
      <w:r w:rsidRPr="0094701E">
        <w:rPr>
          <w:rStyle w:val="Emphasis"/>
          <w:rFonts w:asciiTheme="minorHAnsi" w:hAnsiTheme="minorHAnsi"/>
          <w:i w:val="0"/>
          <w:color w:val="000000"/>
          <w:szCs w:val="20"/>
          <w:shd w:val="clear" w:color="auto" w:fill="FFFFFF"/>
        </w:rPr>
        <w:t xml:space="preserve"> may be</w:t>
      </w:r>
      <w:r w:rsidRPr="0094701E">
        <w:rPr>
          <w:rFonts w:asciiTheme="minorHAnsi" w:hAnsiTheme="minorHAnsi" w:cs="Segoe UI"/>
          <w:color w:val="212121"/>
          <w:szCs w:val="20"/>
          <w:shd w:val="clear" w:color="auto" w:fill="FFFFFF"/>
        </w:rPr>
        <w:t xml:space="preserve"> an underestimation as the total number of madrasah remains unknown. Additionally, this number may not account for newly established madrasah, ‘pre-school’ madrasah (recognized as part of the formal system in 2014) or those madrasah whose previous accreditation has lapsed and thus require reaccreditation. The C3 supported accreditation database aims to provide MoRA with both registration and accreditation for all levels and types of madrasah.</w:t>
      </w:r>
    </w:p>
  </w:footnote>
  <w:footnote w:id="37">
    <w:p w:rsidR="004349D3" w:rsidRPr="0094701E" w:rsidRDefault="004349D3" w:rsidP="00D20962">
      <w:pPr>
        <w:pStyle w:val="FootnoteText"/>
        <w:rPr>
          <w:rFonts w:asciiTheme="minorHAnsi" w:hAnsiTheme="minorHAnsi"/>
          <w:szCs w:val="20"/>
          <w:lang w:val="en-AU"/>
        </w:rPr>
      </w:pPr>
      <w:r w:rsidRPr="0094701E">
        <w:rPr>
          <w:rStyle w:val="FootnoteReference"/>
          <w:rFonts w:asciiTheme="minorHAnsi" w:hAnsiTheme="minorHAnsi"/>
          <w:sz w:val="20"/>
          <w:szCs w:val="20"/>
        </w:rPr>
        <w:footnoteRef/>
      </w:r>
      <w:r w:rsidRPr="0094701E">
        <w:rPr>
          <w:rStyle w:val="FootnoteReference"/>
          <w:rFonts w:asciiTheme="minorHAnsi" w:hAnsiTheme="minorHAnsi"/>
          <w:sz w:val="20"/>
          <w:szCs w:val="20"/>
        </w:rPr>
        <w:t xml:space="preserve"> </w:t>
      </w:r>
      <w:r w:rsidRPr="00752665">
        <w:rPr>
          <w:rFonts w:asciiTheme="minorHAnsi" w:hAnsiTheme="minorHAnsi"/>
          <w:szCs w:val="20"/>
          <w:lang w:val="en-AU"/>
        </w:rPr>
        <w:t>POM has been advised by C3 that MoRA has expressed their intention that at some point in the future only accredited madrasah will be eligible for support</w:t>
      </w:r>
      <w:r>
        <w:rPr>
          <w:rFonts w:asciiTheme="minorHAnsi" w:hAnsiTheme="minorHAnsi"/>
          <w:szCs w:val="20"/>
          <w:lang w:val="en-AU"/>
        </w:rPr>
        <w:t xml:space="preserve"> </w:t>
      </w:r>
      <w:r w:rsidRPr="0094701E">
        <w:rPr>
          <w:rFonts w:asciiTheme="minorHAnsi" w:hAnsiTheme="minorHAnsi"/>
          <w:szCs w:val="20"/>
          <w:lang w:val="en-AU"/>
        </w:rPr>
        <w:t>– noting that accreditation will serve as a minimum service standard for madrasah. This regulation, although not fully implemented, has been cited as one of the reasons madrasah, on their own initiative, are seeking to become accredited.</w:t>
      </w:r>
    </w:p>
  </w:footnote>
  <w:footnote w:id="38">
    <w:p w:rsidR="004349D3" w:rsidRPr="0094701E" w:rsidRDefault="004349D3" w:rsidP="00D20962">
      <w:pPr>
        <w:pStyle w:val="FootnoteText"/>
        <w:rPr>
          <w:rFonts w:asciiTheme="minorHAnsi" w:hAnsiTheme="minorHAnsi"/>
          <w:szCs w:val="20"/>
          <w:lang w:val="en-AU"/>
        </w:rPr>
      </w:pPr>
      <w:r w:rsidRPr="0094701E">
        <w:rPr>
          <w:rStyle w:val="FootnoteReference"/>
          <w:rFonts w:asciiTheme="minorHAnsi" w:hAnsiTheme="minorHAnsi"/>
          <w:sz w:val="20"/>
          <w:szCs w:val="20"/>
        </w:rPr>
        <w:footnoteRef/>
      </w:r>
      <w:r w:rsidRPr="0094701E">
        <w:rPr>
          <w:rStyle w:val="FootnoteReference"/>
          <w:rFonts w:asciiTheme="minorHAnsi" w:hAnsiTheme="minorHAnsi"/>
          <w:sz w:val="20"/>
          <w:szCs w:val="20"/>
        </w:rPr>
        <w:t xml:space="preserve"> </w:t>
      </w:r>
      <w:r w:rsidRPr="0094701E">
        <w:rPr>
          <w:rFonts w:asciiTheme="minorHAnsi" w:hAnsiTheme="minorHAnsi"/>
          <w:szCs w:val="20"/>
        </w:rPr>
        <w:t>The initial implementation of Component 3 included different institutions as SNIPs – universities, NGOs and Madrasah Development Centres – to test a variety</w:t>
      </w:r>
      <w:r w:rsidRPr="0094701E">
        <w:rPr>
          <w:rFonts w:asciiTheme="minorHAnsi" w:hAnsiTheme="minorHAnsi"/>
          <w:szCs w:val="20"/>
          <w:lang w:val="en-AU"/>
        </w:rPr>
        <w:t xml:space="preserve"> of modalities to provide services to improve the quality of madrasah. On the request of MoRA, all contracted SNIPs on Phase 3 are Madrasah Development Centres.</w:t>
      </w:r>
    </w:p>
  </w:footnote>
  <w:footnote w:id="39">
    <w:p w:rsidR="004349D3" w:rsidRPr="0094701E" w:rsidRDefault="004349D3" w:rsidP="00D20962">
      <w:pPr>
        <w:pStyle w:val="FootnoteText"/>
        <w:rPr>
          <w:rFonts w:asciiTheme="minorHAnsi" w:hAnsiTheme="minorHAnsi"/>
          <w:szCs w:val="20"/>
          <w:lang w:val="en-AU"/>
        </w:rPr>
      </w:pPr>
      <w:r w:rsidRPr="0094701E">
        <w:rPr>
          <w:rStyle w:val="FootnoteReference"/>
          <w:rFonts w:asciiTheme="minorHAnsi" w:hAnsiTheme="minorHAnsi"/>
          <w:sz w:val="20"/>
          <w:szCs w:val="20"/>
        </w:rPr>
        <w:footnoteRef/>
      </w:r>
      <w:r w:rsidRPr="0094701E">
        <w:rPr>
          <w:rFonts w:asciiTheme="minorHAnsi" w:hAnsiTheme="minorHAnsi"/>
          <w:szCs w:val="20"/>
        </w:rPr>
        <w:t xml:space="preserve"> The target of 1500 madrasah was divided for implementation through </w:t>
      </w:r>
      <w:r w:rsidRPr="0094701E">
        <w:rPr>
          <w:rFonts w:asciiTheme="minorHAnsi" w:hAnsiTheme="minorHAnsi"/>
          <w:bCs/>
          <w:szCs w:val="20"/>
          <w:lang w:val="en-AU"/>
        </w:rPr>
        <w:t>three phases of support – Phase 1 – 565; Phase 2 – 519; Phase 3 - 416. The term ‘targeted’ refers to the madrasah that received Block Grants, training programs and technical assistance through mentors. Additional madrasah participated in training programs and received the technical assistance of mentors – these madrasah are referred to as ‘non-targeted’ by C3 and as ‘participating’ madrasah by EP-POM.</w:t>
      </w:r>
    </w:p>
  </w:footnote>
  <w:footnote w:id="40">
    <w:p w:rsidR="004349D3" w:rsidRPr="0094701E" w:rsidRDefault="004349D3" w:rsidP="00D20962">
      <w:pPr>
        <w:pStyle w:val="FootnoteText"/>
        <w:rPr>
          <w:rFonts w:asciiTheme="minorHAnsi" w:hAnsiTheme="minorHAnsi"/>
          <w:szCs w:val="20"/>
          <w:lang w:val="en-AU"/>
        </w:rPr>
      </w:pPr>
      <w:r w:rsidRPr="0094701E">
        <w:rPr>
          <w:rStyle w:val="FootnoteReference"/>
          <w:rFonts w:asciiTheme="minorHAnsi" w:hAnsiTheme="minorHAnsi"/>
          <w:sz w:val="20"/>
          <w:szCs w:val="20"/>
        </w:rPr>
        <w:footnoteRef/>
      </w:r>
      <w:r w:rsidRPr="0094701E">
        <w:rPr>
          <w:rFonts w:asciiTheme="minorHAnsi" w:hAnsiTheme="minorHAnsi"/>
          <w:szCs w:val="20"/>
        </w:rPr>
        <w:t xml:space="preserve"> </w:t>
      </w:r>
      <w:r w:rsidRPr="0094701E">
        <w:rPr>
          <w:rFonts w:asciiTheme="minorHAnsi" w:hAnsiTheme="minorHAnsi"/>
          <w:szCs w:val="20"/>
          <w:lang w:val="en-AU"/>
        </w:rPr>
        <w:t>The BAN S/M is the independent national agency for the accreditation of schools and madrasah. EP does not provide support to the BAN S/M.</w:t>
      </w:r>
    </w:p>
  </w:footnote>
  <w:footnote w:id="41">
    <w:p w:rsidR="004349D3" w:rsidRPr="0094701E" w:rsidRDefault="004349D3" w:rsidP="00D20962">
      <w:pPr>
        <w:pStyle w:val="FootnoteText"/>
        <w:rPr>
          <w:rFonts w:asciiTheme="minorHAnsi" w:hAnsiTheme="minorHAnsi"/>
          <w:szCs w:val="20"/>
          <w:lang w:val="en-AU"/>
        </w:rPr>
      </w:pPr>
      <w:r w:rsidRPr="0094701E">
        <w:rPr>
          <w:rStyle w:val="FootnoteReference"/>
          <w:rFonts w:asciiTheme="minorHAnsi" w:hAnsiTheme="minorHAnsi"/>
          <w:sz w:val="20"/>
          <w:szCs w:val="20"/>
        </w:rPr>
        <w:footnoteRef/>
      </w:r>
      <w:r w:rsidRPr="0094701E">
        <w:rPr>
          <w:rFonts w:asciiTheme="minorHAnsi" w:hAnsiTheme="minorHAnsi"/>
          <w:szCs w:val="20"/>
        </w:rPr>
        <w:t xml:space="preserve"> </w:t>
      </w:r>
      <w:r w:rsidRPr="0094701E">
        <w:rPr>
          <w:rFonts w:asciiTheme="minorHAnsi" w:hAnsiTheme="minorHAnsi"/>
          <w:bCs/>
          <w:szCs w:val="20"/>
          <w:lang w:val="en-AU"/>
        </w:rPr>
        <w:t>MoRA stated during the 2014 APPR presentation on C3 that accreditation, based on the NES, is the formal instrument used by government to measure the quality of madrasah. C3 is mandated to implement government policy by supporting and strengthening the accreditation program (EOPO 1).</w:t>
      </w:r>
    </w:p>
  </w:footnote>
  <w:footnote w:id="42">
    <w:p w:rsidR="004349D3" w:rsidRPr="0094701E" w:rsidRDefault="004349D3" w:rsidP="00D20962">
      <w:pPr>
        <w:pStyle w:val="FootnoteText"/>
        <w:rPr>
          <w:rFonts w:asciiTheme="minorHAnsi" w:hAnsiTheme="minorHAnsi"/>
          <w:szCs w:val="20"/>
          <w:lang w:val="en-AU"/>
        </w:rPr>
      </w:pPr>
      <w:r w:rsidRPr="0094701E">
        <w:rPr>
          <w:rStyle w:val="FootnoteReference"/>
          <w:rFonts w:asciiTheme="minorHAnsi" w:hAnsiTheme="minorHAnsi"/>
          <w:sz w:val="20"/>
          <w:szCs w:val="20"/>
        </w:rPr>
        <w:footnoteRef/>
      </w:r>
      <w:r w:rsidRPr="0094701E">
        <w:rPr>
          <w:rFonts w:asciiTheme="minorHAnsi" w:hAnsiTheme="minorHAnsi"/>
          <w:szCs w:val="20"/>
        </w:rPr>
        <w:t xml:space="preserve"> The madrasah supported by C3 include the 1,500 ‘targeted’ madrasah which received Block Grants, technical assistance and training.</w:t>
      </w:r>
      <w:r>
        <w:rPr>
          <w:rFonts w:asciiTheme="minorHAnsi" w:hAnsiTheme="minorHAnsi"/>
          <w:szCs w:val="20"/>
        </w:rPr>
        <w:t xml:space="preserve"> </w:t>
      </w:r>
      <w:r w:rsidRPr="0094701E">
        <w:rPr>
          <w:rFonts w:asciiTheme="minorHAnsi" w:hAnsiTheme="minorHAnsi"/>
          <w:szCs w:val="20"/>
        </w:rPr>
        <w:t>In addition, C3, through the work of the SNIPs, has extended its support to over 1,000 additional madrasah that receive SNIP support through the providing of technical assistance and training, but these madrasah are not provided Block Grants.</w:t>
      </w:r>
    </w:p>
  </w:footnote>
  <w:footnote w:id="43">
    <w:p w:rsidR="004349D3" w:rsidRPr="00BD5AFF" w:rsidRDefault="004349D3" w:rsidP="00D20962">
      <w:pPr>
        <w:pStyle w:val="FootnoteText"/>
        <w:rPr>
          <w:rFonts w:asciiTheme="minorHAnsi" w:hAnsiTheme="minorHAnsi"/>
          <w:szCs w:val="20"/>
          <w:lang w:val="en-AU"/>
        </w:rPr>
      </w:pPr>
      <w:r w:rsidRPr="00BD5AFF">
        <w:rPr>
          <w:rStyle w:val="FootnoteReference"/>
          <w:rFonts w:asciiTheme="minorHAnsi" w:hAnsiTheme="minorHAnsi"/>
          <w:sz w:val="20"/>
          <w:szCs w:val="20"/>
        </w:rPr>
        <w:footnoteRef/>
      </w:r>
      <w:r w:rsidRPr="00BD5AFF">
        <w:rPr>
          <w:rFonts w:asciiTheme="minorHAnsi" w:hAnsiTheme="minorHAnsi"/>
          <w:szCs w:val="20"/>
        </w:rPr>
        <w:t xml:space="preserve"> </w:t>
      </w:r>
      <w:r w:rsidRPr="00BD5AFF">
        <w:rPr>
          <w:rFonts w:asciiTheme="minorHAnsi" w:hAnsiTheme="minorHAnsi"/>
          <w:szCs w:val="20"/>
          <w:lang w:val="en-AU"/>
        </w:rPr>
        <w:t>In addition to mentors, there have been similar numbers of trainers prepared to deliver training programs.</w:t>
      </w:r>
    </w:p>
  </w:footnote>
  <w:footnote w:id="44">
    <w:p w:rsidR="004349D3" w:rsidRPr="00BD5AFF" w:rsidRDefault="004349D3" w:rsidP="00D20962">
      <w:pPr>
        <w:pStyle w:val="FootnoteText"/>
        <w:rPr>
          <w:rFonts w:asciiTheme="minorHAnsi" w:hAnsiTheme="minorHAnsi"/>
          <w:szCs w:val="20"/>
          <w:lang w:val="en-AU"/>
        </w:rPr>
      </w:pPr>
      <w:r w:rsidRPr="00BD5AFF">
        <w:rPr>
          <w:rStyle w:val="FootnoteReference"/>
          <w:rFonts w:asciiTheme="minorHAnsi" w:hAnsiTheme="minorHAnsi"/>
          <w:sz w:val="20"/>
          <w:szCs w:val="20"/>
        </w:rPr>
        <w:footnoteRef/>
      </w:r>
      <w:r w:rsidRPr="00BD5AFF">
        <w:rPr>
          <w:rFonts w:asciiTheme="minorHAnsi" w:hAnsiTheme="minorHAnsi"/>
          <w:szCs w:val="20"/>
        </w:rPr>
        <w:t xml:space="preserve"> </w:t>
      </w:r>
      <w:r w:rsidRPr="00BD5AFF">
        <w:rPr>
          <w:rFonts w:asciiTheme="minorHAnsi" w:hAnsiTheme="minorHAnsi"/>
          <w:szCs w:val="20"/>
          <w:lang w:val="en-AU"/>
        </w:rPr>
        <w:t>Three hundred madrasah were foreseen in SSQ’s Annual Progress Report for 2014 but this has since been reduced to 153.</w:t>
      </w:r>
    </w:p>
  </w:footnote>
  <w:footnote w:id="45">
    <w:p w:rsidR="004349D3" w:rsidRPr="00BD5AFF" w:rsidRDefault="004349D3" w:rsidP="00D20962">
      <w:pPr>
        <w:pStyle w:val="FootnoteText"/>
        <w:rPr>
          <w:rFonts w:asciiTheme="minorHAnsi" w:hAnsiTheme="minorHAnsi"/>
          <w:szCs w:val="20"/>
          <w:lang w:val="en-AU"/>
        </w:rPr>
      </w:pPr>
      <w:r w:rsidRPr="00BD5AFF">
        <w:rPr>
          <w:rStyle w:val="FootnoteReference"/>
          <w:rFonts w:asciiTheme="minorHAnsi" w:hAnsiTheme="minorHAnsi"/>
          <w:sz w:val="20"/>
          <w:szCs w:val="20"/>
        </w:rPr>
        <w:footnoteRef/>
      </w:r>
      <w:r w:rsidRPr="00BD5AFF">
        <w:rPr>
          <w:rFonts w:asciiTheme="minorHAnsi" w:hAnsiTheme="minorHAnsi"/>
          <w:szCs w:val="20"/>
        </w:rPr>
        <w:t xml:space="preserve"> </w:t>
      </w:r>
      <w:r w:rsidRPr="00BD5AFF">
        <w:rPr>
          <w:rFonts w:asciiTheme="minorHAnsi" w:hAnsiTheme="minorHAnsi"/>
          <w:szCs w:val="20"/>
          <w:lang w:val="en-AU"/>
        </w:rPr>
        <w:t xml:space="preserve">One aspect of the C3 model is the mobilization and acquisition of funds from sources other than the BOS funds from the national government to support private madrasah. Primarily this is directed to obtaining funds from local government and other local sources. </w:t>
      </w:r>
    </w:p>
  </w:footnote>
  <w:footnote w:id="46">
    <w:p w:rsidR="004349D3" w:rsidRPr="00BD5AFF" w:rsidRDefault="004349D3" w:rsidP="00D20962">
      <w:pPr>
        <w:pStyle w:val="FootnoteText"/>
        <w:rPr>
          <w:rFonts w:asciiTheme="minorHAnsi" w:hAnsiTheme="minorHAnsi"/>
          <w:szCs w:val="20"/>
          <w:lang w:val="en-AU"/>
        </w:rPr>
      </w:pPr>
      <w:r w:rsidRPr="00BD5AFF">
        <w:rPr>
          <w:rStyle w:val="FootnoteReference"/>
          <w:rFonts w:asciiTheme="minorHAnsi" w:hAnsiTheme="minorHAnsi"/>
          <w:sz w:val="20"/>
          <w:szCs w:val="20"/>
        </w:rPr>
        <w:footnoteRef/>
      </w:r>
      <w:r w:rsidRPr="00BD5AFF">
        <w:rPr>
          <w:rFonts w:asciiTheme="minorHAnsi" w:hAnsiTheme="minorHAnsi"/>
          <w:szCs w:val="20"/>
        </w:rPr>
        <w:t xml:space="preserve"> </w:t>
      </w:r>
      <w:r w:rsidRPr="00BD5AFF">
        <w:rPr>
          <w:rFonts w:asciiTheme="minorHAnsi" w:hAnsiTheme="minorHAnsi"/>
          <w:szCs w:val="20"/>
          <w:lang w:val="en-AU"/>
        </w:rPr>
        <w:t>Initial findings of the pilot testing of the Systemic Change Mapping Framework (SCMF) – an attempt to ‘capture’ systemic change resulting from C3 support – revealed that there was limited utility in analysing available reports (i.e. SNIP reports) to analyse changes in sub-national systems to support madrasah quality.</w:t>
      </w:r>
    </w:p>
  </w:footnote>
  <w:footnote w:id="47">
    <w:p w:rsidR="004349D3" w:rsidRPr="00BD5AFF" w:rsidRDefault="004349D3" w:rsidP="00D20962">
      <w:pPr>
        <w:pStyle w:val="FootnoteText"/>
        <w:rPr>
          <w:rFonts w:asciiTheme="minorHAnsi" w:hAnsiTheme="minorHAnsi"/>
          <w:szCs w:val="20"/>
          <w:lang w:val="en-AU"/>
        </w:rPr>
      </w:pPr>
      <w:r w:rsidRPr="00BD5AFF">
        <w:rPr>
          <w:rStyle w:val="FootnoteReference"/>
          <w:rFonts w:asciiTheme="minorHAnsi" w:hAnsiTheme="minorHAnsi"/>
          <w:sz w:val="20"/>
          <w:szCs w:val="20"/>
        </w:rPr>
        <w:footnoteRef/>
      </w:r>
      <w:r w:rsidRPr="00BD5AFF">
        <w:rPr>
          <w:rFonts w:asciiTheme="minorHAnsi" w:hAnsiTheme="minorHAnsi"/>
          <w:szCs w:val="20"/>
        </w:rPr>
        <w:t xml:space="preserve"> C3 and POM, as a result of the early findings of the SCMF pilot testing, are proposing a comparative research study of MDCs who have successfully implemented SNIP contracts and effected good results with respect to madrasah improvement.</w:t>
      </w:r>
    </w:p>
  </w:footnote>
  <w:footnote w:id="48">
    <w:p w:rsidR="004349D3" w:rsidRPr="00BD5AFF" w:rsidRDefault="004349D3" w:rsidP="00D20962">
      <w:pPr>
        <w:pStyle w:val="FootnoteText"/>
        <w:rPr>
          <w:rFonts w:asciiTheme="minorHAnsi" w:hAnsiTheme="minorHAnsi"/>
          <w:szCs w:val="20"/>
          <w:lang w:val="en-AU"/>
        </w:rPr>
      </w:pPr>
      <w:r w:rsidRPr="00BD5AFF">
        <w:rPr>
          <w:rStyle w:val="FootnoteReference"/>
          <w:rFonts w:asciiTheme="minorHAnsi" w:hAnsiTheme="minorHAnsi"/>
          <w:sz w:val="20"/>
          <w:szCs w:val="20"/>
        </w:rPr>
        <w:footnoteRef/>
      </w:r>
      <w:r w:rsidRPr="00BD5AFF">
        <w:rPr>
          <w:rStyle w:val="FootnoteReference"/>
          <w:rFonts w:asciiTheme="minorHAnsi" w:hAnsiTheme="minorHAnsi"/>
          <w:sz w:val="20"/>
          <w:szCs w:val="20"/>
        </w:rPr>
        <w:t xml:space="preserve"> </w:t>
      </w:r>
      <w:r w:rsidRPr="00BD5AFF">
        <w:rPr>
          <w:rFonts w:asciiTheme="minorHAnsi" w:hAnsiTheme="minorHAnsi"/>
          <w:szCs w:val="20"/>
          <w:lang w:val="en-AU"/>
        </w:rPr>
        <w:t>The SSQ Annual Progress Report for 2014 indicates that “MoRA’s Strategic Framework for Madrasah Accreditation continues to be the platform for EP support to systems strengthening.”</w:t>
      </w:r>
    </w:p>
  </w:footnote>
  <w:footnote w:id="49">
    <w:p w:rsidR="004349D3" w:rsidRPr="00BD5AFF" w:rsidRDefault="004349D3" w:rsidP="00D20962">
      <w:pPr>
        <w:pStyle w:val="FootnoteText"/>
        <w:rPr>
          <w:rFonts w:asciiTheme="minorHAnsi" w:hAnsiTheme="minorHAnsi"/>
          <w:szCs w:val="20"/>
          <w:lang w:val="en-AU"/>
        </w:rPr>
      </w:pPr>
      <w:r w:rsidRPr="00BD5AFF">
        <w:rPr>
          <w:rStyle w:val="FootnoteReference"/>
          <w:rFonts w:asciiTheme="minorHAnsi" w:hAnsiTheme="minorHAnsi"/>
          <w:sz w:val="20"/>
          <w:szCs w:val="20"/>
        </w:rPr>
        <w:footnoteRef/>
      </w:r>
      <w:r w:rsidRPr="00BD5AFF">
        <w:rPr>
          <w:rStyle w:val="FootnoteReference"/>
          <w:rFonts w:asciiTheme="minorHAnsi" w:hAnsiTheme="minorHAnsi"/>
          <w:sz w:val="20"/>
          <w:szCs w:val="20"/>
        </w:rPr>
        <w:t xml:space="preserve"> </w:t>
      </w:r>
      <w:r w:rsidRPr="00BD5AFF">
        <w:rPr>
          <w:rFonts w:asciiTheme="minorHAnsi" w:hAnsiTheme="minorHAnsi"/>
          <w:szCs w:val="20"/>
          <w:lang w:val="en-AU"/>
        </w:rPr>
        <w:t>There is an indication from MoRA that the proposed 2015 budget may provide funds to again support BAN S/M in conducting accreditation for madrasah that are supported by C3 Phase 3 and the madrasah included in the MoRA upgrading and replication initiatives.</w:t>
      </w:r>
    </w:p>
  </w:footnote>
  <w:footnote w:id="50">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SSQ technical assistance support to Phase 2 SNIPs was predominantly focused on management and finance.</w:t>
      </w:r>
    </w:p>
  </w:footnote>
  <w:footnote w:id="51">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C3 is collecting information on the attainment of different levels of accreditation of the madrasah support through C3.</w:t>
      </w:r>
      <w:r>
        <w:rPr>
          <w:rFonts w:asciiTheme="minorHAnsi" w:hAnsiTheme="minorHAnsi"/>
          <w:szCs w:val="20"/>
        </w:rPr>
        <w:t xml:space="preserve"> </w:t>
      </w:r>
      <w:r w:rsidRPr="003A3E1F">
        <w:rPr>
          <w:rFonts w:asciiTheme="minorHAnsi" w:hAnsiTheme="minorHAnsi"/>
          <w:szCs w:val="20"/>
        </w:rPr>
        <w:t>Early indications are that there is little difference in the attainment of accreditation levels between Block Grant and non-Block Grant recipients.</w:t>
      </w:r>
    </w:p>
  </w:footnote>
  <w:footnote w:id="52">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In defence of the uniform amount of Block Grants allocated, some have argued that if there is a differential Block Grant funding formula there would need to be very clear criteria and processes for determining allocations to avoid undue competition for funds between madrasah and potential influence on amounts to be allocated.</w:t>
      </w:r>
    </w:p>
  </w:footnote>
  <w:footnote w:id="53">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Anecdotal evidence from discussions with C3 management indicates that some flexibility in the standard grant allocation of AUD 400,000 per SNIP (in particular for Phase 3) is being considered to allow for differential costs, primarily in relation to the costs of transportation to reach the more remote/isolated madrasah.</w:t>
      </w:r>
      <w:r>
        <w:rPr>
          <w:rFonts w:asciiTheme="minorHAnsi" w:hAnsiTheme="minorHAnsi"/>
          <w:szCs w:val="20"/>
          <w:lang w:val="en-AU"/>
        </w:rPr>
        <w:t xml:space="preserve"> </w:t>
      </w:r>
    </w:p>
  </w:footnote>
  <w:footnote w:id="54">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The EOPO 3 Midline Evaluation findings noted that some aspects of madrasah service provision demonstrated significant improvement, such as the quality of infrastructure, sanitation and availability of teaching and learning resources, but less evident in the quality of the teaching and learning process.</w:t>
      </w:r>
    </w:p>
  </w:footnote>
  <w:footnote w:id="55">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The EOPO 3 baseline evaluation study indicated that Block Grants may inhibit support from madrasah stakeholders.</w:t>
      </w:r>
    </w:p>
  </w:footnote>
  <w:footnote w:id="56">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The SSQ Annual Progress Report for 2014 indicates that “MoRA’s Strategic Framework for Madrasah Accreditation continues to be the platform for EP support to systems strengthening.”</w:t>
      </w:r>
    </w:p>
  </w:footnote>
  <w:footnote w:id="57">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POM has been provided with information that suggests some targeted districts and, even more so, the targeted provinces through the SNIPs, have adopted and are applying, to varying degrees, selected aspects of the C3 model of support for madrasah improvement.</w:t>
      </w:r>
      <w:r>
        <w:rPr>
          <w:rFonts w:asciiTheme="minorHAnsi" w:hAnsiTheme="minorHAnsi"/>
          <w:szCs w:val="20"/>
          <w:lang w:val="en-AU"/>
        </w:rPr>
        <w:t xml:space="preserve"> </w:t>
      </w:r>
      <w:r w:rsidRPr="003A3E1F">
        <w:rPr>
          <w:rFonts w:asciiTheme="minorHAnsi" w:hAnsiTheme="minorHAnsi"/>
          <w:szCs w:val="20"/>
          <w:lang w:val="en-AU"/>
        </w:rPr>
        <w:t xml:space="preserve">This situation requires further investigation by C3 and by POM. </w:t>
      </w:r>
    </w:p>
  </w:footnote>
  <w:footnote w:id="58">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But is not sufficient in and of itself.</w:t>
      </w:r>
    </w:p>
  </w:footnote>
  <w:footnote w:id="59">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The EOPO 3 evaluation study employs an alternative quality assessment framework of 33 indicators derived from an international survey and synthesis of findings on school effectiveness best practices.</w:t>
      </w:r>
    </w:p>
  </w:footnote>
  <w:footnote w:id="60">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The SSQ evaluation of Phase 1 and the EOPO 3 mid-line evaluation study of Phase 2 reported greater than expected changes in non-targeted madrasah.</w:t>
      </w:r>
    </w:p>
  </w:footnote>
  <w:footnote w:id="61">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C3 is in the process of collecting and collating information on the extent of contributions that are being made to madrasah that are coming from a range of sources other than from C3 support. This information will be provided by C3 in future reports.</w:t>
      </w:r>
      <w:r>
        <w:rPr>
          <w:rFonts w:asciiTheme="minorHAnsi" w:hAnsiTheme="minorHAnsi"/>
          <w:szCs w:val="20"/>
        </w:rPr>
        <w:t xml:space="preserve"> </w:t>
      </w:r>
      <w:r w:rsidRPr="003A3E1F">
        <w:rPr>
          <w:rFonts w:asciiTheme="minorHAnsi" w:hAnsiTheme="minorHAnsi"/>
          <w:szCs w:val="20"/>
          <w:lang w:val="en-AU"/>
        </w:rPr>
        <w:t>C3 has also advised that, based on the experiences of Phase 1 and 2 in securing external funding, the SSQ Annual Plan has proposed to include training on resource mobilization that will target the madrasah principal, supervisor, mentor, community, private sector and state enterprises.</w:t>
      </w:r>
    </w:p>
  </w:footnote>
  <w:footnote w:id="62">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In some instances, the initial announcement that the madrasah had been selected for participation in the EP resulted in increased levels of support and attention from the community as well as increased enrolment – even prior to the implementation of any activity to improve the level of accreditation.</w:t>
      </w:r>
    </w:p>
  </w:footnote>
  <w:footnote w:id="63">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C3 has advised that the SSQ 2015 Annual Plan has proposed to include leadership training that will target the madrasah principal, supervisors and mentors.</w:t>
      </w:r>
    </w:p>
  </w:footnote>
  <w:footnote w:id="64">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rPr>
        <w:t xml:space="preserve"> </w:t>
      </w:r>
      <w:r w:rsidRPr="003A3E1F">
        <w:rPr>
          <w:rFonts w:asciiTheme="minorHAnsi" w:hAnsiTheme="minorHAnsi"/>
          <w:szCs w:val="20"/>
          <w:lang w:val="en-AU"/>
        </w:rPr>
        <w:t>UPPAM was established as a temporary ad hoc unit within the Directorate for Madrasah Education and functions that were within MoRA sub-directorates were taken on by UPPAM. The shift of UPPAM functions to sub-directorates is actually a return to the previous institutional modality – although it is a positive development for sustainability.</w:t>
      </w:r>
    </w:p>
  </w:footnote>
  <w:footnote w:id="65">
    <w:p w:rsidR="004349D3" w:rsidRPr="003A3E1F" w:rsidRDefault="004349D3" w:rsidP="00D20962">
      <w:pPr>
        <w:pStyle w:val="FootnoteText"/>
        <w:rPr>
          <w:rFonts w:asciiTheme="minorHAnsi" w:hAnsiTheme="minorHAnsi"/>
          <w:szCs w:val="20"/>
          <w:lang w:val="en-AU"/>
        </w:rPr>
      </w:pPr>
      <w:r w:rsidRPr="003A3E1F">
        <w:rPr>
          <w:rStyle w:val="FootnoteReference"/>
          <w:rFonts w:asciiTheme="minorHAnsi" w:hAnsiTheme="minorHAnsi"/>
          <w:sz w:val="20"/>
          <w:szCs w:val="20"/>
        </w:rPr>
        <w:footnoteRef/>
      </w:r>
      <w:r w:rsidRPr="003A3E1F">
        <w:rPr>
          <w:rFonts w:asciiTheme="minorHAnsi" w:hAnsiTheme="minorHAnsi"/>
          <w:szCs w:val="20"/>
          <w:lang w:val="en-AU"/>
        </w:rPr>
        <w:t xml:space="preserve"> The 19 May 2014 version of the M</w:t>
      </w:r>
      <w:r>
        <w:rPr>
          <w:rFonts w:asciiTheme="minorHAnsi" w:hAnsiTheme="minorHAnsi"/>
          <w:szCs w:val="20"/>
          <w:lang w:val="en-AU"/>
        </w:rPr>
        <w:t>oRA</w:t>
      </w:r>
      <w:r w:rsidRPr="003A3E1F">
        <w:rPr>
          <w:rFonts w:asciiTheme="minorHAnsi" w:hAnsiTheme="minorHAnsi"/>
          <w:szCs w:val="20"/>
          <w:lang w:val="en-AU"/>
        </w:rPr>
        <w:t xml:space="preserve"> and DFAT Joint Concept Paper: A Strategy to Establish a Continuous Program of Madrasah Quality Improvement – The “Grand Design” states that the “Directorate of Madrasah Education will complete a “Grand Design for Improving Madrasah Quality” as a clear articulation of its quality agenda and to inform the upcoming Renstra.”</w:t>
      </w:r>
      <w:r>
        <w:rPr>
          <w:rFonts w:asciiTheme="minorHAnsi" w:hAnsiTheme="minorHAnsi"/>
          <w:szCs w:val="20"/>
          <w:lang w:val="en-AU"/>
        </w:rPr>
        <w:t xml:space="preserve"> </w:t>
      </w:r>
      <w:r w:rsidRPr="003A3E1F">
        <w:rPr>
          <w:rFonts w:asciiTheme="minorHAnsi" w:hAnsiTheme="minorHAnsi"/>
          <w:szCs w:val="20"/>
          <w:lang w:val="en-AU"/>
        </w:rPr>
        <w:t>The footnote to this statement advises that “</w:t>
      </w:r>
      <w:r>
        <w:rPr>
          <w:rFonts w:asciiTheme="minorHAnsi" w:hAnsiTheme="minorHAnsi"/>
          <w:i/>
          <w:szCs w:val="20"/>
          <w:lang w:val="en-AU"/>
        </w:rPr>
        <w:t>id</w:t>
      </w:r>
      <w:r w:rsidRPr="003A3E1F">
        <w:rPr>
          <w:rFonts w:asciiTheme="minorHAnsi" w:hAnsiTheme="minorHAnsi"/>
          <w:i/>
          <w:szCs w:val="20"/>
          <w:lang w:val="en-AU"/>
        </w:rPr>
        <w:t>eally, the GD will be annexed to the Renstra as a critical input</w:t>
      </w:r>
      <w:r w:rsidRPr="003A3E1F">
        <w:rPr>
          <w:rFonts w:asciiTheme="minorHAnsi" w:hAnsiTheme="minorHAnsi"/>
          <w:szCs w:val="20"/>
          <w:lang w:val="en-AU"/>
        </w:rPr>
        <w:t>” (page 2).</w:t>
      </w:r>
    </w:p>
    <w:p w:rsidR="004349D3" w:rsidRPr="003A3E1F" w:rsidRDefault="004349D3" w:rsidP="00D20962">
      <w:pPr>
        <w:pStyle w:val="Heading1"/>
        <w:numPr>
          <w:ilvl w:val="0"/>
          <w:numId w:val="0"/>
        </w:numPr>
        <w:spacing w:before="0" w:after="0"/>
        <w:rPr>
          <w:sz w:val="18"/>
          <w:szCs w:val="18"/>
        </w:rPr>
      </w:pPr>
    </w:p>
  </w:footnote>
  <w:footnote w:id="66">
    <w:p w:rsidR="004349D3" w:rsidRPr="00A11F32" w:rsidRDefault="004349D3" w:rsidP="00D20962">
      <w:pPr>
        <w:pStyle w:val="FootnoteText"/>
        <w:rPr>
          <w:lang w:val="en-AU"/>
        </w:rPr>
      </w:pPr>
      <w:r>
        <w:rPr>
          <w:rStyle w:val="FootnoteReference"/>
        </w:rPr>
        <w:footnoteRef/>
      </w:r>
      <w:r>
        <w:t xml:space="preserve"> </w:t>
      </w:r>
      <w:r>
        <w:rPr>
          <w:lang w:val="en-AU"/>
        </w:rPr>
        <w:t xml:space="preserve">For example, ACDP 001: Early Childhood Development Strategy Study; ACDP 015: Mid-Term Review of the Education </w:t>
      </w:r>
      <w:r w:rsidRPr="006D4DD4">
        <w:rPr>
          <w:i/>
          <w:lang w:val="en-AU"/>
        </w:rPr>
        <w:t>Renstra</w:t>
      </w:r>
      <w:r>
        <w:rPr>
          <w:lang w:val="en-AU"/>
        </w:rPr>
        <w:t>s; ACDP 020: Evaluation of International Standard Schools; ACDP 021: Overview of the Islamic Education Sector.</w:t>
      </w:r>
    </w:p>
  </w:footnote>
  <w:footnote w:id="67">
    <w:p w:rsidR="004349D3" w:rsidRPr="000D334F" w:rsidRDefault="004349D3" w:rsidP="00D20962">
      <w:pPr>
        <w:pStyle w:val="FootnoteText"/>
        <w:rPr>
          <w:lang w:val="en-AU"/>
        </w:rPr>
      </w:pPr>
      <w:r>
        <w:rPr>
          <w:rStyle w:val="FootnoteReference"/>
        </w:rPr>
        <w:footnoteRef/>
      </w:r>
      <w:r>
        <w:t xml:space="preserve"> </w:t>
      </w:r>
      <w:r>
        <w:rPr>
          <w:lang w:val="en-AU"/>
        </w:rPr>
        <w:t>For example, ACDP 034F: Paper on Higher Education Governance and Management and ACDP 034D: Paper on MSS and the Quality of the Learning Environment</w:t>
      </w:r>
    </w:p>
  </w:footnote>
  <w:footnote w:id="68">
    <w:p w:rsidR="004349D3" w:rsidRPr="000D334F" w:rsidRDefault="004349D3" w:rsidP="00D20962">
      <w:pPr>
        <w:pStyle w:val="FootnoteText"/>
        <w:rPr>
          <w:lang w:val="en-AU"/>
        </w:rPr>
      </w:pPr>
      <w:r>
        <w:rPr>
          <w:rStyle w:val="FootnoteReference"/>
        </w:rPr>
        <w:footnoteRef/>
      </w:r>
      <w:r>
        <w:t xml:space="preserve"> </w:t>
      </w:r>
      <w:r>
        <w:rPr>
          <w:lang w:val="en-AU"/>
        </w:rPr>
        <w:t>For example, ACDP 037: Capacity Building for Evaluation of Education Policies, Strategies and Programs through Overseas Course and Workshop.</w:t>
      </w:r>
    </w:p>
  </w:footnote>
  <w:footnote w:id="69">
    <w:p w:rsidR="004349D3" w:rsidRPr="006110A8" w:rsidRDefault="004349D3" w:rsidP="00D20962">
      <w:pPr>
        <w:pStyle w:val="FootnoteText"/>
        <w:rPr>
          <w:lang w:val="en-AU"/>
        </w:rPr>
      </w:pPr>
      <w:r>
        <w:rPr>
          <w:rStyle w:val="FootnoteReference"/>
        </w:rPr>
        <w:footnoteRef/>
      </w:r>
      <w:r>
        <w:t xml:space="preserve"> </w:t>
      </w:r>
      <w:r>
        <w:rPr>
          <w:lang w:val="en-AU"/>
        </w:rPr>
        <w:t>For example, ACDP 013A: Support to Textbook Development.</w:t>
      </w:r>
    </w:p>
  </w:footnote>
  <w:footnote w:id="70">
    <w:p w:rsidR="004349D3" w:rsidRPr="00DA1B0C" w:rsidRDefault="004349D3" w:rsidP="00D20962">
      <w:pPr>
        <w:pStyle w:val="FootnoteText"/>
        <w:rPr>
          <w:lang w:val="en-AU"/>
        </w:rPr>
      </w:pPr>
      <w:r>
        <w:rPr>
          <w:rStyle w:val="FootnoteReference"/>
        </w:rPr>
        <w:footnoteRef/>
      </w:r>
      <w:r>
        <w:t xml:space="preserve"> </w:t>
      </w:r>
      <w:r>
        <w:rPr>
          <w:lang w:val="en-AU"/>
        </w:rPr>
        <w:t xml:space="preserve">Each donor provides funding in their own currency and so the total funds available will depend on exchange rate variations. </w:t>
      </w:r>
    </w:p>
  </w:footnote>
  <w:footnote w:id="71">
    <w:p w:rsidR="004349D3" w:rsidRPr="00EA668A" w:rsidRDefault="004349D3" w:rsidP="00D20962">
      <w:pPr>
        <w:pStyle w:val="FootnoteText"/>
        <w:rPr>
          <w:lang w:val="en-AU"/>
        </w:rPr>
      </w:pPr>
      <w:r>
        <w:rPr>
          <w:rStyle w:val="FootnoteReference"/>
        </w:rPr>
        <w:footnoteRef/>
      </w:r>
      <w:r>
        <w:t xml:space="preserve"> </w:t>
      </w:r>
      <w:r>
        <w:rPr>
          <w:lang w:val="en-AU"/>
        </w:rPr>
        <w:t>Including a range of different Directorate Generals, Directorates and units.</w:t>
      </w:r>
    </w:p>
  </w:footnote>
  <w:footnote w:id="72">
    <w:p w:rsidR="004349D3" w:rsidRPr="00377085" w:rsidRDefault="004349D3" w:rsidP="00D20962">
      <w:pPr>
        <w:pStyle w:val="FootnoteText"/>
        <w:rPr>
          <w:lang w:val="en-AU"/>
        </w:rPr>
      </w:pPr>
      <w:r>
        <w:rPr>
          <w:rStyle w:val="FootnoteReference"/>
        </w:rPr>
        <w:footnoteRef/>
      </w:r>
      <w:r>
        <w:t xml:space="preserve"> </w:t>
      </w:r>
      <w:r w:rsidRPr="00377085">
        <w:rPr>
          <w:i/>
        </w:rPr>
        <w:t>Rencana</w:t>
      </w:r>
      <w:r>
        <w:t xml:space="preserve"> </w:t>
      </w:r>
      <w:r w:rsidRPr="00377085">
        <w:rPr>
          <w:i/>
        </w:rPr>
        <w:t>Pembangunan Jangka Menengah Daerah</w:t>
      </w:r>
      <w:r>
        <w:t xml:space="preserve"> or local </w:t>
      </w:r>
      <w:r w:rsidRPr="00377085">
        <w:t>medium term development plan</w:t>
      </w:r>
      <w:r>
        <w:t>.</w:t>
      </w:r>
    </w:p>
  </w:footnote>
  <w:footnote w:id="73">
    <w:p w:rsidR="004349D3" w:rsidRPr="0084214F" w:rsidRDefault="004349D3" w:rsidP="00D20962">
      <w:pPr>
        <w:pStyle w:val="FootnoteText"/>
        <w:rPr>
          <w:lang w:val="en-AU"/>
        </w:rPr>
      </w:pPr>
      <w:r>
        <w:rPr>
          <w:rStyle w:val="FootnoteReference"/>
        </w:rPr>
        <w:footnoteRef/>
      </w:r>
      <w:r>
        <w:t xml:space="preserve"> </w:t>
      </w:r>
      <w:r w:rsidRPr="0084214F">
        <w:t>From a PMF perspective, the challenges are further complicated by there being different degrees and types of utilization at the EOCO level, and there being different degrees of importance attached to different policies, regulations, plans and budgets at the EOPO level</w:t>
      </w:r>
    </w:p>
  </w:footnote>
  <w:footnote w:id="74">
    <w:p w:rsidR="004349D3" w:rsidRPr="00CA4869" w:rsidRDefault="004349D3" w:rsidP="00D20962">
      <w:pPr>
        <w:pStyle w:val="FootnoteText"/>
        <w:rPr>
          <w:lang w:val="en-AU"/>
        </w:rPr>
      </w:pPr>
      <w:r>
        <w:rPr>
          <w:rStyle w:val="FootnoteReference"/>
        </w:rPr>
        <w:footnoteRef/>
      </w:r>
      <w:r>
        <w:t xml:space="preserve"> Note</w:t>
      </w:r>
      <w:r>
        <w:rPr>
          <w:lang w:val="en-AU"/>
        </w:rPr>
        <w:t xml:space="preserve"> the associated concerns expressed in POM’s 2013 APPR.</w:t>
      </w:r>
    </w:p>
  </w:footnote>
  <w:footnote w:id="75">
    <w:p w:rsidR="004349D3" w:rsidRPr="00D423A7" w:rsidRDefault="004349D3" w:rsidP="00D20962">
      <w:pPr>
        <w:pStyle w:val="FootnoteText"/>
        <w:rPr>
          <w:lang w:val="en-AU"/>
        </w:rPr>
      </w:pPr>
      <w:r>
        <w:rPr>
          <w:rStyle w:val="FootnoteReference"/>
        </w:rPr>
        <w:footnoteRef/>
      </w:r>
      <w:r>
        <w:t xml:space="preserve"> </w:t>
      </w:r>
      <w:r>
        <w:rPr>
          <w:lang w:val="en-AU"/>
        </w:rPr>
        <w:t>It is frequently noted by the Secretariat that ACDP’s demand-led response (and seemingly by implication, an associated emphasis on ‘informing’) is consistent with the Jakarta Commitment of 2009.</w:t>
      </w:r>
    </w:p>
  </w:footnote>
  <w:footnote w:id="76">
    <w:p w:rsidR="004349D3" w:rsidRPr="002E2138" w:rsidRDefault="004349D3" w:rsidP="00D20962">
      <w:pPr>
        <w:pStyle w:val="FootnoteText"/>
        <w:rPr>
          <w:rFonts w:asciiTheme="minorHAnsi" w:hAnsiTheme="minorHAnsi"/>
          <w:lang w:val="en-AU"/>
        </w:rPr>
      </w:pPr>
      <w:r w:rsidRPr="002E2138">
        <w:rPr>
          <w:rStyle w:val="FootnoteReference"/>
          <w:rFonts w:asciiTheme="minorHAnsi" w:hAnsiTheme="minorHAnsi"/>
          <w:szCs w:val="20"/>
        </w:rPr>
        <w:footnoteRef/>
      </w:r>
      <w:r w:rsidRPr="002E2138">
        <w:rPr>
          <w:rFonts w:asciiTheme="minorHAnsi" w:hAnsiTheme="minorHAnsi"/>
        </w:rPr>
        <w:t xml:space="preserve"> </w:t>
      </w:r>
      <w:r w:rsidRPr="002E2138">
        <w:rPr>
          <w:rFonts w:asciiTheme="minorHAnsi" w:hAnsiTheme="minorHAnsi"/>
          <w:lang w:val="en-AU"/>
        </w:rPr>
        <w:t>Infrastructure Technical Oversight Group (C1); Staff Development Technical Oversight Group (C2); Islamic School Accreditation Technical Oversight Group (C3); and the Analytical and Capacity Development Technical Oversight Group (C4).</w:t>
      </w:r>
    </w:p>
  </w:footnote>
  <w:footnote w:id="77">
    <w:p w:rsidR="004349D3" w:rsidRPr="00992A34" w:rsidRDefault="004349D3" w:rsidP="00D20962">
      <w:pPr>
        <w:pStyle w:val="FootnoteText"/>
        <w:rPr>
          <w:rFonts w:asciiTheme="minorHAnsi" w:hAnsiTheme="minorHAnsi"/>
          <w:lang w:val="en-AU"/>
        </w:rPr>
      </w:pPr>
      <w:r w:rsidRPr="00992A34">
        <w:rPr>
          <w:rStyle w:val="FootnoteReference"/>
          <w:rFonts w:asciiTheme="minorHAnsi" w:hAnsiTheme="minorHAnsi"/>
          <w:szCs w:val="20"/>
        </w:rPr>
        <w:footnoteRef/>
      </w:r>
      <w:r w:rsidRPr="00992A34">
        <w:rPr>
          <w:rFonts w:asciiTheme="minorHAnsi" w:hAnsiTheme="minorHAnsi"/>
        </w:rPr>
        <w:t xml:space="preserve"> </w:t>
      </w:r>
      <w:r w:rsidRPr="00992A34">
        <w:rPr>
          <w:rFonts w:asciiTheme="minorHAnsi" w:hAnsiTheme="minorHAnsi"/>
          <w:lang w:val="en-AU"/>
        </w:rPr>
        <w:t>This figure includes a grant of $210,000,000. A</w:t>
      </w:r>
      <w:r>
        <w:rPr>
          <w:rFonts w:asciiTheme="minorHAnsi" w:hAnsiTheme="minorHAnsi"/>
          <w:lang w:val="en-AU"/>
        </w:rPr>
        <w:t xml:space="preserve"> reduction </w:t>
      </w:r>
      <w:r w:rsidRPr="00992A34">
        <w:rPr>
          <w:rFonts w:asciiTheme="minorHAnsi" w:hAnsiTheme="minorHAnsi"/>
          <w:lang w:val="en-AU"/>
        </w:rPr>
        <w:t xml:space="preserve">to $155,000,000 has yet to be ratified within the Subsidiary Arrangement </w:t>
      </w:r>
      <w:r>
        <w:rPr>
          <w:rFonts w:asciiTheme="minorHAnsi" w:hAnsiTheme="minorHAnsi"/>
          <w:lang w:val="en-AU"/>
        </w:rPr>
        <w:t>(Source DFAT).</w:t>
      </w:r>
    </w:p>
  </w:footnote>
  <w:footnote w:id="78">
    <w:p w:rsidR="004349D3" w:rsidRPr="00660BE6" w:rsidRDefault="004349D3" w:rsidP="00D20962">
      <w:pPr>
        <w:pStyle w:val="FootnoteText"/>
        <w:rPr>
          <w:lang w:val="en-AU"/>
        </w:rPr>
      </w:pPr>
      <w:r>
        <w:rPr>
          <w:rStyle w:val="FootnoteReference"/>
        </w:rPr>
        <w:footnoteRef/>
      </w:r>
      <w:r>
        <w:t xml:space="preserve"> The Working in Partner Systems (WiPS) approach</w:t>
      </w:r>
      <w:r w:rsidRPr="00E3188B">
        <w:t>.</w:t>
      </w:r>
    </w:p>
  </w:footnote>
  <w:footnote w:id="79">
    <w:p w:rsidR="004349D3" w:rsidRPr="007D1639" w:rsidRDefault="004349D3" w:rsidP="00D20962">
      <w:pPr>
        <w:rPr>
          <w:rFonts w:asciiTheme="minorHAnsi" w:hAnsiTheme="minorHAnsi"/>
          <w:szCs w:val="20"/>
          <w:lang w:val="en-AU"/>
        </w:rPr>
      </w:pPr>
      <w:r w:rsidRPr="007D1639">
        <w:rPr>
          <w:rStyle w:val="FootnoteReference"/>
          <w:rFonts w:asciiTheme="minorHAnsi" w:hAnsiTheme="minorHAnsi"/>
          <w:sz w:val="20"/>
          <w:szCs w:val="20"/>
        </w:rPr>
        <w:footnoteRef/>
      </w:r>
      <w:r w:rsidRPr="007D1639">
        <w:rPr>
          <w:rFonts w:asciiTheme="minorHAnsi" w:hAnsiTheme="minorHAnsi"/>
          <w:sz w:val="20"/>
          <w:szCs w:val="20"/>
        </w:rPr>
        <w:t xml:space="preserve"> One GOG meeting was held</w:t>
      </w:r>
      <w:r>
        <w:rPr>
          <w:rFonts w:asciiTheme="minorHAnsi" w:hAnsiTheme="minorHAnsi"/>
          <w:sz w:val="20"/>
          <w:szCs w:val="20"/>
        </w:rPr>
        <w:t xml:space="preserve"> </w:t>
      </w:r>
      <w:r w:rsidRPr="007D1639">
        <w:rPr>
          <w:rFonts w:asciiTheme="minorHAnsi" w:hAnsiTheme="minorHAnsi"/>
          <w:sz w:val="20"/>
          <w:szCs w:val="20"/>
        </w:rPr>
        <w:t xml:space="preserve">on </w:t>
      </w:r>
      <w:r>
        <w:rPr>
          <w:rFonts w:asciiTheme="minorHAnsi" w:hAnsiTheme="minorHAnsi"/>
          <w:sz w:val="20"/>
          <w:szCs w:val="20"/>
        </w:rPr>
        <w:t>3 June 2014</w:t>
      </w:r>
      <w:r w:rsidRPr="007D1639">
        <w:rPr>
          <w:rFonts w:asciiTheme="minorHAnsi" w:hAnsiTheme="minorHAnsi"/>
          <w:sz w:val="20"/>
          <w:szCs w:val="20"/>
          <w:lang w:val="en-AU"/>
        </w:rPr>
        <w:t>.</w:t>
      </w:r>
    </w:p>
  </w:footnote>
  <w:footnote w:id="80">
    <w:p w:rsidR="004349D3" w:rsidRPr="00E2665C" w:rsidRDefault="004349D3" w:rsidP="00D20962">
      <w:pPr>
        <w:rPr>
          <w:rFonts w:asciiTheme="minorHAnsi" w:hAnsiTheme="minorHAnsi"/>
          <w:sz w:val="20"/>
          <w:szCs w:val="20"/>
          <w:lang w:val="en-AU"/>
        </w:rPr>
      </w:pPr>
      <w:r w:rsidRPr="007D1639">
        <w:rPr>
          <w:rStyle w:val="FootnoteReference"/>
          <w:rFonts w:asciiTheme="minorHAnsi" w:hAnsiTheme="minorHAnsi"/>
          <w:sz w:val="20"/>
          <w:szCs w:val="20"/>
        </w:rPr>
        <w:footnoteRef/>
      </w:r>
      <w:r w:rsidRPr="007D1639">
        <w:rPr>
          <w:rFonts w:asciiTheme="minorHAnsi" w:hAnsiTheme="minorHAnsi"/>
          <w:sz w:val="20"/>
          <w:szCs w:val="20"/>
        </w:rPr>
        <w:t xml:space="preserve"> </w:t>
      </w:r>
      <w:r>
        <w:rPr>
          <w:rFonts w:asciiTheme="minorHAnsi" w:hAnsiTheme="minorHAnsi"/>
          <w:sz w:val="20"/>
          <w:szCs w:val="20"/>
        </w:rPr>
        <w:t xml:space="preserve">One </w:t>
      </w:r>
      <w:r w:rsidRPr="00BD5B54">
        <w:rPr>
          <w:rFonts w:asciiTheme="minorHAnsi" w:hAnsiTheme="minorHAnsi"/>
          <w:sz w:val="20"/>
          <w:szCs w:val="20"/>
          <w:lang w:val="en-AU"/>
        </w:rPr>
        <w:t>ITOG meeting w</w:t>
      </w:r>
      <w:r>
        <w:rPr>
          <w:rFonts w:asciiTheme="minorHAnsi" w:hAnsiTheme="minorHAnsi"/>
          <w:sz w:val="20"/>
          <w:szCs w:val="20"/>
          <w:lang w:val="en-AU"/>
        </w:rPr>
        <w:t xml:space="preserve">as held on </w:t>
      </w:r>
      <w:r w:rsidRPr="00770B03">
        <w:rPr>
          <w:rFonts w:asciiTheme="minorHAnsi" w:hAnsiTheme="minorHAnsi"/>
          <w:sz w:val="20"/>
          <w:szCs w:val="20"/>
          <w:lang w:val="en-AU"/>
        </w:rPr>
        <w:t>13 May 2014</w:t>
      </w:r>
      <w:r w:rsidRPr="00BD5B54">
        <w:rPr>
          <w:rFonts w:asciiTheme="minorHAnsi" w:hAnsiTheme="minorHAnsi"/>
          <w:sz w:val="20"/>
          <w:szCs w:val="20"/>
          <w:lang w:val="en-AU"/>
        </w:rPr>
        <w:t xml:space="preserve">; two SDTOG meetings were held on </w:t>
      </w:r>
      <w:r w:rsidRPr="00770B03">
        <w:rPr>
          <w:rFonts w:asciiTheme="minorHAnsi" w:hAnsiTheme="minorHAnsi"/>
          <w:sz w:val="20"/>
          <w:szCs w:val="20"/>
          <w:lang w:val="en-AU"/>
        </w:rPr>
        <w:t>17 June 2014 and 30 October 2014</w:t>
      </w:r>
      <w:r w:rsidRPr="00BD5B54">
        <w:rPr>
          <w:rFonts w:asciiTheme="minorHAnsi" w:hAnsiTheme="minorHAnsi"/>
          <w:sz w:val="20"/>
          <w:szCs w:val="20"/>
          <w:lang w:val="en-AU"/>
        </w:rPr>
        <w:t xml:space="preserve">; </w:t>
      </w:r>
      <w:r>
        <w:rPr>
          <w:rFonts w:asciiTheme="minorHAnsi" w:hAnsiTheme="minorHAnsi"/>
          <w:sz w:val="20"/>
          <w:szCs w:val="20"/>
          <w:lang w:val="en-AU"/>
        </w:rPr>
        <w:t>no</w:t>
      </w:r>
      <w:r w:rsidRPr="00BD5B54">
        <w:rPr>
          <w:rFonts w:asciiTheme="minorHAnsi" w:hAnsiTheme="minorHAnsi"/>
          <w:sz w:val="20"/>
          <w:szCs w:val="20"/>
          <w:lang w:val="en-AU"/>
        </w:rPr>
        <w:t xml:space="preserve"> MTOG meeting</w:t>
      </w:r>
      <w:r>
        <w:rPr>
          <w:rFonts w:asciiTheme="minorHAnsi" w:hAnsiTheme="minorHAnsi"/>
          <w:sz w:val="20"/>
          <w:szCs w:val="20"/>
          <w:lang w:val="en-AU"/>
        </w:rPr>
        <w:t>s</w:t>
      </w:r>
      <w:r w:rsidRPr="00BD5B54">
        <w:rPr>
          <w:rFonts w:asciiTheme="minorHAnsi" w:hAnsiTheme="minorHAnsi"/>
          <w:sz w:val="20"/>
          <w:szCs w:val="20"/>
          <w:lang w:val="en-AU"/>
        </w:rPr>
        <w:t xml:space="preserve"> w</w:t>
      </w:r>
      <w:r>
        <w:rPr>
          <w:rFonts w:asciiTheme="minorHAnsi" w:hAnsiTheme="minorHAnsi"/>
          <w:sz w:val="20"/>
          <w:szCs w:val="20"/>
          <w:lang w:val="en-AU"/>
        </w:rPr>
        <w:t xml:space="preserve">ere </w:t>
      </w:r>
      <w:r w:rsidRPr="00BD5B54">
        <w:rPr>
          <w:rFonts w:asciiTheme="minorHAnsi" w:hAnsiTheme="minorHAnsi"/>
          <w:sz w:val="20"/>
          <w:szCs w:val="20"/>
          <w:lang w:val="en-AU"/>
        </w:rPr>
        <w:t>held</w:t>
      </w:r>
      <w:r>
        <w:rPr>
          <w:rFonts w:asciiTheme="minorHAnsi" w:hAnsiTheme="minorHAnsi"/>
          <w:sz w:val="20"/>
          <w:szCs w:val="20"/>
          <w:lang w:val="en-AU"/>
        </w:rPr>
        <w:t xml:space="preserve">; and two </w:t>
      </w:r>
      <w:r w:rsidRPr="00BD5B54">
        <w:rPr>
          <w:rFonts w:asciiTheme="minorHAnsi" w:hAnsiTheme="minorHAnsi"/>
          <w:sz w:val="20"/>
          <w:szCs w:val="20"/>
          <w:lang w:val="en-AU"/>
        </w:rPr>
        <w:t>ATOG mee</w:t>
      </w:r>
      <w:r>
        <w:rPr>
          <w:rFonts w:asciiTheme="minorHAnsi" w:hAnsiTheme="minorHAnsi"/>
          <w:sz w:val="20"/>
          <w:szCs w:val="20"/>
          <w:lang w:val="en-AU"/>
        </w:rPr>
        <w:t xml:space="preserve">tings </w:t>
      </w:r>
      <w:r w:rsidRPr="00BD5B54">
        <w:rPr>
          <w:rFonts w:asciiTheme="minorHAnsi" w:hAnsiTheme="minorHAnsi"/>
          <w:sz w:val="20"/>
          <w:szCs w:val="20"/>
          <w:lang w:val="en-AU"/>
        </w:rPr>
        <w:t>w</w:t>
      </w:r>
      <w:r>
        <w:rPr>
          <w:rFonts w:asciiTheme="minorHAnsi" w:hAnsiTheme="minorHAnsi"/>
          <w:sz w:val="20"/>
          <w:szCs w:val="20"/>
          <w:lang w:val="en-AU"/>
        </w:rPr>
        <w:t>ere held on 8 July 2014 and 18 December 2014</w:t>
      </w:r>
      <w:r w:rsidRPr="00BD5B54">
        <w:rPr>
          <w:rFonts w:asciiTheme="minorHAnsi" w:hAnsiTheme="minorHAnsi"/>
          <w:sz w:val="20"/>
          <w:szCs w:val="20"/>
          <w:lang w:val="en-AU"/>
        </w:rPr>
        <w:t>.</w:t>
      </w:r>
    </w:p>
  </w:footnote>
  <w:footnote w:id="81">
    <w:p w:rsidR="004349D3" w:rsidRPr="00992A34" w:rsidRDefault="004349D3" w:rsidP="00D20962">
      <w:pPr>
        <w:spacing w:before="120" w:after="120"/>
        <w:rPr>
          <w:rStyle w:val="FootnoteReference"/>
          <w:rFonts w:asciiTheme="minorHAnsi" w:hAnsiTheme="minorHAnsi"/>
          <w:sz w:val="20"/>
          <w:szCs w:val="20"/>
        </w:rPr>
      </w:pPr>
      <w:r w:rsidRPr="00992A34">
        <w:rPr>
          <w:rStyle w:val="FootnoteReference"/>
          <w:rFonts w:asciiTheme="minorHAnsi" w:hAnsiTheme="minorHAnsi"/>
          <w:sz w:val="20"/>
          <w:szCs w:val="20"/>
        </w:rPr>
        <w:footnoteRef/>
      </w:r>
      <w:r w:rsidRPr="00992A34">
        <w:rPr>
          <w:rFonts w:asciiTheme="minorHAnsi" w:hAnsiTheme="minorHAnsi"/>
          <w:sz w:val="20"/>
          <w:szCs w:val="20"/>
        </w:rPr>
        <w:t xml:space="preserve"> </w:t>
      </w:r>
      <w:r w:rsidRPr="00992A34">
        <w:rPr>
          <w:rFonts w:asciiTheme="minorHAnsi" w:hAnsiTheme="minorHAnsi"/>
          <w:sz w:val="20"/>
          <w:szCs w:val="20"/>
          <w:lang w:val="en-AU"/>
        </w:rPr>
        <w:t xml:space="preserve">Social inclusion (SI) typically concerns the pursuit of equal opportunity. It requires the identification of who is prone to exclusion (e.g. because of gender, location, disability, language) and requires that a program ensures that the identified groups receive equal </w:t>
      </w:r>
      <w:r w:rsidRPr="00851EC7">
        <w:rPr>
          <w:rFonts w:asciiTheme="minorHAnsi" w:hAnsiTheme="minorHAnsi"/>
          <w:sz w:val="20"/>
          <w:szCs w:val="20"/>
          <w:lang w:val="en-AU"/>
        </w:rPr>
        <w:t xml:space="preserve">access to </w:t>
      </w:r>
      <w:r w:rsidRPr="00851EC7">
        <w:rPr>
          <w:rStyle w:val="FootnoteReference"/>
          <w:rFonts w:asciiTheme="minorHAnsi" w:hAnsiTheme="minorHAnsi"/>
          <w:sz w:val="20"/>
          <w:szCs w:val="20"/>
          <w:vertAlign w:val="baseline"/>
        </w:rPr>
        <w:t>opportunities</w:t>
      </w:r>
      <w:r w:rsidRPr="00851EC7">
        <w:rPr>
          <w:rFonts w:asciiTheme="minorHAnsi" w:hAnsiTheme="minorHAnsi"/>
          <w:sz w:val="20"/>
          <w:szCs w:val="20"/>
        </w:rPr>
        <w:t xml:space="preserve"> and</w:t>
      </w:r>
      <w:r>
        <w:rPr>
          <w:rFonts w:asciiTheme="minorHAnsi" w:hAnsiTheme="minorHAnsi"/>
          <w:sz w:val="20"/>
          <w:szCs w:val="20"/>
        </w:rPr>
        <w:t xml:space="preserve"> appropriate support to ensure equitable results</w:t>
      </w:r>
      <w:r w:rsidRPr="00992A34">
        <w:rPr>
          <w:rStyle w:val="FootnoteReference"/>
          <w:rFonts w:asciiTheme="minorHAnsi" w:hAnsiTheme="minorHAnsi"/>
          <w:sz w:val="20"/>
          <w:szCs w:val="20"/>
        </w:rPr>
        <w:t xml:space="preserve">. </w:t>
      </w:r>
    </w:p>
  </w:footnote>
  <w:footnote w:id="82">
    <w:p w:rsidR="004349D3" w:rsidRPr="00127DB2" w:rsidRDefault="004349D3" w:rsidP="00D20962">
      <w:pPr>
        <w:spacing w:before="120" w:after="120"/>
        <w:rPr>
          <w:lang w:val="en-AU"/>
        </w:rPr>
      </w:pPr>
      <w:r w:rsidRPr="00992A34">
        <w:rPr>
          <w:rStyle w:val="FootnoteReference"/>
          <w:rFonts w:asciiTheme="minorHAnsi" w:hAnsiTheme="minorHAnsi"/>
          <w:sz w:val="20"/>
          <w:szCs w:val="20"/>
        </w:rPr>
        <w:footnoteRef/>
      </w:r>
      <w:r w:rsidRPr="00992A34">
        <w:rPr>
          <w:rStyle w:val="FootnoteReference"/>
          <w:rFonts w:asciiTheme="minorHAnsi" w:hAnsiTheme="minorHAnsi"/>
          <w:sz w:val="20"/>
          <w:szCs w:val="20"/>
        </w:rPr>
        <w:t xml:space="preserve"> </w:t>
      </w:r>
      <w:r w:rsidRPr="00992A34">
        <w:rPr>
          <w:rFonts w:asciiTheme="minorHAnsi" w:hAnsiTheme="minorHAnsi"/>
          <w:sz w:val="20"/>
          <w:szCs w:val="20"/>
          <w:lang w:val="en-AU"/>
        </w:rPr>
        <w:t>The notion of social targeting is related to social inclusion but is different. It concerns the pursuit of equitable outcomes (vis-à-vis the pursuit of equal opportunity). It goes beyond social inclusion by seeking to ensure that benefits are distributed fairly.</w:t>
      </w:r>
    </w:p>
  </w:footnote>
  <w:footnote w:id="83">
    <w:p w:rsidR="004349D3" w:rsidRPr="00992A34" w:rsidRDefault="004349D3" w:rsidP="00D20962">
      <w:pPr>
        <w:spacing w:before="120" w:after="120"/>
        <w:contextualSpacing/>
        <w:rPr>
          <w:rFonts w:asciiTheme="minorHAnsi" w:hAnsiTheme="minorHAnsi"/>
          <w:sz w:val="20"/>
          <w:szCs w:val="20"/>
        </w:rPr>
      </w:pPr>
      <w:r w:rsidRPr="00992A34">
        <w:rPr>
          <w:rStyle w:val="FootnoteReference"/>
          <w:rFonts w:asciiTheme="minorHAnsi" w:hAnsiTheme="minorHAnsi"/>
          <w:sz w:val="20"/>
          <w:szCs w:val="20"/>
        </w:rPr>
        <w:footnoteRef/>
      </w:r>
      <w:r w:rsidRPr="00992A34">
        <w:rPr>
          <w:rFonts w:asciiTheme="minorHAnsi" w:hAnsiTheme="minorHAnsi"/>
          <w:sz w:val="20"/>
          <w:szCs w:val="20"/>
        </w:rPr>
        <w:t xml:space="preserve"> The E</w:t>
      </w:r>
      <w:r>
        <w:rPr>
          <w:rFonts w:asciiTheme="minorHAnsi" w:hAnsiTheme="minorHAnsi"/>
          <w:sz w:val="20"/>
          <w:szCs w:val="20"/>
        </w:rPr>
        <w:t>P</w:t>
      </w:r>
      <w:r w:rsidRPr="00992A34">
        <w:rPr>
          <w:rFonts w:asciiTheme="minorHAnsi" w:hAnsiTheme="minorHAnsi"/>
          <w:sz w:val="20"/>
          <w:szCs w:val="20"/>
        </w:rPr>
        <w:t xml:space="preserve"> received a </w:t>
      </w:r>
      <w:r w:rsidRPr="00992A34">
        <w:rPr>
          <w:rFonts w:asciiTheme="minorHAnsi" w:hAnsiTheme="minorHAnsi"/>
          <w:sz w:val="20"/>
          <w:szCs w:val="20"/>
          <w:lang w:val="en-AU"/>
        </w:rPr>
        <w:t>“3” for Gender Equality in the DFAT Indonesia Aid Program Performance Report 2013-14, implying "less than adequate quality; needs significant work".</w:t>
      </w:r>
    </w:p>
    <w:p w:rsidR="004349D3" w:rsidRPr="005C01BA" w:rsidRDefault="004349D3" w:rsidP="00D20962">
      <w:pPr>
        <w:pStyle w:val="FootnoteText"/>
        <w:rPr>
          <w:lang w:val="en-AU"/>
        </w:rPr>
      </w:pPr>
    </w:p>
  </w:footnote>
  <w:footnote w:id="84">
    <w:p w:rsidR="004349D3" w:rsidRPr="00AC097A" w:rsidRDefault="004349D3" w:rsidP="00D20962">
      <w:pPr>
        <w:pStyle w:val="FootnoteText"/>
        <w:rPr>
          <w:rFonts w:asciiTheme="minorHAnsi" w:hAnsiTheme="minorHAnsi"/>
          <w:lang w:val="en-AU"/>
        </w:rPr>
      </w:pPr>
      <w:r w:rsidRPr="00B96405">
        <w:rPr>
          <w:rStyle w:val="FootnoteReference"/>
          <w:rFonts w:asciiTheme="minorHAnsi" w:hAnsiTheme="minorHAnsi"/>
          <w:szCs w:val="20"/>
        </w:rPr>
        <w:footnoteRef/>
      </w:r>
      <w:r w:rsidRPr="00B96405">
        <w:rPr>
          <w:rFonts w:asciiTheme="minorHAnsi" w:hAnsiTheme="minorHAnsi"/>
        </w:rPr>
        <w:t xml:space="preserve"> Other than in relation to trade and an expectation that Australia will help to “build the capacity of developing countries to participate in the global trading system.”</w:t>
      </w:r>
    </w:p>
  </w:footnote>
  <w:footnote w:id="85">
    <w:p w:rsidR="004349D3" w:rsidRPr="00B96405" w:rsidRDefault="004349D3" w:rsidP="00D20962">
      <w:pPr>
        <w:pStyle w:val="FootnoteText"/>
        <w:rPr>
          <w:rFonts w:asciiTheme="minorHAnsi" w:hAnsiTheme="minorHAnsi"/>
          <w:lang w:val="en-AU"/>
        </w:rPr>
      </w:pPr>
      <w:r w:rsidRPr="00B96405">
        <w:rPr>
          <w:rStyle w:val="FootnoteReference"/>
          <w:rFonts w:asciiTheme="minorHAnsi" w:hAnsiTheme="minorHAnsi"/>
          <w:szCs w:val="20"/>
        </w:rPr>
        <w:footnoteRef/>
      </w:r>
      <w:r w:rsidRPr="00B96405">
        <w:rPr>
          <w:rFonts w:asciiTheme="minorHAnsi" w:hAnsiTheme="minorHAnsi"/>
        </w:rPr>
        <w:t xml:space="preserve"> </w:t>
      </w:r>
      <w:r w:rsidRPr="00B96405">
        <w:rPr>
          <w:rFonts w:asciiTheme="minorHAnsi" w:hAnsiTheme="minorHAnsi"/>
          <w:lang w:val="en-AU"/>
        </w:rPr>
        <w:t>Only “sustainable economic growth”.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CFD" w:rsidRDefault="00E80CF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r w:rsidRPr="00F0409A">
      <w:rPr>
        <w:i/>
        <w:noProof/>
        <w:color w:val="595959" w:themeColor="text1" w:themeTint="A6"/>
        <w:sz w:val="18"/>
        <w:szCs w:val="18"/>
        <w:lang w:val="en-AU" w:eastAsia="en-AU"/>
      </w:rPr>
      <w:drawing>
        <wp:anchor distT="0" distB="0" distL="114300" distR="114300" simplePos="0" relativeHeight="251677696" behindDoc="1" locked="0" layoutInCell="1" allowOverlap="1" wp14:anchorId="0732B6A5" wp14:editId="3F9586D9">
          <wp:simplePos x="0" y="0"/>
          <wp:positionH relativeFrom="page">
            <wp:align>right</wp:align>
          </wp:positionH>
          <wp:positionV relativeFrom="paragraph">
            <wp:posOffset>303575</wp:posOffset>
          </wp:positionV>
          <wp:extent cx="7571232" cy="475488"/>
          <wp:effectExtent l="0" t="0" r="0" b="1270"/>
          <wp:wrapNone/>
          <wp:docPr id="16" name="Picture 16"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r w:rsidRPr="00F0409A">
      <w:rPr>
        <w:i/>
        <w:noProof/>
        <w:color w:val="595959" w:themeColor="text1" w:themeTint="A6"/>
        <w:sz w:val="18"/>
        <w:szCs w:val="18"/>
        <w:lang w:val="en-AU" w:eastAsia="en-AU"/>
      </w:rPr>
      <w:drawing>
        <wp:anchor distT="0" distB="0" distL="114300" distR="114300" simplePos="0" relativeHeight="251671552" behindDoc="1" locked="0" layoutInCell="1" allowOverlap="1" wp14:anchorId="6663016E" wp14:editId="7F3AC78D">
          <wp:simplePos x="0" y="0"/>
          <wp:positionH relativeFrom="page">
            <wp:align>right</wp:align>
          </wp:positionH>
          <wp:positionV relativeFrom="paragraph">
            <wp:posOffset>303575</wp:posOffset>
          </wp:positionV>
          <wp:extent cx="7571232" cy="475488"/>
          <wp:effectExtent l="0" t="0" r="0" b="1270"/>
          <wp:wrapNone/>
          <wp:docPr id="17" name="Picture 17"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Pr="00CB4A84" w:rsidRDefault="004349D3" w:rsidP="00D06F80">
    <w:pPr>
      <w:rPr>
        <w:rFonts w:asciiTheme="minorHAnsi" w:hAnsiTheme="minorHAnsi" w:cstheme="minorHAnsi"/>
      </w:rPr>
    </w:pPr>
    <w:r w:rsidRPr="00F0409A">
      <w:rPr>
        <w:noProof/>
        <w:lang w:val="en-AU" w:eastAsia="en-AU"/>
      </w:rPr>
      <w:drawing>
        <wp:anchor distT="0" distB="0" distL="114300" distR="114300" simplePos="0" relativeHeight="251673600" behindDoc="1" locked="0" layoutInCell="1" allowOverlap="1" wp14:anchorId="7B385F63" wp14:editId="3CB05BDD">
          <wp:simplePos x="0" y="0"/>
          <wp:positionH relativeFrom="rightMargin">
            <wp:posOffset>-6219825</wp:posOffset>
          </wp:positionH>
          <wp:positionV relativeFrom="paragraph">
            <wp:posOffset>12700</wp:posOffset>
          </wp:positionV>
          <wp:extent cx="7379208" cy="475488"/>
          <wp:effectExtent l="0" t="0" r="0" b="1270"/>
          <wp:wrapNone/>
          <wp:docPr id="2561" name="Picture 2561"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208"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rsidP="00D06F80">
    <w:pPr>
      <w:pStyle w:val="Header"/>
      <w:tabs>
        <w:tab w:val="left" w:pos="8685"/>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rsidP="00D06F80">
    <w:pPr>
      <w:pStyle w:val="Header"/>
      <w:tabs>
        <w:tab w:val="left" w:pos="8685"/>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CFD" w:rsidRDefault="00E80C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CFD" w:rsidRDefault="00E80C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r w:rsidRPr="00F0409A">
      <w:rPr>
        <w:i/>
        <w:noProof/>
        <w:color w:val="595959" w:themeColor="text1" w:themeTint="A6"/>
        <w:sz w:val="18"/>
        <w:szCs w:val="18"/>
        <w:lang w:val="en-AU" w:eastAsia="en-AU"/>
      </w:rPr>
      <w:drawing>
        <wp:anchor distT="0" distB="0" distL="114300" distR="114300" simplePos="0" relativeHeight="251661312" behindDoc="1" locked="0" layoutInCell="1" allowOverlap="1" wp14:anchorId="46FCE488" wp14:editId="6ED7FDDC">
          <wp:simplePos x="0" y="0"/>
          <wp:positionH relativeFrom="page">
            <wp:align>right</wp:align>
          </wp:positionH>
          <wp:positionV relativeFrom="paragraph">
            <wp:posOffset>303575</wp:posOffset>
          </wp:positionV>
          <wp:extent cx="7571232" cy="475488"/>
          <wp:effectExtent l="0" t="0" r="0" b="1270"/>
          <wp:wrapNone/>
          <wp:docPr id="6" name="Picture 6"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r w:rsidRPr="00F0409A">
      <w:rPr>
        <w:i/>
        <w:noProof/>
        <w:color w:val="595959" w:themeColor="text1" w:themeTint="A6"/>
        <w:sz w:val="18"/>
        <w:szCs w:val="18"/>
        <w:lang w:val="en-AU" w:eastAsia="en-AU"/>
      </w:rPr>
      <w:drawing>
        <wp:anchor distT="0" distB="0" distL="114300" distR="114300" simplePos="0" relativeHeight="251663360" behindDoc="1" locked="0" layoutInCell="1" allowOverlap="1" wp14:anchorId="6F32D38F" wp14:editId="0BEB11DC">
          <wp:simplePos x="0" y="0"/>
          <wp:positionH relativeFrom="page">
            <wp:align>right</wp:align>
          </wp:positionH>
          <wp:positionV relativeFrom="paragraph">
            <wp:posOffset>303575</wp:posOffset>
          </wp:positionV>
          <wp:extent cx="7571232" cy="475488"/>
          <wp:effectExtent l="0" t="0" r="0" b="1270"/>
          <wp:wrapNone/>
          <wp:docPr id="7" name="Picture 7"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r w:rsidRPr="00F0409A">
      <w:rPr>
        <w:i/>
        <w:noProof/>
        <w:color w:val="595959" w:themeColor="text1" w:themeTint="A6"/>
        <w:sz w:val="18"/>
        <w:szCs w:val="18"/>
        <w:lang w:val="en-AU" w:eastAsia="en-AU"/>
      </w:rPr>
      <w:drawing>
        <wp:anchor distT="0" distB="0" distL="114300" distR="114300" simplePos="0" relativeHeight="251675648" behindDoc="1" locked="0" layoutInCell="1" allowOverlap="1" wp14:anchorId="49922E72" wp14:editId="080C967F">
          <wp:simplePos x="0" y="0"/>
          <wp:positionH relativeFrom="page">
            <wp:align>right</wp:align>
          </wp:positionH>
          <wp:positionV relativeFrom="paragraph">
            <wp:posOffset>303575</wp:posOffset>
          </wp:positionV>
          <wp:extent cx="7571232" cy="475488"/>
          <wp:effectExtent l="0" t="0" r="0" b="1270"/>
          <wp:wrapNone/>
          <wp:docPr id="9" name="Picture 9"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r w:rsidRPr="00F0409A">
      <w:rPr>
        <w:i/>
        <w:noProof/>
        <w:color w:val="595959" w:themeColor="text1" w:themeTint="A6"/>
        <w:sz w:val="18"/>
        <w:szCs w:val="18"/>
        <w:lang w:val="en-AU" w:eastAsia="en-AU"/>
      </w:rPr>
      <w:drawing>
        <wp:anchor distT="0" distB="0" distL="114300" distR="114300" simplePos="0" relativeHeight="251665408" behindDoc="1" locked="0" layoutInCell="1" allowOverlap="1" wp14:anchorId="7D2F3F0B" wp14:editId="18927B0A">
          <wp:simplePos x="0" y="0"/>
          <wp:positionH relativeFrom="page">
            <wp:align>right</wp:align>
          </wp:positionH>
          <wp:positionV relativeFrom="paragraph">
            <wp:posOffset>303575</wp:posOffset>
          </wp:positionV>
          <wp:extent cx="7571232" cy="475488"/>
          <wp:effectExtent l="0" t="0" r="0" b="1270"/>
          <wp:wrapNone/>
          <wp:docPr id="10" name="Picture 10"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9D3" w:rsidRDefault="004349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r w:rsidRPr="00F0409A">
      <w:rPr>
        <w:i/>
        <w:noProof/>
        <w:color w:val="595959" w:themeColor="text1" w:themeTint="A6"/>
        <w:sz w:val="18"/>
        <w:szCs w:val="18"/>
        <w:lang w:val="en-AU" w:eastAsia="en-AU"/>
      </w:rPr>
      <w:drawing>
        <wp:anchor distT="0" distB="0" distL="114300" distR="114300" simplePos="0" relativeHeight="251669504" behindDoc="1" locked="0" layoutInCell="1" allowOverlap="1" wp14:anchorId="4686F3CB" wp14:editId="42437F53">
          <wp:simplePos x="0" y="0"/>
          <wp:positionH relativeFrom="page">
            <wp:align>right</wp:align>
          </wp:positionH>
          <wp:positionV relativeFrom="paragraph">
            <wp:posOffset>303575</wp:posOffset>
          </wp:positionV>
          <wp:extent cx="7571232" cy="475488"/>
          <wp:effectExtent l="0" t="0" r="0" b="1270"/>
          <wp:wrapNone/>
          <wp:docPr id="12" name="Picture 12"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D3" w:rsidRDefault="004349D3">
    <w:pPr>
      <w:pStyle w:val="Header"/>
    </w:pPr>
    <w:r w:rsidRPr="00F0409A">
      <w:rPr>
        <w:i/>
        <w:noProof/>
        <w:color w:val="595959" w:themeColor="text1" w:themeTint="A6"/>
        <w:sz w:val="18"/>
        <w:szCs w:val="18"/>
        <w:lang w:val="en-AU" w:eastAsia="en-AU"/>
      </w:rPr>
      <w:drawing>
        <wp:anchor distT="0" distB="0" distL="114300" distR="114300" simplePos="0" relativeHeight="251679744" behindDoc="1" locked="0" layoutInCell="1" allowOverlap="1" wp14:anchorId="32785F0E" wp14:editId="4EE37600">
          <wp:simplePos x="0" y="0"/>
          <wp:positionH relativeFrom="page">
            <wp:align>right</wp:align>
          </wp:positionH>
          <wp:positionV relativeFrom="paragraph">
            <wp:posOffset>303575</wp:posOffset>
          </wp:positionV>
          <wp:extent cx="7571232" cy="475488"/>
          <wp:effectExtent l="0" t="0" r="0" b="1270"/>
          <wp:wrapNone/>
          <wp:docPr id="23" name="Picture 23"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F48996"/>
    <w:lvl w:ilvl="0">
      <w:start w:val="1"/>
      <w:numFmt w:val="bullet"/>
      <w:pStyle w:val="ListBullet"/>
      <w:lvlText w:val=""/>
      <w:lvlJc w:val="left"/>
      <w:pPr>
        <w:tabs>
          <w:tab w:val="num" w:pos="1440"/>
        </w:tabs>
        <w:ind w:left="1440" w:hanging="720"/>
      </w:pPr>
      <w:rPr>
        <w:rFonts w:ascii="Symbol" w:hAnsi="Symbol" w:hint="default"/>
      </w:rPr>
    </w:lvl>
  </w:abstractNum>
  <w:abstractNum w:abstractNumId="1">
    <w:nsid w:val="01D16C86"/>
    <w:multiLevelType w:val="hybridMultilevel"/>
    <w:tmpl w:val="50BA6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851BE0"/>
    <w:multiLevelType w:val="hybridMultilevel"/>
    <w:tmpl w:val="3A74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0B2D92"/>
    <w:multiLevelType w:val="hybridMultilevel"/>
    <w:tmpl w:val="0F64E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6728CC"/>
    <w:multiLevelType w:val="hybridMultilevel"/>
    <w:tmpl w:val="CDE0C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0E39E6"/>
    <w:multiLevelType w:val="hybridMultilevel"/>
    <w:tmpl w:val="CFDA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6923AB"/>
    <w:multiLevelType w:val="hybridMultilevel"/>
    <w:tmpl w:val="0B7253A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
    <w:nsid w:val="1DAF7E0E"/>
    <w:multiLevelType w:val="hybridMultilevel"/>
    <w:tmpl w:val="4484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1B4877"/>
    <w:multiLevelType w:val="singleLevel"/>
    <w:tmpl w:val="E29291F8"/>
    <w:lvl w:ilvl="0">
      <w:start w:val="1"/>
      <w:numFmt w:val="bullet"/>
      <w:pStyle w:val="Bullet1"/>
      <w:lvlText w:val=""/>
      <w:lvlJc w:val="left"/>
      <w:pPr>
        <w:tabs>
          <w:tab w:val="num" w:pos="288"/>
        </w:tabs>
        <w:ind w:left="288" w:hanging="288"/>
      </w:pPr>
      <w:rPr>
        <w:rFonts w:ascii="Wingdings" w:hAnsi="Wingdings" w:cs="Times New Roman" w:hint="default"/>
        <w:b w:val="0"/>
        <w:i w:val="0"/>
        <w:sz w:val="24"/>
        <w:szCs w:val="24"/>
      </w:rPr>
    </w:lvl>
  </w:abstractNum>
  <w:abstractNum w:abstractNumId="9">
    <w:nsid w:val="2BEC299D"/>
    <w:multiLevelType w:val="hybridMultilevel"/>
    <w:tmpl w:val="8A3E03D8"/>
    <w:lvl w:ilvl="0" w:tplc="0C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8B81EC9"/>
    <w:multiLevelType w:val="hybridMultilevel"/>
    <w:tmpl w:val="75C46234"/>
    <w:lvl w:ilvl="0" w:tplc="A66E7B2E">
      <w:start w:val="1"/>
      <w:numFmt w:val="bullet"/>
      <w:lvlText w:val=""/>
      <w:lvlJc w:val="left"/>
      <w:pPr>
        <w:ind w:left="1919" w:hanging="360"/>
      </w:pPr>
      <w:rPr>
        <w:rFonts w:ascii="Symbol" w:hAnsi="Symbol" w:hint="default"/>
      </w:rPr>
    </w:lvl>
    <w:lvl w:ilvl="1" w:tplc="0C090019">
      <w:start w:val="1"/>
      <w:numFmt w:val="bullet"/>
      <w:lvlText w:val="o"/>
      <w:lvlJc w:val="left"/>
      <w:pPr>
        <w:ind w:left="1497" w:hanging="360"/>
      </w:pPr>
      <w:rPr>
        <w:rFonts w:ascii="Courier New" w:hAnsi="Courier New" w:cs="Times New Roman" w:hint="default"/>
      </w:rPr>
    </w:lvl>
    <w:lvl w:ilvl="2" w:tplc="0C09001B">
      <w:start w:val="1"/>
      <w:numFmt w:val="bullet"/>
      <w:lvlText w:val=""/>
      <w:lvlJc w:val="left"/>
      <w:pPr>
        <w:ind w:left="2217" w:hanging="360"/>
      </w:pPr>
      <w:rPr>
        <w:rFonts w:ascii="Wingdings" w:hAnsi="Wingdings" w:hint="default"/>
      </w:rPr>
    </w:lvl>
    <w:lvl w:ilvl="3" w:tplc="0C09000F">
      <w:start w:val="1"/>
      <w:numFmt w:val="bullet"/>
      <w:lvlText w:val=""/>
      <w:lvlJc w:val="left"/>
      <w:pPr>
        <w:ind w:left="2937" w:hanging="360"/>
      </w:pPr>
      <w:rPr>
        <w:rFonts w:ascii="Symbol" w:hAnsi="Symbol" w:hint="default"/>
      </w:rPr>
    </w:lvl>
    <w:lvl w:ilvl="4" w:tplc="0C090019">
      <w:start w:val="1"/>
      <w:numFmt w:val="bullet"/>
      <w:lvlText w:val="o"/>
      <w:lvlJc w:val="left"/>
      <w:pPr>
        <w:ind w:left="3657" w:hanging="360"/>
      </w:pPr>
      <w:rPr>
        <w:rFonts w:ascii="Courier New" w:hAnsi="Courier New" w:cs="Times New Roman" w:hint="default"/>
      </w:rPr>
    </w:lvl>
    <w:lvl w:ilvl="5" w:tplc="0C09001B">
      <w:start w:val="1"/>
      <w:numFmt w:val="bullet"/>
      <w:lvlText w:val=""/>
      <w:lvlJc w:val="left"/>
      <w:pPr>
        <w:ind w:left="4377" w:hanging="360"/>
      </w:pPr>
      <w:rPr>
        <w:rFonts w:ascii="Wingdings" w:hAnsi="Wingdings" w:hint="default"/>
      </w:rPr>
    </w:lvl>
    <w:lvl w:ilvl="6" w:tplc="0C09000F">
      <w:start w:val="1"/>
      <w:numFmt w:val="bullet"/>
      <w:lvlText w:val=""/>
      <w:lvlJc w:val="left"/>
      <w:pPr>
        <w:ind w:left="5097" w:hanging="360"/>
      </w:pPr>
      <w:rPr>
        <w:rFonts w:ascii="Symbol" w:hAnsi="Symbol" w:hint="default"/>
      </w:rPr>
    </w:lvl>
    <w:lvl w:ilvl="7" w:tplc="0C090019">
      <w:start w:val="1"/>
      <w:numFmt w:val="bullet"/>
      <w:lvlText w:val="o"/>
      <w:lvlJc w:val="left"/>
      <w:pPr>
        <w:ind w:left="5817" w:hanging="360"/>
      </w:pPr>
      <w:rPr>
        <w:rFonts w:ascii="Courier New" w:hAnsi="Courier New" w:cs="Times New Roman" w:hint="default"/>
      </w:rPr>
    </w:lvl>
    <w:lvl w:ilvl="8" w:tplc="0C09001B">
      <w:start w:val="1"/>
      <w:numFmt w:val="bullet"/>
      <w:lvlText w:val=""/>
      <w:lvlJc w:val="left"/>
      <w:pPr>
        <w:ind w:left="6537" w:hanging="360"/>
      </w:pPr>
      <w:rPr>
        <w:rFonts w:ascii="Wingdings" w:hAnsi="Wingdings" w:hint="default"/>
      </w:rPr>
    </w:lvl>
  </w:abstractNum>
  <w:abstractNum w:abstractNumId="11">
    <w:nsid w:val="40BA5C7A"/>
    <w:multiLevelType w:val="hybridMultilevel"/>
    <w:tmpl w:val="E1AACF20"/>
    <w:lvl w:ilvl="0" w:tplc="08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nsid w:val="418C5F80"/>
    <w:multiLevelType w:val="hybridMultilevel"/>
    <w:tmpl w:val="0DD87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608769C"/>
    <w:multiLevelType w:val="hybridMultilevel"/>
    <w:tmpl w:val="0C683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C1174D0"/>
    <w:multiLevelType w:val="hybridMultilevel"/>
    <w:tmpl w:val="742AEF1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DAD349C"/>
    <w:multiLevelType w:val="hybridMultilevel"/>
    <w:tmpl w:val="EDD6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948D3"/>
    <w:multiLevelType w:val="hybridMultilevel"/>
    <w:tmpl w:val="F424D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801671D"/>
    <w:multiLevelType w:val="multilevel"/>
    <w:tmpl w:val="23B07024"/>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9CF2DAC"/>
    <w:multiLevelType w:val="hybridMultilevel"/>
    <w:tmpl w:val="B73AACD4"/>
    <w:lvl w:ilvl="0" w:tplc="081670E0">
      <w:start w:val="1"/>
      <w:numFmt w:val="bullet"/>
      <w:pStyle w:val="Bulletswithsinglespacingfont11"/>
      <w:lvlText w:val=""/>
      <w:lvlJc w:val="left"/>
      <w:pPr>
        <w:ind w:left="36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CBE1E94"/>
    <w:multiLevelType w:val="hybridMultilevel"/>
    <w:tmpl w:val="A4EA3814"/>
    <w:lvl w:ilvl="0" w:tplc="0C090001">
      <w:start w:val="1"/>
      <w:numFmt w:val="bullet"/>
      <w:lvlText w:val=""/>
      <w:lvlJc w:val="left"/>
      <w:pPr>
        <w:ind w:left="819" w:hanging="360"/>
      </w:pPr>
      <w:rPr>
        <w:rFonts w:ascii="Symbol" w:hAnsi="Symbol"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20">
    <w:nsid w:val="603D49BB"/>
    <w:multiLevelType w:val="hybridMultilevel"/>
    <w:tmpl w:val="923A3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2005F02"/>
    <w:multiLevelType w:val="multilevel"/>
    <w:tmpl w:val="DFE01526"/>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280"/>
        </w:tabs>
        <w:ind w:left="2280" w:hanging="720"/>
      </w:pPr>
      <w:rPr>
        <w:rFonts w:hint="default"/>
        <w:b w:val="0"/>
        <w:i w:val="0"/>
        <w:sz w:val="24"/>
        <w:szCs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6397673A"/>
    <w:multiLevelType w:val="hybridMultilevel"/>
    <w:tmpl w:val="C156A7A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3F91265"/>
    <w:multiLevelType w:val="hybridMultilevel"/>
    <w:tmpl w:val="AF12E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553CA2"/>
    <w:multiLevelType w:val="hybridMultilevel"/>
    <w:tmpl w:val="BBB23F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180"/>
      </w:pPr>
      <w:rPr>
        <w:rFonts w:ascii="Courier New" w:hAnsi="Courier New" w:cs="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61B6F58"/>
    <w:multiLevelType w:val="multilevel"/>
    <w:tmpl w:val="5F4EB140"/>
    <w:lvl w:ilvl="0">
      <w:start w:val="1"/>
      <w:numFmt w:val="upperLetter"/>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nsid w:val="6F5A1011"/>
    <w:multiLevelType w:val="multilevel"/>
    <w:tmpl w:val="AE38053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0FE1F4E"/>
    <w:multiLevelType w:val="hybridMultilevel"/>
    <w:tmpl w:val="408472C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8">
    <w:nsid w:val="76EC1128"/>
    <w:multiLevelType w:val="hybridMultilevel"/>
    <w:tmpl w:val="C67AEB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E0441ED"/>
    <w:multiLevelType w:val="hybridMultilevel"/>
    <w:tmpl w:val="A1909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7"/>
  </w:num>
  <w:num w:numId="4">
    <w:abstractNumId w:val="25"/>
  </w:num>
  <w:num w:numId="5">
    <w:abstractNumId w:val="18"/>
  </w:num>
  <w:num w:numId="6">
    <w:abstractNumId w:val="20"/>
  </w:num>
  <w:num w:numId="7">
    <w:abstractNumId w:val="26"/>
  </w:num>
  <w:num w:numId="8">
    <w:abstractNumId w:val="14"/>
  </w:num>
  <w:num w:numId="9">
    <w:abstractNumId w:val="22"/>
  </w:num>
  <w:num w:numId="10">
    <w:abstractNumId w:val="3"/>
  </w:num>
  <w:num w:numId="11">
    <w:abstractNumId w:val="4"/>
  </w:num>
  <w:num w:numId="12">
    <w:abstractNumId w:val="2"/>
  </w:num>
  <w:num w:numId="13">
    <w:abstractNumId w:val="29"/>
  </w:num>
  <w:num w:numId="14">
    <w:abstractNumId w:val="21"/>
  </w:num>
  <w:num w:numId="15">
    <w:abstractNumId w:val="1"/>
  </w:num>
  <w:num w:numId="16">
    <w:abstractNumId w:val="12"/>
  </w:num>
  <w:num w:numId="17">
    <w:abstractNumId w:val="16"/>
  </w:num>
  <w:num w:numId="18">
    <w:abstractNumId w:val="10"/>
  </w:num>
  <w:num w:numId="19">
    <w:abstractNumId w:val="13"/>
  </w:num>
  <w:num w:numId="20">
    <w:abstractNumId w:val="11"/>
  </w:num>
  <w:num w:numId="21">
    <w:abstractNumId w:val="6"/>
  </w:num>
  <w:num w:numId="22">
    <w:abstractNumId w:val="15"/>
  </w:num>
  <w:num w:numId="23">
    <w:abstractNumId w:val="27"/>
  </w:num>
  <w:num w:numId="24">
    <w:abstractNumId w:val="7"/>
  </w:num>
  <w:num w:numId="25">
    <w:abstractNumId w:val="5"/>
  </w:num>
  <w:num w:numId="26">
    <w:abstractNumId w:val="28"/>
  </w:num>
  <w:num w:numId="27">
    <w:abstractNumId w:val="23"/>
  </w:num>
  <w:num w:numId="28">
    <w:abstractNumId w:val="19"/>
  </w:num>
  <w:num w:numId="29">
    <w:abstractNumId w:val="9"/>
  </w:num>
  <w:num w:numId="30">
    <w:abstractNumId w:val="24"/>
  </w:num>
  <w:num w:numId="31">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18433">
      <o:colormru v:ext="edit" colors="#002a6c"/>
    </o:shapedefaults>
  </w:hdrShapeDefaults>
  <w:footnotePr>
    <w:numRestart w:val="eachSect"/>
    <w:footnote w:id="-1"/>
    <w:footnote w:id="0"/>
  </w:footnotePr>
  <w:endnotePr>
    <w:pos w:val="sectEnd"/>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1EC"/>
    <w:rsid w:val="000008BB"/>
    <w:rsid w:val="000010AE"/>
    <w:rsid w:val="00001FC8"/>
    <w:rsid w:val="0000225C"/>
    <w:rsid w:val="00002483"/>
    <w:rsid w:val="00002711"/>
    <w:rsid w:val="00003054"/>
    <w:rsid w:val="000031F4"/>
    <w:rsid w:val="0000341B"/>
    <w:rsid w:val="000036BE"/>
    <w:rsid w:val="0000381A"/>
    <w:rsid w:val="00003A03"/>
    <w:rsid w:val="0000468E"/>
    <w:rsid w:val="000046CB"/>
    <w:rsid w:val="00004DA6"/>
    <w:rsid w:val="0000550E"/>
    <w:rsid w:val="000055C5"/>
    <w:rsid w:val="0000598F"/>
    <w:rsid w:val="00006767"/>
    <w:rsid w:val="00006A00"/>
    <w:rsid w:val="00007205"/>
    <w:rsid w:val="0000724A"/>
    <w:rsid w:val="000077C2"/>
    <w:rsid w:val="00007C60"/>
    <w:rsid w:val="00007D98"/>
    <w:rsid w:val="00007DC4"/>
    <w:rsid w:val="000100E5"/>
    <w:rsid w:val="000101D5"/>
    <w:rsid w:val="000109F7"/>
    <w:rsid w:val="00010BDB"/>
    <w:rsid w:val="000112A4"/>
    <w:rsid w:val="00011BED"/>
    <w:rsid w:val="000129E9"/>
    <w:rsid w:val="00012B91"/>
    <w:rsid w:val="00012F8C"/>
    <w:rsid w:val="000130E5"/>
    <w:rsid w:val="00013854"/>
    <w:rsid w:val="00013AFB"/>
    <w:rsid w:val="00013F55"/>
    <w:rsid w:val="000140F0"/>
    <w:rsid w:val="0001433B"/>
    <w:rsid w:val="00014934"/>
    <w:rsid w:val="00014ADC"/>
    <w:rsid w:val="00014BF2"/>
    <w:rsid w:val="0001578D"/>
    <w:rsid w:val="00015838"/>
    <w:rsid w:val="00015960"/>
    <w:rsid w:val="00015D9D"/>
    <w:rsid w:val="00016036"/>
    <w:rsid w:val="000161BD"/>
    <w:rsid w:val="00016411"/>
    <w:rsid w:val="00016AF7"/>
    <w:rsid w:val="00017338"/>
    <w:rsid w:val="000173E2"/>
    <w:rsid w:val="00017ABE"/>
    <w:rsid w:val="00017B83"/>
    <w:rsid w:val="00017C53"/>
    <w:rsid w:val="00017E4C"/>
    <w:rsid w:val="00020016"/>
    <w:rsid w:val="00020466"/>
    <w:rsid w:val="0002074D"/>
    <w:rsid w:val="00020F04"/>
    <w:rsid w:val="000215DE"/>
    <w:rsid w:val="00021604"/>
    <w:rsid w:val="000223DA"/>
    <w:rsid w:val="000228FE"/>
    <w:rsid w:val="00022909"/>
    <w:rsid w:val="000229C1"/>
    <w:rsid w:val="00022A4B"/>
    <w:rsid w:val="0002366B"/>
    <w:rsid w:val="000237CF"/>
    <w:rsid w:val="000237E1"/>
    <w:rsid w:val="0002386A"/>
    <w:rsid w:val="00023870"/>
    <w:rsid w:val="00023B70"/>
    <w:rsid w:val="0002409D"/>
    <w:rsid w:val="00024537"/>
    <w:rsid w:val="00024B7F"/>
    <w:rsid w:val="00024E2C"/>
    <w:rsid w:val="000250D1"/>
    <w:rsid w:val="00026177"/>
    <w:rsid w:val="000265E4"/>
    <w:rsid w:val="0002678A"/>
    <w:rsid w:val="00026A4A"/>
    <w:rsid w:val="00027037"/>
    <w:rsid w:val="000277D4"/>
    <w:rsid w:val="00027CC2"/>
    <w:rsid w:val="00031566"/>
    <w:rsid w:val="00031571"/>
    <w:rsid w:val="00031A5C"/>
    <w:rsid w:val="00031F69"/>
    <w:rsid w:val="000327A7"/>
    <w:rsid w:val="000328A3"/>
    <w:rsid w:val="00034032"/>
    <w:rsid w:val="0003469D"/>
    <w:rsid w:val="000349C9"/>
    <w:rsid w:val="00034CD8"/>
    <w:rsid w:val="00035930"/>
    <w:rsid w:val="00035A6D"/>
    <w:rsid w:val="00035AAE"/>
    <w:rsid w:val="00036068"/>
    <w:rsid w:val="000360B1"/>
    <w:rsid w:val="00036454"/>
    <w:rsid w:val="00036C8A"/>
    <w:rsid w:val="00036C95"/>
    <w:rsid w:val="00037463"/>
    <w:rsid w:val="000379EF"/>
    <w:rsid w:val="00037A73"/>
    <w:rsid w:val="00037E6E"/>
    <w:rsid w:val="000400C4"/>
    <w:rsid w:val="0004042D"/>
    <w:rsid w:val="00040659"/>
    <w:rsid w:val="00040729"/>
    <w:rsid w:val="000408C5"/>
    <w:rsid w:val="0004092E"/>
    <w:rsid w:val="000409EE"/>
    <w:rsid w:val="00040AD1"/>
    <w:rsid w:val="00040D5A"/>
    <w:rsid w:val="000411B3"/>
    <w:rsid w:val="0004176F"/>
    <w:rsid w:val="0004193B"/>
    <w:rsid w:val="0004392A"/>
    <w:rsid w:val="0004426C"/>
    <w:rsid w:val="000444B9"/>
    <w:rsid w:val="00044826"/>
    <w:rsid w:val="000454EF"/>
    <w:rsid w:val="0004592B"/>
    <w:rsid w:val="00045CAA"/>
    <w:rsid w:val="000461A4"/>
    <w:rsid w:val="000462A2"/>
    <w:rsid w:val="000464CC"/>
    <w:rsid w:val="000465B4"/>
    <w:rsid w:val="00046E85"/>
    <w:rsid w:val="00047863"/>
    <w:rsid w:val="00050760"/>
    <w:rsid w:val="00050EC5"/>
    <w:rsid w:val="00051168"/>
    <w:rsid w:val="00051341"/>
    <w:rsid w:val="00051ABF"/>
    <w:rsid w:val="00051B87"/>
    <w:rsid w:val="00052080"/>
    <w:rsid w:val="000525F0"/>
    <w:rsid w:val="000527D1"/>
    <w:rsid w:val="00052C10"/>
    <w:rsid w:val="00052F45"/>
    <w:rsid w:val="0005382C"/>
    <w:rsid w:val="00054597"/>
    <w:rsid w:val="000545C9"/>
    <w:rsid w:val="00054F3B"/>
    <w:rsid w:val="00055139"/>
    <w:rsid w:val="0005573E"/>
    <w:rsid w:val="00055FDA"/>
    <w:rsid w:val="000561F6"/>
    <w:rsid w:val="0005654B"/>
    <w:rsid w:val="0005658E"/>
    <w:rsid w:val="00056676"/>
    <w:rsid w:val="00056838"/>
    <w:rsid w:val="00056D06"/>
    <w:rsid w:val="00056ECF"/>
    <w:rsid w:val="00057A0D"/>
    <w:rsid w:val="000602E0"/>
    <w:rsid w:val="0006071E"/>
    <w:rsid w:val="00060735"/>
    <w:rsid w:val="00060C49"/>
    <w:rsid w:val="000611AA"/>
    <w:rsid w:val="00061FFA"/>
    <w:rsid w:val="00062459"/>
    <w:rsid w:val="0006283F"/>
    <w:rsid w:val="00062CCA"/>
    <w:rsid w:val="00062FA4"/>
    <w:rsid w:val="00063360"/>
    <w:rsid w:val="0006354D"/>
    <w:rsid w:val="00063661"/>
    <w:rsid w:val="00063680"/>
    <w:rsid w:val="000636AB"/>
    <w:rsid w:val="00063738"/>
    <w:rsid w:val="000638CB"/>
    <w:rsid w:val="00063AA2"/>
    <w:rsid w:val="00063E90"/>
    <w:rsid w:val="00063EA7"/>
    <w:rsid w:val="00064027"/>
    <w:rsid w:val="00064694"/>
    <w:rsid w:val="000649AC"/>
    <w:rsid w:val="00064D87"/>
    <w:rsid w:val="00065CFF"/>
    <w:rsid w:val="000665C5"/>
    <w:rsid w:val="0006695C"/>
    <w:rsid w:val="0006697D"/>
    <w:rsid w:val="00066A72"/>
    <w:rsid w:val="00066B86"/>
    <w:rsid w:val="0006766D"/>
    <w:rsid w:val="00067C26"/>
    <w:rsid w:val="00067CDC"/>
    <w:rsid w:val="0007056A"/>
    <w:rsid w:val="0007080F"/>
    <w:rsid w:val="00070D2F"/>
    <w:rsid w:val="00071679"/>
    <w:rsid w:val="0007229A"/>
    <w:rsid w:val="00072C5B"/>
    <w:rsid w:val="00073208"/>
    <w:rsid w:val="00073A4F"/>
    <w:rsid w:val="000748F7"/>
    <w:rsid w:val="00074C2B"/>
    <w:rsid w:val="00074CB8"/>
    <w:rsid w:val="00075365"/>
    <w:rsid w:val="000753B2"/>
    <w:rsid w:val="000754A0"/>
    <w:rsid w:val="00075611"/>
    <w:rsid w:val="00075909"/>
    <w:rsid w:val="00075A95"/>
    <w:rsid w:val="00075A99"/>
    <w:rsid w:val="00075B43"/>
    <w:rsid w:val="0007684D"/>
    <w:rsid w:val="0007692A"/>
    <w:rsid w:val="00076DB9"/>
    <w:rsid w:val="00077214"/>
    <w:rsid w:val="00077540"/>
    <w:rsid w:val="0007764E"/>
    <w:rsid w:val="00077F78"/>
    <w:rsid w:val="0008055A"/>
    <w:rsid w:val="00080B2A"/>
    <w:rsid w:val="00080D96"/>
    <w:rsid w:val="00080FD1"/>
    <w:rsid w:val="00081254"/>
    <w:rsid w:val="000812D5"/>
    <w:rsid w:val="000812F7"/>
    <w:rsid w:val="00081328"/>
    <w:rsid w:val="000817ED"/>
    <w:rsid w:val="00082023"/>
    <w:rsid w:val="000825F2"/>
    <w:rsid w:val="00082AB6"/>
    <w:rsid w:val="00082F46"/>
    <w:rsid w:val="000835DC"/>
    <w:rsid w:val="0008398E"/>
    <w:rsid w:val="00084141"/>
    <w:rsid w:val="00085492"/>
    <w:rsid w:val="000854EF"/>
    <w:rsid w:val="00085679"/>
    <w:rsid w:val="00085BF7"/>
    <w:rsid w:val="00085CCE"/>
    <w:rsid w:val="00085F1D"/>
    <w:rsid w:val="0008610F"/>
    <w:rsid w:val="00086299"/>
    <w:rsid w:val="000865B0"/>
    <w:rsid w:val="00087248"/>
    <w:rsid w:val="00087893"/>
    <w:rsid w:val="00087A7B"/>
    <w:rsid w:val="00087CE9"/>
    <w:rsid w:val="00087DAF"/>
    <w:rsid w:val="00090A2C"/>
    <w:rsid w:val="00090E6A"/>
    <w:rsid w:val="00091022"/>
    <w:rsid w:val="00091630"/>
    <w:rsid w:val="000918A9"/>
    <w:rsid w:val="00091AF8"/>
    <w:rsid w:val="000928BF"/>
    <w:rsid w:val="00092B3A"/>
    <w:rsid w:val="00093450"/>
    <w:rsid w:val="000934F0"/>
    <w:rsid w:val="00093D27"/>
    <w:rsid w:val="00094221"/>
    <w:rsid w:val="0009422C"/>
    <w:rsid w:val="00095169"/>
    <w:rsid w:val="0009533E"/>
    <w:rsid w:val="000954C8"/>
    <w:rsid w:val="0009620D"/>
    <w:rsid w:val="00096552"/>
    <w:rsid w:val="00096C3C"/>
    <w:rsid w:val="000A0385"/>
    <w:rsid w:val="000A0A09"/>
    <w:rsid w:val="000A0C77"/>
    <w:rsid w:val="000A0CF8"/>
    <w:rsid w:val="000A0EC1"/>
    <w:rsid w:val="000A1140"/>
    <w:rsid w:val="000A11D8"/>
    <w:rsid w:val="000A1A9F"/>
    <w:rsid w:val="000A1CFE"/>
    <w:rsid w:val="000A2167"/>
    <w:rsid w:val="000A2986"/>
    <w:rsid w:val="000A2AEA"/>
    <w:rsid w:val="000A2EBC"/>
    <w:rsid w:val="000A3AF2"/>
    <w:rsid w:val="000A3E5E"/>
    <w:rsid w:val="000A48A3"/>
    <w:rsid w:val="000A4F06"/>
    <w:rsid w:val="000A570D"/>
    <w:rsid w:val="000A5A78"/>
    <w:rsid w:val="000A6160"/>
    <w:rsid w:val="000A7185"/>
    <w:rsid w:val="000A791D"/>
    <w:rsid w:val="000A7E89"/>
    <w:rsid w:val="000B0125"/>
    <w:rsid w:val="000B01BF"/>
    <w:rsid w:val="000B0473"/>
    <w:rsid w:val="000B06C9"/>
    <w:rsid w:val="000B0B8C"/>
    <w:rsid w:val="000B0BF7"/>
    <w:rsid w:val="000B0D37"/>
    <w:rsid w:val="000B0EE0"/>
    <w:rsid w:val="000B1139"/>
    <w:rsid w:val="000B16A3"/>
    <w:rsid w:val="000B1AC6"/>
    <w:rsid w:val="000B283B"/>
    <w:rsid w:val="000B2A26"/>
    <w:rsid w:val="000B2E32"/>
    <w:rsid w:val="000B33F7"/>
    <w:rsid w:val="000B401C"/>
    <w:rsid w:val="000B51C2"/>
    <w:rsid w:val="000B52C0"/>
    <w:rsid w:val="000B52F7"/>
    <w:rsid w:val="000B54A2"/>
    <w:rsid w:val="000B594A"/>
    <w:rsid w:val="000B5B31"/>
    <w:rsid w:val="000B5ED4"/>
    <w:rsid w:val="000B67A3"/>
    <w:rsid w:val="000B752B"/>
    <w:rsid w:val="000B783B"/>
    <w:rsid w:val="000B7B10"/>
    <w:rsid w:val="000C0260"/>
    <w:rsid w:val="000C0770"/>
    <w:rsid w:val="000C08CE"/>
    <w:rsid w:val="000C0E0C"/>
    <w:rsid w:val="000C119D"/>
    <w:rsid w:val="000C14FF"/>
    <w:rsid w:val="000C1F50"/>
    <w:rsid w:val="000C1FBE"/>
    <w:rsid w:val="000C2323"/>
    <w:rsid w:val="000C261C"/>
    <w:rsid w:val="000C2761"/>
    <w:rsid w:val="000C27DD"/>
    <w:rsid w:val="000C2A3D"/>
    <w:rsid w:val="000C34EB"/>
    <w:rsid w:val="000C37F6"/>
    <w:rsid w:val="000C3831"/>
    <w:rsid w:val="000C3A22"/>
    <w:rsid w:val="000C3B2E"/>
    <w:rsid w:val="000C4006"/>
    <w:rsid w:val="000C4799"/>
    <w:rsid w:val="000C4BC9"/>
    <w:rsid w:val="000C4DCC"/>
    <w:rsid w:val="000C4E91"/>
    <w:rsid w:val="000C50AC"/>
    <w:rsid w:val="000C5723"/>
    <w:rsid w:val="000C5B0F"/>
    <w:rsid w:val="000C5F77"/>
    <w:rsid w:val="000C6215"/>
    <w:rsid w:val="000C79DB"/>
    <w:rsid w:val="000C7E2C"/>
    <w:rsid w:val="000D0283"/>
    <w:rsid w:val="000D0655"/>
    <w:rsid w:val="000D0CD0"/>
    <w:rsid w:val="000D1063"/>
    <w:rsid w:val="000D1211"/>
    <w:rsid w:val="000D12AD"/>
    <w:rsid w:val="000D141E"/>
    <w:rsid w:val="000D1591"/>
    <w:rsid w:val="000D18A1"/>
    <w:rsid w:val="000D18B6"/>
    <w:rsid w:val="000D1918"/>
    <w:rsid w:val="000D2B06"/>
    <w:rsid w:val="000D361C"/>
    <w:rsid w:val="000D3672"/>
    <w:rsid w:val="000D3A26"/>
    <w:rsid w:val="000D4284"/>
    <w:rsid w:val="000D464C"/>
    <w:rsid w:val="000D4771"/>
    <w:rsid w:val="000D4826"/>
    <w:rsid w:val="000D55BB"/>
    <w:rsid w:val="000D5B1C"/>
    <w:rsid w:val="000D5E04"/>
    <w:rsid w:val="000D5E91"/>
    <w:rsid w:val="000D5F0E"/>
    <w:rsid w:val="000D6019"/>
    <w:rsid w:val="000D6813"/>
    <w:rsid w:val="000D7119"/>
    <w:rsid w:val="000D7195"/>
    <w:rsid w:val="000D748B"/>
    <w:rsid w:val="000D7878"/>
    <w:rsid w:val="000D7FB7"/>
    <w:rsid w:val="000E0338"/>
    <w:rsid w:val="000E0770"/>
    <w:rsid w:val="000E1A37"/>
    <w:rsid w:val="000E227D"/>
    <w:rsid w:val="000E26AA"/>
    <w:rsid w:val="000E2FAF"/>
    <w:rsid w:val="000E3819"/>
    <w:rsid w:val="000E399E"/>
    <w:rsid w:val="000E3A49"/>
    <w:rsid w:val="000E3B34"/>
    <w:rsid w:val="000E3E4F"/>
    <w:rsid w:val="000E42A7"/>
    <w:rsid w:val="000E458E"/>
    <w:rsid w:val="000E54F7"/>
    <w:rsid w:val="000E5769"/>
    <w:rsid w:val="000E5EAF"/>
    <w:rsid w:val="000E669E"/>
    <w:rsid w:val="000E66F7"/>
    <w:rsid w:val="000E6C4E"/>
    <w:rsid w:val="000E6F9C"/>
    <w:rsid w:val="000E7168"/>
    <w:rsid w:val="000E7727"/>
    <w:rsid w:val="000F053D"/>
    <w:rsid w:val="000F0754"/>
    <w:rsid w:val="000F160C"/>
    <w:rsid w:val="000F1AA4"/>
    <w:rsid w:val="000F1D2B"/>
    <w:rsid w:val="000F1EE1"/>
    <w:rsid w:val="000F232C"/>
    <w:rsid w:val="000F298E"/>
    <w:rsid w:val="000F2BED"/>
    <w:rsid w:val="000F2CF9"/>
    <w:rsid w:val="000F2D6E"/>
    <w:rsid w:val="000F2E79"/>
    <w:rsid w:val="000F30DC"/>
    <w:rsid w:val="000F38A8"/>
    <w:rsid w:val="000F3A99"/>
    <w:rsid w:val="000F499E"/>
    <w:rsid w:val="000F4A2A"/>
    <w:rsid w:val="000F5438"/>
    <w:rsid w:val="000F555C"/>
    <w:rsid w:val="000F58E8"/>
    <w:rsid w:val="000F5E2C"/>
    <w:rsid w:val="000F65A3"/>
    <w:rsid w:val="000F6C88"/>
    <w:rsid w:val="000F6F9F"/>
    <w:rsid w:val="000F715A"/>
    <w:rsid w:val="000F7605"/>
    <w:rsid w:val="000F7E19"/>
    <w:rsid w:val="00100967"/>
    <w:rsid w:val="00100A23"/>
    <w:rsid w:val="00100B9D"/>
    <w:rsid w:val="00100D76"/>
    <w:rsid w:val="00101FD7"/>
    <w:rsid w:val="00102068"/>
    <w:rsid w:val="00102108"/>
    <w:rsid w:val="00102FBC"/>
    <w:rsid w:val="001035F5"/>
    <w:rsid w:val="001039A1"/>
    <w:rsid w:val="00103A86"/>
    <w:rsid w:val="00103D99"/>
    <w:rsid w:val="00104CA6"/>
    <w:rsid w:val="00104E79"/>
    <w:rsid w:val="001054DC"/>
    <w:rsid w:val="001054EA"/>
    <w:rsid w:val="00105B02"/>
    <w:rsid w:val="00105FD6"/>
    <w:rsid w:val="00106802"/>
    <w:rsid w:val="00106CB6"/>
    <w:rsid w:val="001079D2"/>
    <w:rsid w:val="00107C07"/>
    <w:rsid w:val="00107EAB"/>
    <w:rsid w:val="00110205"/>
    <w:rsid w:val="001113A4"/>
    <w:rsid w:val="001113C2"/>
    <w:rsid w:val="00111CB2"/>
    <w:rsid w:val="00111DD1"/>
    <w:rsid w:val="00112BE9"/>
    <w:rsid w:val="00112D86"/>
    <w:rsid w:val="00112EBB"/>
    <w:rsid w:val="00112F6E"/>
    <w:rsid w:val="0011352C"/>
    <w:rsid w:val="001136B9"/>
    <w:rsid w:val="00113790"/>
    <w:rsid w:val="00113D2F"/>
    <w:rsid w:val="00114396"/>
    <w:rsid w:val="00114C81"/>
    <w:rsid w:val="0011577A"/>
    <w:rsid w:val="00116B56"/>
    <w:rsid w:val="00116E25"/>
    <w:rsid w:val="0011718F"/>
    <w:rsid w:val="001173EB"/>
    <w:rsid w:val="00117CB3"/>
    <w:rsid w:val="00120152"/>
    <w:rsid w:val="00120A01"/>
    <w:rsid w:val="00120AFA"/>
    <w:rsid w:val="00120BD6"/>
    <w:rsid w:val="001220EB"/>
    <w:rsid w:val="001224AA"/>
    <w:rsid w:val="00122CC1"/>
    <w:rsid w:val="00122FAE"/>
    <w:rsid w:val="00123902"/>
    <w:rsid w:val="00123B63"/>
    <w:rsid w:val="00123DFB"/>
    <w:rsid w:val="00123F1E"/>
    <w:rsid w:val="0012473E"/>
    <w:rsid w:val="0012505A"/>
    <w:rsid w:val="0012518F"/>
    <w:rsid w:val="0012581B"/>
    <w:rsid w:val="00125AA8"/>
    <w:rsid w:val="00125CCF"/>
    <w:rsid w:val="00125D77"/>
    <w:rsid w:val="001264B5"/>
    <w:rsid w:val="00126917"/>
    <w:rsid w:val="001269CE"/>
    <w:rsid w:val="00127F33"/>
    <w:rsid w:val="0013020B"/>
    <w:rsid w:val="00130929"/>
    <w:rsid w:val="00130BBE"/>
    <w:rsid w:val="001310E4"/>
    <w:rsid w:val="00131507"/>
    <w:rsid w:val="0013172A"/>
    <w:rsid w:val="00131978"/>
    <w:rsid w:val="001319AC"/>
    <w:rsid w:val="001319EF"/>
    <w:rsid w:val="0013275F"/>
    <w:rsid w:val="00132860"/>
    <w:rsid w:val="00132ABE"/>
    <w:rsid w:val="00133870"/>
    <w:rsid w:val="00133BCD"/>
    <w:rsid w:val="00133E5C"/>
    <w:rsid w:val="00133F21"/>
    <w:rsid w:val="00134B3A"/>
    <w:rsid w:val="00135853"/>
    <w:rsid w:val="001358CC"/>
    <w:rsid w:val="00135CCE"/>
    <w:rsid w:val="00135F78"/>
    <w:rsid w:val="00136EB7"/>
    <w:rsid w:val="001376A8"/>
    <w:rsid w:val="00137D7F"/>
    <w:rsid w:val="00137DE1"/>
    <w:rsid w:val="00137F02"/>
    <w:rsid w:val="00137F40"/>
    <w:rsid w:val="00140032"/>
    <w:rsid w:val="00140327"/>
    <w:rsid w:val="00140511"/>
    <w:rsid w:val="00140901"/>
    <w:rsid w:val="001409A2"/>
    <w:rsid w:val="001428D3"/>
    <w:rsid w:val="00142963"/>
    <w:rsid w:val="00142B1E"/>
    <w:rsid w:val="00143873"/>
    <w:rsid w:val="001441F4"/>
    <w:rsid w:val="001446BE"/>
    <w:rsid w:val="00144932"/>
    <w:rsid w:val="001449DE"/>
    <w:rsid w:val="0014515D"/>
    <w:rsid w:val="00145174"/>
    <w:rsid w:val="00145458"/>
    <w:rsid w:val="0014566B"/>
    <w:rsid w:val="001457F5"/>
    <w:rsid w:val="00146082"/>
    <w:rsid w:val="00146523"/>
    <w:rsid w:val="001469B9"/>
    <w:rsid w:val="001471CE"/>
    <w:rsid w:val="001473BD"/>
    <w:rsid w:val="00147D13"/>
    <w:rsid w:val="00150F12"/>
    <w:rsid w:val="0015131A"/>
    <w:rsid w:val="00151D5E"/>
    <w:rsid w:val="00151FD0"/>
    <w:rsid w:val="001525DA"/>
    <w:rsid w:val="00152865"/>
    <w:rsid w:val="00152C03"/>
    <w:rsid w:val="00153207"/>
    <w:rsid w:val="00153387"/>
    <w:rsid w:val="00153718"/>
    <w:rsid w:val="00153F5D"/>
    <w:rsid w:val="001546E0"/>
    <w:rsid w:val="00154725"/>
    <w:rsid w:val="00154B76"/>
    <w:rsid w:val="00155987"/>
    <w:rsid w:val="00155A7F"/>
    <w:rsid w:val="00155CA4"/>
    <w:rsid w:val="00155FAA"/>
    <w:rsid w:val="001560A3"/>
    <w:rsid w:val="001561D3"/>
    <w:rsid w:val="00156237"/>
    <w:rsid w:val="0015624A"/>
    <w:rsid w:val="00156561"/>
    <w:rsid w:val="00156952"/>
    <w:rsid w:val="00156E51"/>
    <w:rsid w:val="00157F4F"/>
    <w:rsid w:val="0016009E"/>
    <w:rsid w:val="001605EE"/>
    <w:rsid w:val="0016067E"/>
    <w:rsid w:val="001607B4"/>
    <w:rsid w:val="0016097A"/>
    <w:rsid w:val="00161221"/>
    <w:rsid w:val="00162459"/>
    <w:rsid w:val="00162533"/>
    <w:rsid w:val="00162535"/>
    <w:rsid w:val="001629E3"/>
    <w:rsid w:val="00162AAC"/>
    <w:rsid w:val="001631B7"/>
    <w:rsid w:val="001639D1"/>
    <w:rsid w:val="001640AE"/>
    <w:rsid w:val="001643B0"/>
    <w:rsid w:val="00164CB5"/>
    <w:rsid w:val="00164CFF"/>
    <w:rsid w:val="001664D8"/>
    <w:rsid w:val="001666A4"/>
    <w:rsid w:val="00167B18"/>
    <w:rsid w:val="0017073C"/>
    <w:rsid w:val="00170A9A"/>
    <w:rsid w:val="001710F3"/>
    <w:rsid w:val="0017134E"/>
    <w:rsid w:val="001714A0"/>
    <w:rsid w:val="00171921"/>
    <w:rsid w:val="00171B72"/>
    <w:rsid w:val="001723CA"/>
    <w:rsid w:val="00172947"/>
    <w:rsid w:val="00172DC9"/>
    <w:rsid w:val="00172FFC"/>
    <w:rsid w:val="001730FB"/>
    <w:rsid w:val="001743BA"/>
    <w:rsid w:val="00174DAE"/>
    <w:rsid w:val="0017510C"/>
    <w:rsid w:val="00175298"/>
    <w:rsid w:val="001765E7"/>
    <w:rsid w:val="0017797D"/>
    <w:rsid w:val="00177B64"/>
    <w:rsid w:val="00177D5F"/>
    <w:rsid w:val="00177E40"/>
    <w:rsid w:val="00180549"/>
    <w:rsid w:val="00180685"/>
    <w:rsid w:val="0018169B"/>
    <w:rsid w:val="001816CA"/>
    <w:rsid w:val="00181767"/>
    <w:rsid w:val="00181F7B"/>
    <w:rsid w:val="00182023"/>
    <w:rsid w:val="00183584"/>
    <w:rsid w:val="00184B59"/>
    <w:rsid w:val="00185409"/>
    <w:rsid w:val="001854F6"/>
    <w:rsid w:val="00185E1D"/>
    <w:rsid w:val="00186184"/>
    <w:rsid w:val="001864FB"/>
    <w:rsid w:val="001868C8"/>
    <w:rsid w:val="00186DBF"/>
    <w:rsid w:val="00187254"/>
    <w:rsid w:val="0018753E"/>
    <w:rsid w:val="001902FF"/>
    <w:rsid w:val="00190F8B"/>
    <w:rsid w:val="001912AC"/>
    <w:rsid w:val="001912D1"/>
    <w:rsid w:val="00191799"/>
    <w:rsid w:val="00191A9B"/>
    <w:rsid w:val="00192E93"/>
    <w:rsid w:val="0019306F"/>
    <w:rsid w:val="001932BC"/>
    <w:rsid w:val="00193C26"/>
    <w:rsid w:val="00194573"/>
    <w:rsid w:val="001949EF"/>
    <w:rsid w:val="00194B89"/>
    <w:rsid w:val="00195CE7"/>
    <w:rsid w:val="00196794"/>
    <w:rsid w:val="00196CA0"/>
    <w:rsid w:val="00196F93"/>
    <w:rsid w:val="001970DD"/>
    <w:rsid w:val="00197457"/>
    <w:rsid w:val="001977DD"/>
    <w:rsid w:val="00197BD7"/>
    <w:rsid w:val="00197C61"/>
    <w:rsid w:val="001A02E1"/>
    <w:rsid w:val="001A038A"/>
    <w:rsid w:val="001A04A6"/>
    <w:rsid w:val="001A1292"/>
    <w:rsid w:val="001A12A8"/>
    <w:rsid w:val="001A15B5"/>
    <w:rsid w:val="001A1BAD"/>
    <w:rsid w:val="001A22F3"/>
    <w:rsid w:val="001A2695"/>
    <w:rsid w:val="001A2FF0"/>
    <w:rsid w:val="001A37DC"/>
    <w:rsid w:val="001A3D91"/>
    <w:rsid w:val="001A3F6A"/>
    <w:rsid w:val="001A43B7"/>
    <w:rsid w:val="001A4444"/>
    <w:rsid w:val="001A5D3A"/>
    <w:rsid w:val="001A5E75"/>
    <w:rsid w:val="001A6771"/>
    <w:rsid w:val="001A6B0C"/>
    <w:rsid w:val="001A6B8E"/>
    <w:rsid w:val="001A6C47"/>
    <w:rsid w:val="001A6D1C"/>
    <w:rsid w:val="001A6E2E"/>
    <w:rsid w:val="001A6EB0"/>
    <w:rsid w:val="001A7CDB"/>
    <w:rsid w:val="001A7D3B"/>
    <w:rsid w:val="001A7D68"/>
    <w:rsid w:val="001A7EE4"/>
    <w:rsid w:val="001A7FD0"/>
    <w:rsid w:val="001B013F"/>
    <w:rsid w:val="001B02AE"/>
    <w:rsid w:val="001B05D9"/>
    <w:rsid w:val="001B08BC"/>
    <w:rsid w:val="001B12D2"/>
    <w:rsid w:val="001B159D"/>
    <w:rsid w:val="001B1A21"/>
    <w:rsid w:val="001B1F08"/>
    <w:rsid w:val="001B21B4"/>
    <w:rsid w:val="001B22AE"/>
    <w:rsid w:val="001B33CF"/>
    <w:rsid w:val="001B368F"/>
    <w:rsid w:val="001B37AB"/>
    <w:rsid w:val="001B3A99"/>
    <w:rsid w:val="001B43CD"/>
    <w:rsid w:val="001B46A1"/>
    <w:rsid w:val="001B4A03"/>
    <w:rsid w:val="001B4B34"/>
    <w:rsid w:val="001B4E48"/>
    <w:rsid w:val="001B545E"/>
    <w:rsid w:val="001B58C2"/>
    <w:rsid w:val="001B59E3"/>
    <w:rsid w:val="001B60CC"/>
    <w:rsid w:val="001B6708"/>
    <w:rsid w:val="001B6833"/>
    <w:rsid w:val="001B707A"/>
    <w:rsid w:val="001B70CB"/>
    <w:rsid w:val="001B750D"/>
    <w:rsid w:val="001B75B0"/>
    <w:rsid w:val="001B7C28"/>
    <w:rsid w:val="001B7F47"/>
    <w:rsid w:val="001B7F6F"/>
    <w:rsid w:val="001C0142"/>
    <w:rsid w:val="001C0291"/>
    <w:rsid w:val="001C0E3F"/>
    <w:rsid w:val="001C0E76"/>
    <w:rsid w:val="001C0EDD"/>
    <w:rsid w:val="001C135C"/>
    <w:rsid w:val="001C1AC2"/>
    <w:rsid w:val="001C215E"/>
    <w:rsid w:val="001C255F"/>
    <w:rsid w:val="001C272C"/>
    <w:rsid w:val="001C27B7"/>
    <w:rsid w:val="001C28C7"/>
    <w:rsid w:val="001C3EBE"/>
    <w:rsid w:val="001C41DC"/>
    <w:rsid w:val="001C5252"/>
    <w:rsid w:val="001C5619"/>
    <w:rsid w:val="001C5956"/>
    <w:rsid w:val="001C5CE2"/>
    <w:rsid w:val="001C6069"/>
    <w:rsid w:val="001C6458"/>
    <w:rsid w:val="001C64BF"/>
    <w:rsid w:val="001C6623"/>
    <w:rsid w:val="001C6CB0"/>
    <w:rsid w:val="001C7279"/>
    <w:rsid w:val="001C7412"/>
    <w:rsid w:val="001D002B"/>
    <w:rsid w:val="001D07BA"/>
    <w:rsid w:val="001D0E1E"/>
    <w:rsid w:val="001D10B2"/>
    <w:rsid w:val="001D139D"/>
    <w:rsid w:val="001D2056"/>
    <w:rsid w:val="001D20F1"/>
    <w:rsid w:val="001D234C"/>
    <w:rsid w:val="001D27D3"/>
    <w:rsid w:val="001D2B3C"/>
    <w:rsid w:val="001D2CD5"/>
    <w:rsid w:val="001D2EF2"/>
    <w:rsid w:val="001D3348"/>
    <w:rsid w:val="001D35B5"/>
    <w:rsid w:val="001D3698"/>
    <w:rsid w:val="001D386E"/>
    <w:rsid w:val="001D3B4B"/>
    <w:rsid w:val="001D3B7D"/>
    <w:rsid w:val="001D40DF"/>
    <w:rsid w:val="001D425D"/>
    <w:rsid w:val="001D4B24"/>
    <w:rsid w:val="001D6083"/>
    <w:rsid w:val="001D6A82"/>
    <w:rsid w:val="001D6D33"/>
    <w:rsid w:val="001D6EE6"/>
    <w:rsid w:val="001D7048"/>
    <w:rsid w:val="001D788E"/>
    <w:rsid w:val="001D7BC4"/>
    <w:rsid w:val="001D7F0D"/>
    <w:rsid w:val="001D7FC8"/>
    <w:rsid w:val="001E0119"/>
    <w:rsid w:val="001E01CB"/>
    <w:rsid w:val="001E020D"/>
    <w:rsid w:val="001E0397"/>
    <w:rsid w:val="001E0810"/>
    <w:rsid w:val="001E09A5"/>
    <w:rsid w:val="001E0BDD"/>
    <w:rsid w:val="001E0E2A"/>
    <w:rsid w:val="001E0F30"/>
    <w:rsid w:val="001E130A"/>
    <w:rsid w:val="001E1494"/>
    <w:rsid w:val="001E1593"/>
    <w:rsid w:val="001E2340"/>
    <w:rsid w:val="001E29B5"/>
    <w:rsid w:val="001E2A58"/>
    <w:rsid w:val="001E35C3"/>
    <w:rsid w:val="001E375A"/>
    <w:rsid w:val="001E3934"/>
    <w:rsid w:val="001E3A10"/>
    <w:rsid w:val="001E3C39"/>
    <w:rsid w:val="001E3D0A"/>
    <w:rsid w:val="001E3D1D"/>
    <w:rsid w:val="001E4D11"/>
    <w:rsid w:val="001E5575"/>
    <w:rsid w:val="001E5F43"/>
    <w:rsid w:val="001E72D0"/>
    <w:rsid w:val="001E7895"/>
    <w:rsid w:val="001F0970"/>
    <w:rsid w:val="001F0C99"/>
    <w:rsid w:val="001F1296"/>
    <w:rsid w:val="001F14CD"/>
    <w:rsid w:val="001F22C9"/>
    <w:rsid w:val="001F2766"/>
    <w:rsid w:val="001F2BF1"/>
    <w:rsid w:val="001F2C5F"/>
    <w:rsid w:val="001F37C9"/>
    <w:rsid w:val="001F3CA1"/>
    <w:rsid w:val="001F3FE6"/>
    <w:rsid w:val="001F4E85"/>
    <w:rsid w:val="001F50EB"/>
    <w:rsid w:val="001F5C4B"/>
    <w:rsid w:val="001F5CF6"/>
    <w:rsid w:val="001F6157"/>
    <w:rsid w:val="001F6696"/>
    <w:rsid w:val="001F6C64"/>
    <w:rsid w:val="0020033F"/>
    <w:rsid w:val="002008D3"/>
    <w:rsid w:val="0020123F"/>
    <w:rsid w:val="00202748"/>
    <w:rsid w:val="00202AFB"/>
    <w:rsid w:val="00202DAA"/>
    <w:rsid w:val="00203750"/>
    <w:rsid w:val="002038A2"/>
    <w:rsid w:val="002038E3"/>
    <w:rsid w:val="00203B8E"/>
    <w:rsid w:val="00203C39"/>
    <w:rsid w:val="002050E7"/>
    <w:rsid w:val="00205B0E"/>
    <w:rsid w:val="00205C7C"/>
    <w:rsid w:val="00206217"/>
    <w:rsid w:val="00206404"/>
    <w:rsid w:val="002064A6"/>
    <w:rsid w:val="00206733"/>
    <w:rsid w:val="00206A14"/>
    <w:rsid w:val="00206AB0"/>
    <w:rsid w:val="00206BAB"/>
    <w:rsid w:val="00206D9D"/>
    <w:rsid w:val="00207B55"/>
    <w:rsid w:val="00207E15"/>
    <w:rsid w:val="0021038D"/>
    <w:rsid w:val="002104D1"/>
    <w:rsid w:val="00211095"/>
    <w:rsid w:val="00211485"/>
    <w:rsid w:val="002118B1"/>
    <w:rsid w:val="00212004"/>
    <w:rsid w:val="0021243A"/>
    <w:rsid w:val="002129E3"/>
    <w:rsid w:val="00212E49"/>
    <w:rsid w:val="00212E8D"/>
    <w:rsid w:val="00212EBE"/>
    <w:rsid w:val="00212F32"/>
    <w:rsid w:val="0021301A"/>
    <w:rsid w:val="002132AC"/>
    <w:rsid w:val="00213411"/>
    <w:rsid w:val="0021343C"/>
    <w:rsid w:val="00213C3C"/>
    <w:rsid w:val="002145BB"/>
    <w:rsid w:val="002145D4"/>
    <w:rsid w:val="00215567"/>
    <w:rsid w:val="00215578"/>
    <w:rsid w:val="00215A8F"/>
    <w:rsid w:val="00215C9D"/>
    <w:rsid w:val="00215C9E"/>
    <w:rsid w:val="002160BB"/>
    <w:rsid w:val="00216105"/>
    <w:rsid w:val="002164E3"/>
    <w:rsid w:val="0021670E"/>
    <w:rsid w:val="0021779E"/>
    <w:rsid w:val="00217995"/>
    <w:rsid w:val="0022091F"/>
    <w:rsid w:val="00220C1E"/>
    <w:rsid w:val="0022104D"/>
    <w:rsid w:val="00221790"/>
    <w:rsid w:val="002219B3"/>
    <w:rsid w:val="002219F1"/>
    <w:rsid w:val="00221E29"/>
    <w:rsid w:val="00221ED7"/>
    <w:rsid w:val="002226E2"/>
    <w:rsid w:val="00222DCE"/>
    <w:rsid w:val="00222EFB"/>
    <w:rsid w:val="002233D6"/>
    <w:rsid w:val="0022473D"/>
    <w:rsid w:val="00224C27"/>
    <w:rsid w:val="00224C2A"/>
    <w:rsid w:val="00225887"/>
    <w:rsid w:val="0022598A"/>
    <w:rsid w:val="00225D87"/>
    <w:rsid w:val="00225EF1"/>
    <w:rsid w:val="0022659D"/>
    <w:rsid w:val="00227D9D"/>
    <w:rsid w:val="0023015E"/>
    <w:rsid w:val="00230242"/>
    <w:rsid w:val="002304B8"/>
    <w:rsid w:val="0023094A"/>
    <w:rsid w:val="00231CB8"/>
    <w:rsid w:val="00231F87"/>
    <w:rsid w:val="002322DC"/>
    <w:rsid w:val="00232ABB"/>
    <w:rsid w:val="00232B29"/>
    <w:rsid w:val="00233B22"/>
    <w:rsid w:val="00233F5C"/>
    <w:rsid w:val="002342B2"/>
    <w:rsid w:val="002342DC"/>
    <w:rsid w:val="002345ED"/>
    <w:rsid w:val="00234646"/>
    <w:rsid w:val="0023489B"/>
    <w:rsid w:val="002348B6"/>
    <w:rsid w:val="00234C8F"/>
    <w:rsid w:val="00234E29"/>
    <w:rsid w:val="0023616F"/>
    <w:rsid w:val="002366FA"/>
    <w:rsid w:val="00236A0A"/>
    <w:rsid w:val="00236BAA"/>
    <w:rsid w:val="0023716D"/>
    <w:rsid w:val="0023759D"/>
    <w:rsid w:val="00237910"/>
    <w:rsid w:val="00237D77"/>
    <w:rsid w:val="002406E3"/>
    <w:rsid w:val="00240D2A"/>
    <w:rsid w:val="00240ED7"/>
    <w:rsid w:val="0024156A"/>
    <w:rsid w:val="00242124"/>
    <w:rsid w:val="002424A1"/>
    <w:rsid w:val="0024257F"/>
    <w:rsid w:val="00242830"/>
    <w:rsid w:val="00242B37"/>
    <w:rsid w:val="00242D1A"/>
    <w:rsid w:val="00242FB6"/>
    <w:rsid w:val="00243AD7"/>
    <w:rsid w:val="0024400F"/>
    <w:rsid w:val="00244019"/>
    <w:rsid w:val="00244A7F"/>
    <w:rsid w:val="00244CEE"/>
    <w:rsid w:val="00244E0A"/>
    <w:rsid w:val="0024509E"/>
    <w:rsid w:val="0024589A"/>
    <w:rsid w:val="002458B5"/>
    <w:rsid w:val="00245A03"/>
    <w:rsid w:val="00245A84"/>
    <w:rsid w:val="00245D79"/>
    <w:rsid w:val="00246329"/>
    <w:rsid w:val="00247052"/>
    <w:rsid w:val="002478E9"/>
    <w:rsid w:val="00247C16"/>
    <w:rsid w:val="00247E2A"/>
    <w:rsid w:val="00250143"/>
    <w:rsid w:val="002501AF"/>
    <w:rsid w:val="0025032A"/>
    <w:rsid w:val="002503BC"/>
    <w:rsid w:val="002503E4"/>
    <w:rsid w:val="00250478"/>
    <w:rsid w:val="00250884"/>
    <w:rsid w:val="00251321"/>
    <w:rsid w:val="002515D1"/>
    <w:rsid w:val="00251694"/>
    <w:rsid w:val="0025175B"/>
    <w:rsid w:val="00251A02"/>
    <w:rsid w:val="00251B53"/>
    <w:rsid w:val="00251BCC"/>
    <w:rsid w:val="00251D0D"/>
    <w:rsid w:val="00251D5F"/>
    <w:rsid w:val="002521E7"/>
    <w:rsid w:val="002526F2"/>
    <w:rsid w:val="00252EE4"/>
    <w:rsid w:val="00253494"/>
    <w:rsid w:val="00253789"/>
    <w:rsid w:val="00253952"/>
    <w:rsid w:val="002548CF"/>
    <w:rsid w:val="00254908"/>
    <w:rsid w:val="00254BAB"/>
    <w:rsid w:val="002556E1"/>
    <w:rsid w:val="002557E1"/>
    <w:rsid w:val="00255D6A"/>
    <w:rsid w:val="0025632A"/>
    <w:rsid w:val="0025642A"/>
    <w:rsid w:val="00257112"/>
    <w:rsid w:val="00257283"/>
    <w:rsid w:val="002601ED"/>
    <w:rsid w:val="0026038E"/>
    <w:rsid w:val="0026072B"/>
    <w:rsid w:val="00260757"/>
    <w:rsid w:val="00260A6F"/>
    <w:rsid w:val="00260D78"/>
    <w:rsid w:val="00260D7F"/>
    <w:rsid w:val="00261A0A"/>
    <w:rsid w:val="00261CE1"/>
    <w:rsid w:val="0026216D"/>
    <w:rsid w:val="00262989"/>
    <w:rsid w:val="0026302D"/>
    <w:rsid w:val="0026303F"/>
    <w:rsid w:val="00263712"/>
    <w:rsid w:val="00263F95"/>
    <w:rsid w:val="0026454A"/>
    <w:rsid w:val="002649FD"/>
    <w:rsid w:val="00264E77"/>
    <w:rsid w:val="00265158"/>
    <w:rsid w:val="002654A2"/>
    <w:rsid w:val="0026556A"/>
    <w:rsid w:val="002659F6"/>
    <w:rsid w:val="00265DEE"/>
    <w:rsid w:val="00266C92"/>
    <w:rsid w:val="00267072"/>
    <w:rsid w:val="00267133"/>
    <w:rsid w:val="00267261"/>
    <w:rsid w:val="00267340"/>
    <w:rsid w:val="002674BC"/>
    <w:rsid w:val="00267556"/>
    <w:rsid w:val="00267BC5"/>
    <w:rsid w:val="00267C8B"/>
    <w:rsid w:val="0027037E"/>
    <w:rsid w:val="002704D6"/>
    <w:rsid w:val="00270977"/>
    <w:rsid w:val="00270B17"/>
    <w:rsid w:val="00270B2C"/>
    <w:rsid w:val="00270C53"/>
    <w:rsid w:val="00270DDA"/>
    <w:rsid w:val="00270F03"/>
    <w:rsid w:val="00271284"/>
    <w:rsid w:val="0027184C"/>
    <w:rsid w:val="002718F9"/>
    <w:rsid w:val="002719DD"/>
    <w:rsid w:val="00271BB5"/>
    <w:rsid w:val="00271DC5"/>
    <w:rsid w:val="002721D9"/>
    <w:rsid w:val="00272560"/>
    <w:rsid w:val="00272813"/>
    <w:rsid w:val="00272832"/>
    <w:rsid w:val="00272D35"/>
    <w:rsid w:val="0027326B"/>
    <w:rsid w:val="00273679"/>
    <w:rsid w:val="00273937"/>
    <w:rsid w:val="00273E8E"/>
    <w:rsid w:val="002746B2"/>
    <w:rsid w:val="002749C7"/>
    <w:rsid w:val="00274BC6"/>
    <w:rsid w:val="00274D35"/>
    <w:rsid w:val="002751B5"/>
    <w:rsid w:val="00275761"/>
    <w:rsid w:val="00275AF3"/>
    <w:rsid w:val="00275C2B"/>
    <w:rsid w:val="00275E4B"/>
    <w:rsid w:val="00276372"/>
    <w:rsid w:val="00276628"/>
    <w:rsid w:val="0027688F"/>
    <w:rsid w:val="00277184"/>
    <w:rsid w:val="00277AC1"/>
    <w:rsid w:val="00280613"/>
    <w:rsid w:val="00280CF1"/>
    <w:rsid w:val="00281F62"/>
    <w:rsid w:val="002829A6"/>
    <w:rsid w:val="00282BF9"/>
    <w:rsid w:val="00282CDB"/>
    <w:rsid w:val="00282E7E"/>
    <w:rsid w:val="002830A4"/>
    <w:rsid w:val="00283437"/>
    <w:rsid w:val="002834C0"/>
    <w:rsid w:val="00283C57"/>
    <w:rsid w:val="00284709"/>
    <w:rsid w:val="00284B53"/>
    <w:rsid w:val="002858FE"/>
    <w:rsid w:val="00285C29"/>
    <w:rsid w:val="00285D8C"/>
    <w:rsid w:val="00286477"/>
    <w:rsid w:val="002868A4"/>
    <w:rsid w:val="00286990"/>
    <w:rsid w:val="002900E3"/>
    <w:rsid w:val="00290321"/>
    <w:rsid w:val="0029068C"/>
    <w:rsid w:val="002906A8"/>
    <w:rsid w:val="00290A81"/>
    <w:rsid w:val="00290FDA"/>
    <w:rsid w:val="002910E3"/>
    <w:rsid w:val="002910E8"/>
    <w:rsid w:val="00291645"/>
    <w:rsid w:val="0029188D"/>
    <w:rsid w:val="00291A9D"/>
    <w:rsid w:val="00291AE0"/>
    <w:rsid w:val="00291EDF"/>
    <w:rsid w:val="00292600"/>
    <w:rsid w:val="00292A04"/>
    <w:rsid w:val="00293265"/>
    <w:rsid w:val="0029339D"/>
    <w:rsid w:val="002933E6"/>
    <w:rsid w:val="002933E9"/>
    <w:rsid w:val="00293831"/>
    <w:rsid w:val="00293843"/>
    <w:rsid w:val="00293DDE"/>
    <w:rsid w:val="00293EDD"/>
    <w:rsid w:val="0029408F"/>
    <w:rsid w:val="0029459C"/>
    <w:rsid w:val="002949B6"/>
    <w:rsid w:val="00294D01"/>
    <w:rsid w:val="00294DF1"/>
    <w:rsid w:val="00295411"/>
    <w:rsid w:val="00295423"/>
    <w:rsid w:val="002957B1"/>
    <w:rsid w:val="002960AD"/>
    <w:rsid w:val="00296FD5"/>
    <w:rsid w:val="002976F2"/>
    <w:rsid w:val="002978D3"/>
    <w:rsid w:val="002979DC"/>
    <w:rsid w:val="002A0085"/>
    <w:rsid w:val="002A035C"/>
    <w:rsid w:val="002A091C"/>
    <w:rsid w:val="002A0A1A"/>
    <w:rsid w:val="002A0AAA"/>
    <w:rsid w:val="002A0B13"/>
    <w:rsid w:val="002A0F8C"/>
    <w:rsid w:val="002A14C6"/>
    <w:rsid w:val="002A1CB2"/>
    <w:rsid w:val="002A1EF0"/>
    <w:rsid w:val="002A1F5B"/>
    <w:rsid w:val="002A1FB8"/>
    <w:rsid w:val="002A292F"/>
    <w:rsid w:val="002A2C82"/>
    <w:rsid w:val="002A2E86"/>
    <w:rsid w:val="002A4259"/>
    <w:rsid w:val="002A4562"/>
    <w:rsid w:val="002A5684"/>
    <w:rsid w:val="002A5CAE"/>
    <w:rsid w:val="002A5EBD"/>
    <w:rsid w:val="002A5FC6"/>
    <w:rsid w:val="002A616F"/>
    <w:rsid w:val="002A6A83"/>
    <w:rsid w:val="002A6C5C"/>
    <w:rsid w:val="002A7932"/>
    <w:rsid w:val="002A7A7D"/>
    <w:rsid w:val="002A7A82"/>
    <w:rsid w:val="002A7D67"/>
    <w:rsid w:val="002B0575"/>
    <w:rsid w:val="002B0A4F"/>
    <w:rsid w:val="002B0E91"/>
    <w:rsid w:val="002B0F50"/>
    <w:rsid w:val="002B0F9B"/>
    <w:rsid w:val="002B10F3"/>
    <w:rsid w:val="002B1222"/>
    <w:rsid w:val="002B12D8"/>
    <w:rsid w:val="002B1805"/>
    <w:rsid w:val="002B2172"/>
    <w:rsid w:val="002B24CD"/>
    <w:rsid w:val="002B26B4"/>
    <w:rsid w:val="002B293D"/>
    <w:rsid w:val="002B2B32"/>
    <w:rsid w:val="002B2D35"/>
    <w:rsid w:val="002B2F0E"/>
    <w:rsid w:val="002B3641"/>
    <w:rsid w:val="002B3939"/>
    <w:rsid w:val="002B3A49"/>
    <w:rsid w:val="002B427F"/>
    <w:rsid w:val="002B4683"/>
    <w:rsid w:val="002B4C49"/>
    <w:rsid w:val="002B4C99"/>
    <w:rsid w:val="002B52FC"/>
    <w:rsid w:val="002B59A6"/>
    <w:rsid w:val="002B6C03"/>
    <w:rsid w:val="002B6EB4"/>
    <w:rsid w:val="002B6ECD"/>
    <w:rsid w:val="002B7196"/>
    <w:rsid w:val="002B75BE"/>
    <w:rsid w:val="002B77CE"/>
    <w:rsid w:val="002B7925"/>
    <w:rsid w:val="002B7B97"/>
    <w:rsid w:val="002C0554"/>
    <w:rsid w:val="002C0E03"/>
    <w:rsid w:val="002C1059"/>
    <w:rsid w:val="002C1670"/>
    <w:rsid w:val="002C23D4"/>
    <w:rsid w:val="002C2A44"/>
    <w:rsid w:val="002C3029"/>
    <w:rsid w:val="002C327E"/>
    <w:rsid w:val="002C328F"/>
    <w:rsid w:val="002C371B"/>
    <w:rsid w:val="002C4CD8"/>
    <w:rsid w:val="002C4CE8"/>
    <w:rsid w:val="002C5D78"/>
    <w:rsid w:val="002C66EB"/>
    <w:rsid w:val="002C66F3"/>
    <w:rsid w:val="002C720B"/>
    <w:rsid w:val="002C72CD"/>
    <w:rsid w:val="002C744D"/>
    <w:rsid w:val="002C7A6C"/>
    <w:rsid w:val="002D011A"/>
    <w:rsid w:val="002D1005"/>
    <w:rsid w:val="002D1015"/>
    <w:rsid w:val="002D14D9"/>
    <w:rsid w:val="002D14E2"/>
    <w:rsid w:val="002D18E3"/>
    <w:rsid w:val="002D1A52"/>
    <w:rsid w:val="002D1D01"/>
    <w:rsid w:val="002D2B4E"/>
    <w:rsid w:val="002D3358"/>
    <w:rsid w:val="002D3865"/>
    <w:rsid w:val="002D3931"/>
    <w:rsid w:val="002D3F52"/>
    <w:rsid w:val="002D47BB"/>
    <w:rsid w:val="002D52FC"/>
    <w:rsid w:val="002D57CE"/>
    <w:rsid w:val="002D5E21"/>
    <w:rsid w:val="002D5FD2"/>
    <w:rsid w:val="002D621D"/>
    <w:rsid w:val="002D6DD6"/>
    <w:rsid w:val="002D6EFC"/>
    <w:rsid w:val="002D7492"/>
    <w:rsid w:val="002D7D73"/>
    <w:rsid w:val="002E07D3"/>
    <w:rsid w:val="002E097A"/>
    <w:rsid w:val="002E0E66"/>
    <w:rsid w:val="002E1241"/>
    <w:rsid w:val="002E1895"/>
    <w:rsid w:val="002E342A"/>
    <w:rsid w:val="002E36B6"/>
    <w:rsid w:val="002E39D6"/>
    <w:rsid w:val="002E3A8B"/>
    <w:rsid w:val="002E3A96"/>
    <w:rsid w:val="002E4084"/>
    <w:rsid w:val="002E425E"/>
    <w:rsid w:val="002E4628"/>
    <w:rsid w:val="002E4692"/>
    <w:rsid w:val="002E4E4E"/>
    <w:rsid w:val="002E4FDD"/>
    <w:rsid w:val="002E5AE6"/>
    <w:rsid w:val="002E6207"/>
    <w:rsid w:val="002E65AE"/>
    <w:rsid w:val="002E6BD7"/>
    <w:rsid w:val="002E76F1"/>
    <w:rsid w:val="002E7ABC"/>
    <w:rsid w:val="002E7E91"/>
    <w:rsid w:val="002F0111"/>
    <w:rsid w:val="002F0351"/>
    <w:rsid w:val="002F068F"/>
    <w:rsid w:val="002F13BA"/>
    <w:rsid w:val="002F14A2"/>
    <w:rsid w:val="002F1C10"/>
    <w:rsid w:val="002F1DD6"/>
    <w:rsid w:val="002F1FD5"/>
    <w:rsid w:val="002F23E8"/>
    <w:rsid w:val="002F2552"/>
    <w:rsid w:val="002F2857"/>
    <w:rsid w:val="002F28EB"/>
    <w:rsid w:val="002F2A9F"/>
    <w:rsid w:val="002F306E"/>
    <w:rsid w:val="002F313D"/>
    <w:rsid w:val="002F3D90"/>
    <w:rsid w:val="002F41AD"/>
    <w:rsid w:val="002F44D9"/>
    <w:rsid w:val="002F4933"/>
    <w:rsid w:val="002F4BD6"/>
    <w:rsid w:val="002F4BEB"/>
    <w:rsid w:val="002F4FBA"/>
    <w:rsid w:val="002F4FFC"/>
    <w:rsid w:val="002F5307"/>
    <w:rsid w:val="002F5316"/>
    <w:rsid w:val="002F53E3"/>
    <w:rsid w:val="002F62AE"/>
    <w:rsid w:val="002F63E7"/>
    <w:rsid w:val="002F64F4"/>
    <w:rsid w:val="002F684E"/>
    <w:rsid w:val="002F6BDF"/>
    <w:rsid w:val="002F70BD"/>
    <w:rsid w:val="002F735A"/>
    <w:rsid w:val="002F778D"/>
    <w:rsid w:val="0030070A"/>
    <w:rsid w:val="00300741"/>
    <w:rsid w:val="00300C78"/>
    <w:rsid w:val="00300CA5"/>
    <w:rsid w:val="0030228C"/>
    <w:rsid w:val="00303966"/>
    <w:rsid w:val="00303A0A"/>
    <w:rsid w:val="00303CC2"/>
    <w:rsid w:val="003045F0"/>
    <w:rsid w:val="0030460A"/>
    <w:rsid w:val="00304908"/>
    <w:rsid w:val="00304F7D"/>
    <w:rsid w:val="003054BB"/>
    <w:rsid w:val="00305730"/>
    <w:rsid w:val="00305B64"/>
    <w:rsid w:val="003061D3"/>
    <w:rsid w:val="003065FA"/>
    <w:rsid w:val="00306631"/>
    <w:rsid w:val="00306ECD"/>
    <w:rsid w:val="00307299"/>
    <w:rsid w:val="003078FE"/>
    <w:rsid w:val="00307D43"/>
    <w:rsid w:val="0031081A"/>
    <w:rsid w:val="00310AA5"/>
    <w:rsid w:val="00310B4F"/>
    <w:rsid w:val="00310C3F"/>
    <w:rsid w:val="00310D3B"/>
    <w:rsid w:val="00310F87"/>
    <w:rsid w:val="003110D2"/>
    <w:rsid w:val="00311393"/>
    <w:rsid w:val="00311865"/>
    <w:rsid w:val="003122FB"/>
    <w:rsid w:val="00312383"/>
    <w:rsid w:val="0031243D"/>
    <w:rsid w:val="00312538"/>
    <w:rsid w:val="00312E17"/>
    <w:rsid w:val="00313042"/>
    <w:rsid w:val="00313793"/>
    <w:rsid w:val="00313947"/>
    <w:rsid w:val="00313AAA"/>
    <w:rsid w:val="003140B8"/>
    <w:rsid w:val="00314695"/>
    <w:rsid w:val="00315046"/>
    <w:rsid w:val="00315873"/>
    <w:rsid w:val="003159D2"/>
    <w:rsid w:val="00315D50"/>
    <w:rsid w:val="00315DCA"/>
    <w:rsid w:val="00316178"/>
    <w:rsid w:val="00316676"/>
    <w:rsid w:val="00316A24"/>
    <w:rsid w:val="003170BC"/>
    <w:rsid w:val="003178A9"/>
    <w:rsid w:val="00317EA2"/>
    <w:rsid w:val="00321169"/>
    <w:rsid w:val="003216D9"/>
    <w:rsid w:val="00321D55"/>
    <w:rsid w:val="00321D60"/>
    <w:rsid w:val="00322162"/>
    <w:rsid w:val="0032288A"/>
    <w:rsid w:val="003235DD"/>
    <w:rsid w:val="00323C2B"/>
    <w:rsid w:val="00323DAE"/>
    <w:rsid w:val="003248E0"/>
    <w:rsid w:val="00324992"/>
    <w:rsid w:val="00324A4C"/>
    <w:rsid w:val="00324F92"/>
    <w:rsid w:val="00325766"/>
    <w:rsid w:val="003260E8"/>
    <w:rsid w:val="003262AE"/>
    <w:rsid w:val="0032714E"/>
    <w:rsid w:val="00327710"/>
    <w:rsid w:val="00327841"/>
    <w:rsid w:val="00327B51"/>
    <w:rsid w:val="00330682"/>
    <w:rsid w:val="00330D4D"/>
    <w:rsid w:val="00330E30"/>
    <w:rsid w:val="00330FD1"/>
    <w:rsid w:val="00331F3F"/>
    <w:rsid w:val="00332695"/>
    <w:rsid w:val="003329BC"/>
    <w:rsid w:val="00332DA6"/>
    <w:rsid w:val="003335AE"/>
    <w:rsid w:val="00333AA2"/>
    <w:rsid w:val="00333C52"/>
    <w:rsid w:val="00333DD6"/>
    <w:rsid w:val="00334717"/>
    <w:rsid w:val="00334E25"/>
    <w:rsid w:val="00334F48"/>
    <w:rsid w:val="00334F5A"/>
    <w:rsid w:val="003354D9"/>
    <w:rsid w:val="0033566B"/>
    <w:rsid w:val="00336066"/>
    <w:rsid w:val="003368AF"/>
    <w:rsid w:val="00336D73"/>
    <w:rsid w:val="00336EF5"/>
    <w:rsid w:val="0033799F"/>
    <w:rsid w:val="00340003"/>
    <w:rsid w:val="00340075"/>
    <w:rsid w:val="00340F68"/>
    <w:rsid w:val="0034101D"/>
    <w:rsid w:val="00342290"/>
    <w:rsid w:val="0034289C"/>
    <w:rsid w:val="003429FD"/>
    <w:rsid w:val="00342D43"/>
    <w:rsid w:val="00342DAE"/>
    <w:rsid w:val="00342E00"/>
    <w:rsid w:val="0034327A"/>
    <w:rsid w:val="003436F0"/>
    <w:rsid w:val="00343816"/>
    <w:rsid w:val="00343C45"/>
    <w:rsid w:val="003448F2"/>
    <w:rsid w:val="00344E77"/>
    <w:rsid w:val="0034528F"/>
    <w:rsid w:val="003454D1"/>
    <w:rsid w:val="003458E3"/>
    <w:rsid w:val="00345970"/>
    <w:rsid w:val="003465D5"/>
    <w:rsid w:val="00346659"/>
    <w:rsid w:val="00346838"/>
    <w:rsid w:val="00346F42"/>
    <w:rsid w:val="00347416"/>
    <w:rsid w:val="003474AC"/>
    <w:rsid w:val="00347706"/>
    <w:rsid w:val="0035022E"/>
    <w:rsid w:val="003507B7"/>
    <w:rsid w:val="0035112A"/>
    <w:rsid w:val="0035121E"/>
    <w:rsid w:val="003517E3"/>
    <w:rsid w:val="0035183D"/>
    <w:rsid w:val="003518CB"/>
    <w:rsid w:val="00351DA0"/>
    <w:rsid w:val="00351E4B"/>
    <w:rsid w:val="003520C4"/>
    <w:rsid w:val="00352569"/>
    <w:rsid w:val="003526C5"/>
    <w:rsid w:val="0035381C"/>
    <w:rsid w:val="00353861"/>
    <w:rsid w:val="00353B45"/>
    <w:rsid w:val="00353CC1"/>
    <w:rsid w:val="00354125"/>
    <w:rsid w:val="0035418E"/>
    <w:rsid w:val="003549AA"/>
    <w:rsid w:val="00354B3A"/>
    <w:rsid w:val="00354ECB"/>
    <w:rsid w:val="00355348"/>
    <w:rsid w:val="003557F7"/>
    <w:rsid w:val="00355820"/>
    <w:rsid w:val="00355B28"/>
    <w:rsid w:val="003566A7"/>
    <w:rsid w:val="00356843"/>
    <w:rsid w:val="003603C7"/>
    <w:rsid w:val="0036055B"/>
    <w:rsid w:val="0036080D"/>
    <w:rsid w:val="00360E68"/>
    <w:rsid w:val="00361358"/>
    <w:rsid w:val="003616C8"/>
    <w:rsid w:val="00361F4C"/>
    <w:rsid w:val="00362602"/>
    <w:rsid w:val="00362B31"/>
    <w:rsid w:val="00362E41"/>
    <w:rsid w:val="00363CBA"/>
    <w:rsid w:val="003643FE"/>
    <w:rsid w:val="00364C4C"/>
    <w:rsid w:val="003654C5"/>
    <w:rsid w:val="00365923"/>
    <w:rsid w:val="00365CE4"/>
    <w:rsid w:val="0036605A"/>
    <w:rsid w:val="00366331"/>
    <w:rsid w:val="00366EA8"/>
    <w:rsid w:val="00367ABE"/>
    <w:rsid w:val="00367CB5"/>
    <w:rsid w:val="00367EE3"/>
    <w:rsid w:val="00370E8D"/>
    <w:rsid w:val="0037106E"/>
    <w:rsid w:val="0037265A"/>
    <w:rsid w:val="00372BBC"/>
    <w:rsid w:val="00372D57"/>
    <w:rsid w:val="003740AB"/>
    <w:rsid w:val="00374763"/>
    <w:rsid w:val="003758B2"/>
    <w:rsid w:val="00375B13"/>
    <w:rsid w:val="00377048"/>
    <w:rsid w:val="003771A3"/>
    <w:rsid w:val="00380787"/>
    <w:rsid w:val="0038089C"/>
    <w:rsid w:val="00380B71"/>
    <w:rsid w:val="0038180D"/>
    <w:rsid w:val="00381AF7"/>
    <w:rsid w:val="00381F1A"/>
    <w:rsid w:val="00382676"/>
    <w:rsid w:val="003829D7"/>
    <w:rsid w:val="00382FD7"/>
    <w:rsid w:val="00383150"/>
    <w:rsid w:val="00383B36"/>
    <w:rsid w:val="00383FD7"/>
    <w:rsid w:val="0038416F"/>
    <w:rsid w:val="00384A43"/>
    <w:rsid w:val="00384BD9"/>
    <w:rsid w:val="00384D85"/>
    <w:rsid w:val="00384EFF"/>
    <w:rsid w:val="00385523"/>
    <w:rsid w:val="003857FE"/>
    <w:rsid w:val="00385BD2"/>
    <w:rsid w:val="003869D7"/>
    <w:rsid w:val="00386CF5"/>
    <w:rsid w:val="00386DE9"/>
    <w:rsid w:val="0038742A"/>
    <w:rsid w:val="00387609"/>
    <w:rsid w:val="00387806"/>
    <w:rsid w:val="00387885"/>
    <w:rsid w:val="00390A95"/>
    <w:rsid w:val="003910CD"/>
    <w:rsid w:val="00391B0B"/>
    <w:rsid w:val="003922B1"/>
    <w:rsid w:val="00392425"/>
    <w:rsid w:val="00392475"/>
    <w:rsid w:val="003924DF"/>
    <w:rsid w:val="00392517"/>
    <w:rsid w:val="003928D8"/>
    <w:rsid w:val="00392D23"/>
    <w:rsid w:val="00392DDF"/>
    <w:rsid w:val="00392F0D"/>
    <w:rsid w:val="00392FAD"/>
    <w:rsid w:val="00393577"/>
    <w:rsid w:val="00393BB3"/>
    <w:rsid w:val="00393E4B"/>
    <w:rsid w:val="0039476E"/>
    <w:rsid w:val="003950D9"/>
    <w:rsid w:val="00395326"/>
    <w:rsid w:val="003953D3"/>
    <w:rsid w:val="003959B5"/>
    <w:rsid w:val="00396005"/>
    <w:rsid w:val="0039604B"/>
    <w:rsid w:val="00396227"/>
    <w:rsid w:val="00396814"/>
    <w:rsid w:val="00397361"/>
    <w:rsid w:val="003A0990"/>
    <w:rsid w:val="003A09C1"/>
    <w:rsid w:val="003A0A1C"/>
    <w:rsid w:val="003A0AAA"/>
    <w:rsid w:val="003A0B42"/>
    <w:rsid w:val="003A0F8A"/>
    <w:rsid w:val="003A170D"/>
    <w:rsid w:val="003A2157"/>
    <w:rsid w:val="003A2B44"/>
    <w:rsid w:val="003A38CC"/>
    <w:rsid w:val="003A3B94"/>
    <w:rsid w:val="003A43E1"/>
    <w:rsid w:val="003A594A"/>
    <w:rsid w:val="003A595F"/>
    <w:rsid w:val="003A597E"/>
    <w:rsid w:val="003A5DC5"/>
    <w:rsid w:val="003A6076"/>
    <w:rsid w:val="003A6BC8"/>
    <w:rsid w:val="003A77E5"/>
    <w:rsid w:val="003A7900"/>
    <w:rsid w:val="003A7D61"/>
    <w:rsid w:val="003A7D8B"/>
    <w:rsid w:val="003A7F2D"/>
    <w:rsid w:val="003B1541"/>
    <w:rsid w:val="003B1CB4"/>
    <w:rsid w:val="003B2518"/>
    <w:rsid w:val="003B2BF1"/>
    <w:rsid w:val="003B2F33"/>
    <w:rsid w:val="003B377B"/>
    <w:rsid w:val="003B395A"/>
    <w:rsid w:val="003B4E50"/>
    <w:rsid w:val="003B4F6B"/>
    <w:rsid w:val="003B55A4"/>
    <w:rsid w:val="003B587F"/>
    <w:rsid w:val="003B5F6B"/>
    <w:rsid w:val="003B737A"/>
    <w:rsid w:val="003B751C"/>
    <w:rsid w:val="003B75C6"/>
    <w:rsid w:val="003C042F"/>
    <w:rsid w:val="003C0A71"/>
    <w:rsid w:val="003C0AE1"/>
    <w:rsid w:val="003C0BAB"/>
    <w:rsid w:val="003C13C2"/>
    <w:rsid w:val="003C168C"/>
    <w:rsid w:val="003C1883"/>
    <w:rsid w:val="003C1E22"/>
    <w:rsid w:val="003C1F4C"/>
    <w:rsid w:val="003C2081"/>
    <w:rsid w:val="003C239D"/>
    <w:rsid w:val="003C2FD8"/>
    <w:rsid w:val="003C377B"/>
    <w:rsid w:val="003C3ABF"/>
    <w:rsid w:val="003C3C64"/>
    <w:rsid w:val="003C4166"/>
    <w:rsid w:val="003C5041"/>
    <w:rsid w:val="003C549A"/>
    <w:rsid w:val="003C5937"/>
    <w:rsid w:val="003C5E66"/>
    <w:rsid w:val="003C5F6F"/>
    <w:rsid w:val="003C6012"/>
    <w:rsid w:val="003C6043"/>
    <w:rsid w:val="003C631C"/>
    <w:rsid w:val="003C765B"/>
    <w:rsid w:val="003C7C2F"/>
    <w:rsid w:val="003D0383"/>
    <w:rsid w:val="003D04B0"/>
    <w:rsid w:val="003D097A"/>
    <w:rsid w:val="003D0A5E"/>
    <w:rsid w:val="003D0F52"/>
    <w:rsid w:val="003D15F8"/>
    <w:rsid w:val="003D1EAC"/>
    <w:rsid w:val="003D2011"/>
    <w:rsid w:val="003D20EC"/>
    <w:rsid w:val="003D2353"/>
    <w:rsid w:val="003D2664"/>
    <w:rsid w:val="003D2884"/>
    <w:rsid w:val="003D2B38"/>
    <w:rsid w:val="003D2B56"/>
    <w:rsid w:val="003D2DAC"/>
    <w:rsid w:val="003D2FAE"/>
    <w:rsid w:val="003D3839"/>
    <w:rsid w:val="003D3B38"/>
    <w:rsid w:val="003D3BB7"/>
    <w:rsid w:val="003D3C04"/>
    <w:rsid w:val="003D49CE"/>
    <w:rsid w:val="003D5595"/>
    <w:rsid w:val="003D56F5"/>
    <w:rsid w:val="003D5B4A"/>
    <w:rsid w:val="003D61A0"/>
    <w:rsid w:val="003D6AC9"/>
    <w:rsid w:val="003D6C80"/>
    <w:rsid w:val="003D7213"/>
    <w:rsid w:val="003D7B43"/>
    <w:rsid w:val="003E041C"/>
    <w:rsid w:val="003E0942"/>
    <w:rsid w:val="003E09CD"/>
    <w:rsid w:val="003E0B5F"/>
    <w:rsid w:val="003E119C"/>
    <w:rsid w:val="003E1511"/>
    <w:rsid w:val="003E174D"/>
    <w:rsid w:val="003E17F1"/>
    <w:rsid w:val="003E19A5"/>
    <w:rsid w:val="003E1F6F"/>
    <w:rsid w:val="003E20E5"/>
    <w:rsid w:val="003E2281"/>
    <w:rsid w:val="003E27A7"/>
    <w:rsid w:val="003E2B95"/>
    <w:rsid w:val="003E2C19"/>
    <w:rsid w:val="003E442C"/>
    <w:rsid w:val="003E4A58"/>
    <w:rsid w:val="003E4A9E"/>
    <w:rsid w:val="003E4DC9"/>
    <w:rsid w:val="003E58F8"/>
    <w:rsid w:val="003E5F4E"/>
    <w:rsid w:val="003E68D5"/>
    <w:rsid w:val="003E6DC7"/>
    <w:rsid w:val="003E7329"/>
    <w:rsid w:val="003E7E40"/>
    <w:rsid w:val="003E7FF8"/>
    <w:rsid w:val="003F0391"/>
    <w:rsid w:val="003F10CC"/>
    <w:rsid w:val="003F117E"/>
    <w:rsid w:val="003F1490"/>
    <w:rsid w:val="003F1A9A"/>
    <w:rsid w:val="003F1ADB"/>
    <w:rsid w:val="003F1D6B"/>
    <w:rsid w:val="003F2199"/>
    <w:rsid w:val="003F2896"/>
    <w:rsid w:val="003F2B6E"/>
    <w:rsid w:val="003F2DC4"/>
    <w:rsid w:val="003F2EC1"/>
    <w:rsid w:val="003F350B"/>
    <w:rsid w:val="003F3B37"/>
    <w:rsid w:val="003F3BF4"/>
    <w:rsid w:val="003F3D0E"/>
    <w:rsid w:val="003F3FEB"/>
    <w:rsid w:val="003F46D5"/>
    <w:rsid w:val="003F4B51"/>
    <w:rsid w:val="003F50BB"/>
    <w:rsid w:val="003F5663"/>
    <w:rsid w:val="003F56FD"/>
    <w:rsid w:val="003F6547"/>
    <w:rsid w:val="003F6A54"/>
    <w:rsid w:val="003F6BE1"/>
    <w:rsid w:val="003F732A"/>
    <w:rsid w:val="003F7364"/>
    <w:rsid w:val="003F7615"/>
    <w:rsid w:val="003F7803"/>
    <w:rsid w:val="004006D9"/>
    <w:rsid w:val="0040093F"/>
    <w:rsid w:val="00400D64"/>
    <w:rsid w:val="004010B7"/>
    <w:rsid w:val="00401A46"/>
    <w:rsid w:val="00401C4F"/>
    <w:rsid w:val="00401FE6"/>
    <w:rsid w:val="00402406"/>
    <w:rsid w:val="0040256B"/>
    <w:rsid w:val="004025D2"/>
    <w:rsid w:val="00402727"/>
    <w:rsid w:val="00402C7F"/>
    <w:rsid w:val="00402ECB"/>
    <w:rsid w:val="00402FBF"/>
    <w:rsid w:val="00403742"/>
    <w:rsid w:val="004038B9"/>
    <w:rsid w:val="00403F1E"/>
    <w:rsid w:val="0040459D"/>
    <w:rsid w:val="004048C2"/>
    <w:rsid w:val="00405232"/>
    <w:rsid w:val="004054FC"/>
    <w:rsid w:val="0040651E"/>
    <w:rsid w:val="004067A8"/>
    <w:rsid w:val="00407901"/>
    <w:rsid w:val="00407C08"/>
    <w:rsid w:val="0041024C"/>
    <w:rsid w:val="0041031C"/>
    <w:rsid w:val="00410A0C"/>
    <w:rsid w:val="00410C0F"/>
    <w:rsid w:val="00410E2D"/>
    <w:rsid w:val="004116F2"/>
    <w:rsid w:val="004117C4"/>
    <w:rsid w:val="004117E8"/>
    <w:rsid w:val="00411974"/>
    <w:rsid w:val="00412B76"/>
    <w:rsid w:val="00413261"/>
    <w:rsid w:val="004138F1"/>
    <w:rsid w:val="004155B1"/>
    <w:rsid w:val="004158F0"/>
    <w:rsid w:val="00416B92"/>
    <w:rsid w:val="00416C31"/>
    <w:rsid w:val="00416EFE"/>
    <w:rsid w:val="004170A3"/>
    <w:rsid w:val="00417EA0"/>
    <w:rsid w:val="0042093A"/>
    <w:rsid w:val="00420B33"/>
    <w:rsid w:val="00420BC0"/>
    <w:rsid w:val="00420E17"/>
    <w:rsid w:val="00420F67"/>
    <w:rsid w:val="0042115D"/>
    <w:rsid w:val="00421383"/>
    <w:rsid w:val="004213E1"/>
    <w:rsid w:val="00421660"/>
    <w:rsid w:val="00421EFD"/>
    <w:rsid w:val="0042258E"/>
    <w:rsid w:val="004228F4"/>
    <w:rsid w:val="00423131"/>
    <w:rsid w:val="0042354D"/>
    <w:rsid w:val="0042362E"/>
    <w:rsid w:val="004236E1"/>
    <w:rsid w:val="00424035"/>
    <w:rsid w:val="004241C4"/>
    <w:rsid w:val="00424BE7"/>
    <w:rsid w:val="00424C6E"/>
    <w:rsid w:val="00425BEC"/>
    <w:rsid w:val="00425D59"/>
    <w:rsid w:val="00425E8F"/>
    <w:rsid w:val="00426352"/>
    <w:rsid w:val="00426493"/>
    <w:rsid w:val="0042688C"/>
    <w:rsid w:val="00427739"/>
    <w:rsid w:val="00430616"/>
    <w:rsid w:val="00431933"/>
    <w:rsid w:val="004319C1"/>
    <w:rsid w:val="00431FCF"/>
    <w:rsid w:val="00432996"/>
    <w:rsid w:val="00433502"/>
    <w:rsid w:val="0043467C"/>
    <w:rsid w:val="004348EA"/>
    <w:rsid w:val="004349D3"/>
    <w:rsid w:val="00435049"/>
    <w:rsid w:val="004352E6"/>
    <w:rsid w:val="0043535F"/>
    <w:rsid w:val="00435386"/>
    <w:rsid w:val="0043541F"/>
    <w:rsid w:val="00435D0E"/>
    <w:rsid w:val="004360F9"/>
    <w:rsid w:val="0043619B"/>
    <w:rsid w:val="00436EF4"/>
    <w:rsid w:val="0043769A"/>
    <w:rsid w:val="00437A20"/>
    <w:rsid w:val="00437E0B"/>
    <w:rsid w:val="004400C5"/>
    <w:rsid w:val="00440211"/>
    <w:rsid w:val="00440988"/>
    <w:rsid w:val="00440F0D"/>
    <w:rsid w:val="0044108E"/>
    <w:rsid w:val="00441416"/>
    <w:rsid w:val="00441620"/>
    <w:rsid w:val="00441BA5"/>
    <w:rsid w:val="00442738"/>
    <w:rsid w:val="00442991"/>
    <w:rsid w:val="00442A7A"/>
    <w:rsid w:val="00442B41"/>
    <w:rsid w:val="00442C78"/>
    <w:rsid w:val="00442C7F"/>
    <w:rsid w:val="00443000"/>
    <w:rsid w:val="00443193"/>
    <w:rsid w:val="004437FC"/>
    <w:rsid w:val="004438EE"/>
    <w:rsid w:val="00443C43"/>
    <w:rsid w:val="00444009"/>
    <w:rsid w:val="00444100"/>
    <w:rsid w:val="00444DC6"/>
    <w:rsid w:val="00444EA0"/>
    <w:rsid w:val="004450A3"/>
    <w:rsid w:val="00445286"/>
    <w:rsid w:val="004452F6"/>
    <w:rsid w:val="00445468"/>
    <w:rsid w:val="00445483"/>
    <w:rsid w:val="00446AAE"/>
    <w:rsid w:val="00446D98"/>
    <w:rsid w:val="00447D50"/>
    <w:rsid w:val="00447E6B"/>
    <w:rsid w:val="00447E96"/>
    <w:rsid w:val="0045096D"/>
    <w:rsid w:val="00451004"/>
    <w:rsid w:val="00451109"/>
    <w:rsid w:val="00451AE8"/>
    <w:rsid w:val="00451EA1"/>
    <w:rsid w:val="00451F10"/>
    <w:rsid w:val="004523AC"/>
    <w:rsid w:val="00452625"/>
    <w:rsid w:val="004527F3"/>
    <w:rsid w:val="00452BE3"/>
    <w:rsid w:val="00452EEB"/>
    <w:rsid w:val="004538C8"/>
    <w:rsid w:val="00453C2E"/>
    <w:rsid w:val="00453F86"/>
    <w:rsid w:val="0045444A"/>
    <w:rsid w:val="004546CA"/>
    <w:rsid w:val="00454781"/>
    <w:rsid w:val="00454C88"/>
    <w:rsid w:val="00454D89"/>
    <w:rsid w:val="00455B74"/>
    <w:rsid w:val="004560FE"/>
    <w:rsid w:val="00456D09"/>
    <w:rsid w:val="0045726B"/>
    <w:rsid w:val="00457B56"/>
    <w:rsid w:val="00460AED"/>
    <w:rsid w:val="00461002"/>
    <w:rsid w:val="00461758"/>
    <w:rsid w:val="00461CC4"/>
    <w:rsid w:val="004623D7"/>
    <w:rsid w:val="004624CC"/>
    <w:rsid w:val="00462C57"/>
    <w:rsid w:val="00463740"/>
    <w:rsid w:val="004638A9"/>
    <w:rsid w:val="00463D08"/>
    <w:rsid w:val="00464426"/>
    <w:rsid w:val="00464674"/>
    <w:rsid w:val="004646EA"/>
    <w:rsid w:val="00464958"/>
    <w:rsid w:val="00464E61"/>
    <w:rsid w:val="0046589B"/>
    <w:rsid w:val="00465A2A"/>
    <w:rsid w:val="00465C8C"/>
    <w:rsid w:val="00465CED"/>
    <w:rsid w:val="00465D3E"/>
    <w:rsid w:val="004661BD"/>
    <w:rsid w:val="00466355"/>
    <w:rsid w:val="0046650E"/>
    <w:rsid w:val="00466FA8"/>
    <w:rsid w:val="004675D5"/>
    <w:rsid w:val="004702C6"/>
    <w:rsid w:val="00470637"/>
    <w:rsid w:val="004707D2"/>
    <w:rsid w:val="00470A54"/>
    <w:rsid w:val="00470A8A"/>
    <w:rsid w:val="00471018"/>
    <w:rsid w:val="0047126D"/>
    <w:rsid w:val="00471339"/>
    <w:rsid w:val="0047165C"/>
    <w:rsid w:val="00471766"/>
    <w:rsid w:val="00471B63"/>
    <w:rsid w:val="00472385"/>
    <w:rsid w:val="004725F7"/>
    <w:rsid w:val="00472873"/>
    <w:rsid w:val="004729A3"/>
    <w:rsid w:val="00472A06"/>
    <w:rsid w:val="004730DC"/>
    <w:rsid w:val="004739B0"/>
    <w:rsid w:val="00473A86"/>
    <w:rsid w:val="00473C0B"/>
    <w:rsid w:val="0047418D"/>
    <w:rsid w:val="00474514"/>
    <w:rsid w:val="00474E22"/>
    <w:rsid w:val="00474FD8"/>
    <w:rsid w:val="0047536D"/>
    <w:rsid w:val="0047542D"/>
    <w:rsid w:val="0047547A"/>
    <w:rsid w:val="004755C0"/>
    <w:rsid w:val="004757E2"/>
    <w:rsid w:val="00475C58"/>
    <w:rsid w:val="00475C7A"/>
    <w:rsid w:val="00476B33"/>
    <w:rsid w:val="00476C74"/>
    <w:rsid w:val="0047760A"/>
    <w:rsid w:val="00477829"/>
    <w:rsid w:val="00480050"/>
    <w:rsid w:val="0048063E"/>
    <w:rsid w:val="0048168E"/>
    <w:rsid w:val="00481B51"/>
    <w:rsid w:val="00481B94"/>
    <w:rsid w:val="00481DB5"/>
    <w:rsid w:val="004826E1"/>
    <w:rsid w:val="00482AA9"/>
    <w:rsid w:val="00482BB0"/>
    <w:rsid w:val="00482D81"/>
    <w:rsid w:val="004833B6"/>
    <w:rsid w:val="00483462"/>
    <w:rsid w:val="00483AA3"/>
    <w:rsid w:val="00483EB5"/>
    <w:rsid w:val="00484019"/>
    <w:rsid w:val="004845F1"/>
    <w:rsid w:val="00484A96"/>
    <w:rsid w:val="00484FF4"/>
    <w:rsid w:val="0048565C"/>
    <w:rsid w:val="004862FA"/>
    <w:rsid w:val="00486441"/>
    <w:rsid w:val="0048692E"/>
    <w:rsid w:val="00486BE8"/>
    <w:rsid w:val="0048735C"/>
    <w:rsid w:val="004878FF"/>
    <w:rsid w:val="00487E28"/>
    <w:rsid w:val="0049002C"/>
    <w:rsid w:val="004903BA"/>
    <w:rsid w:val="0049040B"/>
    <w:rsid w:val="00490540"/>
    <w:rsid w:val="00490832"/>
    <w:rsid w:val="004908E4"/>
    <w:rsid w:val="0049099B"/>
    <w:rsid w:val="00490C7B"/>
    <w:rsid w:val="00490CD6"/>
    <w:rsid w:val="0049128B"/>
    <w:rsid w:val="004914B2"/>
    <w:rsid w:val="00491998"/>
    <w:rsid w:val="00492038"/>
    <w:rsid w:val="00492563"/>
    <w:rsid w:val="004927EA"/>
    <w:rsid w:val="0049282C"/>
    <w:rsid w:val="004931C0"/>
    <w:rsid w:val="004938D2"/>
    <w:rsid w:val="00493B28"/>
    <w:rsid w:val="00493CE3"/>
    <w:rsid w:val="00493D82"/>
    <w:rsid w:val="00493E92"/>
    <w:rsid w:val="00494062"/>
    <w:rsid w:val="00494825"/>
    <w:rsid w:val="0049583F"/>
    <w:rsid w:val="00496537"/>
    <w:rsid w:val="0049672A"/>
    <w:rsid w:val="00496E02"/>
    <w:rsid w:val="00497540"/>
    <w:rsid w:val="00497678"/>
    <w:rsid w:val="0049774C"/>
    <w:rsid w:val="00497A03"/>
    <w:rsid w:val="00497F00"/>
    <w:rsid w:val="004A012E"/>
    <w:rsid w:val="004A0409"/>
    <w:rsid w:val="004A07A4"/>
    <w:rsid w:val="004A09A3"/>
    <w:rsid w:val="004A0A77"/>
    <w:rsid w:val="004A0A8F"/>
    <w:rsid w:val="004A1076"/>
    <w:rsid w:val="004A17FF"/>
    <w:rsid w:val="004A31C2"/>
    <w:rsid w:val="004A3DB1"/>
    <w:rsid w:val="004A3FE6"/>
    <w:rsid w:val="004A41E4"/>
    <w:rsid w:val="004A41F3"/>
    <w:rsid w:val="004A4CBA"/>
    <w:rsid w:val="004A51AF"/>
    <w:rsid w:val="004A59AC"/>
    <w:rsid w:val="004A59EE"/>
    <w:rsid w:val="004A5A68"/>
    <w:rsid w:val="004A62FE"/>
    <w:rsid w:val="004A648F"/>
    <w:rsid w:val="004A68F3"/>
    <w:rsid w:val="004A698E"/>
    <w:rsid w:val="004A7105"/>
    <w:rsid w:val="004A793E"/>
    <w:rsid w:val="004A7AB5"/>
    <w:rsid w:val="004B0394"/>
    <w:rsid w:val="004B0589"/>
    <w:rsid w:val="004B0D96"/>
    <w:rsid w:val="004B1032"/>
    <w:rsid w:val="004B14B7"/>
    <w:rsid w:val="004B17D5"/>
    <w:rsid w:val="004B1A59"/>
    <w:rsid w:val="004B1A99"/>
    <w:rsid w:val="004B1AF2"/>
    <w:rsid w:val="004B2EC1"/>
    <w:rsid w:val="004B2F7F"/>
    <w:rsid w:val="004B32F0"/>
    <w:rsid w:val="004B380C"/>
    <w:rsid w:val="004B3E2B"/>
    <w:rsid w:val="004B3EE3"/>
    <w:rsid w:val="004B4585"/>
    <w:rsid w:val="004B4660"/>
    <w:rsid w:val="004B4963"/>
    <w:rsid w:val="004B4B80"/>
    <w:rsid w:val="004B58AE"/>
    <w:rsid w:val="004B5D91"/>
    <w:rsid w:val="004B7288"/>
    <w:rsid w:val="004B7E43"/>
    <w:rsid w:val="004C046C"/>
    <w:rsid w:val="004C0BA3"/>
    <w:rsid w:val="004C120D"/>
    <w:rsid w:val="004C155A"/>
    <w:rsid w:val="004C1966"/>
    <w:rsid w:val="004C1E97"/>
    <w:rsid w:val="004C2264"/>
    <w:rsid w:val="004C2CCB"/>
    <w:rsid w:val="004C2E15"/>
    <w:rsid w:val="004C2F01"/>
    <w:rsid w:val="004C307C"/>
    <w:rsid w:val="004C3785"/>
    <w:rsid w:val="004C454F"/>
    <w:rsid w:val="004C4C09"/>
    <w:rsid w:val="004C4D38"/>
    <w:rsid w:val="004C53AA"/>
    <w:rsid w:val="004C5C39"/>
    <w:rsid w:val="004C5FDB"/>
    <w:rsid w:val="004C619A"/>
    <w:rsid w:val="004C619F"/>
    <w:rsid w:val="004C6357"/>
    <w:rsid w:val="004C687A"/>
    <w:rsid w:val="004C692B"/>
    <w:rsid w:val="004C69AA"/>
    <w:rsid w:val="004C6C7B"/>
    <w:rsid w:val="004C7749"/>
    <w:rsid w:val="004C7AB1"/>
    <w:rsid w:val="004D0D8B"/>
    <w:rsid w:val="004D1075"/>
    <w:rsid w:val="004D1A85"/>
    <w:rsid w:val="004D2AB4"/>
    <w:rsid w:val="004D2B6F"/>
    <w:rsid w:val="004D35C5"/>
    <w:rsid w:val="004D3621"/>
    <w:rsid w:val="004D3CB9"/>
    <w:rsid w:val="004D3EF0"/>
    <w:rsid w:val="004D4029"/>
    <w:rsid w:val="004D4233"/>
    <w:rsid w:val="004D43A2"/>
    <w:rsid w:val="004D4644"/>
    <w:rsid w:val="004D4703"/>
    <w:rsid w:val="004D47D2"/>
    <w:rsid w:val="004D4B44"/>
    <w:rsid w:val="004D51C3"/>
    <w:rsid w:val="004D56FE"/>
    <w:rsid w:val="004D5EA4"/>
    <w:rsid w:val="004D5EC8"/>
    <w:rsid w:val="004D5F2C"/>
    <w:rsid w:val="004D62B9"/>
    <w:rsid w:val="004D6A33"/>
    <w:rsid w:val="004D6BC2"/>
    <w:rsid w:val="004D74D4"/>
    <w:rsid w:val="004D7629"/>
    <w:rsid w:val="004D774B"/>
    <w:rsid w:val="004D7763"/>
    <w:rsid w:val="004D7A86"/>
    <w:rsid w:val="004E00FB"/>
    <w:rsid w:val="004E029E"/>
    <w:rsid w:val="004E0346"/>
    <w:rsid w:val="004E0DBD"/>
    <w:rsid w:val="004E10FA"/>
    <w:rsid w:val="004E134E"/>
    <w:rsid w:val="004E1DB5"/>
    <w:rsid w:val="004E2006"/>
    <w:rsid w:val="004E2106"/>
    <w:rsid w:val="004E24C2"/>
    <w:rsid w:val="004E27D9"/>
    <w:rsid w:val="004E2D90"/>
    <w:rsid w:val="004E355C"/>
    <w:rsid w:val="004E3613"/>
    <w:rsid w:val="004E3C8D"/>
    <w:rsid w:val="004E4712"/>
    <w:rsid w:val="004E4E6B"/>
    <w:rsid w:val="004E57AD"/>
    <w:rsid w:val="004E610A"/>
    <w:rsid w:val="004E6706"/>
    <w:rsid w:val="004E6B84"/>
    <w:rsid w:val="004E6C59"/>
    <w:rsid w:val="004E6E0A"/>
    <w:rsid w:val="004F0D88"/>
    <w:rsid w:val="004F0FA1"/>
    <w:rsid w:val="004F1D92"/>
    <w:rsid w:val="004F2233"/>
    <w:rsid w:val="004F2287"/>
    <w:rsid w:val="004F274E"/>
    <w:rsid w:val="004F3238"/>
    <w:rsid w:val="004F373B"/>
    <w:rsid w:val="004F3B6A"/>
    <w:rsid w:val="004F3F30"/>
    <w:rsid w:val="004F446D"/>
    <w:rsid w:val="004F4551"/>
    <w:rsid w:val="004F4AAC"/>
    <w:rsid w:val="004F59B6"/>
    <w:rsid w:val="004F5A27"/>
    <w:rsid w:val="004F5E7F"/>
    <w:rsid w:val="004F6AF4"/>
    <w:rsid w:val="004F6EB4"/>
    <w:rsid w:val="004F717D"/>
    <w:rsid w:val="004F720F"/>
    <w:rsid w:val="004F721F"/>
    <w:rsid w:val="004F7321"/>
    <w:rsid w:val="004F74CB"/>
    <w:rsid w:val="004F75FC"/>
    <w:rsid w:val="004F76EB"/>
    <w:rsid w:val="004F78B5"/>
    <w:rsid w:val="00500197"/>
    <w:rsid w:val="00500747"/>
    <w:rsid w:val="00500932"/>
    <w:rsid w:val="00500D9A"/>
    <w:rsid w:val="00500DA1"/>
    <w:rsid w:val="0050130C"/>
    <w:rsid w:val="0050143B"/>
    <w:rsid w:val="00502077"/>
    <w:rsid w:val="005022F1"/>
    <w:rsid w:val="00502E01"/>
    <w:rsid w:val="005031CA"/>
    <w:rsid w:val="005032C1"/>
    <w:rsid w:val="00503306"/>
    <w:rsid w:val="005033E9"/>
    <w:rsid w:val="0050368D"/>
    <w:rsid w:val="0050395B"/>
    <w:rsid w:val="00503D23"/>
    <w:rsid w:val="00503DA3"/>
    <w:rsid w:val="0050407A"/>
    <w:rsid w:val="00504263"/>
    <w:rsid w:val="00504608"/>
    <w:rsid w:val="00504D35"/>
    <w:rsid w:val="005058BC"/>
    <w:rsid w:val="00505C9A"/>
    <w:rsid w:val="00505DE9"/>
    <w:rsid w:val="005065DA"/>
    <w:rsid w:val="00507180"/>
    <w:rsid w:val="005071E7"/>
    <w:rsid w:val="005074A9"/>
    <w:rsid w:val="005075A6"/>
    <w:rsid w:val="0050764E"/>
    <w:rsid w:val="00507B37"/>
    <w:rsid w:val="00510102"/>
    <w:rsid w:val="005104BA"/>
    <w:rsid w:val="005107F4"/>
    <w:rsid w:val="00510BEA"/>
    <w:rsid w:val="00510D10"/>
    <w:rsid w:val="0051208C"/>
    <w:rsid w:val="00512B4A"/>
    <w:rsid w:val="00512B91"/>
    <w:rsid w:val="005135AD"/>
    <w:rsid w:val="00513A00"/>
    <w:rsid w:val="00513C06"/>
    <w:rsid w:val="00514039"/>
    <w:rsid w:val="005142C9"/>
    <w:rsid w:val="00514989"/>
    <w:rsid w:val="005151C7"/>
    <w:rsid w:val="005153C3"/>
    <w:rsid w:val="005153F6"/>
    <w:rsid w:val="0051571F"/>
    <w:rsid w:val="00515DCD"/>
    <w:rsid w:val="00515FA6"/>
    <w:rsid w:val="005162BB"/>
    <w:rsid w:val="00516C2F"/>
    <w:rsid w:val="00516D05"/>
    <w:rsid w:val="00516DFF"/>
    <w:rsid w:val="00517257"/>
    <w:rsid w:val="00517297"/>
    <w:rsid w:val="00517973"/>
    <w:rsid w:val="00517A98"/>
    <w:rsid w:val="005200D1"/>
    <w:rsid w:val="00520D97"/>
    <w:rsid w:val="00520E09"/>
    <w:rsid w:val="00520F99"/>
    <w:rsid w:val="00521387"/>
    <w:rsid w:val="00521891"/>
    <w:rsid w:val="005218AD"/>
    <w:rsid w:val="005222E2"/>
    <w:rsid w:val="005225B5"/>
    <w:rsid w:val="00522B27"/>
    <w:rsid w:val="00522CC5"/>
    <w:rsid w:val="00522F88"/>
    <w:rsid w:val="005237CC"/>
    <w:rsid w:val="00523973"/>
    <w:rsid w:val="00523D5E"/>
    <w:rsid w:val="005242E7"/>
    <w:rsid w:val="005243CE"/>
    <w:rsid w:val="00525718"/>
    <w:rsid w:val="005259E7"/>
    <w:rsid w:val="00525BEF"/>
    <w:rsid w:val="00525E7C"/>
    <w:rsid w:val="005261A9"/>
    <w:rsid w:val="005262F6"/>
    <w:rsid w:val="0052646C"/>
    <w:rsid w:val="00526655"/>
    <w:rsid w:val="00526730"/>
    <w:rsid w:val="00526AD2"/>
    <w:rsid w:val="00526ECC"/>
    <w:rsid w:val="0052723B"/>
    <w:rsid w:val="00527513"/>
    <w:rsid w:val="00530259"/>
    <w:rsid w:val="00530776"/>
    <w:rsid w:val="0053117D"/>
    <w:rsid w:val="0053159E"/>
    <w:rsid w:val="00531798"/>
    <w:rsid w:val="00531AB8"/>
    <w:rsid w:val="0053224C"/>
    <w:rsid w:val="005338BC"/>
    <w:rsid w:val="00533A72"/>
    <w:rsid w:val="00535369"/>
    <w:rsid w:val="00536219"/>
    <w:rsid w:val="0053687E"/>
    <w:rsid w:val="00536B8B"/>
    <w:rsid w:val="00536CD8"/>
    <w:rsid w:val="0053717A"/>
    <w:rsid w:val="005371ED"/>
    <w:rsid w:val="00537395"/>
    <w:rsid w:val="00537893"/>
    <w:rsid w:val="00537938"/>
    <w:rsid w:val="00540058"/>
    <w:rsid w:val="005400AC"/>
    <w:rsid w:val="00540622"/>
    <w:rsid w:val="00541068"/>
    <w:rsid w:val="00541C4C"/>
    <w:rsid w:val="00541CA7"/>
    <w:rsid w:val="005423D9"/>
    <w:rsid w:val="005423ED"/>
    <w:rsid w:val="00542423"/>
    <w:rsid w:val="0054274E"/>
    <w:rsid w:val="00542F78"/>
    <w:rsid w:val="00544C24"/>
    <w:rsid w:val="00544FF2"/>
    <w:rsid w:val="0054520C"/>
    <w:rsid w:val="00545716"/>
    <w:rsid w:val="00545843"/>
    <w:rsid w:val="00545D5F"/>
    <w:rsid w:val="00545FAC"/>
    <w:rsid w:val="00545FF0"/>
    <w:rsid w:val="00546E99"/>
    <w:rsid w:val="00546EAF"/>
    <w:rsid w:val="005473B0"/>
    <w:rsid w:val="00547C2D"/>
    <w:rsid w:val="00550237"/>
    <w:rsid w:val="005507F9"/>
    <w:rsid w:val="00550F55"/>
    <w:rsid w:val="00550FD6"/>
    <w:rsid w:val="00551E3D"/>
    <w:rsid w:val="00552498"/>
    <w:rsid w:val="005528CB"/>
    <w:rsid w:val="00552E21"/>
    <w:rsid w:val="00553108"/>
    <w:rsid w:val="005532CB"/>
    <w:rsid w:val="005536BC"/>
    <w:rsid w:val="005536C5"/>
    <w:rsid w:val="0055472F"/>
    <w:rsid w:val="00554B80"/>
    <w:rsid w:val="00554D3E"/>
    <w:rsid w:val="005555B4"/>
    <w:rsid w:val="005556A3"/>
    <w:rsid w:val="0055576C"/>
    <w:rsid w:val="00555893"/>
    <w:rsid w:val="00555DE6"/>
    <w:rsid w:val="00556008"/>
    <w:rsid w:val="005561D8"/>
    <w:rsid w:val="00556204"/>
    <w:rsid w:val="00556EBA"/>
    <w:rsid w:val="00557009"/>
    <w:rsid w:val="00557662"/>
    <w:rsid w:val="00557791"/>
    <w:rsid w:val="0055796C"/>
    <w:rsid w:val="005579F1"/>
    <w:rsid w:val="00557DE7"/>
    <w:rsid w:val="0056028D"/>
    <w:rsid w:val="00560D35"/>
    <w:rsid w:val="005610D5"/>
    <w:rsid w:val="00561211"/>
    <w:rsid w:val="005615DC"/>
    <w:rsid w:val="005618FE"/>
    <w:rsid w:val="00561C16"/>
    <w:rsid w:val="00562F0C"/>
    <w:rsid w:val="005635CE"/>
    <w:rsid w:val="00563AFE"/>
    <w:rsid w:val="00563CEE"/>
    <w:rsid w:val="00563F7D"/>
    <w:rsid w:val="00564200"/>
    <w:rsid w:val="00564A08"/>
    <w:rsid w:val="00565B74"/>
    <w:rsid w:val="00565F7B"/>
    <w:rsid w:val="0056614F"/>
    <w:rsid w:val="00566290"/>
    <w:rsid w:val="005667E7"/>
    <w:rsid w:val="00566975"/>
    <w:rsid w:val="005675C6"/>
    <w:rsid w:val="00567B46"/>
    <w:rsid w:val="00570CFC"/>
    <w:rsid w:val="0057238F"/>
    <w:rsid w:val="00572728"/>
    <w:rsid w:val="0057281D"/>
    <w:rsid w:val="00573026"/>
    <w:rsid w:val="00573133"/>
    <w:rsid w:val="005732C3"/>
    <w:rsid w:val="00573388"/>
    <w:rsid w:val="00573477"/>
    <w:rsid w:val="00573EB4"/>
    <w:rsid w:val="00575089"/>
    <w:rsid w:val="005753BE"/>
    <w:rsid w:val="0057542D"/>
    <w:rsid w:val="00575751"/>
    <w:rsid w:val="00575832"/>
    <w:rsid w:val="0057615B"/>
    <w:rsid w:val="005768A0"/>
    <w:rsid w:val="00577A59"/>
    <w:rsid w:val="00577CC5"/>
    <w:rsid w:val="005801DC"/>
    <w:rsid w:val="0058038A"/>
    <w:rsid w:val="005807D9"/>
    <w:rsid w:val="00580D0E"/>
    <w:rsid w:val="00580FE5"/>
    <w:rsid w:val="00581723"/>
    <w:rsid w:val="005818C1"/>
    <w:rsid w:val="00581A19"/>
    <w:rsid w:val="00581ECD"/>
    <w:rsid w:val="0058220C"/>
    <w:rsid w:val="0058268D"/>
    <w:rsid w:val="00582AF8"/>
    <w:rsid w:val="00582FC2"/>
    <w:rsid w:val="005831F8"/>
    <w:rsid w:val="0058369D"/>
    <w:rsid w:val="0058377F"/>
    <w:rsid w:val="00584D2F"/>
    <w:rsid w:val="00584EC5"/>
    <w:rsid w:val="0058524F"/>
    <w:rsid w:val="00585830"/>
    <w:rsid w:val="00586B02"/>
    <w:rsid w:val="00586C82"/>
    <w:rsid w:val="00586E1B"/>
    <w:rsid w:val="00586ECF"/>
    <w:rsid w:val="005872E0"/>
    <w:rsid w:val="00587914"/>
    <w:rsid w:val="00587DE2"/>
    <w:rsid w:val="00587EC5"/>
    <w:rsid w:val="005902F4"/>
    <w:rsid w:val="00591114"/>
    <w:rsid w:val="00591979"/>
    <w:rsid w:val="00591DFB"/>
    <w:rsid w:val="00591EB5"/>
    <w:rsid w:val="005921A1"/>
    <w:rsid w:val="005946B8"/>
    <w:rsid w:val="0059472D"/>
    <w:rsid w:val="0059483F"/>
    <w:rsid w:val="005949B9"/>
    <w:rsid w:val="00595124"/>
    <w:rsid w:val="00595F84"/>
    <w:rsid w:val="005964DA"/>
    <w:rsid w:val="005965DF"/>
    <w:rsid w:val="005966E2"/>
    <w:rsid w:val="00596BEB"/>
    <w:rsid w:val="00596E85"/>
    <w:rsid w:val="0059741C"/>
    <w:rsid w:val="00597DDC"/>
    <w:rsid w:val="00597EE3"/>
    <w:rsid w:val="00597FD2"/>
    <w:rsid w:val="005A0827"/>
    <w:rsid w:val="005A090E"/>
    <w:rsid w:val="005A120F"/>
    <w:rsid w:val="005A1419"/>
    <w:rsid w:val="005A1687"/>
    <w:rsid w:val="005A17D9"/>
    <w:rsid w:val="005A1A54"/>
    <w:rsid w:val="005A1B41"/>
    <w:rsid w:val="005A1B6F"/>
    <w:rsid w:val="005A1C99"/>
    <w:rsid w:val="005A1D66"/>
    <w:rsid w:val="005A248F"/>
    <w:rsid w:val="005A27AD"/>
    <w:rsid w:val="005A31A5"/>
    <w:rsid w:val="005A321E"/>
    <w:rsid w:val="005A322B"/>
    <w:rsid w:val="005A3270"/>
    <w:rsid w:val="005A3D5D"/>
    <w:rsid w:val="005A44BA"/>
    <w:rsid w:val="005A4787"/>
    <w:rsid w:val="005A4D04"/>
    <w:rsid w:val="005A4D98"/>
    <w:rsid w:val="005A503E"/>
    <w:rsid w:val="005A50B7"/>
    <w:rsid w:val="005A5277"/>
    <w:rsid w:val="005A550A"/>
    <w:rsid w:val="005A551F"/>
    <w:rsid w:val="005A5719"/>
    <w:rsid w:val="005A5BA3"/>
    <w:rsid w:val="005A5CC1"/>
    <w:rsid w:val="005A6E38"/>
    <w:rsid w:val="005A6F0A"/>
    <w:rsid w:val="005A70B2"/>
    <w:rsid w:val="005A72A9"/>
    <w:rsid w:val="005A7348"/>
    <w:rsid w:val="005A7724"/>
    <w:rsid w:val="005B099E"/>
    <w:rsid w:val="005B0DC0"/>
    <w:rsid w:val="005B12B1"/>
    <w:rsid w:val="005B1431"/>
    <w:rsid w:val="005B209E"/>
    <w:rsid w:val="005B2398"/>
    <w:rsid w:val="005B23F1"/>
    <w:rsid w:val="005B240F"/>
    <w:rsid w:val="005B242A"/>
    <w:rsid w:val="005B2603"/>
    <w:rsid w:val="005B2772"/>
    <w:rsid w:val="005B287A"/>
    <w:rsid w:val="005B295F"/>
    <w:rsid w:val="005B30A7"/>
    <w:rsid w:val="005B3188"/>
    <w:rsid w:val="005B363F"/>
    <w:rsid w:val="005B3791"/>
    <w:rsid w:val="005B3B1D"/>
    <w:rsid w:val="005B3CF4"/>
    <w:rsid w:val="005B442F"/>
    <w:rsid w:val="005B5083"/>
    <w:rsid w:val="005B51EA"/>
    <w:rsid w:val="005B5715"/>
    <w:rsid w:val="005B775E"/>
    <w:rsid w:val="005B7D11"/>
    <w:rsid w:val="005C0457"/>
    <w:rsid w:val="005C0527"/>
    <w:rsid w:val="005C09F7"/>
    <w:rsid w:val="005C0F0B"/>
    <w:rsid w:val="005C0F13"/>
    <w:rsid w:val="005C184E"/>
    <w:rsid w:val="005C1A76"/>
    <w:rsid w:val="005C1BE7"/>
    <w:rsid w:val="005C1DD2"/>
    <w:rsid w:val="005C2176"/>
    <w:rsid w:val="005C25AA"/>
    <w:rsid w:val="005C2742"/>
    <w:rsid w:val="005C2810"/>
    <w:rsid w:val="005C3088"/>
    <w:rsid w:val="005C31E2"/>
    <w:rsid w:val="005C3752"/>
    <w:rsid w:val="005C38C3"/>
    <w:rsid w:val="005C40B2"/>
    <w:rsid w:val="005C475A"/>
    <w:rsid w:val="005C4A5C"/>
    <w:rsid w:val="005C4ECC"/>
    <w:rsid w:val="005C4F83"/>
    <w:rsid w:val="005C5A41"/>
    <w:rsid w:val="005C5BD7"/>
    <w:rsid w:val="005C5E2F"/>
    <w:rsid w:val="005C6228"/>
    <w:rsid w:val="005C679D"/>
    <w:rsid w:val="005C6A8C"/>
    <w:rsid w:val="005C6E3E"/>
    <w:rsid w:val="005C7236"/>
    <w:rsid w:val="005C7342"/>
    <w:rsid w:val="005C74C8"/>
    <w:rsid w:val="005C7EBD"/>
    <w:rsid w:val="005D061D"/>
    <w:rsid w:val="005D0EE3"/>
    <w:rsid w:val="005D0F43"/>
    <w:rsid w:val="005D1377"/>
    <w:rsid w:val="005D1626"/>
    <w:rsid w:val="005D2775"/>
    <w:rsid w:val="005D2BF0"/>
    <w:rsid w:val="005D64CF"/>
    <w:rsid w:val="005D70CC"/>
    <w:rsid w:val="005D71A2"/>
    <w:rsid w:val="005D7550"/>
    <w:rsid w:val="005D7703"/>
    <w:rsid w:val="005D7B0C"/>
    <w:rsid w:val="005E0383"/>
    <w:rsid w:val="005E03F6"/>
    <w:rsid w:val="005E0BC3"/>
    <w:rsid w:val="005E136C"/>
    <w:rsid w:val="005E17FA"/>
    <w:rsid w:val="005E1AD8"/>
    <w:rsid w:val="005E1D50"/>
    <w:rsid w:val="005E20A5"/>
    <w:rsid w:val="005E2411"/>
    <w:rsid w:val="005E254E"/>
    <w:rsid w:val="005E2FC7"/>
    <w:rsid w:val="005E3434"/>
    <w:rsid w:val="005E34D5"/>
    <w:rsid w:val="005E390B"/>
    <w:rsid w:val="005E390E"/>
    <w:rsid w:val="005E411D"/>
    <w:rsid w:val="005E4267"/>
    <w:rsid w:val="005E4460"/>
    <w:rsid w:val="005E4A1E"/>
    <w:rsid w:val="005E61BD"/>
    <w:rsid w:val="005E66DA"/>
    <w:rsid w:val="005E6CB3"/>
    <w:rsid w:val="005E77B5"/>
    <w:rsid w:val="005E792D"/>
    <w:rsid w:val="005E7BD9"/>
    <w:rsid w:val="005E7D01"/>
    <w:rsid w:val="005F06B7"/>
    <w:rsid w:val="005F0B7F"/>
    <w:rsid w:val="005F0C94"/>
    <w:rsid w:val="005F1626"/>
    <w:rsid w:val="005F17B1"/>
    <w:rsid w:val="005F2262"/>
    <w:rsid w:val="005F2630"/>
    <w:rsid w:val="005F265E"/>
    <w:rsid w:val="005F2662"/>
    <w:rsid w:val="005F2D7D"/>
    <w:rsid w:val="005F2DE7"/>
    <w:rsid w:val="005F33EE"/>
    <w:rsid w:val="005F4302"/>
    <w:rsid w:val="005F439C"/>
    <w:rsid w:val="005F45AF"/>
    <w:rsid w:val="005F4624"/>
    <w:rsid w:val="005F47AF"/>
    <w:rsid w:val="005F4900"/>
    <w:rsid w:val="005F4EB2"/>
    <w:rsid w:val="005F5015"/>
    <w:rsid w:val="005F5470"/>
    <w:rsid w:val="005F594B"/>
    <w:rsid w:val="005F5956"/>
    <w:rsid w:val="005F6693"/>
    <w:rsid w:val="005F6DEF"/>
    <w:rsid w:val="005F7115"/>
    <w:rsid w:val="005F779F"/>
    <w:rsid w:val="006000B8"/>
    <w:rsid w:val="00600192"/>
    <w:rsid w:val="0060031B"/>
    <w:rsid w:val="00600822"/>
    <w:rsid w:val="006009FF"/>
    <w:rsid w:val="00600BCE"/>
    <w:rsid w:val="00600F5F"/>
    <w:rsid w:val="006013D6"/>
    <w:rsid w:val="006014BF"/>
    <w:rsid w:val="00601C21"/>
    <w:rsid w:val="006020AE"/>
    <w:rsid w:val="006029BE"/>
    <w:rsid w:val="00602B34"/>
    <w:rsid w:val="00603249"/>
    <w:rsid w:val="00603B53"/>
    <w:rsid w:val="00604093"/>
    <w:rsid w:val="00604230"/>
    <w:rsid w:val="006048E5"/>
    <w:rsid w:val="006048F8"/>
    <w:rsid w:val="00604B75"/>
    <w:rsid w:val="00604CAF"/>
    <w:rsid w:val="00604E52"/>
    <w:rsid w:val="00604E5B"/>
    <w:rsid w:val="0060538A"/>
    <w:rsid w:val="00605CB2"/>
    <w:rsid w:val="00605D19"/>
    <w:rsid w:val="00605F2A"/>
    <w:rsid w:val="00606308"/>
    <w:rsid w:val="0060657C"/>
    <w:rsid w:val="00606AB8"/>
    <w:rsid w:val="00606C96"/>
    <w:rsid w:val="00606CEF"/>
    <w:rsid w:val="006107F7"/>
    <w:rsid w:val="006109BE"/>
    <w:rsid w:val="00610A07"/>
    <w:rsid w:val="00611665"/>
    <w:rsid w:val="006116AC"/>
    <w:rsid w:val="00611A61"/>
    <w:rsid w:val="00611F2D"/>
    <w:rsid w:val="0061259A"/>
    <w:rsid w:val="0061272A"/>
    <w:rsid w:val="00612921"/>
    <w:rsid w:val="00612F60"/>
    <w:rsid w:val="0061320E"/>
    <w:rsid w:val="00613462"/>
    <w:rsid w:val="0061361C"/>
    <w:rsid w:val="00614469"/>
    <w:rsid w:val="00614A74"/>
    <w:rsid w:val="00615940"/>
    <w:rsid w:val="00615BBC"/>
    <w:rsid w:val="00615C27"/>
    <w:rsid w:val="00615CE3"/>
    <w:rsid w:val="00616499"/>
    <w:rsid w:val="00616523"/>
    <w:rsid w:val="00616B4F"/>
    <w:rsid w:val="00617216"/>
    <w:rsid w:val="006175AF"/>
    <w:rsid w:val="0061786D"/>
    <w:rsid w:val="0062010E"/>
    <w:rsid w:val="00620804"/>
    <w:rsid w:val="00620AF6"/>
    <w:rsid w:val="00620E0F"/>
    <w:rsid w:val="006213D1"/>
    <w:rsid w:val="00621442"/>
    <w:rsid w:val="00621B15"/>
    <w:rsid w:val="00622037"/>
    <w:rsid w:val="006225AC"/>
    <w:rsid w:val="00623899"/>
    <w:rsid w:val="00623B60"/>
    <w:rsid w:val="00624F07"/>
    <w:rsid w:val="006250D4"/>
    <w:rsid w:val="00625391"/>
    <w:rsid w:val="006253B5"/>
    <w:rsid w:val="006254AA"/>
    <w:rsid w:val="00625DDD"/>
    <w:rsid w:val="00625F27"/>
    <w:rsid w:val="006268AA"/>
    <w:rsid w:val="00626D57"/>
    <w:rsid w:val="0062719A"/>
    <w:rsid w:val="0062726C"/>
    <w:rsid w:val="0062768B"/>
    <w:rsid w:val="00627B8D"/>
    <w:rsid w:val="00627DED"/>
    <w:rsid w:val="006303B7"/>
    <w:rsid w:val="00631996"/>
    <w:rsid w:val="00631A21"/>
    <w:rsid w:val="00631F43"/>
    <w:rsid w:val="00633791"/>
    <w:rsid w:val="006339A5"/>
    <w:rsid w:val="006341E4"/>
    <w:rsid w:val="00634D91"/>
    <w:rsid w:val="00634DC9"/>
    <w:rsid w:val="00635006"/>
    <w:rsid w:val="00635AAE"/>
    <w:rsid w:val="00635D14"/>
    <w:rsid w:val="006361B9"/>
    <w:rsid w:val="0063634A"/>
    <w:rsid w:val="006363EA"/>
    <w:rsid w:val="0063699B"/>
    <w:rsid w:val="00636F06"/>
    <w:rsid w:val="006378A9"/>
    <w:rsid w:val="00637CF1"/>
    <w:rsid w:val="006402F0"/>
    <w:rsid w:val="006403A7"/>
    <w:rsid w:val="00640E44"/>
    <w:rsid w:val="00640E4D"/>
    <w:rsid w:val="006410A5"/>
    <w:rsid w:val="006411A5"/>
    <w:rsid w:val="00641550"/>
    <w:rsid w:val="006417E5"/>
    <w:rsid w:val="00641D9D"/>
    <w:rsid w:val="006429F1"/>
    <w:rsid w:val="00643C39"/>
    <w:rsid w:val="00643E4A"/>
    <w:rsid w:val="00644435"/>
    <w:rsid w:val="00644466"/>
    <w:rsid w:val="0064539D"/>
    <w:rsid w:val="00645B1F"/>
    <w:rsid w:val="00645B34"/>
    <w:rsid w:val="00645CC8"/>
    <w:rsid w:val="00645CE0"/>
    <w:rsid w:val="0064602B"/>
    <w:rsid w:val="00646928"/>
    <w:rsid w:val="00646E07"/>
    <w:rsid w:val="00646ECB"/>
    <w:rsid w:val="00647041"/>
    <w:rsid w:val="0064728F"/>
    <w:rsid w:val="006477CD"/>
    <w:rsid w:val="00647BF1"/>
    <w:rsid w:val="00650BBC"/>
    <w:rsid w:val="00650EB6"/>
    <w:rsid w:val="00650F75"/>
    <w:rsid w:val="00650FF9"/>
    <w:rsid w:val="0065123A"/>
    <w:rsid w:val="00651585"/>
    <w:rsid w:val="006524D6"/>
    <w:rsid w:val="006526D9"/>
    <w:rsid w:val="0065279C"/>
    <w:rsid w:val="0065285B"/>
    <w:rsid w:val="006537C4"/>
    <w:rsid w:val="00653ADB"/>
    <w:rsid w:val="00653BF4"/>
    <w:rsid w:val="00654BF2"/>
    <w:rsid w:val="00654F28"/>
    <w:rsid w:val="006551FE"/>
    <w:rsid w:val="006552D7"/>
    <w:rsid w:val="006555B6"/>
    <w:rsid w:val="006556F5"/>
    <w:rsid w:val="00655BED"/>
    <w:rsid w:val="00655DB3"/>
    <w:rsid w:val="006561C4"/>
    <w:rsid w:val="00656A44"/>
    <w:rsid w:val="00656DB8"/>
    <w:rsid w:val="006571C7"/>
    <w:rsid w:val="00657521"/>
    <w:rsid w:val="00657CBE"/>
    <w:rsid w:val="00657FA5"/>
    <w:rsid w:val="00660275"/>
    <w:rsid w:val="0066062F"/>
    <w:rsid w:val="00660634"/>
    <w:rsid w:val="00660ED4"/>
    <w:rsid w:val="00661FE4"/>
    <w:rsid w:val="00662059"/>
    <w:rsid w:val="00662C5A"/>
    <w:rsid w:val="0066505E"/>
    <w:rsid w:val="00665416"/>
    <w:rsid w:val="0066574E"/>
    <w:rsid w:val="00665999"/>
    <w:rsid w:val="00665EEF"/>
    <w:rsid w:val="0066662C"/>
    <w:rsid w:val="00666679"/>
    <w:rsid w:val="0066694A"/>
    <w:rsid w:val="00666A13"/>
    <w:rsid w:val="00666CB7"/>
    <w:rsid w:val="00666CCA"/>
    <w:rsid w:val="00666F80"/>
    <w:rsid w:val="00667BF4"/>
    <w:rsid w:val="00667F53"/>
    <w:rsid w:val="00670392"/>
    <w:rsid w:val="006703E1"/>
    <w:rsid w:val="006709E6"/>
    <w:rsid w:val="00670BEA"/>
    <w:rsid w:val="00670CEA"/>
    <w:rsid w:val="00671AB5"/>
    <w:rsid w:val="006724B8"/>
    <w:rsid w:val="00672645"/>
    <w:rsid w:val="00672EDC"/>
    <w:rsid w:val="00672F45"/>
    <w:rsid w:val="00673F18"/>
    <w:rsid w:val="0067438F"/>
    <w:rsid w:val="00675545"/>
    <w:rsid w:val="00675A11"/>
    <w:rsid w:val="00675BB4"/>
    <w:rsid w:val="00675EC2"/>
    <w:rsid w:val="006761D8"/>
    <w:rsid w:val="00676C1A"/>
    <w:rsid w:val="00676DA3"/>
    <w:rsid w:val="00676E5A"/>
    <w:rsid w:val="00677AAF"/>
    <w:rsid w:val="00677AF0"/>
    <w:rsid w:val="00680169"/>
    <w:rsid w:val="00680343"/>
    <w:rsid w:val="00680A81"/>
    <w:rsid w:val="00680BDC"/>
    <w:rsid w:val="0068190E"/>
    <w:rsid w:val="006819E4"/>
    <w:rsid w:val="006827CA"/>
    <w:rsid w:val="0068309B"/>
    <w:rsid w:val="00683713"/>
    <w:rsid w:val="00683A52"/>
    <w:rsid w:val="00683D5B"/>
    <w:rsid w:val="00684174"/>
    <w:rsid w:val="0068463D"/>
    <w:rsid w:val="00684958"/>
    <w:rsid w:val="0068495B"/>
    <w:rsid w:val="006849CA"/>
    <w:rsid w:val="0068505E"/>
    <w:rsid w:val="006852CB"/>
    <w:rsid w:val="006858EB"/>
    <w:rsid w:val="00685DD6"/>
    <w:rsid w:val="006860C5"/>
    <w:rsid w:val="00686428"/>
    <w:rsid w:val="0068644A"/>
    <w:rsid w:val="0068651C"/>
    <w:rsid w:val="00686649"/>
    <w:rsid w:val="00686B6E"/>
    <w:rsid w:val="00686BF5"/>
    <w:rsid w:val="00686CE6"/>
    <w:rsid w:val="006872BA"/>
    <w:rsid w:val="006874F7"/>
    <w:rsid w:val="00687B47"/>
    <w:rsid w:val="00687DF8"/>
    <w:rsid w:val="0069054A"/>
    <w:rsid w:val="00690653"/>
    <w:rsid w:val="00690AA0"/>
    <w:rsid w:val="006917F9"/>
    <w:rsid w:val="00692BDF"/>
    <w:rsid w:val="00693F6E"/>
    <w:rsid w:val="0069430B"/>
    <w:rsid w:val="00694844"/>
    <w:rsid w:val="006949E9"/>
    <w:rsid w:val="00694F03"/>
    <w:rsid w:val="00695380"/>
    <w:rsid w:val="00695A1E"/>
    <w:rsid w:val="00695BE3"/>
    <w:rsid w:val="00696147"/>
    <w:rsid w:val="006967BA"/>
    <w:rsid w:val="00696B11"/>
    <w:rsid w:val="00697229"/>
    <w:rsid w:val="00697903"/>
    <w:rsid w:val="00697CC7"/>
    <w:rsid w:val="00697D1C"/>
    <w:rsid w:val="006A08DB"/>
    <w:rsid w:val="006A0D9B"/>
    <w:rsid w:val="006A15F6"/>
    <w:rsid w:val="006A2414"/>
    <w:rsid w:val="006A2848"/>
    <w:rsid w:val="006A3730"/>
    <w:rsid w:val="006A38E9"/>
    <w:rsid w:val="006A3B96"/>
    <w:rsid w:val="006A40F8"/>
    <w:rsid w:val="006A447B"/>
    <w:rsid w:val="006A4604"/>
    <w:rsid w:val="006A4918"/>
    <w:rsid w:val="006A4E92"/>
    <w:rsid w:val="006A5316"/>
    <w:rsid w:val="006A5392"/>
    <w:rsid w:val="006A5C68"/>
    <w:rsid w:val="006A672B"/>
    <w:rsid w:val="006A67A5"/>
    <w:rsid w:val="006A67EC"/>
    <w:rsid w:val="006A6A9E"/>
    <w:rsid w:val="006A6E90"/>
    <w:rsid w:val="006A6F64"/>
    <w:rsid w:val="006A7513"/>
    <w:rsid w:val="006A7937"/>
    <w:rsid w:val="006B0AE4"/>
    <w:rsid w:val="006B1F6F"/>
    <w:rsid w:val="006B23D9"/>
    <w:rsid w:val="006B2657"/>
    <w:rsid w:val="006B27D9"/>
    <w:rsid w:val="006B3034"/>
    <w:rsid w:val="006B314B"/>
    <w:rsid w:val="006B33E3"/>
    <w:rsid w:val="006B34BF"/>
    <w:rsid w:val="006B40CB"/>
    <w:rsid w:val="006B4661"/>
    <w:rsid w:val="006B4AED"/>
    <w:rsid w:val="006B4C07"/>
    <w:rsid w:val="006B5488"/>
    <w:rsid w:val="006B567C"/>
    <w:rsid w:val="006B60FB"/>
    <w:rsid w:val="006B618F"/>
    <w:rsid w:val="006B7581"/>
    <w:rsid w:val="006B7DE5"/>
    <w:rsid w:val="006C00A8"/>
    <w:rsid w:val="006C0B73"/>
    <w:rsid w:val="006C0D80"/>
    <w:rsid w:val="006C105D"/>
    <w:rsid w:val="006C1128"/>
    <w:rsid w:val="006C11F9"/>
    <w:rsid w:val="006C13B1"/>
    <w:rsid w:val="006C15BC"/>
    <w:rsid w:val="006C1D43"/>
    <w:rsid w:val="006C2159"/>
    <w:rsid w:val="006C2B40"/>
    <w:rsid w:val="006C2CB0"/>
    <w:rsid w:val="006C2F44"/>
    <w:rsid w:val="006C372D"/>
    <w:rsid w:val="006C40EB"/>
    <w:rsid w:val="006C4117"/>
    <w:rsid w:val="006C4BEB"/>
    <w:rsid w:val="006C53D7"/>
    <w:rsid w:val="006C563A"/>
    <w:rsid w:val="006C581A"/>
    <w:rsid w:val="006C5B9F"/>
    <w:rsid w:val="006C5C3B"/>
    <w:rsid w:val="006C6378"/>
    <w:rsid w:val="006C70F2"/>
    <w:rsid w:val="006C71F8"/>
    <w:rsid w:val="006C7432"/>
    <w:rsid w:val="006D0004"/>
    <w:rsid w:val="006D01ED"/>
    <w:rsid w:val="006D02A0"/>
    <w:rsid w:val="006D0714"/>
    <w:rsid w:val="006D079D"/>
    <w:rsid w:val="006D0C75"/>
    <w:rsid w:val="006D0CA4"/>
    <w:rsid w:val="006D1796"/>
    <w:rsid w:val="006D1A14"/>
    <w:rsid w:val="006D1CB7"/>
    <w:rsid w:val="006D1FD9"/>
    <w:rsid w:val="006D258D"/>
    <w:rsid w:val="006D2E1B"/>
    <w:rsid w:val="006D3174"/>
    <w:rsid w:val="006D4239"/>
    <w:rsid w:val="006D4DD4"/>
    <w:rsid w:val="006D4EFD"/>
    <w:rsid w:val="006D4F50"/>
    <w:rsid w:val="006D4FB4"/>
    <w:rsid w:val="006D52C5"/>
    <w:rsid w:val="006D5444"/>
    <w:rsid w:val="006D549C"/>
    <w:rsid w:val="006D587D"/>
    <w:rsid w:val="006D5B43"/>
    <w:rsid w:val="006D5E3F"/>
    <w:rsid w:val="006D5F66"/>
    <w:rsid w:val="006D6220"/>
    <w:rsid w:val="006D6998"/>
    <w:rsid w:val="006D6E3B"/>
    <w:rsid w:val="006D72F4"/>
    <w:rsid w:val="006D73CF"/>
    <w:rsid w:val="006D7705"/>
    <w:rsid w:val="006E083D"/>
    <w:rsid w:val="006E0D0B"/>
    <w:rsid w:val="006E15D0"/>
    <w:rsid w:val="006E173A"/>
    <w:rsid w:val="006E1F77"/>
    <w:rsid w:val="006E1FB6"/>
    <w:rsid w:val="006E2264"/>
    <w:rsid w:val="006E26F0"/>
    <w:rsid w:val="006E275A"/>
    <w:rsid w:val="006E2DA0"/>
    <w:rsid w:val="006E3374"/>
    <w:rsid w:val="006E3625"/>
    <w:rsid w:val="006E3643"/>
    <w:rsid w:val="006E3EFB"/>
    <w:rsid w:val="006E419C"/>
    <w:rsid w:val="006E42C4"/>
    <w:rsid w:val="006E439E"/>
    <w:rsid w:val="006E48D1"/>
    <w:rsid w:val="006E4AEE"/>
    <w:rsid w:val="006E54AE"/>
    <w:rsid w:val="006E5729"/>
    <w:rsid w:val="006E5967"/>
    <w:rsid w:val="006E5B43"/>
    <w:rsid w:val="006E5C1E"/>
    <w:rsid w:val="006E5E68"/>
    <w:rsid w:val="006E5FA6"/>
    <w:rsid w:val="006E5FE1"/>
    <w:rsid w:val="006E7A16"/>
    <w:rsid w:val="006E7C38"/>
    <w:rsid w:val="006E7EC4"/>
    <w:rsid w:val="006F077B"/>
    <w:rsid w:val="006F0A7E"/>
    <w:rsid w:val="006F0CE4"/>
    <w:rsid w:val="006F0E24"/>
    <w:rsid w:val="006F0EF9"/>
    <w:rsid w:val="006F1352"/>
    <w:rsid w:val="006F15E8"/>
    <w:rsid w:val="006F1C23"/>
    <w:rsid w:val="006F285C"/>
    <w:rsid w:val="006F28A4"/>
    <w:rsid w:val="006F2BC0"/>
    <w:rsid w:val="006F2BD9"/>
    <w:rsid w:val="006F33BF"/>
    <w:rsid w:val="006F3F18"/>
    <w:rsid w:val="006F4367"/>
    <w:rsid w:val="006F43D8"/>
    <w:rsid w:val="006F4A7F"/>
    <w:rsid w:val="006F4E71"/>
    <w:rsid w:val="006F567A"/>
    <w:rsid w:val="006F573A"/>
    <w:rsid w:val="006F623B"/>
    <w:rsid w:val="006F65A3"/>
    <w:rsid w:val="006F6969"/>
    <w:rsid w:val="006F7D03"/>
    <w:rsid w:val="007001C5"/>
    <w:rsid w:val="00700A98"/>
    <w:rsid w:val="00700C98"/>
    <w:rsid w:val="0070125F"/>
    <w:rsid w:val="007012AE"/>
    <w:rsid w:val="00701606"/>
    <w:rsid w:val="007018F4"/>
    <w:rsid w:val="007019BA"/>
    <w:rsid w:val="00701F57"/>
    <w:rsid w:val="0070259E"/>
    <w:rsid w:val="00702631"/>
    <w:rsid w:val="00702DFC"/>
    <w:rsid w:val="0070304B"/>
    <w:rsid w:val="00703105"/>
    <w:rsid w:val="0070323D"/>
    <w:rsid w:val="00703316"/>
    <w:rsid w:val="00704342"/>
    <w:rsid w:val="00704457"/>
    <w:rsid w:val="00704931"/>
    <w:rsid w:val="007049C8"/>
    <w:rsid w:val="00704E76"/>
    <w:rsid w:val="00705CE2"/>
    <w:rsid w:val="00705CF0"/>
    <w:rsid w:val="007064DD"/>
    <w:rsid w:val="0070657C"/>
    <w:rsid w:val="00706EFC"/>
    <w:rsid w:val="00706FB8"/>
    <w:rsid w:val="007109F0"/>
    <w:rsid w:val="0071153E"/>
    <w:rsid w:val="00711C5B"/>
    <w:rsid w:val="007121E0"/>
    <w:rsid w:val="007127CE"/>
    <w:rsid w:val="00712FDD"/>
    <w:rsid w:val="00713BAD"/>
    <w:rsid w:val="0071404F"/>
    <w:rsid w:val="0071470B"/>
    <w:rsid w:val="00714BC4"/>
    <w:rsid w:val="007150E7"/>
    <w:rsid w:val="007157D4"/>
    <w:rsid w:val="00715DF5"/>
    <w:rsid w:val="00716453"/>
    <w:rsid w:val="00716D60"/>
    <w:rsid w:val="00716FBE"/>
    <w:rsid w:val="007173D9"/>
    <w:rsid w:val="0071756E"/>
    <w:rsid w:val="00717FA5"/>
    <w:rsid w:val="0072003B"/>
    <w:rsid w:val="00720979"/>
    <w:rsid w:val="00720A3E"/>
    <w:rsid w:val="00720BED"/>
    <w:rsid w:val="00720DBC"/>
    <w:rsid w:val="00720DC5"/>
    <w:rsid w:val="00720ED8"/>
    <w:rsid w:val="007214FD"/>
    <w:rsid w:val="0072168C"/>
    <w:rsid w:val="0072185A"/>
    <w:rsid w:val="00722245"/>
    <w:rsid w:val="00722597"/>
    <w:rsid w:val="0072264C"/>
    <w:rsid w:val="00722CAD"/>
    <w:rsid w:val="00723442"/>
    <w:rsid w:val="00723458"/>
    <w:rsid w:val="00723682"/>
    <w:rsid w:val="00723825"/>
    <w:rsid w:val="007238A9"/>
    <w:rsid w:val="00723951"/>
    <w:rsid w:val="00723D72"/>
    <w:rsid w:val="00724159"/>
    <w:rsid w:val="0072470F"/>
    <w:rsid w:val="00724DD7"/>
    <w:rsid w:val="00725986"/>
    <w:rsid w:val="00725D0C"/>
    <w:rsid w:val="00725F79"/>
    <w:rsid w:val="007261D9"/>
    <w:rsid w:val="0072620C"/>
    <w:rsid w:val="00726402"/>
    <w:rsid w:val="007265A6"/>
    <w:rsid w:val="007269E9"/>
    <w:rsid w:val="007270D4"/>
    <w:rsid w:val="0072747B"/>
    <w:rsid w:val="007274BF"/>
    <w:rsid w:val="00727BEF"/>
    <w:rsid w:val="00730314"/>
    <w:rsid w:val="00730383"/>
    <w:rsid w:val="00730776"/>
    <w:rsid w:val="00731044"/>
    <w:rsid w:val="007312EC"/>
    <w:rsid w:val="0073157E"/>
    <w:rsid w:val="00731946"/>
    <w:rsid w:val="00731A4A"/>
    <w:rsid w:val="00731F1F"/>
    <w:rsid w:val="00731FBD"/>
    <w:rsid w:val="00732552"/>
    <w:rsid w:val="00732567"/>
    <w:rsid w:val="00732E8E"/>
    <w:rsid w:val="00733390"/>
    <w:rsid w:val="00734D06"/>
    <w:rsid w:val="00735430"/>
    <w:rsid w:val="0073555C"/>
    <w:rsid w:val="007365DA"/>
    <w:rsid w:val="007369B3"/>
    <w:rsid w:val="0073716A"/>
    <w:rsid w:val="00737B66"/>
    <w:rsid w:val="00737BEC"/>
    <w:rsid w:val="00737D66"/>
    <w:rsid w:val="00737E86"/>
    <w:rsid w:val="007401C1"/>
    <w:rsid w:val="00740600"/>
    <w:rsid w:val="00740943"/>
    <w:rsid w:val="00740C03"/>
    <w:rsid w:val="0074100E"/>
    <w:rsid w:val="007418D5"/>
    <w:rsid w:val="007424E5"/>
    <w:rsid w:val="0074296F"/>
    <w:rsid w:val="007429E5"/>
    <w:rsid w:val="00742AF0"/>
    <w:rsid w:val="00743269"/>
    <w:rsid w:val="00743366"/>
    <w:rsid w:val="00743482"/>
    <w:rsid w:val="00744C76"/>
    <w:rsid w:val="007450E4"/>
    <w:rsid w:val="0074564D"/>
    <w:rsid w:val="00745E21"/>
    <w:rsid w:val="00746680"/>
    <w:rsid w:val="00746709"/>
    <w:rsid w:val="007472D7"/>
    <w:rsid w:val="00747A52"/>
    <w:rsid w:val="00750009"/>
    <w:rsid w:val="00750B29"/>
    <w:rsid w:val="00751583"/>
    <w:rsid w:val="0075188E"/>
    <w:rsid w:val="00751D26"/>
    <w:rsid w:val="00751EA4"/>
    <w:rsid w:val="00752029"/>
    <w:rsid w:val="00752600"/>
    <w:rsid w:val="00752665"/>
    <w:rsid w:val="00752CCC"/>
    <w:rsid w:val="00752E22"/>
    <w:rsid w:val="00752F51"/>
    <w:rsid w:val="0075304D"/>
    <w:rsid w:val="00753171"/>
    <w:rsid w:val="00753174"/>
    <w:rsid w:val="007546CF"/>
    <w:rsid w:val="00754851"/>
    <w:rsid w:val="0075497B"/>
    <w:rsid w:val="00754995"/>
    <w:rsid w:val="00754BD5"/>
    <w:rsid w:val="0075545F"/>
    <w:rsid w:val="00755756"/>
    <w:rsid w:val="007558AB"/>
    <w:rsid w:val="00755BA7"/>
    <w:rsid w:val="00755BB1"/>
    <w:rsid w:val="00755CB6"/>
    <w:rsid w:val="00756025"/>
    <w:rsid w:val="0075609A"/>
    <w:rsid w:val="007569CA"/>
    <w:rsid w:val="00756ACD"/>
    <w:rsid w:val="00756D23"/>
    <w:rsid w:val="007574E2"/>
    <w:rsid w:val="007579B4"/>
    <w:rsid w:val="00760113"/>
    <w:rsid w:val="007609C8"/>
    <w:rsid w:val="00760BB3"/>
    <w:rsid w:val="00760F32"/>
    <w:rsid w:val="007611A2"/>
    <w:rsid w:val="00761CFB"/>
    <w:rsid w:val="007622D6"/>
    <w:rsid w:val="00762C20"/>
    <w:rsid w:val="00762C68"/>
    <w:rsid w:val="00763002"/>
    <w:rsid w:val="007632DB"/>
    <w:rsid w:val="00763459"/>
    <w:rsid w:val="00763BA0"/>
    <w:rsid w:val="00763C21"/>
    <w:rsid w:val="007640EB"/>
    <w:rsid w:val="007641DC"/>
    <w:rsid w:val="007642E8"/>
    <w:rsid w:val="007645F2"/>
    <w:rsid w:val="00764632"/>
    <w:rsid w:val="0076464D"/>
    <w:rsid w:val="007647BD"/>
    <w:rsid w:val="00764FA4"/>
    <w:rsid w:val="00765455"/>
    <w:rsid w:val="00765844"/>
    <w:rsid w:val="00765923"/>
    <w:rsid w:val="00765946"/>
    <w:rsid w:val="00765F1A"/>
    <w:rsid w:val="0076654E"/>
    <w:rsid w:val="00766A7B"/>
    <w:rsid w:val="007674DA"/>
    <w:rsid w:val="0077106E"/>
    <w:rsid w:val="00771101"/>
    <w:rsid w:val="0077140B"/>
    <w:rsid w:val="00771CA4"/>
    <w:rsid w:val="00771E02"/>
    <w:rsid w:val="007723CA"/>
    <w:rsid w:val="00772A13"/>
    <w:rsid w:val="00772B7F"/>
    <w:rsid w:val="00772F3A"/>
    <w:rsid w:val="007734B6"/>
    <w:rsid w:val="00773755"/>
    <w:rsid w:val="007742CA"/>
    <w:rsid w:val="0077438B"/>
    <w:rsid w:val="007756D6"/>
    <w:rsid w:val="007760C9"/>
    <w:rsid w:val="0077610C"/>
    <w:rsid w:val="0077623E"/>
    <w:rsid w:val="0077671D"/>
    <w:rsid w:val="0077694B"/>
    <w:rsid w:val="00777191"/>
    <w:rsid w:val="007779E2"/>
    <w:rsid w:val="00777CC0"/>
    <w:rsid w:val="00780049"/>
    <w:rsid w:val="0078074E"/>
    <w:rsid w:val="0078075A"/>
    <w:rsid w:val="00780F74"/>
    <w:rsid w:val="00780F9F"/>
    <w:rsid w:val="00781F03"/>
    <w:rsid w:val="007821C8"/>
    <w:rsid w:val="007821EA"/>
    <w:rsid w:val="00782976"/>
    <w:rsid w:val="00783C95"/>
    <w:rsid w:val="00784041"/>
    <w:rsid w:val="00784494"/>
    <w:rsid w:val="007845D5"/>
    <w:rsid w:val="0078476E"/>
    <w:rsid w:val="00784C6A"/>
    <w:rsid w:val="007851AB"/>
    <w:rsid w:val="0078560D"/>
    <w:rsid w:val="00786C20"/>
    <w:rsid w:val="00786C58"/>
    <w:rsid w:val="007871C2"/>
    <w:rsid w:val="007876EE"/>
    <w:rsid w:val="007878B0"/>
    <w:rsid w:val="00787C9C"/>
    <w:rsid w:val="007900B1"/>
    <w:rsid w:val="00790626"/>
    <w:rsid w:val="00790A02"/>
    <w:rsid w:val="00790B24"/>
    <w:rsid w:val="00790BFC"/>
    <w:rsid w:val="00790E9A"/>
    <w:rsid w:val="00791CE9"/>
    <w:rsid w:val="00791DB2"/>
    <w:rsid w:val="00791EEA"/>
    <w:rsid w:val="007938E4"/>
    <w:rsid w:val="007938E8"/>
    <w:rsid w:val="007939C4"/>
    <w:rsid w:val="00793AAF"/>
    <w:rsid w:val="0079403E"/>
    <w:rsid w:val="007940CF"/>
    <w:rsid w:val="0079439C"/>
    <w:rsid w:val="007943A9"/>
    <w:rsid w:val="007944EE"/>
    <w:rsid w:val="00794AD1"/>
    <w:rsid w:val="00794B58"/>
    <w:rsid w:val="00795194"/>
    <w:rsid w:val="00795224"/>
    <w:rsid w:val="007958DE"/>
    <w:rsid w:val="00795B24"/>
    <w:rsid w:val="00795D17"/>
    <w:rsid w:val="00795D30"/>
    <w:rsid w:val="00796FF4"/>
    <w:rsid w:val="00797407"/>
    <w:rsid w:val="00797A7E"/>
    <w:rsid w:val="00797DC4"/>
    <w:rsid w:val="007A0252"/>
    <w:rsid w:val="007A0D8E"/>
    <w:rsid w:val="007A15D7"/>
    <w:rsid w:val="007A191C"/>
    <w:rsid w:val="007A2D76"/>
    <w:rsid w:val="007A3A03"/>
    <w:rsid w:val="007A4584"/>
    <w:rsid w:val="007A45EB"/>
    <w:rsid w:val="007A49C8"/>
    <w:rsid w:val="007A5874"/>
    <w:rsid w:val="007A651A"/>
    <w:rsid w:val="007A6983"/>
    <w:rsid w:val="007A7315"/>
    <w:rsid w:val="007A73B0"/>
    <w:rsid w:val="007A75B1"/>
    <w:rsid w:val="007A7B64"/>
    <w:rsid w:val="007B0111"/>
    <w:rsid w:val="007B0A65"/>
    <w:rsid w:val="007B0DC5"/>
    <w:rsid w:val="007B17D5"/>
    <w:rsid w:val="007B1F91"/>
    <w:rsid w:val="007B2109"/>
    <w:rsid w:val="007B216C"/>
    <w:rsid w:val="007B251A"/>
    <w:rsid w:val="007B2F53"/>
    <w:rsid w:val="007B3072"/>
    <w:rsid w:val="007B30D5"/>
    <w:rsid w:val="007B33E7"/>
    <w:rsid w:val="007B3423"/>
    <w:rsid w:val="007B3810"/>
    <w:rsid w:val="007B3F69"/>
    <w:rsid w:val="007B4272"/>
    <w:rsid w:val="007B45BF"/>
    <w:rsid w:val="007B4663"/>
    <w:rsid w:val="007B5563"/>
    <w:rsid w:val="007B5638"/>
    <w:rsid w:val="007B5782"/>
    <w:rsid w:val="007B578B"/>
    <w:rsid w:val="007B5B7F"/>
    <w:rsid w:val="007B6252"/>
    <w:rsid w:val="007B6449"/>
    <w:rsid w:val="007B64C2"/>
    <w:rsid w:val="007B6A1D"/>
    <w:rsid w:val="007B75B0"/>
    <w:rsid w:val="007B7DE7"/>
    <w:rsid w:val="007C029F"/>
    <w:rsid w:val="007C02D8"/>
    <w:rsid w:val="007C03A7"/>
    <w:rsid w:val="007C1204"/>
    <w:rsid w:val="007C14D1"/>
    <w:rsid w:val="007C1560"/>
    <w:rsid w:val="007C1EF0"/>
    <w:rsid w:val="007C1FF8"/>
    <w:rsid w:val="007C21FF"/>
    <w:rsid w:val="007C22B6"/>
    <w:rsid w:val="007C22CC"/>
    <w:rsid w:val="007C26A6"/>
    <w:rsid w:val="007C2882"/>
    <w:rsid w:val="007C28A2"/>
    <w:rsid w:val="007C29DE"/>
    <w:rsid w:val="007C2DE9"/>
    <w:rsid w:val="007C336F"/>
    <w:rsid w:val="007C36EA"/>
    <w:rsid w:val="007C3879"/>
    <w:rsid w:val="007C3A7F"/>
    <w:rsid w:val="007C407E"/>
    <w:rsid w:val="007C408B"/>
    <w:rsid w:val="007C4902"/>
    <w:rsid w:val="007C4FF4"/>
    <w:rsid w:val="007C6065"/>
    <w:rsid w:val="007C6A98"/>
    <w:rsid w:val="007C6E6F"/>
    <w:rsid w:val="007C6F27"/>
    <w:rsid w:val="007C79D3"/>
    <w:rsid w:val="007C7C04"/>
    <w:rsid w:val="007C7D2C"/>
    <w:rsid w:val="007D0265"/>
    <w:rsid w:val="007D04E5"/>
    <w:rsid w:val="007D100C"/>
    <w:rsid w:val="007D15D4"/>
    <w:rsid w:val="007D1639"/>
    <w:rsid w:val="007D1BBE"/>
    <w:rsid w:val="007D1E26"/>
    <w:rsid w:val="007D1F96"/>
    <w:rsid w:val="007D20F6"/>
    <w:rsid w:val="007D279E"/>
    <w:rsid w:val="007D2C6C"/>
    <w:rsid w:val="007D3949"/>
    <w:rsid w:val="007D3B3D"/>
    <w:rsid w:val="007D3DB2"/>
    <w:rsid w:val="007D42D3"/>
    <w:rsid w:val="007D46CA"/>
    <w:rsid w:val="007D4C8D"/>
    <w:rsid w:val="007D4D5D"/>
    <w:rsid w:val="007D5217"/>
    <w:rsid w:val="007D56D7"/>
    <w:rsid w:val="007D5916"/>
    <w:rsid w:val="007D6046"/>
    <w:rsid w:val="007D6732"/>
    <w:rsid w:val="007D67E5"/>
    <w:rsid w:val="007D686E"/>
    <w:rsid w:val="007D7BB7"/>
    <w:rsid w:val="007E014D"/>
    <w:rsid w:val="007E1685"/>
    <w:rsid w:val="007E17A0"/>
    <w:rsid w:val="007E1A3F"/>
    <w:rsid w:val="007E1B55"/>
    <w:rsid w:val="007E2A58"/>
    <w:rsid w:val="007E2EE1"/>
    <w:rsid w:val="007E354D"/>
    <w:rsid w:val="007E3644"/>
    <w:rsid w:val="007E3B14"/>
    <w:rsid w:val="007E3B9C"/>
    <w:rsid w:val="007E4001"/>
    <w:rsid w:val="007E43FF"/>
    <w:rsid w:val="007E538E"/>
    <w:rsid w:val="007E56E2"/>
    <w:rsid w:val="007E5709"/>
    <w:rsid w:val="007E5A15"/>
    <w:rsid w:val="007E61E9"/>
    <w:rsid w:val="007E636C"/>
    <w:rsid w:val="007E654D"/>
    <w:rsid w:val="007E6DB6"/>
    <w:rsid w:val="007E6E73"/>
    <w:rsid w:val="007E707A"/>
    <w:rsid w:val="007E7B7A"/>
    <w:rsid w:val="007F01C0"/>
    <w:rsid w:val="007F01D8"/>
    <w:rsid w:val="007F0541"/>
    <w:rsid w:val="007F0A7A"/>
    <w:rsid w:val="007F0C40"/>
    <w:rsid w:val="007F0F1C"/>
    <w:rsid w:val="007F1466"/>
    <w:rsid w:val="007F2113"/>
    <w:rsid w:val="007F244B"/>
    <w:rsid w:val="007F2518"/>
    <w:rsid w:val="007F29DA"/>
    <w:rsid w:val="007F2F8B"/>
    <w:rsid w:val="007F321D"/>
    <w:rsid w:val="007F389B"/>
    <w:rsid w:val="007F3928"/>
    <w:rsid w:val="007F40A1"/>
    <w:rsid w:val="007F4C7F"/>
    <w:rsid w:val="007F519C"/>
    <w:rsid w:val="007F5352"/>
    <w:rsid w:val="007F550E"/>
    <w:rsid w:val="007F5861"/>
    <w:rsid w:val="007F5967"/>
    <w:rsid w:val="007F5BFF"/>
    <w:rsid w:val="007F5E3B"/>
    <w:rsid w:val="007F5EEA"/>
    <w:rsid w:val="007F645D"/>
    <w:rsid w:val="007F67C3"/>
    <w:rsid w:val="007F6E2E"/>
    <w:rsid w:val="007F6E9C"/>
    <w:rsid w:val="007F6F2B"/>
    <w:rsid w:val="007F714F"/>
    <w:rsid w:val="007F73BF"/>
    <w:rsid w:val="007F75E0"/>
    <w:rsid w:val="007F770B"/>
    <w:rsid w:val="007F7A40"/>
    <w:rsid w:val="00800061"/>
    <w:rsid w:val="0080089A"/>
    <w:rsid w:val="008015C1"/>
    <w:rsid w:val="00801B33"/>
    <w:rsid w:val="00801BF5"/>
    <w:rsid w:val="0080277E"/>
    <w:rsid w:val="00802BEC"/>
    <w:rsid w:val="00803615"/>
    <w:rsid w:val="00803B13"/>
    <w:rsid w:val="00803B3F"/>
    <w:rsid w:val="00804433"/>
    <w:rsid w:val="008046BC"/>
    <w:rsid w:val="0080471F"/>
    <w:rsid w:val="00804A24"/>
    <w:rsid w:val="00804DE7"/>
    <w:rsid w:val="00805B22"/>
    <w:rsid w:val="00805BD0"/>
    <w:rsid w:val="008060DF"/>
    <w:rsid w:val="00806279"/>
    <w:rsid w:val="00806D5B"/>
    <w:rsid w:val="00806D8A"/>
    <w:rsid w:val="008077B6"/>
    <w:rsid w:val="008078C9"/>
    <w:rsid w:val="00807D39"/>
    <w:rsid w:val="00807F9A"/>
    <w:rsid w:val="008103D0"/>
    <w:rsid w:val="00810703"/>
    <w:rsid w:val="00810A7C"/>
    <w:rsid w:val="008112D8"/>
    <w:rsid w:val="008115F7"/>
    <w:rsid w:val="0081165C"/>
    <w:rsid w:val="00812052"/>
    <w:rsid w:val="00812E1B"/>
    <w:rsid w:val="0081304E"/>
    <w:rsid w:val="0081374C"/>
    <w:rsid w:val="00813F0A"/>
    <w:rsid w:val="00814744"/>
    <w:rsid w:val="00814B71"/>
    <w:rsid w:val="00815CE4"/>
    <w:rsid w:val="00816782"/>
    <w:rsid w:val="008168F4"/>
    <w:rsid w:val="00816A0A"/>
    <w:rsid w:val="00817332"/>
    <w:rsid w:val="0081760F"/>
    <w:rsid w:val="008176ED"/>
    <w:rsid w:val="00817845"/>
    <w:rsid w:val="00817A80"/>
    <w:rsid w:val="00817B0F"/>
    <w:rsid w:val="008200EA"/>
    <w:rsid w:val="00820B3C"/>
    <w:rsid w:val="00820DBE"/>
    <w:rsid w:val="008210FC"/>
    <w:rsid w:val="0082126C"/>
    <w:rsid w:val="00821D48"/>
    <w:rsid w:val="008224F8"/>
    <w:rsid w:val="00822590"/>
    <w:rsid w:val="00823721"/>
    <w:rsid w:val="00824338"/>
    <w:rsid w:val="00824D8C"/>
    <w:rsid w:val="00824F5F"/>
    <w:rsid w:val="008252BE"/>
    <w:rsid w:val="00825A76"/>
    <w:rsid w:val="00825CE2"/>
    <w:rsid w:val="00825D1C"/>
    <w:rsid w:val="00825D2B"/>
    <w:rsid w:val="00826988"/>
    <w:rsid w:val="00827B4A"/>
    <w:rsid w:val="00827DC6"/>
    <w:rsid w:val="00831071"/>
    <w:rsid w:val="008311C3"/>
    <w:rsid w:val="0083142C"/>
    <w:rsid w:val="00831C82"/>
    <w:rsid w:val="008321E8"/>
    <w:rsid w:val="00832560"/>
    <w:rsid w:val="00832CD6"/>
    <w:rsid w:val="0083304E"/>
    <w:rsid w:val="00833959"/>
    <w:rsid w:val="00833B1A"/>
    <w:rsid w:val="00833CDC"/>
    <w:rsid w:val="00833E6B"/>
    <w:rsid w:val="008345B7"/>
    <w:rsid w:val="0083487A"/>
    <w:rsid w:val="008348FB"/>
    <w:rsid w:val="00834AA5"/>
    <w:rsid w:val="00834C93"/>
    <w:rsid w:val="00834CB4"/>
    <w:rsid w:val="00834DFE"/>
    <w:rsid w:val="00835D44"/>
    <w:rsid w:val="00835E08"/>
    <w:rsid w:val="00836340"/>
    <w:rsid w:val="00836562"/>
    <w:rsid w:val="00836BA8"/>
    <w:rsid w:val="00836E81"/>
    <w:rsid w:val="0083793F"/>
    <w:rsid w:val="0084021D"/>
    <w:rsid w:val="008405A0"/>
    <w:rsid w:val="0084073A"/>
    <w:rsid w:val="00840BB4"/>
    <w:rsid w:val="00840D13"/>
    <w:rsid w:val="0084120B"/>
    <w:rsid w:val="0084149E"/>
    <w:rsid w:val="008418CE"/>
    <w:rsid w:val="00842A00"/>
    <w:rsid w:val="00842C8F"/>
    <w:rsid w:val="00842DE6"/>
    <w:rsid w:val="00842E93"/>
    <w:rsid w:val="00842E95"/>
    <w:rsid w:val="008433C1"/>
    <w:rsid w:val="00843441"/>
    <w:rsid w:val="008436EA"/>
    <w:rsid w:val="00843DB7"/>
    <w:rsid w:val="00844688"/>
    <w:rsid w:val="00844BCA"/>
    <w:rsid w:val="00844DB6"/>
    <w:rsid w:val="0084508D"/>
    <w:rsid w:val="00845D74"/>
    <w:rsid w:val="0084620E"/>
    <w:rsid w:val="008463C2"/>
    <w:rsid w:val="008464E2"/>
    <w:rsid w:val="00846FAC"/>
    <w:rsid w:val="00850067"/>
    <w:rsid w:val="00850187"/>
    <w:rsid w:val="00850608"/>
    <w:rsid w:val="00850F18"/>
    <w:rsid w:val="0085149C"/>
    <w:rsid w:val="008516CD"/>
    <w:rsid w:val="00851EC7"/>
    <w:rsid w:val="0085202E"/>
    <w:rsid w:val="00852531"/>
    <w:rsid w:val="0085275C"/>
    <w:rsid w:val="00852C9F"/>
    <w:rsid w:val="00853376"/>
    <w:rsid w:val="00853468"/>
    <w:rsid w:val="00853769"/>
    <w:rsid w:val="00853885"/>
    <w:rsid w:val="00854A82"/>
    <w:rsid w:val="00854CD1"/>
    <w:rsid w:val="00854F96"/>
    <w:rsid w:val="00855464"/>
    <w:rsid w:val="008555A5"/>
    <w:rsid w:val="008556CD"/>
    <w:rsid w:val="008560F5"/>
    <w:rsid w:val="00857129"/>
    <w:rsid w:val="008572EA"/>
    <w:rsid w:val="008573EA"/>
    <w:rsid w:val="008576B7"/>
    <w:rsid w:val="00857FFE"/>
    <w:rsid w:val="00860563"/>
    <w:rsid w:val="008613A1"/>
    <w:rsid w:val="0086184A"/>
    <w:rsid w:val="008618B0"/>
    <w:rsid w:val="00861922"/>
    <w:rsid w:val="008621C2"/>
    <w:rsid w:val="00862635"/>
    <w:rsid w:val="008629F5"/>
    <w:rsid w:val="008633D4"/>
    <w:rsid w:val="00863B2B"/>
    <w:rsid w:val="0086403D"/>
    <w:rsid w:val="00864133"/>
    <w:rsid w:val="00864249"/>
    <w:rsid w:val="0086493E"/>
    <w:rsid w:val="00864A9A"/>
    <w:rsid w:val="00864BAE"/>
    <w:rsid w:val="00864D14"/>
    <w:rsid w:val="00865DDB"/>
    <w:rsid w:val="0086668D"/>
    <w:rsid w:val="008670C3"/>
    <w:rsid w:val="00867A88"/>
    <w:rsid w:val="00867FC6"/>
    <w:rsid w:val="0087035C"/>
    <w:rsid w:val="00870A66"/>
    <w:rsid w:val="008717DF"/>
    <w:rsid w:val="00871CB1"/>
    <w:rsid w:val="00871FE6"/>
    <w:rsid w:val="00872520"/>
    <w:rsid w:val="00872A73"/>
    <w:rsid w:val="00872BF2"/>
    <w:rsid w:val="00873297"/>
    <w:rsid w:val="0087360C"/>
    <w:rsid w:val="0087375D"/>
    <w:rsid w:val="00873F54"/>
    <w:rsid w:val="00874480"/>
    <w:rsid w:val="008747C4"/>
    <w:rsid w:val="008751C7"/>
    <w:rsid w:val="00875B40"/>
    <w:rsid w:val="008763F3"/>
    <w:rsid w:val="0087641B"/>
    <w:rsid w:val="0087649D"/>
    <w:rsid w:val="00876716"/>
    <w:rsid w:val="008768BE"/>
    <w:rsid w:val="00876D6A"/>
    <w:rsid w:val="00876E80"/>
    <w:rsid w:val="00877147"/>
    <w:rsid w:val="00880B11"/>
    <w:rsid w:val="0088111E"/>
    <w:rsid w:val="00881525"/>
    <w:rsid w:val="00881928"/>
    <w:rsid w:val="008819C6"/>
    <w:rsid w:val="00881DAC"/>
    <w:rsid w:val="00882712"/>
    <w:rsid w:val="008829F4"/>
    <w:rsid w:val="0088305F"/>
    <w:rsid w:val="00883144"/>
    <w:rsid w:val="00883342"/>
    <w:rsid w:val="008834AA"/>
    <w:rsid w:val="00883711"/>
    <w:rsid w:val="00883C08"/>
    <w:rsid w:val="00884006"/>
    <w:rsid w:val="008845AD"/>
    <w:rsid w:val="008845B3"/>
    <w:rsid w:val="00884783"/>
    <w:rsid w:val="00884C6C"/>
    <w:rsid w:val="008854C0"/>
    <w:rsid w:val="008859DD"/>
    <w:rsid w:val="0088699D"/>
    <w:rsid w:val="00887523"/>
    <w:rsid w:val="00887565"/>
    <w:rsid w:val="008901AD"/>
    <w:rsid w:val="008904A6"/>
    <w:rsid w:val="00890678"/>
    <w:rsid w:val="008906D0"/>
    <w:rsid w:val="0089082F"/>
    <w:rsid w:val="00890B09"/>
    <w:rsid w:val="00891032"/>
    <w:rsid w:val="008911F5"/>
    <w:rsid w:val="0089151C"/>
    <w:rsid w:val="008917AC"/>
    <w:rsid w:val="008918D2"/>
    <w:rsid w:val="00891CD3"/>
    <w:rsid w:val="00891F96"/>
    <w:rsid w:val="00892308"/>
    <w:rsid w:val="008923FD"/>
    <w:rsid w:val="00892415"/>
    <w:rsid w:val="008925B0"/>
    <w:rsid w:val="0089292C"/>
    <w:rsid w:val="0089345F"/>
    <w:rsid w:val="008939F4"/>
    <w:rsid w:val="008940E6"/>
    <w:rsid w:val="008945EA"/>
    <w:rsid w:val="0089486A"/>
    <w:rsid w:val="00894AB8"/>
    <w:rsid w:val="00894F4A"/>
    <w:rsid w:val="00895280"/>
    <w:rsid w:val="00895464"/>
    <w:rsid w:val="00895B27"/>
    <w:rsid w:val="00895C53"/>
    <w:rsid w:val="00895D5F"/>
    <w:rsid w:val="00896042"/>
    <w:rsid w:val="008961A2"/>
    <w:rsid w:val="00896295"/>
    <w:rsid w:val="0089630A"/>
    <w:rsid w:val="00896DF8"/>
    <w:rsid w:val="008970B0"/>
    <w:rsid w:val="008972CA"/>
    <w:rsid w:val="008973BE"/>
    <w:rsid w:val="00897547"/>
    <w:rsid w:val="0089784A"/>
    <w:rsid w:val="00897ED6"/>
    <w:rsid w:val="008A0872"/>
    <w:rsid w:val="008A0969"/>
    <w:rsid w:val="008A0994"/>
    <w:rsid w:val="008A0D7C"/>
    <w:rsid w:val="008A0F38"/>
    <w:rsid w:val="008A183A"/>
    <w:rsid w:val="008A1AE2"/>
    <w:rsid w:val="008A1C23"/>
    <w:rsid w:val="008A23B7"/>
    <w:rsid w:val="008A3364"/>
    <w:rsid w:val="008A363C"/>
    <w:rsid w:val="008A36C4"/>
    <w:rsid w:val="008A392C"/>
    <w:rsid w:val="008A3A0F"/>
    <w:rsid w:val="008A3A12"/>
    <w:rsid w:val="008A3B38"/>
    <w:rsid w:val="008A4925"/>
    <w:rsid w:val="008A59E9"/>
    <w:rsid w:val="008A5B04"/>
    <w:rsid w:val="008A5CBF"/>
    <w:rsid w:val="008A5F76"/>
    <w:rsid w:val="008A6920"/>
    <w:rsid w:val="008A6E11"/>
    <w:rsid w:val="008A71DC"/>
    <w:rsid w:val="008A743F"/>
    <w:rsid w:val="008A7E81"/>
    <w:rsid w:val="008B03DC"/>
    <w:rsid w:val="008B0C35"/>
    <w:rsid w:val="008B13DF"/>
    <w:rsid w:val="008B17B9"/>
    <w:rsid w:val="008B1BFC"/>
    <w:rsid w:val="008B1E16"/>
    <w:rsid w:val="008B1F3C"/>
    <w:rsid w:val="008B2BC3"/>
    <w:rsid w:val="008B3F86"/>
    <w:rsid w:val="008B40FF"/>
    <w:rsid w:val="008B4314"/>
    <w:rsid w:val="008B4435"/>
    <w:rsid w:val="008B48AA"/>
    <w:rsid w:val="008B4A4E"/>
    <w:rsid w:val="008B4B0A"/>
    <w:rsid w:val="008B4DCF"/>
    <w:rsid w:val="008B4E70"/>
    <w:rsid w:val="008B5376"/>
    <w:rsid w:val="008B551D"/>
    <w:rsid w:val="008B5DD0"/>
    <w:rsid w:val="008B5FA0"/>
    <w:rsid w:val="008B6004"/>
    <w:rsid w:val="008B6199"/>
    <w:rsid w:val="008B6268"/>
    <w:rsid w:val="008B62E1"/>
    <w:rsid w:val="008B6375"/>
    <w:rsid w:val="008B67C1"/>
    <w:rsid w:val="008B73F3"/>
    <w:rsid w:val="008B7B7F"/>
    <w:rsid w:val="008C0B13"/>
    <w:rsid w:val="008C0B6E"/>
    <w:rsid w:val="008C174E"/>
    <w:rsid w:val="008C3153"/>
    <w:rsid w:val="008C3E76"/>
    <w:rsid w:val="008C4218"/>
    <w:rsid w:val="008C42D1"/>
    <w:rsid w:val="008C49AC"/>
    <w:rsid w:val="008C4A1C"/>
    <w:rsid w:val="008C5A01"/>
    <w:rsid w:val="008C5BA1"/>
    <w:rsid w:val="008C6B62"/>
    <w:rsid w:val="008C7725"/>
    <w:rsid w:val="008C7DFC"/>
    <w:rsid w:val="008D028A"/>
    <w:rsid w:val="008D0991"/>
    <w:rsid w:val="008D0A53"/>
    <w:rsid w:val="008D15EC"/>
    <w:rsid w:val="008D17F1"/>
    <w:rsid w:val="008D2621"/>
    <w:rsid w:val="008D280C"/>
    <w:rsid w:val="008D2891"/>
    <w:rsid w:val="008D2DE8"/>
    <w:rsid w:val="008D2E96"/>
    <w:rsid w:val="008D30BA"/>
    <w:rsid w:val="008D30C2"/>
    <w:rsid w:val="008D3B93"/>
    <w:rsid w:val="008D3D31"/>
    <w:rsid w:val="008D3D67"/>
    <w:rsid w:val="008D3FEF"/>
    <w:rsid w:val="008D4C0A"/>
    <w:rsid w:val="008D4FC4"/>
    <w:rsid w:val="008D5081"/>
    <w:rsid w:val="008D5684"/>
    <w:rsid w:val="008D5A16"/>
    <w:rsid w:val="008D5A45"/>
    <w:rsid w:val="008D6898"/>
    <w:rsid w:val="008D757D"/>
    <w:rsid w:val="008D76B2"/>
    <w:rsid w:val="008D7FBD"/>
    <w:rsid w:val="008E1C39"/>
    <w:rsid w:val="008E224F"/>
    <w:rsid w:val="008E2B52"/>
    <w:rsid w:val="008E3A8E"/>
    <w:rsid w:val="008E3CE9"/>
    <w:rsid w:val="008E3DA4"/>
    <w:rsid w:val="008E4991"/>
    <w:rsid w:val="008E4AA8"/>
    <w:rsid w:val="008E4B25"/>
    <w:rsid w:val="008E4BBA"/>
    <w:rsid w:val="008E4FD5"/>
    <w:rsid w:val="008E50F7"/>
    <w:rsid w:val="008E5245"/>
    <w:rsid w:val="008E55EE"/>
    <w:rsid w:val="008E619E"/>
    <w:rsid w:val="008E6AFD"/>
    <w:rsid w:val="008F0201"/>
    <w:rsid w:val="008F0DA7"/>
    <w:rsid w:val="008F106F"/>
    <w:rsid w:val="008F110D"/>
    <w:rsid w:val="008F1558"/>
    <w:rsid w:val="008F2108"/>
    <w:rsid w:val="008F2220"/>
    <w:rsid w:val="008F234C"/>
    <w:rsid w:val="008F28E1"/>
    <w:rsid w:val="008F2A88"/>
    <w:rsid w:val="008F2D9C"/>
    <w:rsid w:val="008F35EF"/>
    <w:rsid w:val="008F36E7"/>
    <w:rsid w:val="008F3927"/>
    <w:rsid w:val="008F417A"/>
    <w:rsid w:val="008F48A2"/>
    <w:rsid w:val="008F4D23"/>
    <w:rsid w:val="008F4F7E"/>
    <w:rsid w:val="008F5A8C"/>
    <w:rsid w:val="008F5B1B"/>
    <w:rsid w:val="008F61E8"/>
    <w:rsid w:val="008F6896"/>
    <w:rsid w:val="008F6E0C"/>
    <w:rsid w:val="008F7277"/>
    <w:rsid w:val="008F74E5"/>
    <w:rsid w:val="008F7917"/>
    <w:rsid w:val="008F7D61"/>
    <w:rsid w:val="00900296"/>
    <w:rsid w:val="009002F4"/>
    <w:rsid w:val="0090049F"/>
    <w:rsid w:val="009011C4"/>
    <w:rsid w:val="009011E8"/>
    <w:rsid w:val="00901258"/>
    <w:rsid w:val="009018F4"/>
    <w:rsid w:val="00901B84"/>
    <w:rsid w:val="009020A3"/>
    <w:rsid w:val="00902112"/>
    <w:rsid w:val="0090221F"/>
    <w:rsid w:val="009024DC"/>
    <w:rsid w:val="009024F6"/>
    <w:rsid w:val="00902641"/>
    <w:rsid w:val="00902A25"/>
    <w:rsid w:val="00902A57"/>
    <w:rsid w:val="00902C00"/>
    <w:rsid w:val="00902D03"/>
    <w:rsid w:val="00902FB2"/>
    <w:rsid w:val="00903008"/>
    <w:rsid w:val="009030B8"/>
    <w:rsid w:val="009032F4"/>
    <w:rsid w:val="00903541"/>
    <w:rsid w:val="00903F0B"/>
    <w:rsid w:val="00904F7D"/>
    <w:rsid w:val="009053F4"/>
    <w:rsid w:val="00905CC6"/>
    <w:rsid w:val="009069F2"/>
    <w:rsid w:val="0090757C"/>
    <w:rsid w:val="00907928"/>
    <w:rsid w:val="00907F5C"/>
    <w:rsid w:val="00910373"/>
    <w:rsid w:val="00910B80"/>
    <w:rsid w:val="00912198"/>
    <w:rsid w:val="00912355"/>
    <w:rsid w:val="00912497"/>
    <w:rsid w:val="00912587"/>
    <w:rsid w:val="00912B07"/>
    <w:rsid w:val="00912E38"/>
    <w:rsid w:val="009137F8"/>
    <w:rsid w:val="00913B8E"/>
    <w:rsid w:val="00913CCF"/>
    <w:rsid w:val="00914A10"/>
    <w:rsid w:val="00915210"/>
    <w:rsid w:val="00915964"/>
    <w:rsid w:val="00916509"/>
    <w:rsid w:val="00916740"/>
    <w:rsid w:val="00916924"/>
    <w:rsid w:val="00916EC6"/>
    <w:rsid w:val="009172DE"/>
    <w:rsid w:val="00917611"/>
    <w:rsid w:val="00917847"/>
    <w:rsid w:val="00917867"/>
    <w:rsid w:val="0091794F"/>
    <w:rsid w:val="00917AB4"/>
    <w:rsid w:val="00920101"/>
    <w:rsid w:val="00920364"/>
    <w:rsid w:val="00920E61"/>
    <w:rsid w:val="009211A6"/>
    <w:rsid w:val="0092121D"/>
    <w:rsid w:val="00921344"/>
    <w:rsid w:val="0092184B"/>
    <w:rsid w:val="00921C4D"/>
    <w:rsid w:val="009227F4"/>
    <w:rsid w:val="00922987"/>
    <w:rsid w:val="00923175"/>
    <w:rsid w:val="0092399C"/>
    <w:rsid w:val="00923AE8"/>
    <w:rsid w:val="00924126"/>
    <w:rsid w:val="0092417E"/>
    <w:rsid w:val="009249BA"/>
    <w:rsid w:val="00925195"/>
    <w:rsid w:val="00925BC9"/>
    <w:rsid w:val="009265AF"/>
    <w:rsid w:val="009267D2"/>
    <w:rsid w:val="0092693D"/>
    <w:rsid w:val="009271B2"/>
    <w:rsid w:val="009276BC"/>
    <w:rsid w:val="00927A3C"/>
    <w:rsid w:val="00927C08"/>
    <w:rsid w:val="00930A73"/>
    <w:rsid w:val="00931367"/>
    <w:rsid w:val="00931CCD"/>
    <w:rsid w:val="00931F51"/>
    <w:rsid w:val="00932169"/>
    <w:rsid w:val="0093239E"/>
    <w:rsid w:val="00932540"/>
    <w:rsid w:val="00932632"/>
    <w:rsid w:val="00932786"/>
    <w:rsid w:val="009327C3"/>
    <w:rsid w:val="00933AF8"/>
    <w:rsid w:val="0093418B"/>
    <w:rsid w:val="009342EC"/>
    <w:rsid w:val="00935046"/>
    <w:rsid w:val="009352B0"/>
    <w:rsid w:val="00935427"/>
    <w:rsid w:val="009354BA"/>
    <w:rsid w:val="00936296"/>
    <w:rsid w:val="00936E34"/>
    <w:rsid w:val="00937F21"/>
    <w:rsid w:val="009400BF"/>
    <w:rsid w:val="00940C3D"/>
    <w:rsid w:val="00941174"/>
    <w:rsid w:val="00941238"/>
    <w:rsid w:val="00941464"/>
    <w:rsid w:val="00941515"/>
    <w:rsid w:val="0094161E"/>
    <w:rsid w:val="00941701"/>
    <w:rsid w:val="0094191D"/>
    <w:rsid w:val="00942EA4"/>
    <w:rsid w:val="009435AB"/>
    <w:rsid w:val="009435BA"/>
    <w:rsid w:val="00943DF6"/>
    <w:rsid w:val="00943F5E"/>
    <w:rsid w:val="0094499D"/>
    <w:rsid w:val="00944AA5"/>
    <w:rsid w:val="00944DA8"/>
    <w:rsid w:val="00945147"/>
    <w:rsid w:val="0094523E"/>
    <w:rsid w:val="00945866"/>
    <w:rsid w:val="00945F61"/>
    <w:rsid w:val="009468AA"/>
    <w:rsid w:val="00946D3F"/>
    <w:rsid w:val="00946DBC"/>
    <w:rsid w:val="00946EBD"/>
    <w:rsid w:val="0094715A"/>
    <w:rsid w:val="0094780E"/>
    <w:rsid w:val="00947858"/>
    <w:rsid w:val="0094792D"/>
    <w:rsid w:val="00950695"/>
    <w:rsid w:val="00950777"/>
    <w:rsid w:val="00950861"/>
    <w:rsid w:val="00950C7E"/>
    <w:rsid w:val="00951A05"/>
    <w:rsid w:val="0095274B"/>
    <w:rsid w:val="00952A49"/>
    <w:rsid w:val="00953069"/>
    <w:rsid w:val="0095335A"/>
    <w:rsid w:val="00953AD4"/>
    <w:rsid w:val="00953BAA"/>
    <w:rsid w:val="00953CD9"/>
    <w:rsid w:val="00953CF8"/>
    <w:rsid w:val="00954AF7"/>
    <w:rsid w:val="00956117"/>
    <w:rsid w:val="00956262"/>
    <w:rsid w:val="00956DA3"/>
    <w:rsid w:val="00957A8C"/>
    <w:rsid w:val="00957EE9"/>
    <w:rsid w:val="00960017"/>
    <w:rsid w:val="00960137"/>
    <w:rsid w:val="0096040F"/>
    <w:rsid w:val="009609B0"/>
    <w:rsid w:val="00960AD7"/>
    <w:rsid w:val="00960D94"/>
    <w:rsid w:val="00960FF5"/>
    <w:rsid w:val="009613D4"/>
    <w:rsid w:val="00961896"/>
    <w:rsid w:val="00962008"/>
    <w:rsid w:val="00962E37"/>
    <w:rsid w:val="009630BB"/>
    <w:rsid w:val="009638C9"/>
    <w:rsid w:val="00964D10"/>
    <w:rsid w:val="00965223"/>
    <w:rsid w:val="00965590"/>
    <w:rsid w:val="00966212"/>
    <w:rsid w:val="0096624A"/>
    <w:rsid w:val="009678DA"/>
    <w:rsid w:val="00967F60"/>
    <w:rsid w:val="00970788"/>
    <w:rsid w:val="00970B86"/>
    <w:rsid w:val="00971390"/>
    <w:rsid w:val="00971D6C"/>
    <w:rsid w:val="00971E49"/>
    <w:rsid w:val="00973650"/>
    <w:rsid w:val="0097382F"/>
    <w:rsid w:val="009739AE"/>
    <w:rsid w:val="00973E18"/>
    <w:rsid w:val="00975168"/>
    <w:rsid w:val="0097576E"/>
    <w:rsid w:val="009757E5"/>
    <w:rsid w:val="00975D9C"/>
    <w:rsid w:val="00976D1A"/>
    <w:rsid w:val="00976DC7"/>
    <w:rsid w:val="00976E53"/>
    <w:rsid w:val="009777BB"/>
    <w:rsid w:val="00977A68"/>
    <w:rsid w:val="00977CB2"/>
    <w:rsid w:val="00980094"/>
    <w:rsid w:val="009803EF"/>
    <w:rsid w:val="0098055C"/>
    <w:rsid w:val="00980653"/>
    <w:rsid w:val="00980BBE"/>
    <w:rsid w:val="00980D29"/>
    <w:rsid w:val="00980DB4"/>
    <w:rsid w:val="00981272"/>
    <w:rsid w:val="0098175D"/>
    <w:rsid w:val="009818CA"/>
    <w:rsid w:val="00982785"/>
    <w:rsid w:val="00983D9B"/>
    <w:rsid w:val="00984578"/>
    <w:rsid w:val="00985354"/>
    <w:rsid w:val="00985609"/>
    <w:rsid w:val="009857A4"/>
    <w:rsid w:val="009862A8"/>
    <w:rsid w:val="009869D2"/>
    <w:rsid w:val="00987F23"/>
    <w:rsid w:val="00990251"/>
    <w:rsid w:val="009902CF"/>
    <w:rsid w:val="009903A6"/>
    <w:rsid w:val="00990583"/>
    <w:rsid w:val="00990AA3"/>
    <w:rsid w:val="00990C10"/>
    <w:rsid w:val="00991039"/>
    <w:rsid w:val="009911FE"/>
    <w:rsid w:val="00991354"/>
    <w:rsid w:val="009916E1"/>
    <w:rsid w:val="00991A56"/>
    <w:rsid w:val="00991D05"/>
    <w:rsid w:val="00992D8C"/>
    <w:rsid w:val="009934C3"/>
    <w:rsid w:val="0099364E"/>
    <w:rsid w:val="00993C7D"/>
    <w:rsid w:val="00994368"/>
    <w:rsid w:val="00994C1F"/>
    <w:rsid w:val="00994C63"/>
    <w:rsid w:val="00994D50"/>
    <w:rsid w:val="00995486"/>
    <w:rsid w:val="009962EF"/>
    <w:rsid w:val="0099698B"/>
    <w:rsid w:val="0099699D"/>
    <w:rsid w:val="00997049"/>
    <w:rsid w:val="009972C0"/>
    <w:rsid w:val="00997BCE"/>
    <w:rsid w:val="00997D39"/>
    <w:rsid w:val="00997E37"/>
    <w:rsid w:val="009A0222"/>
    <w:rsid w:val="009A0765"/>
    <w:rsid w:val="009A07B3"/>
    <w:rsid w:val="009A07F8"/>
    <w:rsid w:val="009A1614"/>
    <w:rsid w:val="009A267D"/>
    <w:rsid w:val="009A285E"/>
    <w:rsid w:val="009A2E98"/>
    <w:rsid w:val="009A3031"/>
    <w:rsid w:val="009A33F8"/>
    <w:rsid w:val="009A3CE5"/>
    <w:rsid w:val="009A3D76"/>
    <w:rsid w:val="009A3FB5"/>
    <w:rsid w:val="009A403B"/>
    <w:rsid w:val="009A428F"/>
    <w:rsid w:val="009A429D"/>
    <w:rsid w:val="009A4A64"/>
    <w:rsid w:val="009A4E66"/>
    <w:rsid w:val="009A5439"/>
    <w:rsid w:val="009A547E"/>
    <w:rsid w:val="009A55A8"/>
    <w:rsid w:val="009A6553"/>
    <w:rsid w:val="009A7466"/>
    <w:rsid w:val="009A74CC"/>
    <w:rsid w:val="009A7526"/>
    <w:rsid w:val="009A7645"/>
    <w:rsid w:val="009A7E82"/>
    <w:rsid w:val="009B005A"/>
    <w:rsid w:val="009B02F3"/>
    <w:rsid w:val="009B04FE"/>
    <w:rsid w:val="009B15AA"/>
    <w:rsid w:val="009B1A16"/>
    <w:rsid w:val="009B2D0E"/>
    <w:rsid w:val="009B3039"/>
    <w:rsid w:val="009B30EE"/>
    <w:rsid w:val="009B3596"/>
    <w:rsid w:val="009B3B8A"/>
    <w:rsid w:val="009B458D"/>
    <w:rsid w:val="009B45EE"/>
    <w:rsid w:val="009B47B3"/>
    <w:rsid w:val="009B5619"/>
    <w:rsid w:val="009B5688"/>
    <w:rsid w:val="009B573B"/>
    <w:rsid w:val="009B57F3"/>
    <w:rsid w:val="009B5852"/>
    <w:rsid w:val="009B5964"/>
    <w:rsid w:val="009B5FE9"/>
    <w:rsid w:val="009B6198"/>
    <w:rsid w:val="009B63A2"/>
    <w:rsid w:val="009B6E8B"/>
    <w:rsid w:val="009B75BC"/>
    <w:rsid w:val="009C0285"/>
    <w:rsid w:val="009C0A18"/>
    <w:rsid w:val="009C0D87"/>
    <w:rsid w:val="009C0F45"/>
    <w:rsid w:val="009C11D0"/>
    <w:rsid w:val="009C13CF"/>
    <w:rsid w:val="009C3055"/>
    <w:rsid w:val="009C30C4"/>
    <w:rsid w:val="009C4263"/>
    <w:rsid w:val="009C4F07"/>
    <w:rsid w:val="009C509F"/>
    <w:rsid w:val="009C51EB"/>
    <w:rsid w:val="009C5219"/>
    <w:rsid w:val="009C5291"/>
    <w:rsid w:val="009C53D6"/>
    <w:rsid w:val="009C5D6F"/>
    <w:rsid w:val="009C5E80"/>
    <w:rsid w:val="009C6148"/>
    <w:rsid w:val="009C6305"/>
    <w:rsid w:val="009C63E2"/>
    <w:rsid w:val="009C69E6"/>
    <w:rsid w:val="009C6EF2"/>
    <w:rsid w:val="009C7243"/>
    <w:rsid w:val="009C7605"/>
    <w:rsid w:val="009C7E4C"/>
    <w:rsid w:val="009D11A5"/>
    <w:rsid w:val="009D1A14"/>
    <w:rsid w:val="009D1A2C"/>
    <w:rsid w:val="009D205C"/>
    <w:rsid w:val="009D2DD3"/>
    <w:rsid w:val="009D4045"/>
    <w:rsid w:val="009D40F3"/>
    <w:rsid w:val="009D4333"/>
    <w:rsid w:val="009D468C"/>
    <w:rsid w:val="009D46F5"/>
    <w:rsid w:val="009D48A6"/>
    <w:rsid w:val="009D4DDB"/>
    <w:rsid w:val="009D5BB0"/>
    <w:rsid w:val="009D5EA5"/>
    <w:rsid w:val="009D68C0"/>
    <w:rsid w:val="009D6AAE"/>
    <w:rsid w:val="009D7019"/>
    <w:rsid w:val="009D7150"/>
    <w:rsid w:val="009D7431"/>
    <w:rsid w:val="009D763A"/>
    <w:rsid w:val="009E01E7"/>
    <w:rsid w:val="009E0325"/>
    <w:rsid w:val="009E1C39"/>
    <w:rsid w:val="009E28A5"/>
    <w:rsid w:val="009E2AE8"/>
    <w:rsid w:val="009E32C3"/>
    <w:rsid w:val="009E353B"/>
    <w:rsid w:val="009E3798"/>
    <w:rsid w:val="009E4256"/>
    <w:rsid w:val="009E4619"/>
    <w:rsid w:val="009E488F"/>
    <w:rsid w:val="009E4D89"/>
    <w:rsid w:val="009E4F62"/>
    <w:rsid w:val="009E578B"/>
    <w:rsid w:val="009E640D"/>
    <w:rsid w:val="009E687D"/>
    <w:rsid w:val="009E721C"/>
    <w:rsid w:val="009E7544"/>
    <w:rsid w:val="009F0189"/>
    <w:rsid w:val="009F024F"/>
    <w:rsid w:val="009F0DD8"/>
    <w:rsid w:val="009F0EF8"/>
    <w:rsid w:val="009F1218"/>
    <w:rsid w:val="009F146B"/>
    <w:rsid w:val="009F1867"/>
    <w:rsid w:val="009F1DB8"/>
    <w:rsid w:val="009F28DE"/>
    <w:rsid w:val="009F3345"/>
    <w:rsid w:val="009F35AE"/>
    <w:rsid w:val="009F36AD"/>
    <w:rsid w:val="009F3B13"/>
    <w:rsid w:val="009F3B79"/>
    <w:rsid w:val="009F3FA3"/>
    <w:rsid w:val="009F4346"/>
    <w:rsid w:val="009F4557"/>
    <w:rsid w:val="009F531D"/>
    <w:rsid w:val="009F5B6B"/>
    <w:rsid w:val="009F5C90"/>
    <w:rsid w:val="009F5D8A"/>
    <w:rsid w:val="009F5D9A"/>
    <w:rsid w:val="009F5E43"/>
    <w:rsid w:val="009F7F70"/>
    <w:rsid w:val="009F7FD5"/>
    <w:rsid w:val="00A00842"/>
    <w:rsid w:val="00A00B23"/>
    <w:rsid w:val="00A00E68"/>
    <w:rsid w:val="00A01A21"/>
    <w:rsid w:val="00A01A36"/>
    <w:rsid w:val="00A01AE2"/>
    <w:rsid w:val="00A01E35"/>
    <w:rsid w:val="00A022E4"/>
    <w:rsid w:val="00A0254D"/>
    <w:rsid w:val="00A02EF9"/>
    <w:rsid w:val="00A033BA"/>
    <w:rsid w:val="00A033EC"/>
    <w:rsid w:val="00A034AE"/>
    <w:rsid w:val="00A03CA9"/>
    <w:rsid w:val="00A03CD7"/>
    <w:rsid w:val="00A03D25"/>
    <w:rsid w:val="00A03D64"/>
    <w:rsid w:val="00A04901"/>
    <w:rsid w:val="00A050E5"/>
    <w:rsid w:val="00A05916"/>
    <w:rsid w:val="00A05AA0"/>
    <w:rsid w:val="00A05C5B"/>
    <w:rsid w:val="00A05D3E"/>
    <w:rsid w:val="00A06006"/>
    <w:rsid w:val="00A06CBF"/>
    <w:rsid w:val="00A07913"/>
    <w:rsid w:val="00A07EF2"/>
    <w:rsid w:val="00A10758"/>
    <w:rsid w:val="00A1085F"/>
    <w:rsid w:val="00A10E4A"/>
    <w:rsid w:val="00A10EEE"/>
    <w:rsid w:val="00A111B9"/>
    <w:rsid w:val="00A11817"/>
    <w:rsid w:val="00A119FE"/>
    <w:rsid w:val="00A11C14"/>
    <w:rsid w:val="00A11FF7"/>
    <w:rsid w:val="00A127CB"/>
    <w:rsid w:val="00A1292C"/>
    <w:rsid w:val="00A13699"/>
    <w:rsid w:val="00A13987"/>
    <w:rsid w:val="00A148F6"/>
    <w:rsid w:val="00A1497C"/>
    <w:rsid w:val="00A14E93"/>
    <w:rsid w:val="00A14FB0"/>
    <w:rsid w:val="00A154FC"/>
    <w:rsid w:val="00A15AF4"/>
    <w:rsid w:val="00A165E9"/>
    <w:rsid w:val="00A16A6D"/>
    <w:rsid w:val="00A16D90"/>
    <w:rsid w:val="00A171D3"/>
    <w:rsid w:val="00A1730D"/>
    <w:rsid w:val="00A2031A"/>
    <w:rsid w:val="00A204E0"/>
    <w:rsid w:val="00A207E2"/>
    <w:rsid w:val="00A20B5D"/>
    <w:rsid w:val="00A214ED"/>
    <w:rsid w:val="00A21C38"/>
    <w:rsid w:val="00A221C1"/>
    <w:rsid w:val="00A221F0"/>
    <w:rsid w:val="00A22731"/>
    <w:rsid w:val="00A227F0"/>
    <w:rsid w:val="00A2339E"/>
    <w:rsid w:val="00A233E1"/>
    <w:rsid w:val="00A23D1C"/>
    <w:rsid w:val="00A2424B"/>
    <w:rsid w:val="00A2437F"/>
    <w:rsid w:val="00A2483F"/>
    <w:rsid w:val="00A251B2"/>
    <w:rsid w:val="00A251FC"/>
    <w:rsid w:val="00A256CF"/>
    <w:rsid w:val="00A2598F"/>
    <w:rsid w:val="00A265B6"/>
    <w:rsid w:val="00A269E1"/>
    <w:rsid w:val="00A26C7B"/>
    <w:rsid w:val="00A27194"/>
    <w:rsid w:val="00A2780B"/>
    <w:rsid w:val="00A27BBD"/>
    <w:rsid w:val="00A30B23"/>
    <w:rsid w:val="00A31493"/>
    <w:rsid w:val="00A319C8"/>
    <w:rsid w:val="00A321AE"/>
    <w:rsid w:val="00A32376"/>
    <w:rsid w:val="00A32D21"/>
    <w:rsid w:val="00A333E0"/>
    <w:rsid w:val="00A33817"/>
    <w:rsid w:val="00A338AE"/>
    <w:rsid w:val="00A33B71"/>
    <w:rsid w:val="00A33CE8"/>
    <w:rsid w:val="00A345F1"/>
    <w:rsid w:val="00A34893"/>
    <w:rsid w:val="00A35032"/>
    <w:rsid w:val="00A35308"/>
    <w:rsid w:val="00A358E9"/>
    <w:rsid w:val="00A35AA6"/>
    <w:rsid w:val="00A35D62"/>
    <w:rsid w:val="00A361D2"/>
    <w:rsid w:val="00A36754"/>
    <w:rsid w:val="00A36A18"/>
    <w:rsid w:val="00A36A19"/>
    <w:rsid w:val="00A36FFE"/>
    <w:rsid w:val="00A373BF"/>
    <w:rsid w:val="00A3750B"/>
    <w:rsid w:val="00A375D2"/>
    <w:rsid w:val="00A376AE"/>
    <w:rsid w:val="00A37CC3"/>
    <w:rsid w:val="00A37D2B"/>
    <w:rsid w:val="00A401EA"/>
    <w:rsid w:val="00A4081A"/>
    <w:rsid w:val="00A40983"/>
    <w:rsid w:val="00A40BB2"/>
    <w:rsid w:val="00A40E2F"/>
    <w:rsid w:val="00A40E78"/>
    <w:rsid w:val="00A40EE1"/>
    <w:rsid w:val="00A414FD"/>
    <w:rsid w:val="00A41BA3"/>
    <w:rsid w:val="00A42205"/>
    <w:rsid w:val="00A429A1"/>
    <w:rsid w:val="00A42AA1"/>
    <w:rsid w:val="00A42D64"/>
    <w:rsid w:val="00A43002"/>
    <w:rsid w:val="00A431E7"/>
    <w:rsid w:val="00A4375A"/>
    <w:rsid w:val="00A43DDF"/>
    <w:rsid w:val="00A44588"/>
    <w:rsid w:val="00A446BE"/>
    <w:rsid w:val="00A44D43"/>
    <w:rsid w:val="00A45066"/>
    <w:rsid w:val="00A45BF4"/>
    <w:rsid w:val="00A45CDD"/>
    <w:rsid w:val="00A45E5A"/>
    <w:rsid w:val="00A45F67"/>
    <w:rsid w:val="00A4631C"/>
    <w:rsid w:val="00A46385"/>
    <w:rsid w:val="00A464FE"/>
    <w:rsid w:val="00A46A30"/>
    <w:rsid w:val="00A46A8B"/>
    <w:rsid w:val="00A46E8B"/>
    <w:rsid w:val="00A47119"/>
    <w:rsid w:val="00A501C8"/>
    <w:rsid w:val="00A50423"/>
    <w:rsid w:val="00A505E1"/>
    <w:rsid w:val="00A50A12"/>
    <w:rsid w:val="00A50AE6"/>
    <w:rsid w:val="00A50BBF"/>
    <w:rsid w:val="00A50C1B"/>
    <w:rsid w:val="00A514CF"/>
    <w:rsid w:val="00A516C8"/>
    <w:rsid w:val="00A5170D"/>
    <w:rsid w:val="00A51A43"/>
    <w:rsid w:val="00A51CC8"/>
    <w:rsid w:val="00A51D38"/>
    <w:rsid w:val="00A52014"/>
    <w:rsid w:val="00A524C6"/>
    <w:rsid w:val="00A525A4"/>
    <w:rsid w:val="00A527A9"/>
    <w:rsid w:val="00A52C50"/>
    <w:rsid w:val="00A53251"/>
    <w:rsid w:val="00A533F0"/>
    <w:rsid w:val="00A54CD2"/>
    <w:rsid w:val="00A54E7F"/>
    <w:rsid w:val="00A5525F"/>
    <w:rsid w:val="00A55518"/>
    <w:rsid w:val="00A55876"/>
    <w:rsid w:val="00A55A4B"/>
    <w:rsid w:val="00A55AE3"/>
    <w:rsid w:val="00A55CF1"/>
    <w:rsid w:val="00A55EEA"/>
    <w:rsid w:val="00A561EA"/>
    <w:rsid w:val="00A566A1"/>
    <w:rsid w:val="00A566E5"/>
    <w:rsid w:val="00A56AF5"/>
    <w:rsid w:val="00A572C8"/>
    <w:rsid w:val="00A57529"/>
    <w:rsid w:val="00A5791A"/>
    <w:rsid w:val="00A60EC5"/>
    <w:rsid w:val="00A625B7"/>
    <w:rsid w:val="00A62C71"/>
    <w:rsid w:val="00A62CE5"/>
    <w:rsid w:val="00A62D6A"/>
    <w:rsid w:val="00A63386"/>
    <w:rsid w:val="00A637AE"/>
    <w:rsid w:val="00A63A9B"/>
    <w:rsid w:val="00A63BBD"/>
    <w:rsid w:val="00A63D35"/>
    <w:rsid w:val="00A640EE"/>
    <w:rsid w:val="00A642EA"/>
    <w:rsid w:val="00A64420"/>
    <w:rsid w:val="00A64511"/>
    <w:rsid w:val="00A645E9"/>
    <w:rsid w:val="00A6497F"/>
    <w:rsid w:val="00A64E20"/>
    <w:rsid w:val="00A65199"/>
    <w:rsid w:val="00A65213"/>
    <w:rsid w:val="00A6619C"/>
    <w:rsid w:val="00A665CA"/>
    <w:rsid w:val="00A66850"/>
    <w:rsid w:val="00A67026"/>
    <w:rsid w:val="00A673C3"/>
    <w:rsid w:val="00A673E5"/>
    <w:rsid w:val="00A67F0D"/>
    <w:rsid w:val="00A7028B"/>
    <w:rsid w:val="00A70410"/>
    <w:rsid w:val="00A704D3"/>
    <w:rsid w:val="00A70613"/>
    <w:rsid w:val="00A70626"/>
    <w:rsid w:val="00A70715"/>
    <w:rsid w:val="00A7071F"/>
    <w:rsid w:val="00A7072E"/>
    <w:rsid w:val="00A70E23"/>
    <w:rsid w:val="00A71DDC"/>
    <w:rsid w:val="00A72372"/>
    <w:rsid w:val="00A72780"/>
    <w:rsid w:val="00A72B48"/>
    <w:rsid w:val="00A72B7E"/>
    <w:rsid w:val="00A72BEA"/>
    <w:rsid w:val="00A72E96"/>
    <w:rsid w:val="00A73D54"/>
    <w:rsid w:val="00A74031"/>
    <w:rsid w:val="00A741A6"/>
    <w:rsid w:val="00A746D2"/>
    <w:rsid w:val="00A748B3"/>
    <w:rsid w:val="00A74CBE"/>
    <w:rsid w:val="00A74E64"/>
    <w:rsid w:val="00A757FD"/>
    <w:rsid w:val="00A75E64"/>
    <w:rsid w:val="00A75F39"/>
    <w:rsid w:val="00A761B1"/>
    <w:rsid w:val="00A762B6"/>
    <w:rsid w:val="00A762DA"/>
    <w:rsid w:val="00A764AA"/>
    <w:rsid w:val="00A768D6"/>
    <w:rsid w:val="00A76C69"/>
    <w:rsid w:val="00A77632"/>
    <w:rsid w:val="00A80A72"/>
    <w:rsid w:val="00A80C51"/>
    <w:rsid w:val="00A80F44"/>
    <w:rsid w:val="00A81144"/>
    <w:rsid w:val="00A81341"/>
    <w:rsid w:val="00A81CB4"/>
    <w:rsid w:val="00A8250C"/>
    <w:rsid w:val="00A827D8"/>
    <w:rsid w:val="00A82C91"/>
    <w:rsid w:val="00A82E11"/>
    <w:rsid w:val="00A8312D"/>
    <w:rsid w:val="00A8368B"/>
    <w:rsid w:val="00A83C9C"/>
    <w:rsid w:val="00A843DD"/>
    <w:rsid w:val="00A84AC1"/>
    <w:rsid w:val="00A84AFF"/>
    <w:rsid w:val="00A8518C"/>
    <w:rsid w:val="00A85B1F"/>
    <w:rsid w:val="00A860D4"/>
    <w:rsid w:val="00A874BD"/>
    <w:rsid w:val="00A87574"/>
    <w:rsid w:val="00A87789"/>
    <w:rsid w:val="00A879E2"/>
    <w:rsid w:val="00A87A52"/>
    <w:rsid w:val="00A87A53"/>
    <w:rsid w:val="00A90371"/>
    <w:rsid w:val="00A90E73"/>
    <w:rsid w:val="00A90F69"/>
    <w:rsid w:val="00A91A78"/>
    <w:rsid w:val="00A91BA2"/>
    <w:rsid w:val="00A91ED8"/>
    <w:rsid w:val="00A92094"/>
    <w:rsid w:val="00A9272B"/>
    <w:rsid w:val="00A92884"/>
    <w:rsid w:val="00A93747"/>
    <w:rsid w:val="00A938B0"/>
    <w:rsid w:val="00A93A7E"/>
    <w:rsid w:val="00A93EA6"/>
    <w:rsid w:val="00A943BB"/>
    <w:rsid w:val="00A94705"/>
    <w:rsid w:val="00A94AEC"/>
    <w:rsid w:val="00A94E4B"/>
    <w:rsid w:val="00A9513B"/>
    <w:rsid w:val="00A95F89"/>
    <w:rsid w:val="00A96047"/>
    <w:rsid w:val="00A961A4"/>
    <w:rsid w:val="00A96343"/>
    <w:rsid w:val="00A96540"/>
    <w:rsid w:val="00A97072"/>
    <w:rsid w:val="00A97677"/>
    <w:rsid w:val="00AA0480"/>
    <w:rsid w:val="00AA0580"/>
    <w:rsid w:val="00AA0823"/>
    <w:rsid w:val="00AA18F1"/>
    <w:rsid w:val="00AA24B0"/>
    <w:rsid w:val="00AA2826"/>
    <w:rsid w:val="00AA2861"/>
    <w:rsid w:val="00AA2B45"/>
    <w:rsid w:val="00AA2E20"/>
    <w:rsid w:val="00AA331E"/>
    <w:rsid w:val="00AA3473"/>
    <w:rsid w:val="00AA396F"/>
    <w:rsid w:val="00AA3BA2"/>
    <w:rsid w:val="00AA3CE8"/>
    <w:rsid w:val="00AA47BB"/>
    <w:rsid w:val="00AA53DC"/>
    <w:rsid w:val="00AA7068"/>
    <w:rsid w:val="00AA77DE"/>
    <w:rsid w:val="00AB0416"/>
    <w:rsid w:val="00AB08BE"/>
    <w:rsid w:val="00AB0AC5"/>
    <w:rsid w:val="00AB0E8A"/>
    <w:rsid w:val="00AB1149"/>
    <w:rsid w:val="00AB1339"/>
    <w:rsid w:val="00AB1E3A"/>
    <w:rsid w:val="00AB2245"/>
    <w:rsid w:val="00AB2317"/>
    <w:rsid w:val="00AB333A"/>
    <w:rsid w:val="00AB39C6"/>
    <w:rsid w:val="00AB40DF"/>
    <w:rsid w:val="00AB4B3C"/>
    <w:rsid w:val="00AB4E32"/>
    <w:rsid w:val="00AB5424"/>
    <w:rsid w:val="00AB5526"/>
    <w:rsid w:val="00AB5540"/>
    <w:rsid w:val="00AB59DE"/>
    <w:rsid w:val="00AB5A01"/>
    <w:rsid w:val="00AB5E79"/>
    <w:rsid w:val="00AB6CA5"/>
    <w:rsid w:val="00AB72A8"/>
    <w:rsid w:val="00AB757E"/>
    <w:rsid w:val="00AB75EA"/>
    <w:rsid w:val="00AC0370"/>
    <w:rsid w:val="00AC0584"/>
    <w:rsid w:val="00AC06B5"/>
    <w:rsid w:val="00AC0B1B"/>
    <w:rsid w:val="00AC0EEA"/>
    <w:rsid w:val="00AC157E"/>
    <w:rsid w:val="00AC219A"/>
    <w:rsid w:val="00AC2BCF"/>
    <w:rsid w:val="00AC2DBE"/>
    <w:rsid w:val="00AC3213"/>
    <w:rsid w:val="00AC33F9"/>
    <w:rsid w:val="00AC3B7E"/>
    <w:rsid w:val="00AC3BD2"/>
    <w:rsid w:val="00AC403C"/>
    <w:rsid w:val="00AC4197"/>
    <w:rsid w:val="00AC4299"/>
    <w:rsid w:val="00AC442D"/>
    <w:rsid w:val="00AC4C2B"/>
    <w:rsid w:val="00AC557B"/>
    <w:rsid w:val="00AC5684"/>
    <w:rsid w:val="00AC57DF"/>
    <w:rsid w:val="00AC6761"/>
    <w:rsid w:val="00AC6800"/>
    <w:rsid w:val="00AC69FA"/>
    <w:rsid w:val="00AC6C0B"/>
    <w:rsid w:val="00AC6CBA"/>
    <w:rsid w:val="00AC7412"/>
    <w:rsid w:val="00AC7B6E"/>
    <w:rsid w:val="00AD00E2"/>
    <w:rsid w:val="00AD03FA"/>
    <w:rsid w:val="00AD0D5E"/>
    <w:rsid w:val="00AD1201"/>
    <w:rsid w:val="00AD160B"/>
    <w:rsid w:val="00AD189D"/>
    <w:rsid w:val="00AD1D77"/>
    <w:rsid w:val="00AD228B"/>
    <w:rsid w:val="00AD34B8"/>
    <w:rsid w:val="00AD3FD4"/>
    <w:rsid w:val="00AD419B"/>
    <w:rsid w:val="00AD41A5"/>
    <w:rsid w:val="00AD4229"/>
    <w:rsid w:val="00AD4BB3"/>
    <w:rsid w:val="00AD5229"/>
    <w:rsid w:val="00AD54D5"/>
    <w:rsid w:val="00AD5B5B"/>
    <w:rsid w:val="00AD5C9E"/>
    <w:rsid w:val="00AD6168"/>
    <w:rsid w:val="00AD683D"/>
    <w:rsid w:val="00AD6A84"/>
    <w:rsid w:val="00AD70CB"/>
    <w:rsid w:val="00AD728D"/>
    <w:rsid w:val="00AD7443"/>
    <w:rsid w:val="00AD7590"/>
    <w:rsid w:val="00AD7B73"/>
    <w:rsid w:val="00AE00AA"/>
    <w:rsid w:val="00AE014D"/>
    <w:rsid w:val="00AE19A2"/>
    <w:rsid w:val="00AE2ACF"/>
    <w:rsid w:val="00AE2E03"/>
    <w:rsid w:val="00AE435C"/>
    <w:rsid w:val="00AE4672"/>
    <w:rsid w:val="00AE4D66"/>
    <w:rsid w:val="00AE4D9F"/>
    <w:rsid w:val="00AE54A4"/>
    <w:rsid w:val="00AE54FD"/>
    <w:rsid w:val="00AE56BB"/>
    <w:rsid w:val="00AE5BC5"/>
    <w:rsid w:val="00AE655C"/>
    <w:rsid w:val="00AE671F"/>
    <w:rsid w:val="00AE6CE0"/>
    <w:rsid w:val="00AE7549"/>
    <w:rsid w:val="00AE76A7"/>
    <w:rsid w:val="00AE7C8B"/>
    <w:rsid w:val="00AF0A97"/>
    <w:rsid w:val="00AF2886"/>
    <w:rsid w:val="00AF2B04"/>
    <w:rsid w:val="00AF3038"/>
    <w:rsid w:val="00AF33D3"/>
    <w:rsid w:val="00AF3423"/>
    <w:rsid w:val="00AF45A9"/>
    <w:rsid w:val="00AF4DB2"/>
    <w:rsid w:val="00AF4FF5"/>
    <w:rsid w:val="00AF5299"/>
    <w:rsid w:val="00AF5419"/>
    <w:rsid w:val="00AF554D"/>
    <w:rsid w:val="00AF5709"/>
    <w:rsid w:val="00AF5FDD"/>
    <w:rsid w:val="00AF628C"/>
    <w:rsid w:val="00AF62F6"/>
    <w:rsid w:val="00AF6791"/>
    <w:rsid w:val="00AF6BE4"/>
    <w:rsid w:val="00AF6CA4"/>
    <w:rsid w:val="00AF6E67"/>
    <w:rsid w:val="00AF7AFA"/>
    <w:rsid w:val="00AF7BBB"/>
    <w:rsid w:val="00AF7FCB"/>
    <w:rsid w:val="00B00152"/>
    <w:rsid w:val="00B00287"/>
    <w:rsid w:val="00B01182"/>
    <w:rsid w:val="00B0123E"/>
    <w:rsid w:val="00B017B4"/>
    <w:rsid w:val="00B01ACA"/>
    <w:rsid w:val="00B01C5A"/>
    <w:rsid w:val="00B02167"/>
    <w:rsid w:val="00B02F01"/>
    <w:rsid w:val="00B03293"/>
    <w:rsid w:val="00B03412"/>
    <w:rsid w:val="00B0349A"/>
    <w:rsid w:val="00B037D7"/>
    <w:rsid w:val="00B037D8"/>
    <w:rsid w:val="00B03A08"/>
    <w:rsid w:val="00B03EB3"/>
    <w:rsid w:val="00B03EFF"/>
    <w:rsid w:val="00B04308"/>
    <w:rsid w:val="00B051E4"/>
    <w:rsid w:val="00B05BD9"/>
    <w:rsid w:val="00B05EB9"/>
    <w:rsid w:val="00B05FA7"/>
    <w:rsid w:val="00B064CA"/>
    <w:rsid w:val="00B0702D"/>
    <w:rsid w:val="00B078FB"/>
    <w:rsid w:val="00B07DFD"/>
    <w:rsid w:val="00B101CC"/>
    <w:rsid w:val="00B108DA"/>
    <w:rsid w:val="00B1092E"/>
    <w:rsid w:val="00B1110E"/>
    <w:rsid w:val="00B1127A"/>
    <w:rsid w:val="00B114AA"/>
    <w:rsid w:val="00B119CF"/>
    <w:rsid w:val="00B11DA4"/>
    <w:rsid w:val="00B12855"/>
    <w:rsid w:val="00B12E02"/>
    <w:rsid w:val="00B12F37"/>
    <w:rsid w:val="00B13097"/>
    <w:rsid w:val="00B13261"/>
    <w:rsid w:val="00B1382A"/>
    <w:rsid w:val="00B1400B"/>
    <w:rsid w:val="00B14336"/>
    <w:rsid w:val="00B1509E"/>
    <w:rsid w:val="00B15C8A"/>
    <w:rsid w:val="00B163A0"/>
    <w:rsid w:val="00B16792"/>
    <w:rsid w:val="00B17128"/>
    <w:rsid w:val="00B17153"/>
    <w:rsid w:val="00B17289"/>
    <w:rsid w:val="00B172AB"/>
    <w:rsid w:val="00B173C6"/>
    <w:rsid w:val="00B1775D"/>
    <w:rsid w:val="00B17EBF"/>
    <w:rsid w:val="00B20ABA"/>
    <w:rsid w:val="00B21002"/>
    <w:rsid w:val="00B21742"/>
    <w:rsid w:val="00B21B34"/>
    <w:rsid w:val="00B21D0A"/>
    <w:rsid w:val="00B21DCC"/>
    <w:rsid w:val="00B220E6"/>
    <w:rsid w:val="00B224E8"/>
    <w:rsid w:val="00B22736"/>
    <w:rsid w:val="00B233F8"/>
    <w:rsid w:val="00B24787"/>
    <w:rsid w:val="00B24B37"/>
    <w:rsid w:val="00B24BBD"/>
    <w:rsid w:val="00B24DE8"/>
    <w:rsid w:val="00B2551D"/>
    <w:rsid w:val="00B262E8"/>
    <w:rsid w:val="00B2651C"/>
    <w:rsid w:val="00B26597"/>
    <w:rsid w:val="00B266F7"/>
    <w:rsid w:val="00B266FE"/>
    <w:rsid w:val="00B26976"/>
    <w:rsid w:val="00B26E73"/>
    <w:rsid w:val="00B26F96"/>
    <w:rsid w:val="00B27AB0"/>
    <w:rsid w:val="00B27F0D"/>
    <w:rsid w:val="00B27FE5"/>
    <w:rsid w:val="00B300C1"/>
    <w:rsid w:val="00B3035A"/>
    <w:rsid w:val="00B30554"/>
    <w:rsid w:val="00B30576"/>
    <w:rsid w:val="00B30816"/>
    <w:rsid w:val="00B30992"/>
    <w:rsid w:val="00B309BA"/>
    <w:rsid w:val="00B31007"/>
    <w:rsid w:val="00B31CDA"/>
    <w:rsid w:val="00B31E5E"/>
    <w:rsid w:val="00B31F42"/>
    <w:rsid w:val="00B31F4A"/>
    <w:rsid w:val="00B322DB"/>
    <w:rsid w:val="00B328C6"/>
    <w:rsid w:val="00B331F5"/>
    <w:rsid w:val="00B3351D"/>
    <w:rsid w:val="00B335E3"/>
    <w:rsid w:val="00B337F3"/>
    <w:rsid w:val="00B33BC8"/>
    <w:rsid w:val="00B342BE"/>
    <w:rsid w:val="00B342D9"/>
    <w:rsid w:val="00B344EF"/>
    <w:rsid w:val="00B34A62"/>
    <w:rsid w:val="00B35A74"/>
    <w:rsid w:val="00B35AA6"/>
    <w:rsid w:val="00B35B60"/>
    <w:rsid w:val="00B3608A"/>
    <w:rsid w:val="00B360DB"/>
    <w:rsid w:val="00B36383"/>
    <w:rsid w:val="00B3708E"/>
    <w:rsid w:val="00B37138"/>
    <w:rsid w:val="00B3747C"/>
    <w:rsid w:val="00B37E4E"/>
    <w:rsid w:val="00B40010"/>
    <w:rsid w:val="00B40406"/>
    <w:rsid w:val="00B40AE9"/>
    <w:rsid w:val="00B40E48"/>
    <w:rsid w:val="00B4180F"/>
    <w:rsid w:val="00B418D0"/>
    <w:rsid w:val="00B41F75"/>
    <w:rsid w:val="00B4210B"/>
    <w:rsid w:val="00B422A2"/>
    <w:rsid w:val="00B42609"/>
    <w:rsid w:val="00B42C82"/>
    <w:rsid w:val="00B43651"/>
    <w:rsid w:val="00B438BC"/>
    <w:rsid w:val="00B444A5"/>
    <w:rsid w:val="00B444EA"/>
    <w:rsid w:val="00B44902"/>
    <w:rsid w:val="00B45057"/>
    <w:rsid w:val="00B45376"/>
    <w:rsid w:val="00B453C0"/>
    <w:rsid w:val="00B45B03"/>
    <w:rsid w:val="00B46761"/>
    <w:rsid w:val="00B4680D"/>
    <w:rsid w:val="00B46D81"/>
    <w:rsid w:val="00B47235"/>
    <w:rsid w:val="00B47246"/>
    <w:rsid w:val="00B477C3"/>
    <w:rsid w:val="00B47F56"/>
    <w:rsid w:val="00B50122"/>
    <w:rsid w:val="00B5097F"/>
    <w:rsid w:val="00B50AFC"/>
    <w:rsid w:val="00B50F94"/>
    <w:rsid w:val="00B5128E"/>
    <w:rsid w:val="00B51C26"/>
    <w:rsid w:val="00B525D3"/>
    <w:rsid w:val="00B52B5D"/>
    <w:rsid w:val="00B52E38"/>
    <w:rsid w:val="00B5327C"/>
    <w:rsid w:val="00B53506"/>
    <w:rsid w:val="00B5375F"/>
    <w:rsid w:val="00B53B82"/>
    <w:rsid w:val="00B53D56"/>
    <w:rsid w:val="00B54C8D"/>
    <w:rsid w:val="00B54F19"/>
    <w:rsid w:val="00B55166"/>
    <w:rsid w:val="00B551A3"/>
    <w:rsid w:val="00B55733"/>
    <w:rsid w:val="00B55A02"/>
    <w:rsid w:val="00B55A5C"/>
    <w:rsid w:val="00B56395"/>
    <w:rsid w:val="00B576BD"/>
    <w:rsid w:val="00B576FD"/>
    <w:rsid w:val="00B57B27"/>
    <w:rsid w:val="00B57BA1"/>
    <w:rsid w:val="00B60618"/>
    <w:rsid w:val="00B607C0"/>
    <w:rsid w:val="00B6081F"/>
    <w:rsid w:val="00B60AEE"/>
    <w:rsid w:val="00B60C9F"/>
    <w:rsid w:val="00B611F2"/>
    <w:rsid w:val="00B61568"/>
    <w:rsid w:val="00B61BC1"/>
    <w:rsid w:val="00B61E37"/>
    <w:rsid w:val="00B6202C"/>
    <w:rsid w:val="00B62349"/>
    <w:rsid w:val="00B62D6B"/>
    <w:rsid w:val="00B632DC"/>
    <w:rsid w:val="00B63371"/>
    <w:rsid w:val="00B636E1"/>
    <w:rsid w:val="00B63D28"/>
    <w:rsid w:val="00B63E49"/>
    <w:rsid w:val="00B63F2B"/>
    <w:rsid w:val="00B6446F"/>
    <w:rsid w:val="00B647D6"/>
    <w:rsid w:val="00B64829"/>
    <w:rsid w:val="00B65044"/>
    <w:rsid w:val="00B655BD"/>
    <w:rsid w:val="00B65FD9"/>
    <w:rsid w:val="00B6606D"/>
    <w:rsid w:val="00B670E4"/>
    <w:rsid w:val="00B67543"/>
    <w:rsid w:val="00B67622"/>
    <w:rsid w:val="00B70F7C"/>
    <w:rsid w:val="00B71125"/>
    <w:rsid w:val="00B714B9"/>
    <w:rsid w:val="00B71C1F"/>
    <w:rsid w:val="00B721FC"/>
    <w:rsid w:val="00B72229"/>
    <w:rsid w:val="00B7224C"/>
    <w:rsid w:val="00B7300A"/>
    <w:rsid w:val="00B7300E"/>
    <w:rsid w:val="00B73821"/>
    <w:rsid w:val="00B73A33"/>
    <w:rsid w:val="00B73BE0"/>
    <w:rsid w:val="00B73C78"/>
    <w:rsid w:val="00B73E53"/>
    <w:rsid w:val="00B74686"/>
    <w:rsid w:val="00B7482E"/>
    <w:rsid w:val="00B74BFC"/>
    <w:rsid w:val="00B75208"/>
    <w:rsid w:val="00B752E9"/>
    <w:rsid w:val="00B75EE3"/>
    <w:rsid w:val="00B770A6"/>
    <w:rsid w:val="00B77A2E"/>
    <w:rsid w:val="00B80EEE"/>
    <w:rsid w:val="00B810C4"/>
    <w:rsid w:val="00B814F8"/>
    <w:rsid w:val="00B817FC"/>
    <w:rsid w:val="00B82028"/>
    <w:rsid w:val="00B8213F"/>
    <w:rsid w:val="00B82252"/>
    <w:rsid w:val="00B82281"/>
    <w:rsid w:val="00B82393"/>
    <w:rsid w:val="00B823F0"/>
    <w:rsid w:val="00B8318A"/>
    <w:rsid w:val="00B833FE"/>
    <w:rsid w:val="00B836A1"/>
    <w:rsid w:val="00B83F59"/>
    <w:rsid w:val="00B84C02"/>
    <w:rsid w:val="00B84E14"/>
    <w:rsid w:val="00B84E8A"/>
    <w:rsid w:val="00B857B2"/>
    <w:rsid w:val="00B8580B"/>
    <w:rsid w:val="00B85917"/>
    <w:rsid w:val="00B8605F"/>
    <w:rsid w:val="00B860DB"/>
    <w:rsid w:val="00B86231"/>
    <w:rsid w:val="00B86B88"/>
    <w:rsid w:val="00B86C59"/>
    <w:rsid w:val="00B872F9"/>
    <w:rsid w:val="00B8732C"/>
    <w:rsid w:val="00B875EB"/>
    <w:rsid w:val="00B900E6"/>
    <w:rsid w:val="00B90283"/>
    <w:rsid w:val="00B9029C"/>
    <w:rsid w:val="00B9053D"/>
    <w:rsid w:val="00B909D8"/>
    <w:rsid w:val="00B90CCE"/>
    <w:rsid w:val="00B90D67"/>
    <w:rsid w:val="00B9117D"/>
    <w:rsid w:val="00B9145A"/>
    <w:rsid w:val="00B915A1"/>
    <w:rsid w:val="00B91762"/>
    <w:rsid w:val="00B92489"/>
    <w:rsid w:val="00B92D0C"/>
    <w:rsid w:val="00B9312A"/>
    <w:rsid w:val="00B931B7"/>
    <w:rsid w:val="00B93541"/>
    <w:rsid w:val="00B93A58"/>
    <w:rsid w:val="00B93AE5"/>
    <w:rsid w:val="00B941B9"/>
    <w:rsid w:val="00B94786"/>
    <w:rsid w:val="00B94823"/>
    <w:rsid w:val="00B9488E"/>
    <w:rsid w:val="00B9501B"/>
    <w:rsid w:val="00B950E9"/>
    <w:rsid w:val="00B952E7"/>
    <w:rsid w:val="00B968B3"/>
    <w:rsid w:val="00B968B7"/>
    <w:rsid w:val="00B96BED"/>
    <w:rsid w:val="00B96C7E"/>
    <w:rsid w:val="00B96FB5"/>
    <w:rsid w:val="00B9751D"/>
    <w:rsid w:val="00B976E8"/>
    <w:rsid w:val="00B97C8D"/>
    <w:rsid w:val="00BA03B9"/>
    <w:rsid w:val="00BA0524"/>
    <w:rsid w:val="00BA078C"/>
    <w:rsid w:val="00BA09ED"/>
    <w:rsid w:val="00BA0C39"/>
    <w:rsid w:val="00BA0D47"/>
    <w:rsid w:val="00BA0E08"/>
    <w:rsid w:val="00BA0E69"/>
    <w:rsid w:val="00BA123B"/>
    <w:rsid w:val="00BA1474"/>
    <w:rsid w:val="00BA16A4"/>
    <w:rsid w:val="00BA1CDC"/>
    <w:rsid w:val="00BA20DB"/>
    <w:rsid w:val="00BA328A"/>
    <w:rsid w:val="00BA32EB"/>
    <w:rsid w:val="00BA39E2"/>
    <w:rsid w:val="00BA3B26"/>
    <w:rsid w:val="00BA3C10"/>
    <w:rsid w:val="00BA45D9"/>
    <w:rsid w:val="00BA4953"/>
    <w:rsid w:val="00BA4FFE"/>
    <w:rsid w:val="00BA5119"/>
    <w:rsid w:val="00BA52AB"/>
    <w:rsid w:val="00BA541C"/>
    <w:rsid w:val="00BA5524"/>
    <w:rsid w:val="00BA5D35"/>
    <w:rsid w:val="00BA5E77"/>
    <w:rsid w:val="00BA5FED"/>
    <w:rsid w:val="00BA61F0"/>
    <w:rsid w:val="00BA6B84"/>
    <w:rsid w:val="00BA73E1"/>
    <w:rsid w:val="00BA76F3"/>
    <w:rsid w:val="00BA785B"/>
    <w:rsid w:val="00BA79C5"/>
    <w:rsid w:val="00BA7C89"/>
    <w:rsid w:val="00BA7CE1"/>
    <w:rsid w:val="00BA7E32"/>
    <w:rsid w:val="00BB036F"/>
    <w:rsid w:val="00BB0436"/>
    <w:rsid w:val="00BB06ED"/>
    <w:rsid w:val="00BB08A5"/>
    <w:rsid w:val="00BB0B64"/>
    <w:rsid w:val="00BB1020"/>
    <w:rsid w:val="00BB114B"/>
    <w:rsid w:val="00BB1689"/>
    <w:rsid w:val="00BB289A"/>
    <w:rsid w:val="00BB2BBB"/>
    <w:rsid w:val="00BB2F08"/>
    <w:rsid w:val="00BB3522"/>
    <w:rsid w:val="00BB36B2"/>
    <w:rsid w:val="00BB3835"/>
    <w:rsid w:val="00BB3873"/>
    <w:rsid w:val="00BB3AFC"/>
    <w:rsid w:val="00BB3D00"/>
    <w:rsid w:val="00BB4068"/>
    <w:rsid w:val="00BB41BE"/>
    <w:rsid w:val="00BB5012"/>
    <w:rsid w:val="00BB5675"/>
    <w:rsid w:val="00BB5878"/>
    <w:rsid w:val="00BB58B6"/>
    <w:rsid w:val="00BB5AEC"/>
    <w:rsid w:val="00BB5E54"/>
    <w:rsid w:val="00BB5F4D"/>
    <w:rsid w:val="00BB602E"/>
    <w:rsid w:val="00BB60D2"/>
    <w:rsid w:val="00BB6392"/>
    <w:rsid w:val="00BB64B7"/>
    <w:rsid w:val="00BB7696"/>
    <w:rsid w:val="00BB79BE"/>
    <w:rsid w:val="00BB7BE2"/>
    <w:rsid w:val="00BB7DC2"/>
    <w:rsid w:val="00BC0376"/>
    <w:rsid w:val="00BC06EB"/>
    <w:rsid w:val="00BC0895"/>
    <w:rsid w:val="00BC0AC4"/>
    <w:rsid w:val="00BC1218"/>
    <w:rsid w:val="00BC1F5E"/>
    <w:rsid w:val="00BC2911"/>
    <w:rsid w:val="00BC2BB6"/>
    <w:rsid w:val="00BC2DD4"/>
    <w:rsid w:val="00BC3004"/>
    <w:rsid w:val="00BC372F"/>
    <w:rsid w:val="00BC3880"/>
    <w:rsid w:val="00BC3A57"/>
    <w:rsid w:val="00BC3B1B"/>
    <w:rsid w:val="00BC4BBE"/>
    <w:rsid w:val="00BC4E9C"/>
    <w:rsid w:val="00BC5A76"/>
    <w:rsid w:val="00BC6132"/>
    <w:rsid w:val="00BC63C9"/>
    <w:rsid w:val="00BC6709"/>
    <w:rsid w:val="00BD032B"/>
    <w:rsid w:val="00BD04E5"/>
    <w:rsid w:val="00BD052B"/>
    <w:rsid w:val="00BD0785"/>
    <w:rsid w:val="00BD13E1"/>
    <w:rsid w:val="00BD1660"/>
    <w:rsid w:val="00BD1BB5"/>
    <w:rsid w:val="00BD1CC1"/>
    <w:rsid w:val="00BD22A4"/>
    <w:rsid w:val="00BD2457"/>
    <w:rsid w:val="00BD2528"/>
    <w:rsid w:val="00BD2C2B"/>
    <w:rsid w:val="00BD3259"/>
    <w:rsid w:val="00BD3290"/>
    <w:rsid w:val="00BD3433"/>
    <w:rsid w:val="00BD3823"/>
    <w:rsid w:val="00BD40CA"/>
    <w:rsid w:val="00BD47B8"/>
    <w:rsid w:val="00BD4880"/>
    <w:rsid w:val="00BD49A8"/>
    <w:rsid w:val="00BD4AA1"/>
    <w:rsid w:val="00BD5B54"/>
    <w:rsid w:val="00BD658A"/>
    <w:rsid w:val="00BD7023"/>
    <w:rsid w:val="00BD7281"/>
    <w:rsid w:val="00BE027D"/>
    <w:rsid w:val="00BE03EF"/>
    <w:rsid w:val="00BE05EF"/>
    <w:rsid w:val="00BE0731"/>
    <w:rsid w:val="00BE18B6"/>
    <w:rsid w:val="00BE2996"/>
    <w:rsid w:val="00BE2DE3"/>
    <w:rsid w:val="00BE30D5"/>
    <w:rsid w:val="00BE32CD"/>
    <w:rsid w:val="00BE4237"/>
    <w:rsid w:val="00BE46B0"/>
    <w:rsid w:val="00BE5529"/>
    <w:rsid w:val="00BE5C19"/>
    <w:rsid w:val="00BE655A"/>
    <w:rsid w:val="00BE68EC"/>
    <w:rsid w:val="00BE690B"/>
    <w:rsid w:val="00BE6C49"/>
    <w:rsid w:val="00BE6E82"/>
    <w:rsid w:val="00BE7003"/>
    <w:rsid w:val="00BE74E8"/>
    <w:rsid w:val="00BE74FC"/>
    <w:rsid w:val="00BE753E"/>
    <w:rsid w:val="00BE79A6"/>
    <w:rsid w:val="00BE7A5E"/>
    <w:rsid w:val="00BF048C"/>
    <w:rsid w:val="00BF06CF"/>
    <w:rsid w:val="00BF0BD2"/>
    <w:rsid w:val="00BF0ED9"/>
    <w:rsid w:val="00BF1698"/>
    <w:rsid w:val="00BF26F3"/>
    <w:rsid w:val="00BF307C"/>
    <w:rsid w:val="00BF33D6"/>
    <w:rsid w:val="00BF364A"/>
    <w:rsid w:val="00BF385A"/>
    <w:rsid w:val="00BF3908"/>
    <w:rsid w:val="00BF3B9C"/>
    <w:rsid w:val="00BF48C9"/>
    <w:rsid w:val="00BF49A9"/>
    <w:rsid w:val="00BF4C7E"/>
    <w:rsid w:val="00BF4EBA"/>
    <w:rsid w:val="00BF4FE3"/>
    <w:rsid w:val="00BF536E"/>
    <w:rsid w:val="00BF5D26"/>
    <w:rsid w:val="00BF5F0E"/>
    <w:rsid w:val="00BF6045"/>
    <w:rsid w:val="00BF69D9"/>
    <w:rsid w:val="00BF71CB"/>
    <w:rsid w:val="00BF7572"/>
    <w:rsid w:val="00BF7B32"/>
    <w:rsid w:val="00BF7BA9"/>
    <w:rsid w:val="00C00913"/>
    <w:rsid w:val="00C009FF"/>
    <w:rsid w:val="00C00D7D"/>
    <w:rsid w:val="00C01328"/>
    <w:rsid w:val="00C01A05"/>
    <w:rsid w:val="00C01D11"/>
    <w:rsid w:val="00C0233B"/>
    <w:rsid w:val="00C0236E"/>
    <w:rsid w:val="00C02D88"/>
    <w:rsid w:val="00C0302E"/>
    <w:rsid w:val="00C03033"/>
    <w:rsid w:val="00C037C6"/>
    <w:rsid w:val="00C03862"/>
    <w:rsid w:val="00C0458A"/>
    <w:rsid w:val="00C04B76"/>
    <w:rsid w:val="00C04D51"/>
    <w:rsid w:val="00C04E6D"/>
    <w:rsid w:val="00C04F36"/>
    <w:rsid w:val="00C054C2"/>
    <w:rsid w:val="00C05978"/>
    <w:rsid w:val="00C05D1B"/>
    <w:rsid w:val="00C063E0"/>
    <w:rsid w:val="00C0666C"/>
    <w:rsid w:val="00C06E7D"/>
    <w:rsid w:val="00C0728C"/>
    <w:rsid w:val="00C07A0A"/>
    <w:rsid w:val="00C07F0A"/>
    <w:rsid w:val="00C10434"/>
    <w:rsid w:val="00C10794"/>
    <w:rsid w:val="00C107A2"/>
    <w:rsid w:val="00C109F8"/>
    <w:rsid w:val="00C111B0"/>
    <w:rsid w:val="00C114C7"/>
    <w:rsid w:val="00C12201"/>
    <w:rsid w:val="00C12203"/>
    <w:rsid w:val="00C12583"/>
    <w:rsid w:val="00C130A9"/>
    <w:rsid w:val="00C13305"/>
    <w:rsid w:val="00C135D0"/>
    <w:rsid w:val="00C13741"/>
    <w:rsid w:val="00C13C36"/>
    <w:rsid w:val="00C13D2B"/>
    <w:rsid w:val="00C13F67"/>
    <w:rsid w:val="00C1471A"/>
    <w:rsid w:val="00C1479F"/>
    <w:rsid w:val="00C14896"/>
    <w:rsid w:val="00C154D6"/>
    <w:rsid w:val="00C158E2"/>
    <w:rsid w:val="00C15A8B"/>
    <w:rsid w:val="00C15AEB"/>
    <w:rsid w:val="00C15D94"/>
    <w:rsid w:val="00C15FA2"/>
    <w:rsid w:val="00C1646D"/>
    <w:rsid w:val="00C167B2"/>
    <w:rsid w:val="00C169F0"/>
    <w:rsid w:val="00C176BD"/>
    <w:rsid w:val="00C1782C"/>
    <w:rsid w:val="00C17ABD"/>
    <w:rsid w:val="00C20491"/>
    <w:rsid w:val="00C209B3"/>
    <w:rsid w:val="00C22254"/>
    <w:rsid w:val="00C227B2"/>
    <w:rsid w:val="00C22818"/>
    <w:rsid w:val="00C22F9F"/>
    <w:rsid w:val="00C22FA3"/>
    <w:rsid w:val="00C22FEA"/>
    <w:rsid w:val="00C23104"/>
    <w:rsid w:val="00C231A7"/>
    <w:rsid w:val="00C23963"/>
    <w:rsid w:val="00C23D0F"/>
    <w:rsid w:val="00C23FA7"/>
    <w:rsid w:val="00C24445"/>
    <w:rsid w:val="00C244A1"/>
    <w:rsid w:val="00C2489F"/>
    <w:rsid w:val="00C249E7"/>
    <w:rsid w:val="00C257FE"/>
    <w:rsid w:val="00C25A23"/>
    <w:rsid w:val="00C25C9C"/>
    <w:rsid w:val="00C25E33"/>
    <w:rsid w:val="00C262C0"/>
    <w:rsid w:val="00C263D1"/>
    <w:rsid w:val="00C26552"/>
    <w:rsid w:val="00C26BB4"/>
    <w:rsid w:val="00C26FE2"/>
    <w:rsid w:val="00C27348"/>
    <w:rsid w:val="00C27695"/>
    <w:rsid w:val="00C278E7"/>
    <w:rsid w:val="00C27B28"/>
    <w:rsid w:val="00C300B4"/>
    <w:rsid w:val="00C300E1"/>
    <w:rsid w:val="00C3020D"/>
    <w:rsid w:val="00C30359"/>
    <w:rsid w:val="00C30849"/>
    <w:rsid w:val="00C31685"/>
    <w:rsid w:val="00C31AD5"/>
    <w:rsid w:val="00C31C41"/>
    <w:rsid w:val="00C31DE1"/>
    <w:rsid w:val="00C31FAA"/>
    <w:rsid w:val="00C32574"/>
    <w:rsid w:val="00C325C0"/>
    <w:rsid w:val="00C32891"/>
    <w:rsid w:val="00C3307E"/>
    <w:rsid w:val="00C3338C"/>
    <w:rsid w:val="00C341DA"/>
    <w:rsid w:val="00C3434F"/>
    <w:rsid w:val="00C34417"/>
    <w:rsid w:val="00C3481E"/>
    <w:rsid w:val="00C34ED6"/>
    <w:rsid w:val="00C350F5"/>
    <w:rsid w:val="00C354F3"/>
    <w:rsid w:val="00C362E0"/>
    <w:rsid w:val="00C3655D"/>
    <w:rsid w:val="00C36709"/>
    <w:rsid w:val="00C36BD2"/>
    <w:rsid w:val="00C36D60"/>
    <w:rsid w:val="00C36F30"/>
    <w:rsid w:val="00C37588"/>
    <w:rsid w:val="00C37A0A"/>
    <w:rsid w:val="00C37CBE"/>
    <w:rsid w:val="00C37EE8"/>
    <w:rsid w:val="00C407EB"/>
    <w:rsid w:val="00C40B08"/>
    <w:rsid w:val="00C40EFE"/>
    <w:rsid w:val="00C414A4"/>
    <w:rsid w:val="00C417E4"/>
    <w:rsid w:val="00C42315"/>
    <w:rsid w:val="00C42C9F"/>
    <w:rsid w:val="00C43C44"/>
    <w:rsid w:val="00C44007"/>
    <w:rsid w:val="00C443AB"/>
    <w:rsid w:val="00C4460E"/>
    <w:rsid w:val="00C44836"/>
    <w:rsid w:val="00C449B2"/>
    <w:rsid w:val="00C449B6"/>
    <w:rsid w:val="00C449F5"/>
    <w:rsid w:val="00C45232"/>
    <w:rsid w:val="00C454E1"/>
    <w:rsid w:val="00C459D2"/>
    <w:rsid w:val="00C46092"/>
    <w:rsid w:val="00C463E4"/>
    <w:rsid w:val="00C46675"/>
    <w:rsid w:val="00C471CD"/>
    <w:rsid w:val="00C47721"/>
    <w:rsid w:val="00C47CF5"/>
    <w:rsid w:val="00C47ED9"/>
    <w:rsid w:val="00C5033D"/>
    <w:rsid w:val="00C50C7E"/>
    <w:rsid w:val="00C510B4"/>
    <w:rsid w:val="00C513E8"/>
    <w:rsid w:val="00C51492"/>
    <w:rsid w:val="00C5171A"/>
    <w:rsid w:val="00C51972"/>
    <w:rsid w:val="00C51FD2"/>
    <w:rsid w:val="00C5225E"/>
    <w:rsid w:val="00C52779"/>
    <w:rsid w:val="00C52B24"/>
    <w:rsid w:val="00C52F77"/>
    <w:rsid w:val="00C531FC"/>
    <w:rsid w:val="00C534D9"/>
    <w:rsid w:val="00C537B6"/>
    <w:rsid w:val="00C53CB8"/>
    <w:rsid w:val="00C53EFD"/>
    <w:rsid w:val="00C550D8"/>
    <w:rsid w:val="00C55B05"/>
    <w:rsid w:val="00C55E0F"/>
    <w:rsid w:val="00C5611A"/>
    <w:rsid w:val="00C569AB"/>
    <w:rsid w:val="00C56AEE"/>
    <w:rsid w:val="00C56D33"/>
    <w:rsid w:val="00C56F44"/>
    <w:rsid w:val="00C570A4"/>
    <w:rsid w:val="00C57363"/>
    <w:rsid w:val="00C57A52"/>
    <w:rsid w:val="00C57CE1"/>
    <w:rsid w:val="00C57DC4"/>
    <w:rsid w:val="00C57E5F"/>
    <w:rsid w:val="00C6095A"/>
    <w:rsid w:val="00C60995"/>
    <w:rsid w:val="00C61379"/>
    <w:rsid w:val="00C616D1"/>
    <w:rsid w:val="00C61B2F"/>
    <w:rsid w:val="00C61F3B"/>
    <w:rsid w:val="00C62230"/>
    <w:rsid w:val="00C62761"/>
    <w:rsid w:val="00C634BF"/>
    <w:rsid w:val="00C6354A"/>
    <w:rsid w:val="00C63C29"/>
    <w:rsid w:val="00C63F8A"/>
    <w:rsid w:val="00C6437E"/>
    <w:rsid w:val="00C64886"/>
    <w:rsid w:val="00C662BC"/>
    <w:rsid w:val="00C6700C"/>
    <w:rsid w:val="00C670C4"/>
    <w:rsid w:val="00C67363"/>
    <w:rsid w:val="00C677E8"/>
    <w:rsid w:val="00C67F9E"/>
    <w:rsid w:val="00C70D09"/>
    <w:rsid w:val="00C70F2A"/>
    <w:rsid w:val="00C7113E"/>
    <w:rsid w:val="00C7118D"/>
    <w:rsid w:val="00C71331"/>
    <w:rsid w:val="00C71BC1"/>
    <w:rsid w:val="00C72229"/>
    <w:rsid w:val="00C72A3D"/>
    <w:rsid w:val="00C735E0"/>
    <w:rsid w:val="00C735F9"/>
    <w:rsid w:val="00C738CC"/>
    <w:rsid w:val="00C73ACB"/>
    <w:rsid w:val="00C73D2F"/>
    <w:rsid w:val="00C7405B"/>
    <w:rsid w:val="00C74990"/>
    <w:rsid w:val="00C74A98"/>
    <w:rsid w:val="00C74D96"/>
    <w:rsid w:val="00C75066"/>
    <w:rsid w:val="00C752B9"/>
    <w:rsid w:val="00C75C40"/>
    <w:rsid w:val="00C75D56"/>
    <w:rsid w:val="00C75D76"/>
    <w:rsid w:val="00C75F7C"/>
    <w:rsid w:val="00C76100"/>
    <w:rsid w:val="00C76137"/>
    <w:rsid w:val="00C7637E"/>
    <w:rsid w:val="00C77651"/>
    <w:rsid w:val="00C7786C"/>
    <w:rsid w:val="00C77E9D"/>
    <w:rsid w:val="00C77EFF"/>
    <w:rsid w:val="00C80721"/>
    <w:rsid w:val="00C80B19"/>
    <w:rsid w:val="00C80F30"/>
    <w:rsid w:val="00C81117"/>
    <w:rsid w:val="00C81271"/>
    <w:rsid w:val="00C818B6"/>
    <w:rsid w:val="00C820A7"/>
    <w:rsid w:val="00C82B27"/>
    <w:rsid w:val="00C82D5B"/>
    <w:rsid w:val="00C82EFC"/>
    <w:rsid w:val="00C82F67"/>
    <w:rsid w:val="00C8331D"/>
    <w:rsid w:val="00C836A5"/>
    <w:rsid w:val="00C837C7"/>
    <w:rsid w:val="00C83813"/>
    <w:rsid w:val="00C83DC5"/>
    <w:rsid w:val="00C83FCE"/>
    <w:rsid w:val="00C84515"/>
    <w:rsid w:val="00C85553"/>
    <w:rsid w:val="00C858EC"/>
    <w:rsid w:val="00C85A55"/>
    <w:rsid w:val="00C85E16"/>
    <w:rsid w:val="00C86765"/>
    <w:rsid w:val="00C86823"/>
    <w:rsid w:val="00C86A14"/>
    <w:rsid w:val="00C86CBE"/>
    <w:rsid w:val="00C86DEB"/>
    <w:rsid w:val="00C8703F"/>
    <w:rsid w:val="00C870D5"/>
    <w:rsid w:val="00C904DD"/>
    <w:rsid w:val="00C90523"/>
    <w:rsid w:val="00C90F7D"/>
    <w:rsid w:val="00C912B0"/>
    <w:rsid w:val="00C91A27"/>
    <w:rsid w:val="00C9293A"/>
    <w:rsid w:val="00C92A5B"/>
    <w:rsid w:val="00C92F1D"/>
    <w:rsid w:val="00C93234"/>
    <w:rsid w:val="00C932CC"/>
    <w:rsid w:val="00C938D8"/>
    <w:rsid w:val="00C939E5"/>
    <w:rsid w:val="00C93AA4"/>
    <w:rsid w:val="00C93FE8"/>
    <w:rsid w:val="00C944BE"/>
    <w:rsid w:val="00C945C4"/>
    <w:rsid w:val="00C94F70"/>
    <w:rsid w:val="00C9541A"/>
    <w:rsid w:val="00C956A0"/>
    <w:rsid w:val="00C957D8"/>
    <w:rsid w:val="00C95D4A"/>
    <w:rsid w:val="00C95E42"/>
    <w:rsid w:val="00C960BA"/>
    <w:rsid w:val="00C97344"/>
    <w:rsid w:val="00C9738F"/>
    <w:rsid w:val="00C97ACB"/>
    <w:rsid w:val="00CA01F0"/>
    <w:rsid w:val="00CA0369"/>
    <w:rsid w:val="00CA05BD"/>
    <w:rsid w:val="00CA0608"/>
    <w:rsid w:val="00CA0C48"/>
    <w:rsid w:val="00CA143F"/>
    <w:rsid w:val="00CA2438"/>
    <w:rsid w:val="00CA3035"/>
    <w:rsid w:val="00CA319B"/>
    <w:rsid w:val="00CA3264"/>
    <w:rsid w:val="00CA33FB"/>
    <w:rsid w:val="00CA3A31"/>
    <w:rsid w:val="00CA3BAC"/>
    <w:rsid w:val="00CA3C95"/>
    <w:rsid w:val="00CA4141"/>
    <w:rsid w:val="00CA4232"/>
    <w:rsid w:val="00CA4B35"/>
    <w:rsid w:val="00CA64C6"/>
    <w:rsid w:val="00CA6AB0"/>
    <w:rsid w:val="00CA7287"/>
    <w:rsid w:val="00CA7443"/>
    <w:rsid w:val="00CA74BD"/>
    <w:rsid w:val="00CA75E3"/>
    <w:rsid w:val="00CA766E"/>
    <w:rsid w:val="00CA7D5C"/>
    <w:rsid w:val="00CA7DED"/>
    <w:rsid w:val="00CA7E2F"/>
    <w:rsid w:val="00CB01AD"/>
    <w:rsid w:val="00CB08DE"/>
    <w:rsid w:val="00CB10AD"/>
    <w:rsid w:val="00CB1267"/>
    <w:rsid w:val="00CB132B"/>
    <w:rsid w:val="00CB1C62"/>
    <w:rsid w:val="00CB27EA"/>
    <w:rsid w:val="00CB2A4A"/>
    <w:rsid w:val="00CB315F"/>
    <w:rsid w:val="00CB4097"/>
    <w:rsid w:val="00CB42A6"/>
    <w:rsid w:val="00CB43F5"/>
    <w:rsid w:val="00CB46DC"/>
    <w:rsid w:val="00CB5338"/>
    <w:rsid w:val="00CB57AB"/>
    <w:rsid w:val="00CB593A"/>
    <w:rsid w:val="00CB614B"/>
    <w:rsid w:val="00CB639C"/>
    <w:rsid w:val="00CB685C"/>
    <w:rsid w:val="00CB6CAA"/>
    <w:rsid w:val="00CB6E2D"/>
    <w:rsid w:val="00CB717A"/>
    <w:rsid w:val="00CB7471"/>
    <w:rsid w:val="00CB7C19"/>
    <w:rsid w:val="00CC0735"/>
    <w:rsid w:val="00CC07C5"/>
    <w:rsid w:val="00CC1237"/>
    <w:rsid w:val="00CC192B"/>
    <w:rsid w:val="00CC28A5"/>
    <w:rsid w:val="00CC2934"/>
    <w:rsid w:val="00CC29EB"/>
    <w:rsid w:val="00CC3056"/>
    <w:rsid w:val="00CC3B21"/>
    <w:rsid w:val="00CC3CBB"/>
    <w:rsid w:val="00CC44E1"/>
    <w:rsid w:val="00CC4C67"/>
    <w:rsid w:val="00CC5EAE"/>
    <w:rsid w:val="00CC5EB0"/>
    <w:rsid w:val="00CC5FB0"/>
    <w:rsid w:val="00CC68E4"/>
    <w:rsid w:val="00CC706F"/>
    <w:rsid w:val="00CC7208"/>
    <w:rsid w:val="00CC7350"/>
    <w:rsid w:val="00CC78AC"/>
    <w:rsid w:val="00CD05AC"/>
    <w:rsid w:val="00CD0983"/>
    <w:rsid w:val="00CD0DC4"/>
    <w:rsid w:val="00CD10CA"/>
    <w:rsid w:val="00CD1567"/>
    <w:rsid w:val="00CD232B"/>
    <w:rsid w:val="00CD252A"/>
    <w:rsid w:val="00CD288D"/>
    <w:rsid w:val="00CD2EF3"/>
    <w:rsid w:val="00CD35F6"/>
    <w:rsid w:val="00CD3AB9"/>
    <w:rsid w:val="00CD3E6E"/>
    <w:rsid w:val="00CD4336"/>
    <w:rsid w:val="00CD46BD"/>
    <w:rsid w:val="00CD48B2"/>
    <w:rsid w:val="00CD4A50"/>
    <w:rsid w:val="00CD4F33"/>
    <w:rsid w:val="00CD55EE"/>
    <w:rsid w:val="00CD5691"/>
    <w:rsid w:val="00CD5A64"/>
    <w:rsid w:val="00CD6202"/>
    <w:rsid w:val="00CD63B1"/>
    <w:rsid w:val="00CD63E2"/>
    <w:rsid w:val="00CD6D8D"/>
    <w:rsid w:val="00CD7EC1"/>
    <w:rsid w:val="00CE0380"/>
    <w:rsid w:val="00CE0708"/>
    <w:rsid w:val="00CE072B"/>
    <w:rsid w:val="00CE0E65"/>
    <w:rsid w:val="00CE12C3"/>
    <w:rsid w:val="00CE14C7"/>
    <w:rsid w:val="00CE1804"/>
    <w:rsid w:val="00CE195F"/>
    <w:rsid w:val="00CE1A00"/>
    <w:rsid w:val="00CE1CD2"/>
    <w:rsid w:val="00CE2094"/>
    <w:rsid w:val="00CE28ED"/>
    <w:rsid w:val="00CE29C1"/>
    <w:rsid w:val="00CE4314"/>
    <w:rsid w:val="00CE452E"/>
    <w:rsid w:val="00CE45B7"/>
    <w:rsid w:val="00CE488E"/>
    <w:rsid w:val="00CE4969"/>
    <w:rsid w:val="00CE4EEC"/>
    <w:rsid w:val="00CE50D2"/>
    <w:rsid w:val="00CE532A"/>
    <w:rsid w:val="00CE547C"/>
    <w:rsid w:val="00CE5743"/>
    <w:rsid w:val="00CE5848"/>
    <w:rsid w:val="00CE59A9"/>
    <w:rsid w:val="00CE5A08"/>
    <w:rsid w:val="00CE63A7"/>
    <w:rsid w:val="00CE653D"/>
    <w:rsid w:val="00CE6F60"/>
    <w:rsid w:val="00CE6F70"/>
    <w:rsid w:val="00CF02C2"/>
    <w:rsid w:val="00CF05B9"/>
    <w:rsid w:val="00CF074E"/>
    <w:rsid w:val="00CF0771"/>
    <w:rsid w:val="00CF0E61"/>
    <w:rsid w:val="00CF0F64"/>
    <w:rsid w:val="00CF14C0"/>
    <w:rsid w:val="00CF1886"/>
    <w:rsid w:val="00CF26B1"/>
    <w:rsid w:val="00CF2982"/>
    <w:rsid w:val="00CF2DC1"/>
    <w:rsid w:val="00CF2EC6"/>
    <w:rsid w:val="00CF2F51"/>
    <w:rsid w:val="00CF3151"/>
    <w:rsid w:val="00CF3510"/>
    <w:rsid w:val="00CF358F"/>
    <w:rsid w:val="00CF40AB"/>
    <w:rsid w:val="00CF4233"/>
    <w:rsid w:val="00CF4B62"/>
    <w:rsid w:val="00CF54F0"/>
    <w:rsid w:val="00CF6075"/>
    <w:rsid w:val="00CF60F5"/>
    <w:rsid w:val="00CF610D"/>
    <w:rsid w:val="00CF61F4"/>
    <w:rsid w:val="00CF66D4"/>
    <w:rsid w:val="00CF6717"/>
    <w:rsid w:val="00CF6909"/>
    <w:rsid w:val="00CF6B04"/>
    <w:rsid w:val="00CF71C9"/>
    <w:rsid w:val="00CF79AC"/>
    <w:rsid w:val="00D004F6"/>
    <w:rsid w:val="00D00544"/>
    <w:rsid w:val="00D005CC"/>
    <w:rsid w:val="00D009FB"/>
    <w:rsid w:val="00D00A59"/>
    <w:rsid w:val="00D00BCD"/>
    <w:rsid w:val="00D00BEB"/>
    <w:rsid w:val="00D00C92"/>
    <w:rsid w:val="00D01056"/>
    <w:rsid w:val="00D0196A"/>
    <w:rsid w:val="00D01C63"/>
    <w:rsid w:val="00D0221A"/>
    <w:rsid w:val="00D02381"/>
    <w:rsid w:val="00D02A0C"/>
    <w:rsid w:val="00D02C19"/>
    <w:rsid w:val="00D02CF7"/>
    <w:rsid w:val="00D0342F"/>
    <w:rsid w:val="00D03506"/>
    <w:rsid w:val="00D03711"/>
    <w:rsid w:val="00D03B3F"/>
    <w:rsid w:val="00D04697"/>
    <w:rsid w:val="00D046EF"/>
    <w:rsid w:val="00D04916"/>
    <w:rsid w:val="00D053C4"/>
    <w:rsid w:val="00D05698"/>
    <w:rsid w:val="00D057E4"/>
    <w:rsid w:val="00D05AB7"/>
    <w:rsid w:val="00D05F8A"/>
    <w:rsid w:val="00D0646C"/>
    <w:rsid w:val="00D06B56"/>
    <w:rsid w:val="00D06F80"/>
    <w:rsid w:val="00D07645"/>
    <w:rsid w:val="00D07729"/>
    <w:rsid w:val="00D0773F"/>
    <w:rsid w:val="00D07F95"/>
    <w:rsid w:val="00D105BC"/>
    <w:rsid w:val="00D10942"/>
    <w:rsid w:val="00D113CD"/>
    <w:rsid w:val="00D115F2"/>
    <w:rsid w:val="00D117FE"/>
    <w:rsid w:val="00D12665"/>
    <w:rsid w:val="00D1272B"/>
    <w:rsid w:val="00D12A13"/>
    <w:rsid w:val="00D12A9E"/>
    <w:rsid w:val="00D13191"/>
    <w:rsid w:val="00D1345B"/>
    <w:rsid w:val="00D1402E"/>
    <w:rsid w:val="00D147CD"/>
    <w:rsid w:val="00D149D9"/>
    <w:rsid w:val="00D14AFA"/>
    <w:rsid w:val="00D14E38"/>
    <w:rsid w:val="00D14E76"/>
    <w:rsid w:val="00D15354"/>
    <w:rsid w:val="00D15678"/>
    <w:rsid w:val="00D15A86"/>
    <w:rsid w:val="00D15E62"/>
    <w:rsid w:val="00D16D86"/>
    <w:rsid w:val="00D1713B"/>
    <w:rsid w:val="00D174BD"/>
    <w:rsid w:val="00D174F6"/>
    <w:rsid w:val="00D17724"/>
    <w:rsid w:val="00D179AA"/>
    <w:rsid w:val="00D20962"/>
    <w:rsid w:val="00D20B13"/>
    <w:rsid w:val="00D20C2F"/>
    <w:rsid w:val="00D215AE"/>
    <w:rsid w:val="00D216C1"/>
    <w:rsid w:val="00D217F6"/>
    <w:rsid w:val="00D21B61"/>
    <w:rsid w:val="00D223C6"/>
    <w:rsid w:val="00D22CC6"/>
    <w:rsid w:val="00D234C8"/>
    <w:rsid w:val="00D23962"/>
    <w:rsid w:val="00D23BE1"/>
    <w:rsid w:val="00D23E41"/>
    <w:rsid w:val="00D241D3"/>
    <w:rsid w:val="00D242A9"/>
    <w:rsid w:val="00D2440E"/>
    <w:rsid w:val="00D2487E"/>
    <w:rsid w:val="00D24CBB"/>
    <w:rsid w:val="00D24E8C"/>
    <w:rsid w:val="00D25346"/>
    <w:rsid w:val="00D254A4"/>
    <w:rsid w:val="00D25C37"/>
    <w:rsid w:val="00D2611B"/>
    <w:rsid w:val="00D2634A"/>
    <w:rsid w:val="00D26717"/>
    <w:rsid w:val="00D26B3C"/>
    <w:rsid w:val="00D26B44"/>
    <w:rsid w:val="00D26E6D"/>
    <w:rsid w:val="00D278FB"/>
    <w:rsid w:val="00D27A44"/>
    <w:rsid w:val="00D27AB5"/>
    <w:rsid w:val="00D31319"/>
    <w:rsid w:val="00D313E7"/>
    <w:rsid w:val="00D31574"/>
    <w:rsid w:val="00D31EB7"/>
    <w:rsid w:val="00D31FB9"/>
    <w:rsid w:val="00D32A48"/>
    <w:rsid w:val="00D32CCD"/>
    <w:rsid w:val="00D33135"/>
    <w:rsid w:val="00D33985"/>
    <w:rsid w:val="00D3406B"/>
    <w:rsid w:val="00D34939"/>
    <w:rsid w:val="00D34C5C"/>
    <w:rsid w:val="00D35184"/>
    <w:rsid w:val="00D3546D"/>
    <w:rsid w:val="00D35F97"/>
    <w:rsid w:val="00D364B5"/>
    <w:rsid w:val="00D36988"/>
    <w:rsid w:val="00D36BF5"/>
    <w:rsid w:val="00D36CAD"/>
    <w:rsid w:val="00D37A04"/>
    <w:rsid w:val="00D37C5F"/>
    <w:rsid w:val="00D37C60"/>
    <w:rsid w:val="00D40368"/>
    <w:rsid w:val="00D40DFE"/>
    <w:rsid w:val="00D40E28"/>
    <w:rsid w:val="00D4112C"/>
    <w:rsid w:val="00D41838"/>
    <w:rsid w:val="00D41DA1"/>
    <w:rsid w:val="00D422E0"/>
    <w:rsid w:val="00D4272C"/>
    <w:rsid w:val="00D42989"/>
    <w:rsid w:val="00D432F3"/>
    <w:rsid w:val="00D43324"/>
    <w:rsid w:val="00D442CD"/>
    <w:rsid w:val="00D44AAF"/>
    <w:rsid w:val="00D44FC1"/>
    <w:rsid w:val="00D4576C"/>
    <w:rsid w:val="00D4584F"/>
    <w:rsid w:val="00D45DE8"/>
    <w:rsid w:val="00D45FD7"/>
    <w:rsid w:val="00D46088"/>
    <w:rsid w:val="00D466BB"/>
    <w:rsid w:val="00D47081"/>
    <w:rsid w:val="00D47104"/>
    <w:rsid w:val="00D4719F"/>
    <w:rsid w:val="00D4754B"/>
    <w:rsid w:val="00D47A67"/>
    <w:rsid w:val="00D47D30"/>
    <w:rsid w:val="00D5001D"/>
    <w:rsid w:val="00D504A8"/>
    <w:rsid w:val="00D50B7B"/>
    <w:rsid w:val="00D51353"/>
    <w:rsid w:val="00D51413"/>
    <w:rsid w:val="00D51472"/>
    <w:rsid w:val="00D5159B"/>
    <w:rsid w:val="00D51871"/>
    <w:rsid w:val="00D5199F"/>
    <w:rsid w:val="00D519E0"/>
    <w:rsid w:val="00D51AD9"/>
    <w:rsid w:val="00D52128"/>
    <w:rsid w:val="00D52235"/>
    <w:rsid w:val="00D52465"/>
    <w:rsid w:val="00D52D7D"/>
    <w:rsid w:val="00D52EA7"/>
    <w:rsid w:val="00D531CD"/>
    <w:rsid w:val="00D53483"/>
    <w:rsid w:val="00D53A05"/>
    <w:rsid w:val="00D53F18"/>
    <w:rsid w:val="00D54D34"/>
    <w:rsid w:val="00D54F19"/>
    <w:rsid w:val="00D54FBE"/>
    <w:rsid w:val="00D55790"/>
    <w:rsid w:val="00D55B21"/>
    <w:rsid w:val="00D55F21"/>
    <w:rsid w:val="00D56993"/>
    <w:rsid w:val="00D570ED"/>
    <w:rsid w:val="00D57128"/>
    <w:rsid w:val="00D576E9"/>
    <w:rsid w:val="00D578EF"/>
    <w:rsid w:val="00D5792B"/>
    <w:rsid w:val="00D57F45"/>
    <w:rsid w:val="00D605D4"/>
    <w:rsid w:val="00D608F5"/>
    <w:rsid w:val="00D60A82"/>
    <w:rsid w:val="00D6195E"/>
    <w:rsid w:val="00D61D3B"/>
    <w:rsid w:val="00D620A1"/>
    <w:rsid w:val="00D623E1"/>
    <w:rsid w:val="00D628CB"/>
    <w:rsid w:val="00D629A6"/>
    <w:rsid w:val="00D62A7A"/>
    <w:rsid w:val="00D6307D"/>
    <w:rsid w:val="00D634ED"/>
    <w:rsid w:val="00D638F0"/>
    <w:rsid w:val="00D63C1C"/>
    <w:rsid w:val="00D64491"/>
    <w:rsid w:val="00D64B25"/>
    <w:rsid w:val="00D64C17"/>
    <w:rsid w:val="00D65382"/>
    <w:rsid w:val="00D654DE"/>
    <w:rsid w:val="00D65584"/>
    <w:rsid w:val="00D65912"/>
    <w:rsid w:val="00D65F3D"/>
    <w:rsid w:val="00D66B22"/>
    <w:rsid w:val="00D66C73"/>
    <w:rsid w:val="00D66EAA"/>
    <w:rsid w:val="00D6735E"/>
    <w:rsid w:val="00D701EC"/>
    <w:rsid w:val="00D70371"/>
    <w:rsid w:val="00D70BD1"/>
    <w:rsid w:val="00D71352"/>
    <w:rsid w:val="00D71C93"/>
    <w:rsid w:val="00D72A33"/>
    <w:rsid w:val="00D72AE4"/>
    <w:rsid w:val="00D72E97"/>
    <w:rsid w:val="00D739CA"/>
    <w:rsid w:val="00D73B5A"/>
    <w:rsid w:val="00D73D36"/>
    <w:rsid w:val="00D74127"/>
    <w:rsid w:val="00D743A4"/>
    <w:rsid w:val="00D74990"/>
    <w:rsid w:val="00D74B04"/>
    <w:rsid w:val="00D752E8"/>
    <w:rsid w:val="00D7555A"/>
    <w:rsid w:val="00D75738"/>
    <w:rsid w:val="00D757CA"/>
    <w:rsid w:val="00D75C73"/>
    <w:rsid w:val="00D7676D"/>
    <w:rsid w:val="00D77503"/>
    <w:rsid w:val="00D77916"/>
    <w:rsid w:val="00D77A5F"/>
    <w:rsid w:val="00D803A1"/>
    <w:rsid w:val="00D807A3"/>
    <w:rsid w:val="00D80AF4"/>
    <w:rsid w:val="00D80C4B"/>
    <w:rsid w:val="00D80F81"/>
    <w:rsid w:val="00D81145"/>
    <w:rsid w:val="00D81EF3"/>
    <w:rsid w:val="00D826DA"/>
    <w:rsid w:val="00D82938"/>
    <w:rsid w:val="00D82AD3"/>
    <w:rsid w:val="00D82E5D"/>
    <w:rsid w:val="00D8380E"/>
    <w:rsid w:val="00D83A60"/>
    <w:rsid w:val="00D84796"/>
    <w:rsid w:val="00D8557C"/>
    <w:rsid w:val="00D8596F"/>
    <w:rsid w:val="00D85A90"/>
    <w:rsid w:val="00D85C1C"/>
    <w:rsid w:val="00D85E13"/>
    <w:rsid w:val="00D85EFA"/>
    <w:rsid w:val="00D85F1E"/>
    <w:rsid w:val="00D86020"/>
    <w:rsid w:val="00D868B2"/>
    <w:rsid w:val="00D86F6E"/>
    <w:rsid w:val="00D87D8E"/>
    <w:rsid w:val="00D900F5"/>
    <w:rsid w:val="00D90885"/>
    <w:rsid w:val="00D911EB"/>
    <w:rsid w:val="00D913F0"/>
    <w:rsid w:val="00D915CF"/>
    <w:rsid w:val="00D9176A"/>
    <w:rsid w:val="00D91D34"/>
    <w:rsid w:val="00D91DAA"/>
    <w:rsid w:val="00D92308"/>
    <w:rsid w:val="00D92801"/>
    <w:rsid w:val="00D92BE7"/>
    <w:rsid w:val="00D9321B"/>
    <w:rsid w:val="00D9323B"/>
    <w:rsid w:val="00D9378E"/>
    <w:rsid w:val="00D93A02"/>
    <w:rsid w:val="00D93C65"/>
    <w:rsid w:val="00D93DA7"/>
    <w:rsid w:val="00D940E7"/>
    <w:rsid w:val="00D943B6"/>
    <w:rsid w:val="00D94610"/>
    <w:rsid w:val="00D94BB3"/>
    <w:rsid w:val="00D94C2B"/>
    <w:rsid w:val="00D955B5"/>
    <w:rsid w:val="00D9585C"/>
    <w:rsid w:val="00D95C87"/>
    <w:rsid w:val="00D95D1E"/>
    <w:rsid w:val="00D96BF0"/>
    <w:rsid w:val="00D97A2C"/>
    <w:rsid w:val="00D97C85"/>
    <w:rsid w:val="00D97DA1"/>
    <w:rsid w:val="00DA00BF"/>
    <w:rsid w:val="00DA0502"/>
    <w:rsid w:val="00DA0F61"/>
    <w:rsid w:val="00DA125C"/>
    <w:rsid w:val="00DA1A43"/>
    <w:rsid w:val="00DA1B0C"/>
    <w:rsid w:val="00DA390B"/>
    <w:rsid w:val="00DA395F"/>
    <w:rsid w:val="00DA3B0A"/>
    <w:rsid w:val="00DA3B3C"/>
    <w:rsid w:val="00DA445D"/>
    <w:rsid w:val="00DA4568"/>
    <w:rsid w:val="00DA4678"/>
    <w:rsid w:val="00DA4933"/>
    <w:rsid w:val="00DA4A52"/>
    <w:rsid w:val="00DA5363"/>
    <w:rsid w:val="00DA5545"/>
    <w:rsid w:val="00DA573F"/>
    <w:rsid w:val="00DA5ECA"/>
    <w:rsid w:val="00DA5F4D"/>
    <w:rsid w:val="00DA6832"/>
    <w:rsid w:val="00DA6887"/>
    <w:rsid w:val="00DA6A24"/>
    <w:rsid w:val="00DA77DE"/>
    <w:rsid w:val="00DA781A"/>
    <w:rsid w:val="00DA7899"/>
    <w:rsid w:val="00DA78FC"/>
    <w:rsid w:val="00DB01D7"/>
    <w:rsid w:val="00DB0290"/>
    <w:rsid w:val="00DB0531"/>
    <w:rsid w:val="00DB09CE"/>
    <w:rsid w:val="00DB0FE6"/>
    <w:rsid w:val="00DB1230"/>
    <w:rsid w:val="00DB171A"/>
    <w:rsid w:val="00DB1A1D"/>
    <w:rsid w:val="00DB2065"/>
    <w:rsid w:val="00DB216A"/>
    <w:rsid w:val="00DB2994"/>
    <w:rsid w:val="00DB29DB"/>
    <w:rsid w:val="00DB2D2B"/>
    <w:rsid w:val="00DB2DE4"/>
    <w:rsid w:val="00DB3B32"/>
    <w:rsid w:val="00DB3E4E"/>
    <w:rsid w:val="00DB4138"/>
    <w:rsid w:val="00DB4154"/>
    <w:rsid w:val="00DB593F"/>
    <w:rsid w:val="00DB5E20"/>
    <w:rsid w:val="00DB5FF7"/>
    <w:rsid w:val="00DB653A"/>
    <w:rsid w:val="00DB6FFE"/>
    <w:rsid w:val="00DB7150"/>
    <w:rsid w:val="00DB730A"/>
    <w:rsid w:val="00DB75E9"/>
    <w:rsid w:val="00DB7E9C"/>
    <w:rsid w:val="00DC01D6"/>
    <w:rsid w:val="00DC0270"/>
    <w:rsid w:val="00DC06FD"/>
    <w:rsid w:val="00DC0881"/>
    <w:rsid w:val="00DC1156"/>
    <w:rsid w:val="00DC1211"/>
    <w:rsid w:val="00DC1423"/>
    <w:rsid w:val="00DC1CE1"/>
    <w:rsid w:val="00DC29EA"/>
    <w:rsid w:val="00DC3059"/>
    <w:rsid w:val="00DC33EA"/>
    <w:rsid w:val="00DC41F6"/>
    <w:rsid w:val="00DC5AB5"/>
    <w:rsid w:val="00DC5DDC"/>
    <w:rsid w:val="00DC6251"/>
    <w:rsid w:val="00DC6471"/>
    <w:rsid w:val="00DC6BDE"/>
    <w:rsid w:val="00DC716B"/>
    <w:rsid w:val="00DC7BBB"/>
    <w:rsid w:val="00DC7BE2"/>
    <w:rsid w:val="00DD093C"/>
    <w:rsid w:val="00DD0B8D"/>
    <w:rsid w:val="00DD0D4F"/>
    <w:rsid w:val="00DD0E7C"/>
    <w:rsid w:val="00DD0F1C"/>
    <w:rsid w:val="00DD12AC"/>
    <w:rsid w:val="00DD17AD"/>
    <w:rsid w:val="00DD185F"/>
    <w:rsid w:val="00DD226E"/>
    <w:rsid w:val="00DD27AA"/>
    <w:rsid w:val="00DD3998"/>
    <w:rsid w:val="00DD3CD9"/>
    <w:rsid w:val="00DD3CF4"/>
    <w:rsid w:val="00DD3DB6"/>
    <w:rsid w:val="00DD4543"/>
    <w:rsid w:val="00DD46E4"/>
    <w:rsid w:val="00DD512A"/>
    <w:rsid w:val="00DD532E"/>
    <w:rsid w:val="00DD599D"/>
    <w:rsid w:val="00DD605C"/>
    <w:rsid w:val="00DD6A07"/>
    <w:rsid w:val="00DD6DDE"/>
    <w:rsid w:val="00DD6F17"/>
    <w:rsid w:val="00DD71B7"/>
    <w:rsid w:val="00DD76A4"/>
    <w:rsid w:val="00DD76CA"/>
    <w:rsid w:val="00DE0065"/>
    <w:rsid w:val="00DE036C"/>
    <w:rsid w:val="00DE085A"/>
    <w:rsid w:val="00DE0C5D"/>
    <w:rsid w:val="00DE2029"/>
    <w:rsid w:val="00DE21B3"/>
    <w:rsid w:val="00DE2335"/>
    <w:rsid w:val="00DE24DD"/>
    <w:rsid w:val="00DE25C2"/>
    <w:rsid w:val="00DE3075"/>
    <w:rsid w:val="00DE3338"/>
    <w:rsid w:val="00DE3F6D"/>
    <w:rsid w:val="00DE4541"/>
    <w:rsid w:val="00DE4A80"/>
    <w:rsid w:val="00DE4FF6"/>
    <w:rsid w:val="00DE558F"/>
    <w:rsid w:val="00DE5BE2"/>
    <w:rsid w:val="00DE5CEF"/>
    <w:rsid w:val="00DE694A"/>
    <w:rsid w:val="00DE6DD4"/>
    <w:rsid w:val="00DE71D1"/>
    <w:rsid w:val="00DE7523"/>
    <w:rsid w:val="00DE796E"/>
    <w:rsid w:val="00DF008E"/>
    <w:rsid w:val="00DF1385"/>
    <w:rsid w:val="00DF16B3"/>
    <w:rsid w:val="00DF249C"/>
    <w:rsid w:val="00DF24DA"/>
    <w:rsid w:val="00DF26C2"/>
    <w:rsid w:val="00DF28A7"/>
    <w:rsid w:val="00DF2B62"/>
    <w:rsid w:val="00DF2F67"/>
    <w:rsid w:val="00DF39F4"/>
    <w:rsid w:val="00DF3AD9"/>
    <w:rsid w:val="00DF3F77"/>
    <w:rsid w:val="00DF484F"/>
    <w:rsid w:val="00DF490D"/>
    <w:rsid w:val="00DF4A46"/>
    <w:rsid w:val="00DF4AB9"/>
    <w:rsid w:val="00DF4ABD"/>
    <w:rsid w:val="00DF595D"/>
    <w:rsid w:val="00DF5C97"/>
    <w:rsid w:val="00DF6179"/>
    <w:rsid w:val="00DF62C6"/>
    <w:rsid w:val="00DF6814"/>
    <w:rsid w:val="00DF69BE"/>
    <w:rsid w:val="00DF70A5"/>
    <w:rsid w:val="00DF7215"/>
    <w:rsid w:val="00DF73CA"/>
    <w:rsid w:val="00DF73D2"/>
    <w:rsid w:val="00DF7E2A"/>
    <w:rsid w:val="00E0004C"/>
    <w:rsid w:val="00E00178"/>
    <w:rsid w:val="00E00AFF"/>
    <w:rsid w:val="00E00BFA"/>
    <w:rsid w:val="00E011C0"/>
    <w:rsid w:val="00E01585"/>
    <w:rsid w:val="00E015A8"/>
    <w:rsid w:val="00E01603"/>
    <w:rsid w:val="00E01686"/>
    <w:rsid w:val="00E0172F"/>
    <w:rsid w:val="00E01CC2"/>
    <w:rsid w:val="00E02C07"/>
    <w:rsid w:val="00E02CEC"/>
    <w:rsid w:val="00E02DA1"/>
    <w:rsid w:val="00E036FB"/>
    <w:rsid w:val="00E03731"/>
    <w:rsid w:val="00E03803"/>
    <w:rsid w:val="00E03B25"/>
    <w:rsid w:val="00E03F7B"/>
    <w:rsid w:val="00E04939"/>
    <w:rsid w:val="00E04E94"/>
    <w:rsid w:val="00E0505A"/>
    <w:rsid w:val="00E05289"/>
    <w:rsid w:val="00E058C7"/>
    <w:rsid w:val="00E0608D"/>
    <w:rsid w:val="00E06105"/>
    <w:rsid w:val="00E06890"/>
    <w:rsid w:val="00E06F97"/>
    <w:rsid w:val="00E0706F"/>
    <w:rsid w:val="00E0754C"/>
    <w:rsid w:val="00E0754F"/>
    <w:rsid w:val="00E076BE"/>
    <w:rsid w:val="00E07866"/>
    <w:rsid w:val="00E10334"/>
    <w:rsid w:val="00E109B3"/>
    <w:rsid w:val="00E12015"/>
    <w:rsid w:val="00E124B7"/>
    <w:rsid w:val="00E12B48"/>
    <w:rsid w:val="00E12D73"/>
    <w:rsid w:val="00E138AA"/>
    <w:rsid w:val="00E139FC"/>
    <w:rsid w:val="00E13E27"/>
    <w:rsid w:val="00E1416D"/>
    <w:rsid w:val="00E14D7D"/>
    <w:rsid w:val="00E167DC"/>
    <w:rsid w:val="00E16F4E"/>
    <w:rsid w:val="00E1717D"/>
    <w:rsid w:val="00E17703"/>
    <w:rsid w:val="00E17DA9"/>
    <w:rsid w:val="00E20F66"/>
    <w:rsid w:val="00E21086"/>
    <w:rsid w:val="00E21A2B"/>
    <w:rsid w:val="00E21D7E"/>
    <w:rsid w:val="00E21EB0"/>
    <w:rsid w:val="00E21FF4"/>
    <w:rsid w:val="00E228DC"/>
    <w:rsid w:val="00E22CA8"/>
    <w:rsid w:val="00E23573"/>
    <w:rsid w:val="00E238FE"/>
    <w:rsid w:val="00E24B39"/>
    <w:rsid w:val="00E2597F"/>
    <w:rsid w:val="00E259CD"/>
    <w:rsid w:val="00E25AA8"/>
    <w:rsid w:val="00E2634A"/>
    <w:rsid w:val="00E26E3D"/>
    <w:rsid w:val="00E26E86"/>
    <w:rsid w:val="00E27123"/>
    <w:rsid w:val="00E27157"/>
    <w:rsid w:val="00E27620"/>
    <w:rsid w:val="00E27965"/>
    <w:rsid w:val="00E30004"/>
    <w:rsid w:val="00E308A4"/>
    <w:rsid w:val="00E30A5B"/>
    <w:rsid w:val="00E316EE"/>
    <w:rsid w:val="00E317D4"/>
    <w:rsid w:val="00E32107"/>
    <w:rsid w:val="00E34BBB"/>
    <w:rsid w:val="00E34E8B"/>
    <w:rsid w:val="00E34F6B"/>
    <w:rsid w:val="00E35346"/>
    <w:rsid w:val="00E3553A"/>
    <w:rsid w:val="00E3569A"/>
    <w:rsid w:val="00E35827"/>
    <w:rsid w:val="00E35E72"/>
    <w:rsid w:val="00E36419"/>
    <w:rsid w:val="00E369C9"/>
    <w:rsid w:val="00E36B2A"/>
    <w:rsid w:val="00E3719F"/>
    <w:rsid w:val="00E37290"/>
    <w:rsid w:val="00E378B5"/>
    <w:rsid w:val="00E4094E"/>
    <w:rsid w:val="00E40BA1"/>
    <w:rsid w:val="00E41313"/>
    <w:rsid w:val="00E41455"/>
    <w:rsid w:val="00E41C77"/>
    <w:rsid w:val="00E41D4E"/>
    <w:rsid w:val="00E42AF7"/>
    <w:rsid w:val="00E42D2F"/>
    <w:rsid w:val="00E435A1"/>
    <w:rsid w:val="00E435DB"/>
    <w:rsid w:val="00E44073"/>
    <w:rsid w:val="00E441A2"/>
    <w:rsid w:val="00E441F5"/>
    <w:rsid w:val="00E446EB"/>
    <w:rsid w:val="00E447C8"/>
    <w:rsid w:val="00E44B02"/>
    <w:rsid w:val="00E44D1F"/>
    <w:rsid w:val="00E4548A"/>
    <w:rsid w:val="00E45CCB"/>
    <w:rsid w:val="00E45F8C"/>
    <w:rsid w:val="00E46002"/>
    <w:rsid w:val="00E462E5"/>
    <w:rsid w:val="00E46316"/>
    <w:rsid w:val="00E468E4"/>
    <w:rsid w:val="00E4692D"/>
    <w:rsid w:val="00E46C90"/>
    <w:rsid w:val="00E4770D"/>
    <w:rsid w:val="00E47EBC"/>
    <w:rsid w:val="00E503BB"/>
    <w:rsid w:val="00E5090B"/>
    <w:rsid w:val="00E51315"/>
    <w:rsid w:val="00E513C0"/>
    <w:rsid w:val="00E5157E"/>
    <w:rsid w:val="00E5162C"/>
    <w:rsid w:val="00E5198C"/>
    <w:rsid w:val="00E528F9"/>
    <w:rsid w:val="00E5290F"/>
    <w:rsid w:val="00E52A59"/>
    <w:rsid w:val="00E53049"/>
    <w:rsid w:val="00E530A4"/>
    <w:rsid w:val="00E5319C"/>
    <w:rsid w:val="00E536F5"/>
    <w:rsid w:val="00E53808"/>
    <w:rsid w:val="00E53E7E"/>
    <w:rsid w:val="00E53F7D"/>
    <w:rsid w:val="00E54047"/>
    <w:rsid w:val="00E541AF"/>
    <w:rsid w:val="00E54768"/>
    <w:rsid w:val="00E54905"/>
    <w:rsid w:val="00E54ECA"/>
    <w:rsid w:val="00E550A7"/>
    <w:rsid w:val="00E557AB"/>
    <w:rsid w:val="00E5590C"/>
    <w:rsid w:val="00E55985"/>
    <w:rsid w:val="00E56459"/>
    <w:rsid w:val="00E5666B"/>
    <w:rsid w:val="00E56B3A"/>
    <w:rsid w:val="00E57161"/>
    <w:rsid w:val="00E5749A"/>
    <w:rsid w:val="00E604BD"/>
    <w:rsid w:val="00E6063C"/>
    <w:rsid w:val="00E60646"/>
    <w:rsid w:val="00E60651"/>
    <w:rsid w:val="00E6068E"/>
    <w:rsid w:val="00E60803"/>
    <w:rsid w:val="00E60E11"/>
    <w:rsid w:val="00E6217D"/>
    <w:rsid w:val="00E622E9"/>
    <w:rsid w:val="00E6266B"/>
    <w:rsid w:val="00E6295B"/>
    <w:rsid w:val="00E62EA1"/>
    <w:rsid w:val="00E63BFB"/>
    <w:rsid w:val="00E647D7"/>
    <w:rsid w:val="00E64A03"/>
    <w:rsid w:val="00E64F82"/>
    <w:rsid w:val="00E65549"/>
    <w:rsid w:val="00E655FB"/>
    <w:rsid w:val="00E659C3"/>
    <w:rsid w:val="00E6604D"/>
    <w:rsid w:val="00E66A1D"/>
    <w:rsid w:val="00E66AAF"/>
    <w:rsid w:val="00E66CE1"/>
    <w:rsid w:val="00E66DB8"/>
    <w:rsid w:val="00E6701E"/>
    <w:rsid w:val="00E67B29"/>
    <w:rsid w:val="00E67BCF"/>
    <w:rsid w:val="00E700FD"/>
    <w:rsid w:val="00E705E3"/>
    <w:rsid w:val="00E712E0"/>
    <w:rsid w:val="00E7163C"/>
    <w:rsid w:val="00E71CAF"/>
    <w:rsid w:val="00E726A1"/>
    <w:rsid w:val="00E7301B"/>
    <w:rsid w:val="00E73448"/>
    <w:rsid w:val="00E73A73"/>
    <w:rsid w:val="00E73BA8"/>
    <w:rsid w:val="00E74443"/>
    <w:rsid w:val="00E74581"/>
    <w:rsid w:val="00E74675"/>
    <w:rsid w:val="00E74EC4"/>
    <w:rsid w:val="00E758AA"/>
    <w:rsid w:val="00E75AD0"/>
    <w:rsid w:val="00E75CA6"/>
    <w:rsid w:val="00E760C2"/>
    <w:rsid w:val="00E76384"/>
    <w:rsid w:val="00E766B7"/>
    <w:rsid w:val="00E76EB0"/>
    <w:rsid w:val="00E76FCD"/>
    <w:rsid w:val="00E7726D"/>
    <w:rsid w:val="00E77272"/>
    <w:rsid w:val="00E773F0"/>
    <w:rsid w:val="00E77ECC"/>
    <w:rsid w:val="00E77F14"/>
    <w:rsid w:val="00E8078F"/>
    <w:rsid w:val="00E80A66"/>
    <w:rsid w:val="00E80B4D"/>
    <w:rsid w:val="00E80CFD"/>
    <w:rsid w:val="00E80E31"/>
    <w:rsid w:val="00E81542"/>
    <w:rsid w:val="00E81905"/>
    <w:rsid w:val="00E82310"/>
    <w:rsid w:val="00E82866"/>
    <w:rsid w:val="00E82AD6"/>
    <w:rsid w:val="00E835A7"/>
    <w:rsid w:val="00E8365F"/>
    <w:rsid w:val="00E846EA"/>
    <w:rsid w:val="00E847D6"/>
    <w:rsid w:val="00E849EC"/>
    <w:rsid w:val="00E84D92"/>
    <w:rsid w:val="00E858B2"/>
    <w:rsid w:val="00E858D7"/>
    <w:rsid w:val="00E85C2A"/>
    <w:rsid w:val="00E86489"/>
    <w:rsid w:val="00E866E4"/>
    <w:rsid w:val="00E86D2C"/>
    <w:rsid w:val="00E87E00"/>
    <w:rsid w:val="00E903CF"/>
    <w:rsid w:val="00E90F35"/>
    <w:rsid w:val="00E91059"/>
    <w:rsid w:val="00E91233"/>
    <w:rsid w:val="00E912BB"/>
    <w:rsid w:val="00E9145C"/>
    <w:rsid w:val="00E9152E"/>
    <w:rsid w:val="00E916E8"/>
    <w:rsid w:val="00E91B37"/>
    <w:rsid w:val="00E9256F"/>
    <w:rsid w:val="00E925F6"/>
    <w:rsid w:val="00E92964"/>
    <w:rsid w:val="00E92D68"/>
    <w:rsid w:val="00E9344F"/>
    <w:rsid w:val="00E935E4"/>
    <w:rsid w:val="00E948E6"/>
    <w:rsid w:val="00E94F2D"/>
    <w:rsid w:val="00E9556F"/>
    <w:rsid w:val="00E95ECE"/>
    <w:rsid w:val="00E960FA"/>
    <w:rsid w:val="00E96122"/>
    <w:rsid w:val="00E96699"/>
    <w:rsid w:val="00E972D4"/>
    <w:rsid w:val="00EA01FF"/>
    <w:rsid w:val="00EA0DB4"/>
    <w:rsid w:val="00EA1595"/>
    <w:rsid w:val="00EA1F21"/>
    <w:rsid w:val="00EA26A3"/>
    <w:rsid w:val="00EA270E"/>
    <w:rsid w:val="00EA2794"/>
    <w:rsid w:val="00EA30DA"/>
    <w:rsid w:val="00EA3310"/>
    <w:rsid w:val="00EA388D"/>
    <w:rsid w:val="00EA4613"/>
    <w:rsid w:val="00EA4767"/>
    <w:rsid w:val="00EA4A4B"/>
    <w:rsid w:val="00EA4ADC"/>
    <w:rsid w:val="00EA572A"/>
    <w:rsid w:val="00EA5890"/>
    <w:rsid w:val="00EA5B63"/>
    <w:rsid w:val="00EA6068"/>
    <w:rsid w:val="00EA6EF5"/>
    <w:rsid w:val="00EA7089"/>
    <w:rsid w:val="00EA73D7"/>
    <w:rsid w:val="00EA7BA6"/>
    <w:rsid w:val="00EA7CD0"/>
    <w:rsid w:val="00EB0202"/>
    <w:rsid w:val="00EB0DAE"/>
    <w:rsid w:val="00EB0E74"/>
    <w:rsid w:val="00EB251A"/>
    <w:rsid w:val="00EB2681"/>
    <w:rsid w:val="00EB2798"/>
    <w:rsid w:val="00EB2EDA"/>
    <w:rsid w:val="00EB30E8"/>
    <w:rsid w:val="00EB316D"/>
    <w:rsid w:val="00EB3408"/>
    <w:rsid w:val="00EB367A"/>
    <w:rsid w:val="00EB3842"/>
    <w:rsid w:val="00EB4092"/>
    <w:rsid w:val="00EB41D8"/>
    <w:rsid w:val="00EB4448"/>
    <w:rsid w:val="00EB4F6E"/>
    <w:rsid w:val="00EB57B3"/>
    <w:rsid w:val="00EB59C4"/>
    <w:rsid w:val="00EB5B6D"/>
    <w:rsid w:val="00EB5C5C"/>
    <w:rsid w:val="00EB60F8"/>
    <w:rsid w:val="00EB63C9"/>
    <w:rsid w:val="00EB63E8"/>
    <w:rsid w:val="00EB698E"/>
    <w:rsid w:val="00EB6C24"/>
    <w:rsid w:val="00EB7B19"/>
    <w:rsid w:val="00EB7C96"/>
    <w:rsid w:val="00EC0020"/>
    <w:rsid w:val="00EC0698"/>
    <w:rsid w:val="00EC0CF4"/>
    <w:rsid w:val="00EC0F96"/>
    <w:rsid w:val="00EC18C7"/>
    <w:rsid w:val="00EC19E8"/>
    <w:rsid w:val="00EC19F0"/>
    <w:rsid w:val="00EC1A5A"/>
    <w:rsid w:val="00EC1A8B"/>
    <w:rsid w:val="00EC1B1F"/>
    <w:rsid w:val="00EC1EBA"/>
    <w:rsid w:val="00EC210A"/>
    <w:rsid w:val="00EC2A13"/>
    <w:rsid w:val="00EC2D82"/>
    <w:rsid w:val="00EC31AD"/>
    <w:rsid w:val="00EC4229"/>
    <w:rsid w:val="00EC46BE"/>
    <w:rsid w:val="00EC47D1"/>
    <w:rsid w:val="00EC53D4"/>
    <w:rsid w:val="00EC5741"/>
    <w:rsid w:val="00EC594C"/>
    <w:rsid w:val="00EC59AE"/>
    <w:rsid w:val="00EC5ADA"/>
    <w:rsid w:val="00EC6595"/>
    <w:rsid w:val="00EC689A"/>
    <w:rsid w:val="00EC6C33"/>
    <w:rsid w:val="00EC6FF2"/>
    <w:rsid w:val="00EC7B75"/>
    <w:rsid w:val="00ED02AD"/>
    <w:rsid w:val="00ED074D"/>
    <w:rsid w:val="00ED09CC"/>
    <w:rsid w:val="00ED0C26"/>
    <w:rsid w:val="00ED0C2B"/>
    <w:rsid w:val="00ED1153"/>
    <w:rsid w:val="00ED182C"/>
    <w:rsid w:val="00ED1B86"/>
    <w:rsid w:val="00ED1C4E"/>
    <w:rsid w:val="00ED2DDA"/>
    <w:rsid w:val="00ED35B4"/>
    <w:rsid w:val="00ED37DB"/>
    <w:rsid w:val="00ED39D1"/>
    <w:rsid w:val="00ED3AA5"/>
    <w:rsid w:val="00ED3B7B"/>
    <w:rsid w:val="00ED3C92"/>
    <w:rsid w:val="00ED43F5"/>
    <w:rsid w:val="00ED4509"/>
    <w:rsid w:val="00ED4C26"/>
    <w:rsid w:val="00ED4E5A"/>
    <w:rsid w:val="00ED55C6"/>
    <w:rsid w:val="00ED5ED1"/>
    <w:rsid w:val="00ED5EFC"/>
    <w:rsid w:val="00ED6434"/>
    <w:rsid w:val="00ED695C"/>
    <w:rsid w:val="00ED727F"/>
    <w:rsid w:val="00ED79E5"/>
    <w:rsid w:val="00ED7F60"/>
    <w:rsid w:val="00EE0278"/>
    <w:rsid w:val="00EE0970"/>
    <w:rsid w:val="00EE0C3E"/>
    <w:rsid w:val="00EE0CC4"/>
    <w:rsid w:val="00EE0EDD"/>
    <w:rsid w:val="00EE14F0"/>
    <w:rsid w:val="00EE182F"/>
    <w:rsid w:val="00EE18A4"/>
    <w:rsid w:val="00EE18D5"/>
    <w:rsid w:val="00EE203D"/>
    <w:rsid w:val="00EE20A2"/>
    <w:rsid w:val="00EE2DDF"/>
    <w:rsid w:val="00EE3825"/>
    <w:rsid w:val="00EE39A6"/>
    <w:rsid w:val="00EE4207"/>
    <w:rsid w:val="00EE451E"/>
    <w:rsid w:val="00EE4A9D"/>
    <w:rsid w:val="00EE4D2C"/>
    <w:rsid w:val="00EE4F03"/>
    <w:rsid w:val="00EE5008"/>
    <w:rsid w:val="00EE62BF"/>
    <w:rsid w:val="00EE6A9D"/>
    <w:rsid w:val="00EE71F9"/>
    <w:rsid w:val="00EE7214"/>
    <w:rsid w:val="00EE7ADC"/>
    <w:rsid w:val="00EE7B06"/>
    <w:rsid w:val="00EE7BC8"/>
    <w:rsid w:val="00EE7DC4"/>
    <w:rsid w:val="00EF0930"/>
    <w:rsid w:val="00EF0C4C"/>
    <w:rsid w:val="00EF1837"/>
    <w:rsid w:val="00EF1A78"/>
    <w:rsid w:val="00EF1D0B"/>
    <w:rsid w:val="00EF3966"/>
    <w:rsid w:val="00EF4778"/>
    <w:rsid w:val="00EF4B91"/>
    <w:rsid w:val="00EF55A8"/>
    <w:rsid w:val="00EF5E25"/>
    <w:rsid w:val="00EF6019"/>
    <w:rsid w:val="00EF63B1"/>
    <w:rsid w:val="00EF6BC9"/>
    <w:rsid w:val="00EF6E86"/>
    <w:rsid w:val="00EF7306"/>
    <w:rsid w:val="00EF7672"/>
    <w:rsid w:val="00EF7BE6"/>
    <w:rsid w:val="00F00913"/>
    <w:rsid w:val="00F00A6A"/>
    <w:rsid w:val="00F00B38"/>
    <w:rsid w:val="00F00DD9"/>
    <w:rsid w:val="00F00E6E"/>
    <w:rsid w:val="00F012A6"/>
    <w:rsid w:val="00F013B4"/>
    <w:rsid w:val="00F016A5"/>
    <w:rsid w:val="00F017DD"/>
    <w:rsid w:val="00F01901"/>
    <w:rsid w:val="00F01A1A"/>
    <w:rsid w:val="00F01C80"/>
    <w:rsid w:val="00F01CCA"/>
    <w:rsid w:val="00F01EDE"/>
    <w:rsid w:val="00F0243B"/>
    <w:rsid w:val="00F0280C"/>
    <w:rsid w:val="00F03039"/>
    <w:rsid w:val="00F0343C"/>
    <w:rsid w:val="00F03BBD"/>
    <w:rsid w:val="00F0409A"/>
    <w:rsid w:val="00F04143"/>
    <w:rsid w:val="00F045C9"/>
    <w:rsid w:val="00F049D2"/>
    <w:rsid w:val="00F04A66"/>
    <w:rsid w:val="00F04ABC"/>
    <w:rsid w:val="00F04F68"/>
    <w:rsid w:val="00F064E5"/>
    <w:rsid w:val="00F06D80"/>
    <w:rsid w:val="00F06F97"/>
    <w:rsid w:val="00F07103"/>
    <w:rsid w:val="00F074C3"/>
    <w:rsid w:val="00F0757E"/>
    <w:rsid w:val="00F079D7"/>
    <w:rsid w:val="00F07AA9"/>
    <w:rsid w:val="00F07CA3"/>
    <w:rsid w:val="00F07D63"/>
    <w:rsid w:val="00F07FF7"/>
    <w:rsid w:val="00F10425"/>
    <w:rsid w:val="00F10F1D"/>
    <w:rsid w:val="00F11741"/>
    <w:rsid w:val="00F126B0"/>
    <w:rsid w:val="00F129F0"/>
    <w:rsid w:val="00F12E5A"/>
    <w:rsid w:val="00F143B7"/>
    <w:rsid w:val="00F146BD"/>
    <w:rsid w:val="00F14B09"/>
    <w:rsid w:val="00F14F55"/>
    <w:rsid w:val="00F15215"/>
    <w:rsid w:val="00F1557D"/>
    <w:rsid w:val="00F1558B"/>
    <w:rsid w:val="00F15E52"/>
    <w:rsid w:val="00F15EB6"/>
    <w:rsid w:val="00F16C4F"/>
    <w:rsid w:val="00F170D2"/>
    <w:rsid w:val="00F1728E"/>
    <w:rsid w:val="00F17996"/>
    <w:rsid w:val="00F17BAB"/>
    <w:rsid w:val="00F17CC9"/>
    <w:rsid w:val="00F20203"/>
    <w:rsid w:val="00F206E8"/>
    <w:rsid w:val="00F20BFE"/>
    <w:rsid w:val="00F20F5F"/>
    <w:rsid w:val="00F21457"/>
    <w:rsid w:val="00F21EEA"/>
    <w:rsid w:val="00F22148"/>
    <w:rsid w:val="00F22BA4"/>
    <w:rsid w:val="00F22EF5"/>
    <w:rsid w:val="00F235B1"/>
    <w:rsid w:val="00F23B50"/>
    <w:rsid w:val="00F23E1B"/>
    <w:rsid w:val="00F23FA5"/>
    <w:rsid w:val="00F23FB5"/>
    <w:rsid w:val="00F25184"/>
    <w:rsid w:val="00F25401"/>
    <w:rsid w:val="00F257FE"/>
    <w:rsid w:val="00F25E12"/>
    <w:rsid w:val="00F26056"/>
    <w:rsid w:val="00F26095"/>
    <w:rsid w:val="00F2645E"/>
    <w:rsid w:val="00F265BF"/>
    <w:rsid w:val="00F269A7"/>
    <w:rsid w:val="00F26A53"/>
    <w:rsid w:val="00F26AC1"/>
    <w:rsid w:val="00F271D3"/>
    <w:rsid w:val="00F273C1"/>
    <w:rsid w:val="00F301C2"/>
    <w:rsid w:val="00F302B8"/>
    <w:rsid w:val="00F30AE8"/>
    <w:rsid w:val="00F30BC8"/>
    <w:rsid w:val="00F30D1D"/>
    <w:rsid w:val="00F310C8"/>
    <w:rsid w:val="00F3127E"/>
    <w:rsid w:val="00F3136F"/>
    <w:rsid w:val="00F31779"/>
    <w:rsid w:val="00F31FA4"/>
    <w:rsid w:val="00F323BC"/>
    <w:rsid w:val="00F326C5"/>
    <w:rsid w:val="00F32A46"/>
    <w:rsid w:val="00F32DC6"/>
    <w:rsid w:val="00F32E50"/>
    <w:rsid w:val="00F33103"/>
    <w:rsid w:val="00F3334B"/>
    <w:rsid w:val="00F3526A"/>
    <w:rsid w:val="00F35270"/>
    <w:rsid w:val="00F3564F"/>
    <w:rsid w:val="00F35F18"/>
    <w:rsid w:val="00F360FF"/>
    <w:rsid w:val="00F3611C"/>
    <w:rsid w:val="00F36195"/>
    <w:rsid w:val="00F3643F"/>
    <w:rsid w:val="00F36C85"/>
    <w:rsid w:val="00F37034"/>
    <w:rsid w:val="00F3766D"/>
    <w:rsid w:val="00F405A3"/>
    <w:rsid w:val="00F406D2"/>
    <w:rsid w:val="00F40A16"/>
    <w:rsid w:val="00F41FE8"/>
    <w:rsid w:val="00F42387"/>
    <w:rsid w:val="00F42630"/>
    <w:rsid w:val="00F4282E"/>
    <w:rsid w:val="00F42F34"/>
    <w:rsid w:val="00F43CAE"/>
    <w:rsid w:val="00F446DB"/>
    <w:rsid w:val="00F44FE2"/>
    <w:rsid w:val="00F45725"/>
    <w:rsid w:val="00F46092"/>
    <w:rsid w:val="00F462FE"/>
    <w:rsid w:val="00F46895"/>
    <w:rsid w:val="00F469D4"/>
    <w:rsid w:val="00F46AF4"/>
    <w:rsid w:val="00F47513"/>
    <w:rsid w:val="00F476E5"/>
    <w:rsid w:val="00F47C96"/>
    <w:rsid w:val="00F47F30"/>
    <w:rsid w:val="00F50347"/>
    <w:rsid w:val="00F50B90"/>
    <w:rsid w:val="00F50F53"/>
    <w:rsid w:val="00F50FFA"/>
    <w:rsid w:val="00F5105E"/>
    <w:rsid w:val="00F514CC"/>
    <w:rsid w:val="00F51663"/>
    <w:rsid w:val="00F51688"/>
    <w:rsid w:val="00F51AC4"/>
    <w:rsid w:val="00F51B4D"/>
    <w:rsid w:val="00F5256A"/>
    <w:rsid w:val="00F52CDE"/>
    <w:rsid w:val="00F52F14"/>
    <w:rsid w:val="00F53CA9"/>
    <w:rsid w:val="00F54612"/>
    <w:rsid w:val="00F54834"/>
    <w:rsid w:val="00F55759"/>
    <w:rsid w:val="00F55D2C"/>
    <w:rsid w:val="00F567D5"/>
    <w:rsid w:val="00F56A00"/>
    <w:rsid w:val="00F56A53"/>
    <w:rsid w:val="00F56E64"/>
    <w:rsid w:val="00F56EE4"/>
    <w:rsid w:val="00F571DC"/>
    <w:rsid w:val="00F57394"/>
    <w:rsid w:val="00F5788F"/>
    <w:rsid w:val="00F57963"/>
    <w:rsid w:val="00F600A0"/>
    <w:rsid w:val="00F604FC"/>
    <w:rsid w:val="00F6127C"/>
    <w:rsid w:val="00F612BB"/>
    <w:rsid w:val="00F619CF"/>
    <w:rsid w:val="00F61D91"/>
    <w:rsid w:val="00F625EB"/>
    <w:rsid w:val="00F62824"/>
    <w:rsid w:val="00F62942"/>
    <w:rsid w:val="00F62C61"/>
    <w:rsid w:val="00F62DBA"/>
    <w:rsid w:val="00F63192"/>
    <w:rsid w:val="00F6399E"/>
    <w:rsid w:val="00F64748"/>
    <w:rsid w:val="00F649D8"/>
    <w:rsid w:val="00F64D97"/>
    <w:rsid w:val="00F64E51"/>
    <w:rsid w:val="00F65172"/>
    <w:rsid w:val="00F652B0"/>
    <w:rsid w:val="00F65B91"/>
    <w:rsid w:val="00F662F8"/>
    <w:rsid w:val="00F663E5"/>
    <w:rsid w:val="00F667E4"/>
    <w:rsid w:val="00F66E8F"/>
    <w:rsid w:val="00F6761B"/>
    <w:rsid w:val="00F6778B"/>
    <w:rsid w:val="00F6787E"/>
    <w:rsid w:val="00F6796B"/>
    <w:rsid w:val="00F67F7D"/>
    <w:rsid w:val="00F708DF"/>
    <w:rsid w:val="00F71485"/>
    <w:rsid w:val="00F7160F"/>
    <w:rsid w:val="00F719E0"/>
    <w:rsid w:val="00F71CA9"/>
    <w:rsid w:val="00F72265"/>
    <w:rsid w:val="00F72649"/>
    <w:rsid w:val="00F727AD"/>
    <w:rsid w:val="00F72A81"/>
    <w:rsid w:val="00F72D3A"/>
    <w:rsid w:val="00F73472"/>
    <w:rsid w:val="00F73EFF"/>
    <w:rsid w:val="00F7419D"/>
    <w:rsid w:val="00F74293"/>
    <w:rsid w:val="00F7434E"/>
    <w:rsid w:val="00F747DD"/>
    <w:rsid w:val="00F74B24"/>
    <w:rsid w:val="00F75679"/>
    <w:rsid w:val="00F75723"/>
    <w:rsid w:val="00F75C3E"/>
    <w:rsid w:val="00F75C5E"/>
    <w:rsid w:val="00F75D53"/>
    <w:rsid w:val="00F75E97"/>
    <w:rsid w:val="00F76057"/>
    <w:rsid w:val="00F76463"/>
    <w:rsid w:val="00F76779"/>
    <w:rsid w:val="00F77451"/>
    <w:rsid w:val="00F77674"/>
    <w:rsid w:val="00F77792"/>
    <w:rsid w:val="00F77A98"/>
    <w:rsid w:val="00F77B9B"/>
    <w:rsid w:val="00F80699"/>
    <w:rsid w:val="00F80E56"/>
    <w:rsid w:val="00F811EC"/>
    <w:rsid w:val="00F816BB"/>
    <w:rsid w:val="00F81816"/>
    <w:rsid w:val="00F82AA9"/>
    <w:rsid w:val="00F82B61"/>
    <w:rsid w:val="00F82D59"/>
    <w:rsid w:val="00F82E64"/>
    <w:rsid w:val="00F832D4"/>
    <w:rsid w:val="00F8353D"/>
    <w:rsid w:val="00F8355E"/>
    <w:rsid w:val="00F83CB3"/>
    <w:rsid w:val="00F83D16"/>
    <w:rsid w:val="00F83EFD"/>
    <w:rsid w:val="00F83F38"/>
    <w:rsid w:val="00F83FDB"/>
    <w:rsid w:val="00F86239"/>
    <w:rsid w:val="00F86551"/>
    <w:rsid w:val="00F866E3"/>
    <w:rsid w:val="00F8670C"/>
    <w:rsid w:val="00F870E1"/>
    <w:rsid w:val="00F909FE"/>
    <w:rsid w:val="00F90A2E"/>
    <w:rsid w:val="00F90FB8"/>
    <w:rsid w:val="00F91A45"/>
    <w:rsid w:val="00F929D1"/>
    <w:rsid w:val="00F92E1A"/>
    <w:rsid w:val="00F92E20"/>
    <w:rsid w:val="00F9384F"/>
    <w:rsid w:val="00F941F7"/>
    <w:rsid w:val="00F9485D"/>
    <w:rsid w:val="00F94D38"/>
    <w:rsid w:val="00F94D56"/>
    <w:rsid w:val="00F94E7E"/>
    <w:rsid w:val="00F94FFE"/>
    <w:rsid w:val="00F95B33"/>
    <w:rsid w:val="00F9620C"/>
    <w:rsid w:val="00F96325"/>
    <w:rsid w:val="00F96A71"/>
    <w:rsid w:val="00F96C40"/>
    <w:rsid w:val="00F971EF"/>
    <w:rsid w:val="00F9765B"/>
    <w:rsid w:val="00FA0C29"/>
    <w:rsid w:val="00FA0F02"/>
    <w:rsid w:val="00FA1423"/>
    <w:rsid w:val="00FA16CE"/>
    <w:rsid w:val="00FA21D1"/>
    <w:rsid w:val="00FA235F"/>
    <w:rsid w:val="00FA2435"/>
    <w:rsid w:val="00FA2543"/>
    <w:rsid w:val="00FA2A6B"/>
    <w:rsid w:val="00FA2ACC"/>
    <w:rsid w:val="00FA2B3B"/>
    <w:rsid w:val="00FA2D35"/>
    <w:rsid w:val="00FA2E23"/>
    <w:rsid w:val="00FA30C9"/>
    <w:rsid w:val="00FA324E"/>
    <w:rsid w:val="00FA3336"/>
    <w:rsid w:val="00FA344C"/>
    <w:rsid w:val="00FA4C78"/>
    <w:rsid w:val="00FA4F7F"/>
    <w:rsid w:val="00FA5470"/>
    <w:rsid w:val="00FA585F"/>
    <w:rsid w:val="00FA5C45"/>
    <w:rsid w:val="00FA652C"/>
    <w:rsid w:val="00FA6ABB"/>
    <w:rsid w:val="00FA7127"/>
    <w:rsid w:val="00FA7517"/>
    <w:rsid w:val="00FB0C82"/>
    <w:rsid w:val="00FB1371"/>
    <w:rsid w:val="00FB18AA"/>
    <w:rsid w:val="00FB19D0"/>
    <w:rsid w:val="00FB24EC"/>
    <w:rsid w:val="00FB28C4"/>
    <w:rsid w:val="00FB2E4B"/>
    <w:rsid w:val="00FB2FF1"/>
    <w:rsid w:val="00FB30B4"/>
    <w:rsid w:val="00FB38EF"/>
    <w:rsid w:val="00FB39BC"/>
    <w:rsid w:val="00FB3AF1"/>
    <w:rsid w:val="00FB4869"/>
    <w:rsid w:val="00FB60B4"/>
    <w:rsid w:val="00FB61F0"/>
    <w:rsid w:val="00FB73DC"/>
    <w:rsid w:val="00FB799F"/>
    <w:rsid w:val="00FC0716"/>
    <w:rsid w:val="00FC0811"/>
    <w:rsid w:val="00FC1F51"/>
    <w:rsid w:val="00FC3267"/>
    <w:rsid w:val="00FC36CB"/>
    <w:rsid w:val="00FC36FC"/>
    <w:rsid w:val="00FC3DE5"/>
    <w:rsid w:val="00FC4602"/>
    <w:rsid w:val="00FC469D"/>
    <w:rsid w:val="00FC514D"/>
    <w:rsid w:val="00FC548C"/>
    <w:rsid w:val="00FC54F7"/>
    <w:rsid w:val="00FC56E7"/>
    <w:rsid w:val="00FC5C1B"/>
    <w:rsid w:val="00FC6DDD"/>
    <w:rsid w:val="00FC77C7"/>
    <w:rsid w:val="00FD0148"/>
    <w:rsid w:val="00FD0720"/>
    <w:rsid w:val="00FD0C35"/>
    <w:rsid w:val="00FD16F9"/>
    <w:rsid w:val="00FD183F"/>
    <w:rsid w:val="00FD1D02"/>
    <w:rsid w:val="00FD2084"/>
    <w:rsid w:val="00FD2A1D"/>
    <w:rsid w:val="00FD3189"/>
    <w:rsid w:val="00FD3482"/>
    <w:rsid w:val="00FD3544"/>
    <w:rsid w:val="00FD367E"/>
    <w:rsid w:val="00FD38CC"/>
    <w:rsid w:val="00FD391B"/>
    <w:rsid w:val="00FD39F9"/>
    <w:rsid w:val="00FD4253"/>
    <w:rsid w:val="00FD4C28"/>
    <w:rsid w:val="00FD4EBF"/>
    <w:rsid w:val="00FD4FB8"/>
    <w:rsid w:val="00FD563D"/>
    <w:rsid w:val="00FD5B78"/>
    <w:rsid w:val="00FD5ED3"/>
    <w:rsid w:val="00FD647F"/>
    <w:rsid w:val="00FD6D81"/>
    <w:rsid w:val="00FD7458"/>
    <w:rsid w:val="00FD75F3"/>
    <w:rsid w:val="00FD7F64"/>
    <w:rsid w:val="00FE0558"/>
    <w:rsid w:val="00FE06D3"/>
    <w:rsid w:val="00FE06E3"/>
    <w:rsid w:val="00FE0969"/>
    <w:rsid w:val="00FE0AAD"/>
    <w:rsid w:val="00FE1578"/>
    <w:rsid w:val="00FE17F9"/>
    <w:rsid w:val="00FE1EDD"/>
    <w:rsid w:val="00FE20A0"/>
    <w:rsid w:val="00FE2120"/>
    <w:rsid w:val="00FE26AD"/>
    <w:rsid w:val="00FE31FF"/>
    <w:rsid w:val="00FE4302"/>
    <w:rsid w:val="00FE4370"/>
    <w:rsid w:val="00FE45D8"/>
    <w:rsid w:val="00FE4E49"/>
    <w:rsid w:val="00FE5549"/>
    <w:rsid w:val="00FE56A2"/>
    <w:rsid w:val="00FE59DC"/>
    <w:rsid w:val="00FE5A77"/>
    <w:rsid w:val="00FE5F4C"/>
    <w:rsid w:val="00FE6632"/>
    <w:rsid w:val="00FE69FB"/>
    <w:rsid w:val="00FE6C5C"/>
    <w:rsid w:val="00FE7337"/>
    <w:rsid w:val="00FF070C"/>
    <w:rsid w:val="00FF0F15"/>
    <w:rsid w:val="00FF10AE"/>
    <w:rsid w:val="00FF175A"/>
    <w:rsid w:val="00FF1A26"/>
    <w:rsid w:val="00FF1CD3"/>
    <w:rsid w:val="00FF1EDF"/>
    <w:rsid w:val="00FF326B"/>
    <w:rsid w:val="00FF3F05"/>
    <w:rsid w:val="00FF446E"/>
    <w:rsid w:val="00FF45AA"/>
    <w:rsid w:val="00FF4A8F"/>
    <w:rsid w:val="00FF4C64"/>
    <w:rsid w:val="00FF5297"/>
    <w:rsid w:val="00FF63C2"/>
    <w:rsid w:val="00FF6602"/>
    <w:rsid w:val="00FF66F9"/>
    <w:rsid w:val="00FF681C"/>
    <w:rsid w:val="00FF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002a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qFormat="1"/>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AFA"/>
  </w:style>
  <w:style w:type="paragraph" w:styleId="Heading1">
    <w:name w:val="heading 1"/>
    <w:basedOn w:val="Normal"/>
    <w:next w:val="Normal"/>
    <w:link w:val="Heading1Char"/>
    <w:uiPriority w:val="9"/>
    <w:qFormat/>
    <w:rsid w:val="00B33BC8"/>
    <w:pPr>
      <w:keepNext/>
      <w:numPr>
        <w:numId w:val="7"/>
      </w:numPr>
      <w:spacing w:before="120" w:after="120"/>
      <w:outlineLvl w:val="0"/>
    </w:pPr>
    <w:rPr>
      <w:rFonts w:asciiTheme="minorHAnsi" w:hAnsiTheme="minorHAnsi" w:cstheme="minorHAnsi"/>
      <w:b/>
      <w:bCs/>
      <w:color w:val="003880"/>
      <w:kern w:val="32"/>
      <w:sz w:val="28"/>
      <w:szCs w:val="28"/>
      <w:lang w:val="en-AU"/>
    </w:rPr>
  </w:style>
  <w:style w:type="paragraph" w:styleId="Heading2">
    <w:name w:val="heading 2"/>
    <w:basedOn w:val="Normal"/>
    <w:next w:val="Normal"/>
    <w:link w:val="Heading2Char"/>
    <w:qFormat/>
    <w:rsid w:val="00DC41F6"/>
    <w:pPr>
      <w:keepNext/>
      <w:numPr>
        <w:ilvl w:val="1"/>
        <w:numId w:val="7"/>
      </w:numPr>
      <w:spacing w:before="120" w:after="120"/>
      <w:ind w:hanging="720"/>
      <w:outlineLvl w:val="1"/>
    </w:pPr>
    <w:rPr>
      <w:b/>
      <w:bCs/>
      <w:iCs/>
      <w:color w:val="003880"/>
      <w:sz w:val="24"/>
      <w:szCs w:val="24"/>
      <w:lang w:val="en-AU"/>
    </w:rPr>
  </w:style>
  <w:style w:type="paragraph" w:styleId="Heading3">
    <w:name w:val="heading 3"/>
    <w:basedOn w:val="Normal"/>
    <w:next w:val="Normal"/>
    <w:link w:val="Heading3Char"/>
    <w:qFormat/>
    <w:rsid w:val="00DC41F6"/>
    <w:pPr>
      <w:keepNext/>
      <w:numPr>
        <w:ilvl w:val="2"/>
        <w:numId w:val="7"/>
      </w:numPr>
      <w:spacing w:before="120" w:after="120"/>
      <w:ind w:left="709" w:hanging="709"/>
      <w:outlineLvl w:val="2"/>
    </w:pPr>
    <w:rPr>
      <w:bCs/>
      <w:color w:val="003880"/>
      <w:sz w:val="24"/>
      <w:szCs w:val="28"/>
      <w:lang w:val="en-AU"/>
    </w:rPr>
  </w:style>
  <w:style w:type="paragraph" w:styleId="Heading4">
    <w:name w:val="heading 4"/>
    <w:basedOn w:val="Normal"/>
    <w:next w:val="Normal"/>
    <w:link w:val="Heading4Char"/>
    <w:qFormat/>
    <w:rsid w:val="00643C39"/>
    <w:pPr>
      <w:keepNext/>
      <w:numPr>
        <w:ilvl w:val="3"/>
        <w:numId w:val="7"/>
      </w:numPr>
      <w:spacing w:before="240" w:after="60"/>
      <w:outlineLvl w:val="3"/>
    </w:pPr>
    <w:rPr>
      <w:b/>
      <w:bCs/>
      <w:sz w:val="24"/>
      <w:szCs w:val="28"/>
    </w:rPr>
  </w:style>
  <w:style w:type="paragraph" w:styleId="Heading5">
    <w:name w:val="heading 5"/>
    <w:basedOn w:val="Normal"/>
    <w:next w:val="Normal"/>
    <w:qFormat/>
    <w:rsid w:val="00643C39"/>
    <w:pPr>
      <w:numPr>
        <w:ilvl w:val="4"/>
        <w:numId w:val="3"/>
      </w:numPr>
      <w:spacing w:before="240" w:after="60"/>
      <w:outlineLvl w:val="4"/>
    </w:pPr>
    <w:rPr>
      <w:b/>
      <w:bCs/>
      <w:i/>
      <w:iCs/>
      <w:sz w:val="26"/>
      <w:szCs w:val="26"/>
    </w:rPr>
  </w:style>
  <w:style w:type="paragraph" w:styleId="Heading6">
    <w:name w:val="heading 6"/>
    <w:basedOn w:val="Normal"/>
    <w:next w:val="Normal"/>
    <w:qFormat/>
    <w:rsid w:val="00643C39"/>
    <w:pPr>
      <w:numPr>
        <w:ilvl w:val="5"/>
        <w:numId w:val="3"/>
      </w:numPr>
      <w:spacing w:before="240" w:after="60"/>
      <w:outlineLvl w:val="5"/>
    </w:pPr>
    <w:rPr>
      <w:b/>
      <w:bCs/>
    </w:rPr>
  </w:style>
  <w:style w:type="paragraph" w:styleId="Heading7">
    <w:name w:val="heading 7"/>
    <w:basedOn w:val="Normal"/>
    <w:next w:val="Normal"/>
    <w:qFormat/>
    <w:rsid w:val="00643C39"/>
    <w:pPr>
      <w:numPr>
        <w:ilvl w:val="6"/>
        <w:numId w:val="3"/>
      </w:numPr>
      <w:spacing w:before="240" w:after="60"/>
      <w:outlineLvl w:val="6"/>
    </w:pPr>
  </w:style>
  <w:style w:type="paragraph" w:styleId="Heading8">
    <w:name w:val="heading 8"/>
    <w:basedOn w:val="Normal"/>
    <w:next w:val="Normal"/>
    <w:qFormat/>
    <w:rsid w:val="00643C39"/>
    <w:pPr>
      <w:numPr>
        <w:ilvl w:val="7"/>
        <w:numId w:val="3"/>
      </w:numPr>
      <w:spacing w:before="240" w:after="60"/>
      <w:outlineLvl w:val="7"/>
    </w:pPr>
    <w:rPr>
      <w:i/>
      <w:iCs/>
    </w:rPr>
  </w:style>
  <w:style w:type="paragraph" w:styleId="Heading9">
    <w:name w:val="heading 9"/>
    <w:basedOn w:val="Normal"/>
    <w:next w:val="Normal"/>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33BC8"/>
    <w:rPr>
      <w:rFonts w:asciiTheme="minorHAnsi" w:hAnsiTheme="minorHAnsi" w:cstheme="minorHAnsi"/>
      <w:b/>
      <w:bCs/>
      <w:color w:val="003880"/>
      <w:kern w:val="32"/>
      <w:sz w:val="28"/>
      <w:szCs w:val="28"/>
      <w:lang w:val="en-AU"/>
    </w:rPr>
  </w:style>
  <w:style w:type="character" w:customStyle="1" w:styleId="Heading2Char">
    <w:name w:val="Heading 2 Char"/>
    <w:link w:val="Heading2"/>
    <w:rsid w:val="00DC41F6"/>
    <w:rPr>
      <w:b/>
      <w:bCs/>
      <w:iCs/>
      <w:color w:val="003880"/>
      <w:sz w:val="24"/>
      <w:szCs w:val="24"/>
      <w:lang w:val="en-AU"/>
    </w:rPr>
  </w:style>
  <w:style w:type="character" w:customStyle="1" w:styleId="Heading3Char">
    <w:name w:val="Heading 3 Char"/>
    <w:link w:val="Heading3"/>
    <w:rsid w:val="00DC41F6"/>
    <w:rPr>
      <w:bCs/>
      <w:color w:val="003880"/>
      <w:sz w:val="24"/>
      <w:szCs w:val="28"/>
      <w:lang w:val="en-AU"/>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rsid w:val="00890B09"/>
    <w:pPr>
      <w:tabs>
        <w:tab w:val="num" w:pos="360"/>
      </w:tabs>
    </w:pPr>
  </w:style>
  <w:style w:type="paragraph" w:styleId="List">
    <w:name w:val="List"/>
    <w:basedOn w:val="Normal"/>
    <w:rsid w:val="00890B09"/>
    <w:pPr>
      <w:ind w:left="360" w:hanging="360"/>
    </w:pPr>
  </w:style>
  <w:style w:type="character" w:styleId="PageNumber">
    <w:name w:val="page number"/>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rsid w:val="00D234C8"/>
    <w:pPr>
      <w:numPr>
        <w:numId w:val="1"/>
      </w:numPr>
    </w:pPr>
  </w:style>
  <w:style w:type="paragraph" w:styleId="Caption">
    <w:name w:val="caption"/>
    <w:basedOn w:val="Normal"/>
    <w:next w:val="Normal"/>
    <w:qFormat/>
    <w:rsid w:val="00C43C44"/>
    <w:pPr>
      <w:spacing w:before="120" w:after="120"/>
      <w:ind w:left="86" w:right="43"/>
      <w:jc w:val="center"/>
    </w:pPr>
    <w:rPr>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line="276" w:lineRule="auto"/>
      <w:ind w:left="0" w:firstLine="0"/>
      <w:outlineLvl w:val="9"/>
    </w:pPr>
    <w:rPr>
      <w:rFonts w:asciiTheme="majorHAnsi" w:eastAsiaTheme="majorEastAsia" w:hAnsiTheme="majorHAnsi" w:cstheme="majorBidi"/>
      <w:b w:val="0"/>
      <w:color w:val="365F91" w:themeColor="accent1" w:themeShade="BF"/>
      <w:kern w:val="0"/>
      <w:lang w:eastAsia="ja-JP"/>
    </w:rPr>
  </w:style>
  <w:style w:type="paragraph" w:styleId="FootnoteText">
    <w:name w:val="footnote text"/>
    <w:aliases w:val="FOOTNOTES,fn,single space,footnote text,Footnote Text Char2,Footnote Text Char1 Char,Footnote Text Char Char Char1,Footnote Text Char1 Char Char Char1,Footnote Text Char1 Char1 Char,Footnote Text Char Char Char Char,ft"/>
    <w:basedOn w:val="Normal"/>
    <w:link w:val="FootnoteTextChar"/>
    <w:uiPriority w:val="99"/>
    <w:rsid w:val="005D7550"/>
    <w:rPr>
      <w:sz w:val="20"/>
    </w:rPr>
  </w:style>
  <w:style w:type="paragraph" w:styleId="TOC1">
    <w:name w:val="toc 1"/>
    <w:basedOn w:val="Normal"/>
    <w:next w:val="Normal"/>
    <w:autoRedefine/>
    <w:uiPriority w:val="39"/>
    <w:qFormat/>
    <w:rsid w:val="00AF6BE4"/>
    <w:pPr>
      <w:tabs>
        <w:tab w:val="left" w:pos="720"/>
        <w:tab w:val="right" w:pos="9000"/>
      </w:tabs>
      <w:spacing w:line="480" w:lineRule="auto"/>
      <w:ind w:left="720" w:hanging="720"/>
    </w:pPr>
    <w:rPr>
      <w:rFonts w:asciiTheme="minorHAnsi" w:hAnsiTheme="minorHAnsi" w:cstheme="minorHAnsi"/>
      <w:bCs/>
      <w:caps/>
      <w:color w:val="003880"/>
      <w:kern w:val="32"/>
      <w:sz w:val="24"/>
      <w:szCs w:val="24"/>
      <w:lang w:val="en-AU"/>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spacing w:after="120"/>
    </w:pPr>
    <w:rPr>
      <w:rFonts w:asciiTheme="minorHAnsi" w:hAnsiTheme="minorHAnsi" w:cstheme="minorHAnsi"/>
      <w:sz w:val="20"/>
    </w:rPr>
  </w:style>
  <w:style w:type="paragraph" w:styleId="TOC4">
    <w:name w:val="toc 4"/>
    <w:basedOn w:val="Normal"/>
    <w:next w:val="Normal"/>
    <w:autoRedefine/>
    <w:uiPriority w:val="39"/>
    <w:rsid w:val="00C86DEB"/>
    <w:pPr>
      <w:ind w:left="440"/>
    </w:pPr>
    <w:rPr>
      <w:rFonts w:asciiTheme="minorHAnsi" w:hAnsiTheme="minorHAnsi" w:cstheme="minorHAnsi"/>
      <w:sz w:val="20"/>
    </w:rPr>
  </w:style>
  <w:style w:type="paragraph" w:styleId="TOC5">
    <w:name w:val="toc 5"/>
    <w:basedOn w:val="Normal"/>
    <w:next w:val="Normal"/>
    <w:autoRedefine/>
    <w:uiPriority w:val="39"/>
    <w:rsid w:val="00C86DEB"/>
    <w:pPr>
      <w:ind w:left="660"/>
    </w:pPr>
    <w:rPr>
      <w:rFonts w:asciiTheme="minorHAnsi" w:hAnsiTheme="minorHAnsi" w:cstheme="minorHAnsi"/>
      <w:sz w:val="20"/>
    </w:rPr>
  </w:style>
  <w:style w:type="paragraph" w:styleId="TOC6">
    <w:name w:val="toc 6"/>
    <w:basedOn w:val="Normal"/>
    <w:next w:val="Normal"/>
    <w:autoRedefine/>
    <w:uiPriority w:val="39"/>
    <w:rsid w:val="00C86DEB"/>
    <w:pPr>
      <w:ind w:left="880"/>
    </w:pPr>
    <w:rPr>
      <w:rFonts w:asciiTheme="minorHAnsi" w:hAnsiTheme="minorHAnsi" w:cstheme="minorHAnsi"/>
      <w:sz w:val="20"/>
    </w:rPr>
  </w:style>
  <w:style w:type="paragraph" w:styleId="TOC7">
    <w:name w:val="toc 7"/>
    <w:basedOn w:val="Normal"/>
    <w:next w:val="Normal"/>
    <w:autoRedefine/>
    <w:uiPriority w:val="39"/>
    <w:rsid w:val="00C86DEB"/>
    <w:pPr>
      <w:ind w:left="1100"/>
    </w:pPr>
    <w:rPr>
      <w:rFonts w:asciiTheme="minorHAnsi" w:hAnsiTheme="minorHAnsi" w:cstheme="minorHAnsi"/>
      <w:sz w:val="20"/>
    </w:rPr>
  </w:style>
  <w:style w:type="paragraph" w:styleId="TOC8">
    <w:name w:val="toc 8"/>
    <w:basedOn w:val="Normal"/>
    <w:next w:val="Normal"/>
    <w:autoRedefine/>
    <w:uiPriority w:val="39"/>
    <w:rsid w:val="00C86DEB"/>
    <w:pPr>
      <w:ind w:left="1320"/>
    </w:pPr>
    <w:rPr>
      <w:rFonts w:asciiTheme="minorHAnsi" w:hAnsiTheme="minorHAnsi" w:cstheme="minorHAnsi"/>
      <w:sz w:val="20"/>
    </w:rPr>
  </w:style>
  <w:style w:type="paragraph" w:styleId="TOC9">
    <w:name w:val="toc 9"/>
    <w:basedOn w:val="Normal"/>
    <w:next w:val="Normal"/>
    <w:autoRedefine/>
    <w:uiPriority w:val="39"/>
    <w:rsid w:val="00C86DEB"/>
    <w:pPr>
      <w:ind w:left="1540"/>
    </w:pPr>
    <w:rPr>
      <w:rFonts w:asciiTheme="minorHAnsi" w:hAnsiTheme="minorHAnsi" w:cstheme="minorHAnsi"/>
      <w:sz w:val="20"/>
    </w:rPr>
  </w:style>
  <w:style w:type="paragraph" w:styleId="Title">
    <w:name w:val="Title"/>
    <w:basedOn w:val="Normal"/>
    <w:link w:val="TitleChar"/>
    <w:uiPriority w:val="10"/>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11"/>
    <w:qFormat/>
    <w:rsid w:val="00643C39"/>
    <w:pPr>
      <w:spacing w:after="60"/>
      <w:ind w:left="1267"/>
      <w:outlineLvl w:val="1"/>
    </w:pPr>
    <w:rPr>
      <w:rFonts w:cs="Arial"/>
      <w:caps/>
      <w:sz w:val="32"/>
      <w:szCs w:val="32"/>
    </w:rPr>
  </w:style>
  <w:style w:type="table" w:styleId="TableGrid">
    <w:name w:val="Table Grid"/>
    <w:basedOn w:val="TableNormal"/>
    <w:uiPriority w:val="5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after="12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after="12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spacing w:after="120"/>
    </w:pPr>
  </w:style>
  <w:style w:type="paragraph" w:customStyle="1" w:styleId="TableTitle">
    <w:name w:val="Table Title"/>
    <w:basedOn w:val="Normal"/>
    <w:rsid w:val="00623899"/>
    <w:pPr>
      <w:spacing w:before="160" w:after="12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rPr>
      <w:lang w:val="en-AU"/>
    </w:rPr>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line="276" w:lineRule="auto"/>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1"/>
    <w:rsid w:val="00526ECC"/>
    <w:rPr>
      <w:rFonts w:ascii="Gill Sans MT" w:hAnsi="Gill Sans MT"/>
      <w:szCs w:val="24"/>
    </w:rPr>
  </w:style>
  <w:style w:type="character" w:styleId="Emphasis">
    <w:name w:val="Emphasis"/>
    <w:uiPriority w:val="20"/>
    <w:qFormat/>
    <w:rsid w:val="005B5083"/>
    <w:rPr>
      <w:i/>
      <w:iCs/>
    </w:rPr>
  </w:style>
  <w:style w:type="character" w:customStyle="1" w:styleId="st">
    <w:name w:val="st"/>
    <w:rsid w:val="0029188D"/>
  </w:style>
  <w:style w:type="character" w:styleId="Strong">
    <w:name w:val="Strong"/>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1"/>
    <w:qFormat/>
    <w:rsid w:val="007E1B55"/>
    <w:rPr>
      <w:rFonts w:eastAsia="Calibri"/>
    </w:rPr>
  </w:style>
  <w:style w:type="paragraph" w:styleId="ListParagraph">
    <w:name w:val="List Paragraph"/>
    <w:basedOn w:val="Normal"/>
    <w:link w:val="ListParagraphChar"/>
    <w:uiPriority w:val="34"/>
    <w:qFormat/>
    <w:rsid w:val="0084149E"/>
    <w:pPr>
      <w:spacing w:after="200" w:line="276" w:lineRule="auto"/>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10"/>
    <w:rsid w:val="00007205"/>
    <w:rPr>
      <w:rFonts w:ascii="Gill Sans MT" w:hAnsi="Gill Sans MT" w:cs="Arial"/>
      <w:bCs/>
      <w:caps/>
      <w:kern w:val="28"/>
      <w:sz w:val="80"/>
      <w:szCs w:val="80"/>
    </w:rPr>
  </w:style>
  <w:style w:type="character" w:customStyle="1" w:styleId="SubtitleChar">
    <w:name w:val="Subtitle Char"/>
    <w:link w:val="Subtitle"/>
    <w:uiPriority w:val="11"/>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
      <w:bCs/>
      <w:iCs/>
      <w:noProof/>
      <w:color w:val="68BAD6"/>
      <w:sz w:val="32"/>
      <w:szCs w:val="24"/>
      <w:lang w:val="en-AU"/>
    </w:rPr>
  </w:style>
  <w:style w:type="paragraph" w:customStyle="1" w:styleId="TableHeader">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lang w:val="en-AU"/>
    </w:rPr>
  </w:style>
  <w:style w:type="paragraph" w:customStyle="1" w:styleId="QAAddress">
    <w:name w:val="QA Address"/>
    <w:basedOn w:val="Normal"/>
    <w:next w:val="Normal"/>
    <w:rsid w:val="00B8605F"/>
    <w:pPr>
      <w:contextualSpacing/>
    </w:pPr>
    <w:rPr>
      <w:rFonts w:eastAsiaTheme="minorHAnsi" w:cs="Arial"/>
      <w:lang w:val="en-AU"/>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lang w:val="en-AU"/>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val="en-AU"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val="en-AU"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val="en-AU"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line="276" w:lineRule="auto"/>
      <w:outlineLvl w:val="1"/>
    </w:pPr>
    <w:rPr>
      <w:rFonts w:eastAsia="Calibri" w:cs="Arial"/>
      <w:b/>
      <w:bCs/>
      <w:iCs/>
      <w:sz w:val="32"/>
      <w:szCs w:val="32"/>
      <w:lang w:val="en-AU"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1A1BAD"/>
    <w:rPr>
      <w:sz w:val="20"/>
    </w:rPr>
  </w:style>
  <w:style w:type="character" w:customStyle="1" w:styleId="EndnoteTextChar">
    <w:name w:val="Endnote Text Char"/>
    <w:basedOn w:val="DefaultParagraphFont"/>
    <w:link w:val="EndnoteText"/>
    <w:uiPriority w:val="99"/>
    <w:rsid w:val="001A1BAD"/>
    <w:rPr>
      <w:sz w:val="20"/>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21"/>
    <w:qFormat/>
    <w:rsid w:val="00DD0D4F"/>
    <w:rPr>
      <w:b/>
      <w:bCs/>
      <w:i/>
      <w:iCs/>
      <w:color w:val="4F81BD" w:themeColor="accent1"/>
    </w:rPr>
  </w:style>
  <w:style w:type="character" w:customStyle="1" w:styleId="FootnoteTextChar">
    <w:name w:val="Footnote Text Char"/>
    <w:aliases w:val="FOOTNOTES Char,fn Char,single space Char,footnote text Char,Footnote Text Char2 Char,Footnote Text Char1 Char Char,Footnote Text Char Char Char1 Char,Footnote Text Char1 Char Char Char1 Char,Footnote Text Char1 Char1 Char Char,ft Char"/>
    <w:basedOn w:val="DefaultParagraphFont"/>
    <w:link w:val="FootnoteText"/>
    <w:uiPriority w:val="99"/>
    <w:rsid w:val="002366FA"/>
    <w:rPr>
      <w:sz w:val="20"/>
    </w:rPr>
  </w:style>
  <w:style w:type="paragraph" w:customStyle="1" w:styleId="Non-TOCsubheading">
    <w:name w:val="Non-TOC subheading"/>
    <w:basedOn w:val="BodyText"/>
    <w:link w:val="Non-TOCsubheadingChar"/>
    <w:rsid w:val="00AC0B1B"/>
    <w:pPr>
      <w:spacing w:after="120"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5"/>
      </w:numPr>
      <w:spacing w:before="120" w:after="120"/>
      <w:ind w:left="720"/>
    </w:pPr>
    <w:rPr>
      <w:rFonts w:cs="Arial"/>
      <w:bCs/>
      <w:lang w:val="en-AU"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HeadingGRM">
    <w:name w:val="Heading GRM"/>
    <w:basedOn w:val="Heading1"/>
    <w:next w:val="Normal"/>
    <w:link w:val="HeadingGRMChar"/>
    <w:qFormat/>
    <w:rsid w:val="000B0BF7"/>
    <w:pPr>
      <w:numPr>
        <w:numId w:val="0"/>
      </w:numPr>
      <w:spacing w:before="480" w:after="360" w:line="276" w:lineRule="auto"/>
    </w:pPr>
    <w:rPr>
      <w:rFonts w:ascii="Calibri" w:eastAsia="Calibri" w:hAnsi="Calibri" w:cs="Arial"/>
      <w:b w:val="0"/>
      <w:color w:val="auto"/>
      <w:sz w:val="36"/>
      <w:szCs w:val="24"/>
      <w:lang w:val="en-GB" w:eastAsia="en-AU"/>
    </w:rPr>
  </w:style>
  <w:style w:type="character" w:customStyle="1" w:styleId="HeadingGRMChar">
    <w:name w:val="Heading GRM Char"/>
    <w:link w:val="HeadingGRM"/>
    <w:rsid w:val="000B0BF7"/>
    <w:rPr>
      <w:rFonts w:eastAsia="Calibri" w:cs="Arial"/>
      <w:b/>
      <w:bCs/>
      <w:kern w:val="32"/>
      <w:sz w:val="36"/>
      <w:szCs w:val="24"/>
      <w:lang w:val="en-GB" w:eastAsia="en-AU"/>
    </w:rPr>
  </w:style>
  <w:style w:type="paragraph" w:customStyle="1" w:styleId="CONLevela">
    <w:name w:val=".CON  Level  (a)"/>
    <w:basedOn w:val="Normal"/>
    <w:next w:val="Normal"/>
    <w:rsid w:val="004F1D92"/>
    <w:pPr>
      <w:numPr>
        <w:ilvl w:val="2"/>
        <w:numId w:val="14"/>
      </w:numPr>
      <w:spacing w:before="240"/>
      <w:outlineLvl w:val="3"/>
    </w:pPr>
    <w:rPr>
      <w:rFonts w:ascii="Times New Roman" w:hAnsi="Times New Roman" w:cs="Times New Roman"/>
      <w:sz w:val="24"/>
      <w:lang w:val="en-AU"/>
    </w:rPr>
  </w:style>
  <w:style w:type="paragraph" w:customStyle="1" w:styleId="CONLeveli">
    <w:name w:val=".CON  Level  (i)"/>
    <w:basedOn w:val="Normal"/>
    <w:next w:val="Normal"/>
    <w:rsid w:val="004F1D92"/>
    <w:pPr>
      <w:numPr>
        <w:ilvl w:val="3"/>
        <w:numId w:val="14"/>
      </w:numPr>
      <w:spacing w:before="240"/>
      <w:outlineLvl w:val="4"/>
    </w:pPr>
    <w:rPr>
      <w:rFonts w:ascii="Times New Roman" w:hAnsi="Times New Roman" w:cs="Times New Roman"/>
      <w:sz w:val="24"/>
      <w:lang w:val="en-AU"/>
    </w:rPr>
  </w:style>
  <w:style w:type="paragraph" w:customStyle="1" w:styleId="CONLevel1">
    <w:name w:val=".CON  Level   1."/>
    <w:basedOn w:val="Normal"/>
    <w:next w:val="Normal"/>
    <w:rsid w:val="004F1D92"/>
    <w:pPr>
      <w:keepNext/>
      <w:numPr>
        <w:numId w:val="14"/>
      </w:numPr>
      <w:spacing w:before="240"/>
      <w:ind w:right="1701"/>
      <w:outlineLvl w:val="1"/>
    </w:pPr>
    <w:rPr>
      <w:rFonts w:ascii="Times New Roman" w:hAnsi="Times New Roman" w:cs="Times New Roman"/>
      <w:b/>
      <w:sz w:val="24"/>
      <w:lang w:val="en-AU"/>
    </w:rPr>
  </w:style>
  <w:style w:type="paragraph" w:customStyle="1" w:styleId="CONLevel11">
    <w:name w:val=".CON  Level   1.1"/>
    <w:basedOn w:val="Normal"/>
    <w:next w:val="Normal"/>
    <w:link w:val="CONLevel11Char"/>
    <w:rsid w:val="004F1D92"/>
    <w:pPr>
      <w:numPr>
        <w:ilvl w:val="1"/>
        <w:numId w:val="14"/>
      </w:numPr>
      <w:spacing w:before="240"/>
      <w:outlineLvl w:val="2"/>
    </w:pPr>
    <w:rPr>
      <w:rFonts w:ascii="Times New Roman" w:hAnsi="Times New Roman" w:cs="Times New Roman"/>
      <w:sz w:val="24"/>
      <w:lang w:val="en-AU"/>
    </w:rPr>
  </w:style>
  <w:style w:type="paragraph" w:customStyle="1" w:styleId="CONLevelA0">
    <w:name w:val=".CON  Level (A)"/>
    <w:basedOn w:val="Normal"/>
    <w:next w:val="Normal"/>
    <w:rsid w:val="004F1D92"/>
    <w:pPr>
      <w:numPr>
        <w:ilvl w:val="4"/>
        <w:numId w:val="14"/>
      </w:numPr>
      <w:spacing w:before="240"/>
      <w:outlineLvl w:val="5"/>
    </w:pPr>
    <w:rPr>
      <w:rFonts w:ascii="Times New Roman" w:hAnsi="Times New Roman" w:cs="Times New Roman"/>
      <w:sz w:val="24"/>
      <w:lang w:val="en-AU"/>
    </w:rPr>
  </w:style>
  <w:style w:type="paragraph" w:customStyle="1" w:styleId="CONLevelI0">
    <w:name w:val=".CON  Level (I)"/>
    <w:basedOn w:val="Normal"/>
    <w:next w:val="Normal"/>
    <w:rsid w:val="004F1D92"/>
    <w:pPr>
      <w:numPr>
        <w:ilvl w:val="5"/>
        <w:numId w:val="14"/>
      </w:numPr>
      <w:spacing w:before="240"/>
      <w:outlineLvl w:val="6"/>
    </w:pPr>
    <w:rPr>
      <w:rFonts w:ascii="Times New Roman" w:hAnsi="Times New Roman" w:cs="Times New Roman"/>
      <w:sz w:val="24"/>
      <w:lang w:val="en-AU"/>
    </w:rPr>
  </w:style>
  <w:style w:type="character" w:customStyle="1" w:styleId="CONLevel11Char">
    <w:name w:val=".CON  Level   1.1 Char"/>
    <w:link w:val="CONLevel11"/>
    <w:rsid w:val="004F1D92"/>
    <w:rPr>
      <w:rFonts w:ascii="Times New Roman" w:hAnsi="Times New Roman" w:cs="Times New Roman"/>
      <w:sz w:val="24"/>
      <w:lang w:val="en-AU"/>
    </w:rPr>
  </w:style>
  <w:style w:type="paragraph" w:customStyle="1" w:styleId="Notes">
    <w:name w:val="Notes"/>
    <w:basedOn w:val="Normal"/>
    <w:next w:val="Normal"/>
    <w:rsid w:val="002B6C03"/>
    <w:pPr>
      <w:spacing w:before="60" w:after="240"/>
      <w:jc w:val="center"/>
    </w:pPr>
    <w:rPr>
      <w:color w:val="808080" w:themeColor="background1" w:themeShade="80"/>
      <w:sz w:val="16"/>
      <w:szCs w:val="20"/>
      <w:lang w:val="en-AU"/>
    </w:rPr>
  </w:style>
  <w:style w:type="table" w:customStyle="1" w:styleId="TableGrid15">
    <w:name w:val="Table Grid15"/>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locked/>
    <w:rsid w:val="00A6451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locked/>
    <w:rsid w:val="0073157E"/>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33BC8"/>
    <w:rPr>
      <w:rFonts w:asciiTheme="minorHAnsi" w:eastAsiaTheme="minorEastAsia" w:hAnsiTheme="minorHAnsi" w:cstheme="minorBidi"/>
      <w:sz w:val="24"/>
      <w:szCs w:val="24"/>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heme="minorHAnsi" w:hAnsiTheme="minorHAnsi"/>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able">
    <w:name w:val="CapTable"/>
    <w:basedOn w:val="Caption"/>
    <w:qFormat/>
    <w:rsid w:val="00DC41F6"/>
    <w:pPr>
      <w:keepNext/>
      <w:spacing w:before="240" w:after="240"/>
      <w:ind w:left="85" w:right="45"/>
    </w:pPr>
  </w:style>
  <w:style w:type="paragraph" w:customStyle="1" w:styleId="CapFigure">
    <w:name w:val="CapFigure"/>
    <w:basedOn w:val="Caption"/>
    <w:qFormat/>
    <w:rsid w:val="00DC41F6"/>
    <w:pPr>
      <w:keepNext/>
      <w:ind w:left="85" w:right="45"/>
    </w:pPr>
  </w:style>
  <w:style w:type="character" w:customStyle="1" w:styleId="EmailStyle201">
    <w:name w:val="EmailStyle201"/>
    <w:uiPriority w:val="99"/>
    <w:semiHidden/>
    <w:rsid w:val="00DC41F6"/>
    <w:rPr>
      <w:rFonts w:ascii="Arial" w:hAnsi="Arial" w:cs="Arial"/>
      <w:color w:val="auto"/>
      <w:sz w:val="20"/>
      <w:szCs w:val="20"/>
    </w:rPr>
  </w:style>
  <w:style w:type="character" w:customStyle="1" w:styleId="Heading4Char">
    <w:name w:val="Heading 4 Char"/>
    <w:basedOn w:val="DefaultParagraphFont"/>
    <w:link w:val="Heading4"/>
    <w:rsid w:val="00DC41F6"/>
    <w:rPr>
      <w:b/>
      <w:bCs/>
      <w:sz w:val="24"/>
      <w:szCs w:val="28"/>
    </w:rPr>
  </w:style>
  <w:style w:type="paragraph" w:customStyle="1" w:styleId="numbered">
    <w:name w:val="numbered"/>
    <w:basedOn w:val="Normal"/>
    <w:link w:val="numberedChar"/>
    <w:qFormat/>
    <w:rsid w:val="00DC41F6"/>
    <w:pPr>
      <w:spacing w:before="60" w:after="60"/>
      <w:jc w:val="both"/>
    </w:pPr>
    <w:rPr>
      <w:rFonts w:asciiTheme="minorHAnsi" w:hAnsiTheme="minorHAnsi" w:cs="Times New Roman"/>
      <w:sz w:val="24"/>
      <w:szCs w:val="24"/>
      <w:lang w:val="en-AU" w:eastAsia="en-AU"/>
    </w:rPr>
  </w:style>
  <w:style w:type="character" w:customStyle="1" w:styleId="numberedChar">
    <w:name w:val="numbered Char"/>
    <w:basedOn w:val="DefaultParagraphFont"/>
    <w:link w:val="numbered"/>
    <w:rsid w:val="00DC41F6"/>
    <w:rPr>
      <w:rFonts w:asciiTheme="minorHAnsi" w:hAnsiTheme="minorHAnsi" w:cs="Times New Roman"/>
      <w:sz w:val="24"/>
      <w:szCs w:val="24"/>
      <w:lang w:val="en-AU" w:eastAsia="en-AU"/>
    </w:rPr>
  </w:style>
  <w:style w:type="paragraph" w:customStyle="1" w:styleId="Source">
    <w:name w:val="Source"/>
    <w:basedOn w:val="Normal"/>
    <w:qFormat/>
    <w:rsid w:val="00A943BB"/>
    <w:pPr>
      <w:spacing w:before="120" w:after="120"/>
      <w:jc w:val="center"/>
      <w:outlineLvl w:val="1"/>
    </w:pPr>
    <w:rPr>
      <w:bCs/>
      <w:sz w:val="20"/>
      <w:szCs w:val="20"/>
    </w:rPr>
  </w:style>
  <w:style w:type="character" w:customStyle="1" w:styleId="apple-converted-space">
    <w:name w:val="apple-converted-space"/>
    <w:basedOn w:val="DefaultParagraphFont"/>
    <w:rsid w:val="00A943BB"/>
  </w:style>
  <w:style w:type="table" w:customStyle="1" w:styleId="TableGrid321">
    <w:name w:val="Table Grid321"/>
    <w:basedOn w:val="TableNormal"/>
    <w:next w:val="TableGrid"/>
    <w:uiPriority w:val="59"/>
    <w:locked/>
    <w:rsid w:val="004B103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locked/>
    <w:rsid w:val="004B103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locked/>
    <w:rsid w:val="00D20962"/>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qFormat="1"/>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AFA"/>
  </w:style>
  <w:style w:type="paragraph" w:styleId="Heading1">
    <w:name w:val="heading 1"/>
    <w:basedOn w:val="Normal"/>
    <w:next w:val="Normal"/>
    <w:link w:val="Heading1Char"/>
    <w:uiPriority w:val="9"/>
    <w:qFormat/>
    <w:rsid w:val="00B33BC8"/>
    <w:pPr>
      <w:keepNext/>
      <w:numPr>
        <w:numId w:val="7"/>
      </w:numPr>
      <w:spacing w:before="120" w:after="120"/>
      <w:outlineLvl w:val="0"/>
    </w:pPr>
    <w:rPr>
      <w:rFonts w:asciiTheme="minorHAnsi" w:hAnsiTheme="minorHAnsi" w:cstheme="minorHAnsi"/>
      <w:b/>
      <w:bCs/>
      <w:color w:val="003880"/>
      <w:kern w:val="32"/>
      <w:sz w:val="28"/>
      <w:szCs w:val="28"/>
      <w:lang w:val="en-AU"/>
    </w:rPr>
  </w:style>
  <w:style w:type="paragraph" w:styleId="Heading2">
    <w:name w:val="heading 2"/>
    <w:basedOn w:val="Normal"/>
    <w:next w:val="Normal"/>
    <w:link w:val="Heading2Char"/>
    <w:qFormat/>
    <w:rsid w:val="00DC41F6"/>
    <w:pPr>
      <w:keepNext/>
      <w:numPr>
        <w:ilvl w:val="1"/>
        <w:numId w:val="7"/>
      </w:numPr>
      <w:spacing w:before="120" w:after="120"/>
      <w:ind w:hanging="720"/>
      <w:outlineLvl w:val="1"/>
    </w:pPr>
    <w:rPr>
      <w:b/>
      <w:bCs/>
      <w:iCs/>
      <w:color w:val="003880"/>
      <w:sz w:val="24"/>
      <w:szCs w:val="24"/>
      <w:lang w:val="en-AU"/>
    </w:rPr>
  </w:style>
  <w:style w:type="paragraph" w:styleId="Heading3">
    <w:name w:val="heading 3"/>
    <w:basedOn w:val="Normal"/>
    <w:next w:val="Normal"/>
    <w:link w:val="Heading3Char"/>
    <w:qFormat/>
    <w:rsid w:val="00DC41F6"/>
    <w:pPr>
      <w:keepNext/>
      <w:numPr>
        <w:ilvl w:val="2"/>
        <w:numId w:val="7"/>
      </w:numPr>
      <w:spacing w:before="120" w:after="120"/>
      <w:ind w:left="709" w:hanging="709"/>
      <w:outlineLvl w:val="2"/>
    </w:pPr>
    <w:rPr>
      <w:bCs/>
      <w:color w:val="003880"/>
      <w:sz w:val="24"/>
      <w:szCs w:val="28"/>
      <w:lang w:val="en-AU"/>
    </w:rPr>
  </w:style>
  <w:style w:type="paragraph" w:styleId="Heading4">
    <w:name w:val="heading 4"/>
    <w:basedOn w:val="Normal"/>
    <w:next w:val="Normal"/>
    <w:link w:val="Heading4Char"/>
    <w:qFormat/>
    <w:rsid w:val="00643C39"/>
    <w:pPr>
      <w:keepNext/>
      <w:numPr>
        <w:ilvl w:val="3"/>
        <w:numId w:val="7"/>
      </w:numPr>
      <w:spacing w:before="240" w:after="60"/>
      <w:outlineLvl w:val="3"/>
    </w:pPr>
    <w:rPr>
      <w:b/>
      <w:bCs/>
      <w:sz w:val="24"/>
      <w:szCs w:val="28"/>
    </w:rPr>
  </w:style>
  <w:style w:type="paragraph" w:styleId="Heading5">
    <w:name w:val="heading 5"/>
    <w:basedOn w:val="Normal"/>
    <w:next w:val="Normal"/>
    <w:qFormat/>
    <w:rsid w:val="00643C39"/>
    <w:pPr>
      <w:numPr>
        <w:ilvl w:val="4"/>
        <w:numId w:val="3"/>
      </w:numPr>
      <w:spacing w:before="240" w:after="60"/>
      <w:outlineLvl w:val="4"/>
    </w:pPr>
    <w:rPr>
      <w:b/>
      <w:bCs/>
      <w:i/>
      <w:iCs/>
      <w:sz w:val="26"/>
      <w:szCs w:val="26"/>
    </w:rPr>
  </w:style>
  <w:style w:type="paragraph" w:styleId="Heading6">
    <w:name w:val="heading 6"/>
    <w:basedOn w:val="Normal"/>
    <w:next w:val="Normal"/>
    <w:qFormat/>
    <w:rsid w:val="00643C39"/>
    <w:pPr>
      <w:numPr>
        <w:ilvl w:val="5"/>
        <w:numId w:val="3"/>
      </w:numPr>
      <w:spacing w:before="240" w:after="60"/>
      <w:outlineLvl w:val="5"/>
    </w:pPr>
    <w:rPr>
      <w:b/>
      <w:bCs/>
    </w:rPr>
  </w:style>
  <w:style w:type="paragraph" w:styleId="Heading7">
    <w:name w:val="heading 7"/>
    <w:basedOn w:val="Normal"/>
    <w:next w:val="Normal"/>
    <w:qFormat/>
    <w:rsid w:val="00643C39"/>
    <w:pPr>
      <w:numPr>
        <w:ilvl w:val="6"/>
        <w:numId w:val="3"/>
      </w:numPr>
      <w:spacing w:before="240" w:after="60"/>
      <w:outlineLvl w:val="6"/>
    </w:pPr>
  </w:style>
  <w:style w:type="paragraph" w:styleId="Heading8">
    <w:name w:val="heading 8"/>
    <w:basedOn w:val="Normal"/>
    <w:next w:val="Normal"/>
    <w:qFormat/>
    <w:rsid w:val="00643C39"/>
    <w:pPr>
      <w:numPr>
        <w:ilvl w:val="7"/>
        <w:numId w:val="3"/>
      </w:numPr>
      <w:spacing w:before="240" w:after="60"/>
      <w:outlineLvl w:val="7"/>
    </w:pPr>
    <w:rPr>
      <w:i/>
      <w:iCs/>
    </w:rPr>
  </w:style>
  <w:style w:type="paragraph" w:styleId="Heading9">
    <w:name w:val="heading 9"/>
    <w:basedOn w:val="Normal"/>
    <w:next w:val="Normal"/>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33BC8"/>
    <w:rPr>
      <w:rFonts w:asciiTheme="minorHAnsi" w:hAnsiTheme="minorHAnsi" w:cstheme="minorHAnsi"/>
      <w:b/>
      <w:bCs/>
      <w:color w:val="003880"/>
      <w:kern w:val="32"/>
      <w:sz w:val="28"/>
      <w:szCs w:val="28"/>
      <w:lang w:val="en-AU"/>
    </w:rPr>
  </w:style>
  <w:style w:type="character" w:customStyle="1" w:styleId="Heading2Char">
    <w:name w:val="Heading 2 Char"/>
    <w:link w:val="Heading2"/>
    <w:rsid w:val="00DC41F6"/>
    <w:rPr>
      <w:b/>
      <w:bCs/>
      <w:iCs/>
      <w:color w:val="003880"/>
      <w:sz w:val="24"/>
      <w:szCs w:val="24"/>
      <w:lang w:val="en-AU"/>
    </w:rPr>
  </w:style>
  <w:style w:type="character" w:customStyle="1" w:styleId="Heading3Char">
    <w:name w:val="Heading 3 Char"/>
    <w:link w:val="Heading3"/>
    <w:rsid w:val="00DC41F6"/>
    <w:rPr>
      <w:bCs/>
      <w:color w:val="003880"/>
      <w:sz w:val="24"/>
      <w:szCs w:val="28"/>
      <w:lang w:val="en-AU"/>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rsid w:val="00890B09"/>
    <w:pPr>
      <w:tabs>
        <w:tab w:val="num" w:pos="360"/>
      </w:tabs>
    </w:pPr>
  </w:style>
  <w:style w:type="paragraph" w:styleId="List">
    <w:name w:val="List"/>
    <w:basedOn w:val="Normal"/>
    <w:rsid w:val="00890B09"/>
    <w:pPr>
      <w:ind w:left="360" w:hanging="360"/>
    </w:pPr>
  </w:style>
  <w:style w:type="character" w:styleId="PageNumber">
    <w:name w:val="page number"/>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rsid w:val="00D234C8"/>
    <w:pPr>
      <w:numPr>
        <w:numId w:val="1"/>
      </w:numPr>
    </w:pPr>
  </w:style>
  <w:style w:type="paragraph" w:styleId="Caption">
    <w:name w:val="caption"/>
    <w:basedOn w:val="Normal"/>
    <w:next w:val="Normal"/>
    <w:qFormat/>
    <w:rsid w:val="00C43C44"/>
    <w:pPr>
      <w:spacing w:before="120" w:after="120"/>
      <w:ind w:left="86" w:right="43"/>
      <w:jc w:val="center"/>
    </w:pPr>
    <w:rPr>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line="276" w:lineRule="auto"/>
      <w:ind w:left="0" w:firstLine="0"/>
      <w:outlineLvl w:val="9"/>
    </w:pPr>
    <w:rPr>
      <w:rFonts w:asciiTheme="majorHAnsi" w:eastAsiaTheme="majorEastAsia" w:hAnsiTheme="majorHAnsi" w:cstheme="majorBidi"/>
      <w:b w:val="0"/>
      <w:color w:val="365F91" w:themeColor="accent1" w:themeShade="BF"/>
      <w:kern w:val="0"/>
      <w:lang w:eastAsia="ja-JP"/>
    </w:rPr>
  </w:style>
  <w:style w:type="paragraph" w:styleId="FootnoteText">
    <w:name w:val="footnote text"/>
    <w:aliases w:val="FOOTNOTES,fn,single space,footnote text,Footnote Text Char2,Footnote Text Char1 Char,Footnote Text Char Char Char1,Footnote Text Char1 Char Char Char1,Footnote Text Char1 Char1 Char,Footnote Text Char Char Char Char,ft"/>
    <w:basedOn w:val="Normal"/>
    <w:link w:val="FootnoteTextChar"/>
    <w:uiPriority w:val="99"/>
    <w:rsid w:val="005D7550"/>
    <w:rPr>
      <w:sz w:val="20"/>
    </w:rPr>
  </w:style>
  <w:style w:type="paragraph" w:styleId="TOC1">
    <w:name w:val="toc 1"/>
    <w:basedOn w:val="Normal"/>
    <w:next w:val="Normal"/>
    <w:autoRedefine/>
    <w:uiPriority w:val="39"/>
    <w:qFormat/>
    <w:rsid w:val="00AF6BE4"/>
    <w:pPr>
      <w:tabs>
        <w:tab w:val="left" w:pos="720"/>
        <w:tab w:val="right" w:pos="9000"/>
      </w:tabs>
      <w:spacing w:line="480" w:lineRule="auto"/>
      <w:ind w:left="720" w:hanging="720"/>
    </w:pPr>
    <w:rPr>
      <w:rFonts w:asciiTheme="minorHAnsi" w:hAnsiTheme="minorHAnsi" w:cstheme="minorHAnsi"/>
      <w:bCs/>
      <w:caps/>
      <w:color w:val="003880"/>
      <w:kern w:val="32"/>
      <w:sz w:val="24"/>
      <w:szCs w:val="24"/>
      <w:lang w:val="en-AU"/>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spacing w:after="120"/>
    </w:pPr>
    <w:rPr>
      <w:rFonts w:asciiTheme="minorHAnsi" w:hAnsiTheme="minorHAnsi" w:cstheme="minorHAnsi"/>
      <w:sz w:val="20"/>
    </w:rPr>
  </w:style>
  <w:style w:type="paragraph" w:styleId="TOC4">
    <w:name w:val="toc 4"/>
    <w:basedOn w:val="Normal"/>
    <w:next w:val="Normal"/>
    <w:autoRedefine/>
    <w:uiPriority w:val="39"/>
    <w:rsid w:val="00C86DEB"/>
    <w:pPr>
      <w:ind w:left="440"/>
    </w:pPr>
    <w:rPr>
      <w:rFonts w:asciiTheme="minorHAnsi" w:hAnsiTheme="minorHAnsi" w:cstheme="minorHAnsi"/>
      <w:sz w:val="20"/>
    </w:rPr>
  </w:style>
  <w:style w:type="paragraph" w:styleId="TOC5">
    <w:name w:val="toc 5"/>
    <w:basedOn w:val="Normal"/>
    <w:next w:val="Normal"/>
    <w:autoRedefine/>
    <w:uiPriority w:val="39"/>
    <w:rsid w:val="00C86DEB"/>
    <w:pPr>
      <w:ind w:left="660"/>
    </w:pPr>
    <w:rPr>
      <w:rFonts w:asciiTheme="minorHAnsi" w:hAnsiTheme="minorHAnsi" w:cstheme="minorHAnsi"/>
      <w:sz w:val="20"/>
    </w:rPr>
  </w:style>
  <w:style w:type="paragraph" w:styleId="TOC6">
    <w:name w:val="toc 6"/>
    <w:basedOn w:val="Normal"/>
    <w:next w:val="Normal"/>
    <w:autoRedefine/>
    <w:uiPriority w:val="39"/>
    <w:rsid w:val="00C86DEB"/>
    <w:pPr>
      <w:ind w:left="880"/>
    </w:pPr>
    <w:rPr>
      <w:rFonts w:asciiTheme="minorHAnsi" w:hAnsiTheme="minorHAnsi" w:cstheme="minorHAnsi"/>
      <w:sz w:val="20"/>
    </w:rPr>
  </w:style>
  <w:style w:type="paragraph" w:styleId="TOC7">
    <w:name w:val="toc 7"/>
    <w:basedOn w:val="Normal"/>
    <w:next w:val="Normal"/>
    <w:autoRedefine/>
    <w:uiPriority w:val="39"/>
    <w:rsid w:val="00C86DEB"/>
    <w:pPr>
      <w:ind w:left="1100"/>
    </w:pPr>
    <w:rPr>
      <w:rFonts w:asciiTheme="minorHAnsi" w:hAnsiTheme="minorHAnsi" w:cstheme="minorHAnsi"/>
      <w:sz w:val="20"/>
    </w:rPr>
  </w:style>
  <w:style w:type="paragraph" w:styleId="TOC8">
    <w:name w:val="toc 8"/>
    <w:basedOn w:val="Normal"/>
    <w:next w:val="Normal"/>
    <w:autoRedefine/>
    <w:uiPriority w:val="39"/>
    <w:rsid w:val="00C86DEB"/>
    <w:pPr>
      <w:ind w:left="1320"/>
    </w:pPr>
    <w:rPr>
      <w:rFonts w:asciiTheme="minorHAnsi" w:hAnsiTheme="minorHAnsi" w:cstheme="minorHAnsi"/>
      <w:sz w:val="20"/>
    </w:rPr>
  </w:style>
  <w:style w:type="paragraph" w:styleId="TOC9">
    <w:name w:val="toc 9"/>
    <w:basedOn w:val="Normal"/>
    <w:next w:val="Normal"/>
    <w:autoRedefine/>
    <w:uiPriority w:val="39"/>
    <w:rsid w:val="00C86DEB"/>
    <w:pPr>
      <w:ind w:left="1540"/>
    </w:pPr>
    <w:rPr>
      <w:rFonts w:asciiTheme="minorHAnsi" w:hAnsiTheme="minorHAnsi" w:cstheme="minorHAnsi"/>
      <w:sz w:val="20"/>
    </w:rPr>
  </w:style>
  <w:style w:type="paragraph" w:styleId="Title">
    <w:name w:val="Title"/>
    <w:basedOn w:val="Normal"/>
    <w:link w:val="TitleChar"/>
    <w:uiPriority w:val="10"/>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11"/>
    <w:qFormat/>
    <w:rsid w:val="00643C39"/>
    <w:pPr>
      <w:spacing w:after="60"/>
      <w:ind w:left="1267"/>
      <w:outlineLvl w:val="1"/>
    </w:pPr>
    <w:rPr>
      <w:rFonts w:cs="Arial"/>
      <w:caps/>
      <w:sz w:val="32"/>
      <w:szCs w:val="32"/>
    </w:rPr>
  </w:style>
  <w:style w:type="table" w:styleId="TableGrid">
    <w:name w:val="Table Grid"/>
    <w:basedOn w:val="TableNormal"/>
    <w:uiPriority w:val="5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after="12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after="12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spacing w:after="120"/>
    </w:pPr>
  </w:style>
  <w:style w:type="paragraph" w:customStyle="1" w:styleId="TableTitle">
    <w:name w:val="Table Title"/>
    <w:basedOn w:val="Normal"/>
    <w:rsid w:val="00623899"/>
    <w:pPr>
      <w:spacing w:before="160" w:after="12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rPr>
      <w:lang w:val="en-AU"/>
    </w:rPr>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line="276" w:lineRule="auto"/>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1"/>
    <w:rsid w:val="00526ECC"/>
    <w:rPr>
      <w:rFonts w:ascii="Gill Sans MT" w:hAnsi="Gill Sans MT"/>
      <w:szCs w:val="24"/>
    </w:rPr>
  </w:style>
  <w:style w:type="character" w:styleId="Emphasis">
    <w:name w:val="Emphasis"/>
    <w:uiPriority w:val="20"/>
    <w:qFormat/>
    <w:rsid w:val="005B5083"/>
    <w:rPr>
      <w:i/>
      <w:iCs/>
    </w:rPr>
  </w:style>
  <w:style w:type="character" w:customStyle="1" w:styleId="st">
    <w:name w:val="st"/>
    <w:rsid w:val="0029188D"/>
  </w:style>
  <w:style w:type="character" w:styleId="Strong">
    <w:name w:val="Strong"/>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1"/>
    <w:qFormat/>
    <w:rsid w:val="007E1B55"/>
    <w:rPr>
      <w:rFonts w:eastAsia="Calibri"/>
    </w:rPr>
  </w:style>
  <w:style w:type="paragraph" w:styleId="ListParagraph">
    <w:name w:val="List Paragraph"/>
    <w:basedOn w:val="Normal"/>
    <w:link w:val="ListParagraphChar"/>
    <w:uiPriority w:val="34"/>
    <w:qFormat/>
    <w:rsid w:val="0084149E"/>
    <w:pPr>
      <w:spacing w:after="200" w:line="276" w:lineRule="auto"/>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10"/>
    <w:rsid w:val="00007205"/>
    <w:rPr>
      <w:rFonts w:ascii="Gill Sans MT" w:hAnsi="Gill Sans MT" w:cs="Arial"/>
      <w:bCs/>
      <w:caps/>
      <w:kern w:val="28"/>
      <w:sz w:val="80"/>
      <w:szCs w:val="80"/>
    </w:rPr>
  </w:style>
  <w:style w:type="character" w:customStyle="1" w:styleId="SubtitleChar">
    <w:name w:val="Subtitle Char"/>
    <w:link w:val="Subtitle"/>
    <w:uiPriority w:val="11"/>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
      <w:bCs/>
      <w:iCs/>
      <w:noProof/>
      <w:color w:val="68BAD6"/>
      <w:sz w:val="32"/>
      <w:szCs w:val="24"/>
      <w:lang w:val="en-AU"/>
    </w:rPr>
  </w:style>
  <w:style w:type="paragraph" w:customStyle="1" w:styleId="TableHeader">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lang w:val="en-AU"/>
    </w:rPr>
  </w:style>
  <w:style w:type="paragraph" w:customStyle="1" w:styleId="QAAddress">
    <w:name w:val="QA Address"/>
    <w:basedOn w:val="Normal"/>
    <w:next w:val="Normal"/>
    <w:rsid w:val="00B8605F"/>
    <w:pPr>
      <w:contextualSpacing/>
    </w:pPr>
    <w:rPr>
      <w:rFonts w:eastAsiaTheme="minorHAnsi" w:cs="Arial"/>
      <w:lang w:val="en-AU"/>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lang w:val="en-AU"/>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val="en-AU"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val="en-AU"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val="en-AU"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line="276" w:lineRule="auto"/>
      <w:outlineLvl w:val="1"/>
    </w:pPr>
    <w:rPr>
      <w:rFonts w:eastAsia="Calibri" w:cs="Arial"/>
      <w:b/>
      <w:bCs/>
      <w:iCs/>
      <w:sz w:val="32"/>
      <w:szCs w:val="32"/>
      <w:lang w:val="en-AU"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1A1BAD"/>
    <w:rPr>
      <w:sz w:val="20"/>
    </w:rPr>
  </w:style>
  <w:style w:type="character" w:customStyle="1" w:styleId="EndnoteTextChar">
    <w:name w:val="Endnote Text Char"/>
    <w:basedOn w:val="DefaultParagraphFont"/>
    <w:link w:val="EndnoteText"/>
    <w:uiPriority w:val="99"/>
    <w:rsid w:val="001A1BAD"/>
    <w:rPr>
      <w:sz w:val="20"/>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21"/>
    <w:qFormat/>
    <w:rsid w:val="00DD0D4F"/>
    <w:rPr>
      <w:b/>
      <w:bCs/>
      <w:i/>
      <w:iCs/>
      <w:color w:val="4F81BD" w:themeColor="accent1"/>
    </w:rPr>
  </w:style>
  <w:style w:type="character" w:customStyle="1" w:styleId="FootnoteTextChar">
    <w:name w:val="Footnote Text Char"/>
    <w:aliases w:val="FOOTNOTES Char,fn Char,single space Char,footnote text Char,Footnote Text Char2 Char,Footnote Text Char1 Char Char,Footnote Text Char Char Char1 Char,Footnote Text Char1 Char Char Char1 Char,Footnote Text Char1 Char1 Char Char,ft Char"/>
    <w:basedOn w:val="DefaultParagraphFont"/>
    <w:link w:val="FootnoteText"/>
    <w:uiPriority w:val="99"/>
    <w:rsid w:val="002366FA"/>
    <w:rPr>
      <w:sz w:val="20"/>
    </w:rPr>
  </w:style>
  <w:style w:type="paragraph" w:customStyle="1" w:styleId="Non-TOCsubheading">
    <w:name w:val="Non-TOC subheading"/>
    <w:basedOn w:val="BodyText"/>
    <w:link w:val="Non-TOCsubheadingChar"/>
    <w:rsid w:val="00AC0B1B"/>
    <w:pPr>
      <w:spacing w:after="120"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5"/>
      </w:numPr>
      <w:spacing w:before="120" w:after="120"/>
      <w:ind w:left="720"/>
    </w:pPr>
    <w:rPr>
      <w:rFonts w:cs="Arial"/>
      <w:bCs/>
      <w:lang w:val="en-AU"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HeadingGRM">
    <w:name w:val="Heading GRM"/>
    <w:basedOn w:val="Heading1"/>
    <w:next w:val="Normal"/>
    <w:link w:val="HeadingGRMChar"/>
    <w:qFormat/>
    <w:rsid w:val="000B0BF7"/>
    <w:pPr>
      <w:numPr>
        <w:numId w:val="0"/>
      </w:numPr>
      <w:spacing w:before="480" w:after="360" w:line="276" w:lineRule="auto"/>
    </w:pPr>
    <w:rPr>
      <w:rFonts w:ascii="Calibri" w:eastAsia="Calibri" w:hAnsi="Calibri" w:cs="Arial"/>
      <w:b w:val="0"/>
      <w:color w:val="auto"/>
      <w:sz w:val="36"/>
      <w:szCs w:val="24"/>
      <w:lang w:val="en-GB" w:eastAsia="en-AU"/>
    </w:rPr>
  </w:style>
  <w:style w:type="character" w:customStyle="1" w:styleId="HeadingGRMChar">
    <w:name w:val="Heading GRM Char"/>
    <w:link w:val="HeadingGRM"/>
    <w:rsid w:val="000B0BF7"/>
    <w:rPr>
      <w:rFonts w:eastAsia="Calibri" w:cs="Arial"/>
      <w:b/>
      <w:bCs/>
      <w:kern w:val="32"/>
      <w:sz w:val="36"/>
      <w:szCs w:val="24"/>
      <w:lang w:val="en-GB" w:eastAsia="en-AU"/>
    </w:rPr>
  </w:style>
  <w:style w:type="paragraph" w:customStyle="1" w:styleId="CONLevela">
    <w:name w:val=".CON  Level  (a)"/>
    <w:basedOn w:val="Normal"/>
    <w:next w:val="Normal"/>
    <w:rsid w:val="004F1D92"/>
    <w:pPr>
      <w:numPr>
        <w:ilvl w:val="2"/>
        <w:numId w:val="14"/>
      </w:numPr>
      <w:spacing w:before="240"/>
      <w:outlineLvl w:val="3"/>
    </w:pPr>
    <w:rPr>
      <w:rFonts w:ascii="Times New Roman" w:hAnsi="Times New Roman" w:cs="Times New Roman"/>
      <w:sz w:val="24"/>
      <w:lang w:val="en-AU"/>
    </w:rPr>
  </w:style>
  <w:style w:type="paragraph" w:customStyle="1" w:styleId="CONLeveli">
    <w:name w:val=".CON  Level  (i)"/>
    <w:basedOn w:val="Normal"/>
    <w:next w:val="Normal"/>
    <w:rsid w:val="004F1D92"/>
    <w:pPr>
      <w:numPr>
        <w:ilvl w:val="3"/>
        <w:numId w:val="14"/>
      </w:numPr>
      <w:spacing w:before="240"/>
      <w:outlineLvl w:val="4"/>
    </w:pPr>
    <w:rPr>
      <w:rFonts w:ascii="Times New Roman" w:hAnsi="Times New Roman" w:cs="Times New Roman"/>
      <w:sz w:val="24"/>
      <w:lang w:val="en-AU"/>
    </w:rPr>
  </w:style>
  <w:style w:type="paragraph" w:customStyle="1" w:styleId="CONLevel1">
    <w:name w:val=".CON  Level   1."/>
    <w:basedOn w:val="Normal"/>
    <w:next w:val="Normal"/>
    <w:rsid w:val="004F1D92"/>
    <w:pPr>
      <w:keepNext/>
      <w:numPr>
        <w:numId w:val="14"/>
      </w:numPr>
      <w:spacing w:before="240"/>
      <w:ind w:right="1701"/>
      <w:outlineLvl w:val="1"/>
    </w:pPr>
    <w:rPr>
      <w:rFonts w:ascii="Times New Roman" w:hAnsi="Times New Roman" w:cs="Times New Roman"/>
      <w:b/>
      <w:sz w:val="24"/>
      <w:lang w:val="en-AU"/>
    </w:rPr>
  </w:style>
  <w:style w:type="paragraph" w:customStyle="1" w:styleId="CONLevel11">
    <w:name w:val=".CON  Level   1.1"/>
    <w:basedOn w:val="Normal"/>
    <w:next w:val="Normal"/>
    <w:link w:val="CONLevel11Char"/>
    <w:rsid w:val="004F1D92"/>
    <w:pPr>
      <w:numPr>
        <w:ilvl w:val="1"/>
        <w:numId w:val="14"/>
      </w:numPr>
      <w:spacing w:before="240"/>
      <w:outlineLvl w:val="2"/>
    </w:pPr>
    <w:rPr>
      <w:rFonts w:ascii="Times New Roman" w:hAnsi="Times New Roman" w:cs="Times New Roman"/>
      <w:sz w:val="24"/>
      <w:lang w:val="en-AU"/>
    </w:rPr>
  </w:style>
  <w:style w:type="paragraph" w:customStyle="1" w:styleId="CONLevelA0">
    <w:name w:val=".CON  Level (A)"/>
    <w:basedOn w:val="Normal"/>
    <w:next w:val="Normal"/>
    <w:rsid w:val="004F1D92"/>
    <w:pPr>
      <w:numPr>
        <w:ilvl w:val="4"/>
        <w:numId w:val="14"/>
      </w:numPr>
      <w:spacing w:before="240"/>
      <w:outlineLvl w:val="5"/>
    </w:pPr>
    <w:rPr>
      <w:rFonts w:ascii="Times New Roman" w:hAnsi="Times New Roman" w:cs="Times New Roman"/>
      <w:sz w:val="24"/>
      <w:lang w:val="en-AU"/>
    </w:rPr>
  </w:style>
  <w:style w:type="paragraph" w:customStyle="1" w:styleId="CONLevelI0">
    <w:name w:val=".CON  Level (I)"/>
    <w:basedOn w:val="Normal"/>
    <w:next w:val="Normal"/>
    <w:rsid w:val="004F1D92"/>
    <w:pPr>
      <w:numPr>
        <w:ilvl w:val="5"/>
        <w:numId w:val="14"/>
      </w:numPr>
      <w:spacing w:before="240"/>
      <w:outlineLvl w:val="6"/>
    </w:pPr>
    <w:rPr>
      <w:rFonts w:ascii="Times New Roman" w:hAnsi="Times New Roman" w:cs="Times New Roman"/>
      <w:sz w:val="24"/>
      <w:lang w:val="en-AU"/>
    </w:rPr>
  </w:style>
  <w:style w:type="character" w:customStyle="1" w:styleId="CONLevel11Char">
    <w:name w:val=".CON  Level   1.1 Char"/>
    <w:link w:val="CONLevel11"/>
    <w:rsid w:val="004F1D92"/>
    <w:rPr>
      <w:rFonts w:ascii="Times New Roman" w:hAnsi="Times New Roman" w:cs="Times New Roman"/>
      <w:sz w:val="24"/>
      <w:lang w:val="en-AU"/>
    </w:rPr>
  </w:style>
  <w:style w:type="paragraph" w:customStyle="1" w:styleId="Notes">
    <w:name w:val="Notes"/>
    <w:basedOn w:val="Normal"/>
    <w:next w:val="Normal"/>
    <w:rsid w:val="002B6C03"/>
    <w:pPr>
      <w:spacing w:before="60" w:after="240"/>
      <w:jc w:val="center"/>
    </w:pPr>
    <w:rPr>
      <w:color w:val="808080" w:themeColor="background1" w:themeShade="80"/>
      <w:sz w:val="16"/>
      <w:szCs w:val="20"/>
      <w:lang w:val="en-AU"/>
    </w:rPr>
  </w:style>
  <w:style w:type="table" w:customStyle="1" w:styleId="TableGrid15">
    <w:name w:val="Table Grid15"/>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locked/>
    <w:rsid w:val="00A6451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locked/>
    <w:rsid w:val="0073157E"/>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33BC8"/>
    <w:rPr>
      <w:rFonts w:asciiTheme="minorHAnsi" w:eastAsiaTheme="minorEastAsia" w:hAnsiTheme="minorHAnsi" w:cstheme="minorBidi"/>
      <w:sz w:val="24"/>
      <w:szCs w:val="24"/>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heme="minorHAnsi" w:hAnsiTheme="minorHAnsi"/>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able">
    <w:name w:val="CapTable"/>
    <w:basedOn w:val="Caption"/>
    <w:qFormat/>
    <w:rsid w:val="00DC41F6"/>
    <w:pPr>
      <w:keepNext/>
      <w:spacing w:before="240" w:after="240"/>
      <w:ind w:left="85" w:right="45"/>
    </w:pPr>
  </w:style>
  <w:style w:type="paragraph" w:customStyle="1" w:styleId="CapFigure">
    <w:name w:val="CapFigure"/>
    <w:basedOn w:val="Caption"/>
    <w:qFormat/>
    <w:rsid w:val="00DC41F6"/>
    <w:pPr>
      <w:keepNext/>
      <w:ind w:left="85" w:right="45"/>
    </w:pPr>
  </w:style>
  <w:style w:type="character" w:customStyle="1" w:styleId="EmailStyle201">
    <w:name w:val="EmailStyle201"/>
    <w:uiPriority w:val="99"/>
    <w:semiHidden/>
    <w:rsid w:val="00DC41F6"/>
    <w:rPr>
      <w:rFonts w:ascii="Arial" w:hAnsi="Arial" w:cs="Arial"/>
      <w:color w:val="auto"/>
      <w:sz w:val="20"/>
      <w:szCs w:val="20"/>
    </w:rPr>
  </w:style>
  <w:style w:type="character" w:customStyle="1" w:styleId="Heading4Char">
    <w:name w:val="Heading 4 Char"/>
    <w:basedOn w:val="DefaultParagraphFont"/>
    <w:link w:val="Heading4"/>
    <w:rsid w:val="00DC41F6"/>
    <w:rPr>
      <w:b/>
      <w:bCs/>
      <w:sz w:val="24"/>
      <w:szCs w:val="28"/>
    </w:rPr>
  </w:style>
  <w:style w:type="paragraph" w:customStyle="1" w:styleId="numbered">
    <w:name w:val="numbered"/>
    <w:basedOn w:val="Normal"/>
    <w:link w:val="numberedChar"/>
    <w:qFormat/>
    <w:rsid w:val="00DC41F6"/>
    <w:pPr>
      <w:spacing w:before="60" w:after="60"/>
      <w:jc w:val="both"/>
    </w:pPr>
    <w:rPr>
      <w:rFonts w:asciiTheme="minorHAnsi" w:hAnsiTheme="minorHAnsi" w:cs="Times New Roman"/>
      <w:sz w:val="24"/>
      <w:szCs w:val="24"/>
      <w:lang w:val="en-AU" w:eastAsia="en-AU"/>
    </w:rPr>
  </w:style>
  <w:style w:type="character" w:customStyle="1" w:styleId="numberedChar">
    <w:name w:val="numbered Char"/>
    <w:basedOn w:val="DefaultParagraphFont"/>
    <w:link w:val="numbered"/>
    <w:rsid w:val="00DC41F6"/>
    <w:rPr>
      <w:rFonts w:asciiTheme="minorHAnsi" w:hAnsiTheme="minorHAnsi" w:cs="Times New Roman"/>
      <w:sz w:val="24"/>
      <w:szCs w:val="24"/>
      <w:lang w:val="en-AU" w:eastAsia="en-AU"/>
    </w:rPr>
  </w:style>
  <w:style w:type="paragraph" w:customStyle="1" w:styleId="Source">
    <w:name w:val="Source"/>
    <w:basedOn w:val="Normal"/>
    <w:qFormat/>
    <w:rsid w:val="00A943BB"/>
    <w:pPr>
      <w:spacing w:before="120" w:after="120"/>
      <w:jc w:val="center"/>
      <w:outlineLvl w:val="1"/>
    </w:pPr>
    <w:rPr>
      <w:bCs/>
      <w:sz w:val="20"/>
      <w:szCs w:val="20"/>
    </w:rPr>
  </w:style>
  <w:style w:type="character" w:customStyle="1" w:styleId="apple-converted-space">
    <w:name w:val="apple-converted-space"/>
    <w:basedOn w:val="DefaultParagraphFont"/>
    <w:rsid w:val="00A943BB"/>
  </w:style>
  <w:style w:type="table" w:customStyle="1" w:styleId="TableGrid321">
    <w:name w:val="Table Grid321"/>
    <w:basedOn w:val="TableNormal"/>
    <w:next w:val="TableGrid"/>
    <w:uiPriority w:val="59"/>
    <w:locked/>
    <w:rsid w:val="004B103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locked/>
    <w:rsid w:val="004B103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locked/>
    <w:rsid w:val="00D20962"/>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0233">
      <w:bodyDiv w:val="1"/>
      <w:marLeft w:val="0"/>
      <w:marRight w:val="0"/>
      <w:marTop w:val="0"/>
      <w:marBottom w:val="0"/>
      <w:divBdr>
        <w:top w:val="none" w:sz="0" w:space="0" w:color="auto"/>
        <w:left w:val="none" w:sz="0" w:space="0" w:color="auto"/>
        <w:bottom w:val="none" w:sz="0" w:space="0" w:color="auto"/>
        <w:right w:val="none" w:sz="0" w:space="0" w:color="auto"/>
      </w:divBdr>
      <w:divsChild>
        <w:div w:id="197427172">
          <w:marLeft w:val="547"/>
          <w:marRight w:val="0"/>
          <w:marTop w:val="96"/>
          <w:marBottom w:val="60"/>
          <w:divBdr>
            <w:top w:val="none" w:sz="0" w:space="0" w:color="auto"/>
            <w:left w:val="none" w:sz="0" w:space="0" w:color="auto"/>
            <w:bottom w:val="none" w:sz="0" w:space="0" w:color="auto"/>
            <w:right w:val="none" w:sz="0" w:space="0" w:color="auto"/>
          </w:divBdr>
        </w:div>
      </w:divsChild>
    </w:div>
    <w:div w:id="77404168">
      <w:bodyDiv w:val="1"/>
      <w:marLeft w:val="0"/>
      <w:marRight w:val="0"/>
      <w:marTop w:val="0"/>
      <w:marBottom w:val="0"/>
      <w:divBdr>
        <w:top w:val="none" w:sz="0" w:space="0" w:color="auto"/>
        <w:left w:val="none" w:sz="0" w:space="0" w:color="auto"/>
        <w:bottom w:val="none" w:sz="0" w:space="0" w:color="auto"/>
        <w:right w:val="none" w:sz="0" w:space="0" w:color="auto"/>
      </w:divBdr>
      <w:divsChild>
        <w:div w:id="102850553">
          <w:marLeft w:val="720"/>
          <w:marRight w:val="0"/>
          <w:marTop w:val="96"/>
          <w:marBottom w:val="240"/>
          <w:divBdr>
            <w:top w:val="none" w:sz="0" w:space="0" w:color="auto"/>
            <w:left w:val="none" w:sz="0" w:space="0" w:color="auto"/>
            <w:bottom w:val="none" w:sz="0" w:space="0" w:color="auto"/>
            <w:right w:val="none" w:sz="0" w:space="0" w:color="auto"/>
          </w:divBdr>
        </w:div>
        <w:div w:id="545797290">
          <w:marLeft w:val="720"/>
          <w:marRight w:val="0"/>
          <w:marTop w:val="96"/>
          <w:marBottom w:val="240"/>
          <w:divBdr>
            <w:top w:val="none" w:sz="0" w:space="0" w:color="auto"/>
            <w:left w:val="none" w:sz="0" w:space="0" w:color="auto"/>
            <w:bottom w:val="none" w:sz="0" w:space="0" w:color="auto"/>
            <w:right w:val="none" w:sz="0" w:space="0" w:color="auto"/>
          </w:divBdr>
        </w:div>
        <w:div w:id="1612860248">
          <w:marLeft w:val="720"/>
          <w:marRight w:val="0"/>
          <w:marTop w:val="96"/>
          <w:marBottom w:val="240"/>
          <w:divBdr>
            <w:top w:val="none" w:sz="0" w:space="0" w:color="auto"/>
            <w:left w:val="none" w:sz="0" w:space="0" w:color="auto"/>
            <w:bottom w:val="none" w:sz="0" w:space="0" w:color="auto"/>
            <w:right w:val="none" w:sz="0" w:space="0" w:color="auto"/>
          </w:divBdr>
        </w:div>
        <w:div w:id="1693335963">
          <w:marLeft w:val="720"/>
          <w:marRight w:val="0"/>
          <w:marTop w:val="96"/>
          <w:marBottom w:val="240"/>
          <w:divBdr>
            <w:top w:val="none" w:sz="0" w:space="0" w:color="auto"/>
            <w:left w:val="none" w:sz="0" w:space="0" w:color="auto"/>
            <w:bottom w:val="none" w:sz="0" w:space="0" w:color="auto"/>
            <w:right w:val="none" w:sz="0" w:space="0" w:color="auto"/>
          </w:divBdr>
        </w:div>
      </w:divsChild>
    </w:div>
    <w:div w:id="99569468">
      <w:bodyDiv w:val="1"/>
      <w:marLeft w:val="0"/>
      <w:marRight w:val="0"/>
      <w:marTop w:val="0"/>
      <w:marBottom w:val="0"/>
      <w:divBdr>
        <w:top w:val="none" w:sz="0" w:space="0" w:color="auto"/>
        <w:left w:val="none" w:sz="0" w:space="0" w:color="auto"/>
        <w:bottom w:val="none" w:sz="0" w:space="0" w:color="auto"/>
        <w:right w:val="none" w:sz="0" w:space="0" w:color="auto"/>
      </w:divBdr>
    </w:div>
    <w:div w:id="101994056">
      <w:bodyDiv w:val="1"/>
      <w:marLeft w:val="0"/>
      <w:marRight w:val="0"/>
      <w:marTop w:val="0"/>
      <w:marBottom w:val="0"/>
      <w:divBdr>
        <w:top w:val="none" w:sz="0" w:space="0" w:color="auto"/>
        <w:left w:val="none" w:sz="0" w:space="0" w:color="auto"/>
        <w:bottom w:val="none" w:sz="0" w:space="0" w:color="auto"/>
        <w:right w:val="none" w:sz="0" w:space="0" w:color="auto"/>
      </w:divBdr>
    </w:div>
    <w:div w:id="121844454">
      <w:bodyDiv w:val="1"/>
      <w:marLeft w:val="0"/>
      <w:marRight w:val="0"/>
      <w:marTop w:val="0"/>
      <w:marBottom w:val="0"/>
      <w:divBdr>
        <w:top w:val="none" w:sz="0" w:space="0" w:color="auto"/>
        <w:left w:val="none" w:sz="0" w:space="0" w:color="auto"/>
        <w:bottom w:val="none" w:sz="0" w:space="0" w:color="auto"/>
        <w:right w:val="none" w:sz="0" w:space="0" w:color="auto"/>
      </w:divBdr>
      <w:divsChild>
        <w:div w:id="412363922">
          <w:marLeft w:val="547"/>
          <w:marRight w:val="0"/>
          <w:marTop w:val="96"/>
          <w:marBottom w:val="60"/>
          <w:divBdr>
            <w:top w:val="none" w:sz="0" w:space="0" w:color="auto"/>
            <w:left w:val="none" w:sz="0" w:space="0" w:color="auto"/>
            <w:bottom w:val="none" w:sz="0" w:space="0" w:color="auto"/>
            <w:right w:val="none" w:sz="0" w:space="0" w:color="auto"/>
          </w:divBdr>
        </w:div>
        <w:div w:id="1004623968">
          <w:marLeft w:val="547"/>
          <w:marRight w:val="0"/>
          <w:marTop w:val="96"/>
          <w:marBottom w:val="60"/>
          <w:divBdr>
            <w:top w:val="none" w:sz="0" w:space="0" w:color="auto"/>
            <w:left w:val="none" w:sz="0" w:space="0" w:color="auto"/>
            <w:bottom w:val="none" w:sz="0" w:space="0" w:color="auto"/>
            <w:right w:val="none" w:sz="0" w:space="0" w:color="auto"/>
          </w:divBdr>
        </w:div>
        <w:div w:id="2063863156">
          <w:marLeft w:val="547"/>
          <w:marRight w:val="0"/>
          <w:marTop w:val="96"/>
          <w:marBottom w:val="60"/>
          <w:divBdr>
            <w:top w:val="none" w:sz="0" w:space="0" w:color="auto"/>
            <w:left w:val="none" w:sz="0" w:space="0" w:color="auto"/>
            <w:bottom w:val="none" w:sz="0" w:space="0" w:color="auto"/>
            <w:right w:val="none" w:sz="0" w:space="0" w:color="auto"/>
          </w:divBdr>
        </w:div>
      </w:divsChild>
    </w:div>
    <w:div w:id="127600158">
      <w:bodyDiv w:val="1"/>
      <w:marLeft w:val="0"/>
      <w:marRight w:val="0"/>
      <w:marTop w:val="0"/>
      <w:marBottom w:val="0"/>
      <w:divBdr>
        <w:top w:val="none" w:sz="0" w:space="0" w:color="auto"/>
        <w:left w:val="none" w:sz="0" w:space="0" w:color="auto"/>
        <w:bottom w:val="none" w:sz="0" w:space="0" w:color="auto"/>
        <w:right w:val="none" w:sz="0" w:space="0" w:color="auto"/>
      </w:divBdr>
    </w:div>
    <w:div w:id="192618970">
      <w:bodyDiv w:val="1"/>
      <w:marLeft w:val="0"/>
      <w:marRight w:val="0"/>
      <w:marTop w:val="0"/>
      <w:marBottom w:val="0"/>
      <w:divBdr>
        <w:top w:val="none" w:sz="0" w:space="0" w:color="auto"/>
        <w:left w:val="none" w:sz="0" w:space="0" w:color="auto"/>
        <w:bottom w:val="none" w:sz="0" w:space="0" w:color="auto"/>
        <w:right w:val="none" w:sz="0" w:space="0" w:color="auto"/>
      </w:divBdr>
      <w:divsChild>
        <w:div w:id="75250651">
          <w:marLeft w:val="1166"/>
          <w:marRight w:val="0"/>
          <w:marTop w:val="77"/>
          <w:marBottom w:val="0"/>
          <w:divBdr>
            <w:top w:val="none" w:sz="0" w:space="0" w:color="auto"/>
            <w:left w:val="none" w:sz="0" w:space="0" w:color="auto"/>
            <w:bottom w:val="none" w:sz="0" w:space="0" w:color="auto"/>
            <w:right w:val="none" w:sz="0" w:space="0" w:color="auto"/>
          </w:divBdr>
        </w:div>
        <w:div w:id="107773002">
          <w:marLeft w:val="547"/>
          <w:marRight w:val="0"/>
          <w:marTop w:val="96"/>
          <w:marBottom w:val="0"/>
          <w:divBdr>
            <w:top w:val="none" w:sz="0" w:space="0" w:color="auto"/>
            <w:left w:val="none" w:sz="0" w:space="0" w:color="auto"/>
            <w:bottom w:val="none" w:sz="0" w:space="0" w:color="auto"/>
            <w:right w:val="none" w:sz="0" w:space="0" w:color="auto"/>
          </w:divBdr>
        </w:div>
        <w:div w:id="196046823">
          <w:marLeft w:val="547"/>
          <w:marRight w:val="0"/>
          <w:marTop w:val="96"/>
          <w:marBottom w:val="0"/>
          <w:divBdr>
            <w:top w:val="none" w:sz="0" w:space="0" w:color="auto"/>
            <w:left w:val="none" w:sz="0" w:space="0" w:color="auto"/>
            <w:bottom w:val="none" w:sz="0" w:space="0" w:color="auto"/>
            <w:right w:val="none" w:sz="0" w:space="0" w:color="auto"/>
          </w:divBdr>
        </w:div>
        <w:div w:id="352846504">
          <w:marLeft w:val="1166"/>
          <w:marRight w:val="0"/>
          <w:marTop w:val="77"/>
          <w:marBottom w:val="0"/>
          <w:divBdr>
            <w:top w:val="none" w:sz="0" w:space="0" w:color="auto"/>
            <w:left w:val="none" w:sz="0" w:space="0" w:color="auto"/>
            <w:bottom w:val="none" w:sz="0" w:space="0" w:color="auto"/>
            <w:right w:val="none" w:sz="0" w:space="0" w:color="auto"/>
          </w:divBdr>
        </w:div>
        <w:div w:id="577904355">
          <w:marLeft w:val="547"/>
          <w:marRight w:val="0"/>
          <w:marTop w:val="96"/>
          <w:marBottom w:val="0"/>
          <w:divBdr>
            <w:top w:val="none" w:sz="0" w:space="0" w:color="auto"/>
            <w:left w:val="none" w:sz="0" w:space="0" w:color="auto"/>
            <w:bottom w:val="none" w:sz="0" w:space="0" w:color="auto"/>
            <w:right w:val="none" w:sz="0" w:space="0" w:color="auto"/>
          </w:divBdr>
        </w:div>
        <w:div w:id="839269656">
          <w:marLeft w:val="547"/>
          <w:marRight w:val="0"/>
          <w:marTop w:val="96"/>
          <w:marBottom w:val="0"/>
          <w:divBdr>
            <w:top w:val="none" w:sz="0" w:space="0" w:color="auto"/>
            <w:left w:val="none" w:sz="0" w:space="0" w:color="auto"/>
            <w:bottom w:val="none" w:sz="0" w:space="0" w:color="auto"/>
            <w:right w:val="none" w:sz="0" w:space="0" w:color="auto"/>
          </w:divBdr>
        </w:div>
        <w:div w:id="1656451341">
          <w:marLeft w:val="547"/>
          <w:marRight w:val="0"/>
          <w:marTop w:val="96"/>
          <w:marBottom w:val="0"/>
          <w:divBdr>
            <w:top w:val="none" w:sz="0" w:space="0" w:color="auto"/>
            <w:left w:val="none" w:sz="0" w:space="0" w:color="auto"/>
            <w:bottom w:val="none" w:sz="0" w:space="0" w:color="auto"/>
            <w:right w:val="none" w:sz="0" w:space="0" w:color="auto"/>
          </w:divBdr>
        </w:div>
        <w:div w:id="1911499053">
          <w:marLeft w:val="547"/>
          <w:marRight w:val="0"/>
          <w:marTop w:val="96"/>
          <w:marBottom w:val="0"/>
          <w:divBdr>
            <w:top w:val="none" w:sz="0" w:space="0" w:color="auto"/>
            <w:left w:val="none" w:sz="0" w:space="0" w:color="auto"/>
            <w:bottom w:val="none" w:sz="0" w:space="0" w:color="auto"/>
            <w:right w:val="none" w:sz="0" w:space="0" w:color="auto"/>
          </w:divBdr>
        </w:div>
        <w:div w:id="1966083656">
          <w:marLeft w:val="1166"/>
          <w:marRight w:val="0"/>
          <w:marTop w:val="77"/>
          <w:marBottom w:val="0"/>
          <w:divBdr>
            <w:top w:val="none" w:sz="0" w:space="0" w:color="auto"/>
            <w:left w:val="none" w:sz="0" w:space="0" w:color="auto"/>
            <w:bottom w:val="none" w:sz="0" w:space="0" w:color="auto"/>
            <w:right w:val="none" w:sz="0" w:space="0" w:color="auto"/>
          </w:divBdr>
        </w:div>
      </w:divsChild>
    </w:div>
    <w:div w:id="202330612">
      <w:bodyDiv w:val="1"/>
      <w:marLeft w:val="0"/>
      <w:marRight w:val="0"/>
      <w:marTop w:val="0"/>
      <w:marBottom w:val="0"/>
      <w:divBdr>
        <w:top w:val="none" w:sz="0" w:space="0" w:color="auto"/>
        <w:left w:val="none" w:sz="0" w:space="0" w:color="auto"/>
        <w:bottom w:val="none" w:sz="0" w:space="0" w:color="auto"/>
        <w:right w:val="none" w:sz="0" w:space="0" w:color="auto"/>
      </w:divBdr>
    </w:div>
    <w:div w:id="212159533">
      <w:bodyDiv w:val="1"/>
      <w:marLeft w:val="0"/>
      <w:marRight w:val="0"/>
      <w:marTop w:val="0"/>
      <w:marBottom w:val="0"/>
      <w:divBdr>
        <w:top w:val="none" w:sz="0" w:space="0" w:color="auto"/>
        <w:left w:val="none" w:sz="0" w:space="0" w:color="auto"/>
        <w:bottom w:val="none" w:sz="0" w:space="0" w:color="auto"/>
        <w:right w:val="none" w:sz="0" w:space="0" w:color="auto"/>
      </w:divBdr>
    </w:div>
    <w:div w:id="244388490">
      <w:bodyDiv w:val="1"/>
      <w:marLeft w:val="0"/>
      <w:marRight w:val="0"/>
      <w:marTop w:val="0"/>
      <w:marBottom w:val="0"/>
      <w:divBdr>
        <w:top w:val="none" w:sz="0" w:space="0" w:color="auto"/>
        <w:left w:val="none" w:sz="0" w:space="0" w:color="auto"/>
        <w:bottom w:val="none" w:sz="0" w:space="0" w:color="auto"/>
        <w:right w:val="none" w:sz="0" w:space="0" w:color="auto"/>
      </w:divBdr>
    </w:div>
    <w:div w:id="253129208">
      <w:bodyDiv w:val="1"/>
      <w:marLeft w:val="0"/>
      <w:marRight w:val="0"/>
      <w:marTop w:val="0"/>
      <w:marBottom w:val="0"/>
      <w:divBdr>
        <w:top w:val="none" w:sz="0" w:space="0" w:color="auto"/>
        <w:left w:val="none" w:sz="0" w:space="0" w:color="auto"/>
        <w:bottom w:val="none" w:sz="0" w:space="0" w:color="auto"/>
        <w:right w:val="none" w:sz="0" w:space="0" w:color="auto"/>
      </w:divBdr>
      <w:divsChild>
        <w:div w:id="531379662">
          <w:marLeft w:val="547"/>
          <w:marRight w:val="0"/>
          <w:marTop w:val="96"/>
          <w:marBottom w:val="0"/>
          <w:divBdr>
            <w:top w:val="none" w:sz="0" w:space="0" w:color="auto"/>
            <w:left w:val="none" w:sz="0" w:space="0" w:color="auto"/>
            <w:bottom w:val="none" w:sz="0" w:space="0" w:color="auto"/>
            <w:right w:val="none" w:sz="0" w:space="0" w:color="auto"/>
          </w:divBdr>
        </w:div>
        <w:div w:id="682635624">
          <w:marLeft w:val="547"/>
          <w:marRight w:val="0"/>
          <w:marTop w:val="96"/>
          <w:marBottom w:val="0"/>
          <w:divBdr>
            <w:top w:val="none" w:sz="0" w:space="0" w:color="auto"/>
            <w:left w:val="none" w:sz="0" w:space="0" w:color="auto"/>
            <w:bottom w:val="none" w:sz="0" w:space="0" w:color="auto"/>
            <w:right w:val="none" w:sz="0" w:space="0" w:color="auto"/>
          </w:divBdr>
        </w:div>
        <w:div w:id="906888016">
          <w:marLeft w:val="547"/>
          <w:marRight w:val="0"/>
          <w:marTop w:val="96"/>
          <w:marBottom w:val="0"/>
          <w:divBdr>
            <w:top w:val="none" w:sz="0" w:space="0" w:color="auto"/>
            <w:left w:val="none" w:sz="0" w:space="0" w:color="auto"/>
            <w:bottom w:val="none" w:sz="0" w:space="0" w:color="auto"/>
            <w:right w:val="none" w:sz="0" w:space="0" w:color="auto"/>
          </w:divBdr>
        </w:div>
      </w:divsChild>
    </w:div>
    <w:div w:id="263147281">
      <w:bodyDiv w:val="1"/>
      <w:marLeft w:val="0"/>
      <w:marRight w:val="0"/>
      <w:marTop w:val="0"/>
      <w:marBottom w:val="0"/>
      <w:divBdr>
        <w:top w:val="none" w:sz="0" w:space="0" w:color="auto"/>
        <w:left w:val="none" w:sz="0" w:space="0" w:color="auto"/>
        <w:bottom w:val="none" w:sz="0" w:space="0" w:color="auto"/>
        <w:right w:val="none" w:sz="0" w:space="0" w:color="auto"/>
      </w:divBdr>
    </w:div>
    <w:div w:id="273559163">
      <w:bodyDiv w:val="1"/>
      <w:marLeft w:val="0"/>
      <w:marRight w:val="0"/>
      <w:marTop w:val="0"/>
      <w:marBottom w:val="0"/>
      <w:divBdr>
        <w:top w:val="none" w:sz="0" w:space="0" w:color="auto"/>
        <w:left w:val="none" w:sz="0" w:space="0" w:color="auto"/>
        <w:bottom w:val="none" w:sz="0" w:space="0" w:color="auto"/>
        <w:right w:val="none" w:sz="0" w:space="0" w:color="auto"/>
      </w:divBdr>
    </w:div>
    <w:div w:id="287664500">
      <w:bodyDiv w:val="1"/>
      <w:marLeft w:val="0"/>
      <w:marRight w:val="0"/>
      <w:marTop w:val="0"/>
      <w:marBottom w:val="0"/>
      <w:divBdr>
        <w:top w:val="none" w:sz="0" w:space="0" w:color="auto"/>
        <w:left w:val="none" w:sz="0" w:space="0" w:color="auto"/>
        <w:bottom w:val="none" w:sz="0" w:space="0" w:color="auto"/>
        <w:right w:val="none" w:sz="0" w:space="0" w:color="auto"/>
      </w:divBdr>
      <w:divsChild>
        <w:div w:id="444815798">
          <w:marLeft w:val="547"/>
          <w:marRight w:val="0"/>
          <w:marTop w:val="96"/>
          <w:marBottom w:val="60"/>
          <w:divBdr>
            <w:top w:val="none" w:sz="0" w:space="0" w:color="auto"/>
            <w:left w:val="none" w:sz="0" w:space="0" w:color="auto"/>
            <w:bottom w:val="none" w:sz="0" w:space="0" w:color="auto"/>
            <w:right w:val="none" w:sz="0" w:space="0" w:color="auto"/>
          </w:divBdr>
        </w:div>
        <w:div w:id="472674809">
          <w:marLeft w:val="547"/>
          <w:marRight w:val="0"/>
          <w:marTop w:val="96"/>
          <w:marBottom w:val="60"/>
          <w:divBdr>
            <w:top w:val="none" w:sz="0" w:space="0" w:color="auto"/>
            <w:left w:val="none" w:sz="0" w:space="0" w:color="auto"/>
            <w:bottom w:val="none" w:sz="0" w:space="0" w:color="auto"/>
            <w:right w:val="none" w:sz="0" w:space="0" w:color="auto"/>
          </w:divBdr>
        </w:div>
        <w:div w:id="591202394">
          <w:marLeft w:val="547"/>
          <w:marRight w:val="0"/>
          <w:marTop w:val="96"/>
          <w:marBottom w:val="60"/>
          <w:divBdr>
            <w:top w:val="none" w:sz="0" w:space="0" w:color="auto"/>
            <w:left w:val="none" w:sz="0" w:space="0" w:color="auto"/>
            <w:bottom w:val="none" w:sz="0" w:space="0" w:color="auto"/>
            <w:right w:val="none" w:sz="0" w:space="0" w:color="auto"/>
          </w:divBdr>
        </w:div>
        <w:div w:id="1299995985">
          <w:marLeft w:val="547"/>
          <w:marRight w:val="0"/>
          <w:marTop w:val="96"/>
          <w:marBottom w:val="60"/>
          <w:divBdr>
            <w:top w:val="none" w:sz="0" w:space="0" w:color="auto"/>
            <w:left w:val="none" w:sz="0" w:space="0" w:color="auto"/>
            <w:bottom w:val="none" w:sz="0" w:space="0" w:color="auto"/>
            <w:right w:val="none" w:sz="0" w:space="0" w:color="auto"/>
          </w:divBdr>
        </w:div>
        <w:div w:id="1520965789">
          <w:marLeft w:val="547"/>
          <w:marRight w:val="0"/>
          <w:marTop w:val="96"/>
          <w:marBottom w:val="60"/>
          <w:divBdr>
            <w:top w:val="none" w:sz="0" w:space="0" w:color="auto"/>
            <w:left w:val="none" w:sz="0" w:space="0" w:color="auto"/>
            <w:bottom w:val="none" w:sz="0" w:space="0" w:color="auto"/>
            <w:right w:val="none" w:sz="0" w:space="0" w:color="auto"/>
          </w:divBdr>
        </w:div>
      </w:divsChild>
    </w:div>
    <w:div w:id="418411875">
      <w:bodyDiv w:val="1"/>
      <w:marLeft w:val="0"/>
      <w:marRight w:val="0"/>
      <w:marTop w:val="0"/>
      <w:marBottom w:val="0"/>
      <w:divBdr>
        <w:top w:val="none" w:sz="0" w:space="0" w:color="auto"/>
        <w:left w:val="none" w:sz="0" w:space="0" w:color="auto"/>
        <w:bottom w:val="none" w:sz="0" w:space="0" w:color="auto"/>
        <w:right w:val="none" w:sz="0" w:space="0" w:color="auto"/>
      </w:divBdr>
      <w:divsChild>
        <w:div w:id="812605354">
          <w:marLeft w:val="547"/>
          <w:marRight w:val="0"/>
          <w:marTop w:val="96"/>
          <w:marBottom w:val="60"/>
          <w:divBdr>
            <w:top w:val="none" w:sz="0" w:space="0" w:color="auto"/>
            <w:left w:val="none" w:sz="0" w:space="0" w:color="auto"/>
            <w:bottom w:val="none" w:sz="0" w:space="0" w:color="auto"/>
            <w:right w:val="none" w:sz="0" w:space="0" w:color="auto"/>
          </w:divBdr>
        </w:div>
        <w:div w:id="935022908">
          <w:marLeft w:val="547"/>
          <w:marRight w:val="0"/>
          <w:marTop w:val="96"/>
          <w:marBottom w:val="60"/>
          <w:divBdr>
            <w:top w:val="none" w:sz="0" w:space="0" w:color="auto"/>
            <w:left w:val="none" w:sz="0" w:space="0" w:color="auto"/>
            <w:bottom w:val="none" w:sz="0" w:space="0" w:color="auto"/>
            <w:right w:val="none" w:sz="0" w:space="0" w:color="auto"/>
          </w:divBdr>
        </w:div>
        <w:div w:id="2012635934">
          <w:marLeft w:val="547"/>
          <w:marRight w:val="0"/>
          <w:marTop w:val="96"/>
          <w:marBottom w:val="60"/>
          <w:divBdr>
            <w:top w:val="none" w:sz="0" w:space="0" w:color="auto"/>
            <w:left w:val="none" w:sz="0" w:space="0" w:color="auto"/>
            <w:bottom w:val="none" w:sz="0" w:space="0" w:color="auto"/>
            <w:right w:val="none" w:sz="0" w:space="0" w:color="auto"/>
          </w:divBdr>
        </w:div>
      </w:divsChild>
    </w:div>
    <w:div w:id="419641846">
      <w:bodyDiv w:val="1"/>
      <w:marLeft w:val="0"/>
      <w:marRight w:val="0"/>
      <w:marTop w:val="0"/>
      <w:marBottom w:val="0"/>
      <w:divBdr>
        <w:top w:val="none" w:sz="0" w:space="0" w:color="auto"/>
        <w:left w:val="none" w:sz="0" w:space="0" w:color="auto"/>
        <w:bottom w:val="none" w:sz="0" w:space="0" w:color="auto"/>
        <w:right w:val="none" w:sz="0" w:space="0" w:color="auto"/>
      </w:divBdr>
    </w:div>
    <w:div w:id="468549070">
      <w:bodyDiv w:val="1"/>
      <w:marLeft w:val="0"/>
      <w:marRight w:val="0"/>
      <w:marTop w:val="0"/>
      <w:marBottom w:val="0"/>
      <w:divBdr>
        <w:top w:val="none" w:sz="0" w:space="0" w:color="auto"/>
        <w:left w:val="none" w:sz="0" w:space="0" w:color="auto"/>
        <w:bottom w:val="none" w:sz="0" w:space="0" w:color="auto"/>
        <w:right w:val="none" w:sz="0" w:space="0" w:color="auto"/>
      </w:divBdr>
      <w:divsChild>
        <w:div w:id="59182448">
          <w:marLeft w:val="720"/>
          <w:marRight w:val="0"/>
          <w:marTop w:val="96"/>
          <w:marBottom w:val="0"/>
          <w:divBdr>
            <w:top w:val="none" w:sz="0" w:space="0" w:color="auto"/>
            <w:left w:val="none" w:sz="0" w:space="0" w:color="auto"/>
            <w:bottom w:val="none" w:sz="0" w:space="0" w:color="auto"/>
            <w:right w:val="none" w:sz="0" w:space="0" w:color="auto"/>
          </w:divBdr>
        </w:div>
        <w:div w:id="377512079">
          <w:marLeft w:val="720"/>
          <w:marRight w:val="0"/>
          <w:marTop w:val="96"/>
          <w:marBottom w:val="0"/>
          <w:divBdr>
            <w:top w:val="none" w:sz="0" w:space="0" w:color="auto"/>
            <w:left w:val="none" w:sz="0" w:space="0" w:color="auto"/>
            <w:bottom w:val="none" w:sz="0" w:space="0" w:color="auto"/>
            <w:right w:val="none" w:sz="0" w:space="0" w:color="auto"/>
          </w:divBdr>
        </w:div>
        <w:div w:id="677000631">
          <w:marLeft w:val="720"/>
          <w:marRight w:val="0"/>
          <w:marTop w:val="96"/>
          <w:marBottom w:val="0"/>
          <w:divBdr>
            <w:top w:val="none" w:sz="0" w:space="0" w:color="auto"/>
            <w:left w:val="none" w:sz="0" w:space="0" w:color="auto"/>
            <w:bottom w:val="none" w:sz="0" w:space="0" w:color="auto"/>
            <w:right w:val="none" w:sz="0" w:space="0" w:color="auto"/>
          </w:divBdr>
        </w:div>
        <w:div w:id="951128755">
          <w:marLeft w:val="720"/>
          <w:marRight w:val="0"/>
          <w:marTop w:val="96"/>
          <w:marBottom w:val="0"/>
          <w:divBdr>
            <w:top w:val="none" w:sz="0" w:space="0" w:color="auto"/>
            <w:left w:val="none" w:sz="0" w:space="0" w:color="auto"/>
            <w:bottom w:val="none" w:sz="0" w:space="0" w:color="auto"/>
            <w:right w:val="none" w:sz="0" w:space="0" w:color="auto"/>
          </w:divBdr>
        </w:div>
        <w:div w:id="1742024075">
          <w:marLeft w:val="720"/>
          <w:marRight w:val="0"/>
          <w:marTop w:val="96"/>
          <w:marBottom w:val="0"/>
          <w:divBdr>
            <w:top w:val="none" w:sz="0" w:space="0" w:color="auto"/>
            <w:left w:val="none" w:sz="0" w:space="0" w:color="auto"/>
            <w:bottom w:val="none" w:sz="0" w:space="0" w:color="auto"/>
            <w:right w:val="none" w:sz="0" w:space="0" w:color="auto"/>
          </w:divBdr>
        </w:div>
        <w:div w:id="1872571739">
          <w:marLeft w:val="720"/>
          <w:marRight w:val="0"/>
          <w:marTop w:val="96"/>
          <w:marBottom w:val="0"/>
          <w:divBdr>
            <w:top w:val="none" w:sz="0" w:space="0" w:color="auto"/>
            <w:left w:val="none" w:sz="0" w:space="0" w:color="auto"/>
            <w:bottom w:val="none" w:sz="0" w:space="0" w:color="auto"/>
            <w:right w:val="none" w:sz="0" w:space="0" w:color="auto"/>
          </w:divBdr>
        </w:div>
      </w:divsChild>
    </w:div>
    <w:div w:id="480193744">
      <w:bodyDiv w:val="1"/>
      <w:marLeft w:val="0"/>
      <w:marRight w:val="0"/>
      <w:marTop w:val="0"/>
      <w:marBottom w:val="0"/>
      <w:divBdr>
        <w:top w:val="none" w:sz="0" w:space="0" w:color="auto"/>
        <w:left w:val="none" w:sz="0" w:space="0" w:color="auto"/>
        <w:bottom w:val="none" w:sz="0" w:space="0" w:color="auto"/>
        <w:right w:val="none" w:sz="0" w:space="0" w:color="auto"/>
      </w:divBdr>
    </w:div>
    <w:div w:id="505243936">
      <w:bodyDiv w:val="1"/>
      <w:marLeft w:val="0"/>
      <w:marRight w:val="0"/>
      <w:marTop w:val="0"/>
      <w:marBottom w:val="0"/>
      <w:divBdr>
        <w:top w:val="none" w:sz="0" w:space="0" w:color="auto"/>
        <w:left w:val="none" w:sz="0" w:space="0" w:color="auto"/>
        <w:bottom w:val="none" w:sz="0" w:space="0" w:color="auto"/>
        <w:right w:val="none" w:sz="0" w:space="0" w:color="auto"/>
      </w:divBdr>
      <w:divsChild>
        <w:div w:id="5448502">
          <w:marLeft w:val="547"/>
          <w:marRight w:val="0"/>
          <w:marTop w:val="96"/>
          <w:marBottom w:val="0"/>
          <w:divBdr>
            <w:top w:val="none" w:sz="0" w:space="0" w:color="auto"/>
            <w:left w:val="none" w:sz="0" w:space="0" w:color="auto"/>
            <w:bottom w:val="none" w:sz="0" w:space="0" w:color="auto"/>
            <w:right w:val="none" w:sz="0" w:space="0" w:color="auto"/>
          </w:divBdr>
        </w:div>
        <w:div w:id="451703905">
          <w:marLeft w:val="547"/>
          <w:marRight w:val="0"/>
          <w:marTop w:val="96"/>
          <w:marBottom w:val="0"/>
          <w:divBdr>
            <w:top w:val="none" w:sz="0" w:space="0" w:color="auto"/>
            <w:left w:val="none" w:sz="0" w:space="0" w:color="auto"/>
            <w:bottom w:val="none" w:sz="0" w:space="0" w:color="auto"/>
            <w:right w:val="none" w:sz="0" w:space="0" w:color="auto"/>
          </w:divBdr>
        </w:div>
        <w:div w:id="638534116">
          <w:marLeft w:val="547"/>
          <w:marRight w:val="0"/>
          <w:marTop w:val="96"/>
          <w:marBottom w:val="0"/>
          <w:divBdr>
            <w:top w:val="none" w:sz="0" w:space="0" w:color="auto"/>
            <w:left w:val="none" w:sz="0" w:space="0" w:color="auto"/>
            <w:bottom w:val="none" w:sz="0" w:space="0" w:color="auto"/>
            <w:right w:val="none" w:sz="0" w:space="0" w:color="auto"/>
          </w:divBdr>
        </w:div>
        <w:div w:id="977956305">
          <w:marLeft w:val="547"/>
          <w:marRight w:val="0"/>
          <w:marTop w:val="96"/>
          <w:marBottom w:val="0"/>
          <w:divBdr>
            <w:top w:val="none" w:sz="0" w:space="0" w:color="auto"/>
            <w:left w:val="none" w:sz="0" w:space="0" w:color="auto"/>
            <w:bottom w:val="none" w:sz="0" w:space="0" w:color="auto"/>
            <w:right w:val="none" w:sz="0" w:space="0" w:color="auto"/>
          </w:divBdr>
        </w:div>
        <w:div w:id="1141768731">
          <w:marLeft w:val="547"/>
          <w:marRight w:val="0"/>
          <w:marTop w:val="96"/>
          <w:marBottom w:val="0"/>
          <w:divBdr>
            <w:top w:val="none" w:sz="0" w:space="0" w:color="auto"/>
            <w:left w:val="none" w:sz="0" w:space="0" w:color="auto"/>
            <w:bottom w:val="none" w:sz="0" w:space="0" w:color="auto"/>
            <w:right w:val="none" w:sz="0" w:space="0" w:color="auto"/>
          </w:divBdr>
        </w:div>
        <w:div w:id="1658262490">
          <w:marLeft w:val="547"/>
          <w:marRight w:val="0"/>
          <w:marTop w:val="96"/>
          <w:marBottom w:val="0"/>
          <w:divBdr>
            <w:top w:val="none" w:sz="0" w:space="0" w:color="auto"/>
            <w:left w:val="none" w:sz="0" w:space="0" w:color="auto"/>
            <w:bottom w:val="none" w:sz="0" w:space="0" w:color="auto"/>
            <w:right w:val="none" w:sz="0" w:space="0" w:color="auto"/>
          </w:divBdr>
        </w:div>
      </w:divsChild>
    </w:div>
    <w:div w:id="530652521">
      <w:bodyDiv w:val="1"/>
      <w:marLeft w:val="0"/>
      <w:marRight w:val="0"/>
      <w:marTop w:val="0"/>
      <w:marBottom w:val="0"/>
      <w:divBdr>
        <w:top w:val="none" w:sz="0" w:space="0" w:color="auto"/>
        <w:left w:val="none" w:sz="0" w:space="0" w:color="auto"/>
        <w:bottom w:val="none" w:sz="0" w:space="0" w:color="auto"/>
        <w:right w:val="none" w:sz="0" w:space="0" w:color="auto"/>
      </w:divBdr>
    </w:div>
    <w:div w:id="596863638">
      <w:bodyDiv w:val="1"/>
      <w:marLeft w:val="0"/>
      <w:marRight w:val="0"/>
      <w:marTop w:val="0"/>
      <w:marBottom w:val="0"/>
      <w:divBdr>
        <w:top w:val="none" w:sz="0" w:space="0" w:color="auto"/>
        <w:left w:val="none" w:sz="0" w:space="0" w:color="auto"/>
        <w:bottom w:val="none" w:sz="0" w:space="0" w:color="auto"/>
        <w:right w:val="none" w:sz="0" w:space="0" w:color="auto"/>
      </w:divBdr>
    </w:div>
    <w:div w:id="642661625">
      <w:bodyDiv w:val="1"/>
      <w:marLeft w:val="0"/>
      <w:marRight w:val="0"/>
      <w:marTop w:val="0"/>
      <w:marBottom w:val="0"/>
      <w:divBdr>
        <w:top w:val="none" w:sz="0" w:space="0" w:color="auto"/>
        <w:left w:val="none" w:sz="0" w:space="0" w:color="auto"/>
        <w:bottom w:val="none" w:sz="0" w:space="0" w:color="auto"/>
        <w:right w:val="none" w:sz="0" w:space="0" w:color="auto"/>
      </w:divBdr>
      <w:divsChild>
        <w:div w:id="701368054">
          <w:marLeft w:val="446"/>
          <w:marRight w:val="0"/>
          <w:marTop w:val="0"/>
          <w:marBottom w:val="0"/>
          <w:divBdr>
            <w:top w:val="none" w:sz="0" w:space="0" w:color="auto"/>
            <w:left w:val="none" w:sz="0" w:space="0" w:color="auto"/>
            <w:bottom w:val="none" w:sz="0" w:space="0" w:color="auto"/>
            <w:right w:val="none" w:sz="0" w:space="0" w:color="auto"/>
          </w:divBdr>
        </w:div>
        <w:div w:id="1899323652">
          <w:marLeft w:val="446"/>
          <w:marRight w:val="0"/>
          <w:marTop w:val="0"/>
          <w:marBottom w:val="0"/>
          <w:divBdr>
            <w:top w:val="none" w:sz="0" w:space="0" w:color="auto"/>
            <w:left w:val="none" w:sz="0" w:space="0" w:color="auto"/>
            <w:bottom w:val="none" w:sz="0" w:space="0" w:color="auto"/>
            <w:right w:val="none" w:sz="0" w:space="0" w:color="auto"/>
          </w:divBdr>
        </w:div>
      </w:divsChild>
    </w:div>
    <w:div w:id="676615472">
      <w:bodyDiv w:val="1"/>
      <w:marLeft w:val="0"/>
      <w:marRight w:val="0"/>
      <w:marTop w:val="0"/>
      <w:marBottom w:val="0"/>
      <w:divBdr>
        <w:top w:val="none" w:sz="0" w:space="0" w:color="auto"/>
        <w:left w:val="none" w:sz="0" w:space="0" w:color="auto"/>
        <w:bottom w:val="none" w:sz="0" w:space="0" w:color="auto"/>
        <w:right w:val="none" w:sz="0" w:space="0" w:color="auto"/>
      </w:divBdr>
    </w:div>
    <w:div w:id="677659047">
      <w:bodyDiv w:val="1"/>
      <w:marLeft w:val="0"/>
      <w:marRight w:val="0"/>
      <w:marTop w:val="0"/>
      <w:marBottom w:val="0"/>
      <w:divBdr>
        <w:top w:val="none" w:sz="0" w:space="0" w:color="auto"/>
        <w:left w:val="none" w:sz="0" w:space="0" w:color="auto"/>
        <w:bottom w:val="none" w:sz="0" w:space="0" w:color="auto"/>
        <w:right w:val="none" w:sz="0" w:space="0" w:color="auto"/>
      </w:divBdr>
    </w:div>
    <w:div w:id="683555787">
      <w:bodyDiv w:val="1"/>
      <w:marLeft w:val="0"/>
      <w:marRight w:val="0"/>
      <w:marTop w:val="0"/>
      <w:marBottom w:val="0"/>
      <w:divBdr>
        <w:top w:val="none" w:sz="0" w:space="0" w:color="auto"/>
        <w:left w:val="none" w:sz="0" w:space="0" w:color="auto"/>
        <w:bottom w:val="none" w:sz="0" w:space="0" w:color="auto"/>
        <w:right w:val="none" w:sz="0" w:space="0" w:color="auto"/>
      </w:divBdr>
      <w:divsChild>
        <w:div w:id="43261523">
          <w:marLeft w:val="1166"/>
          <w:marRight w:val="0"/>
          <w:marTop w:val="86"/>
          <w:marBottom w:val="60"/>
          <w:divBdr>
            <w:top w:val="none" w:sz="0" w:space="0" w:color="auto"/>
            <w:left w:val="none" w:sz="0" w:space="0" w:color="auto"/>
            <w:bottom w:val="none" w:sz="0" w:space="0" w:color="auto"/>
            <w:right w:val="none" w:sz="0" w:space="0" w:color="auto"/>
          </w:divBdr>
        </w:div>
        <w:div w:id="439035981">
          <w:marLeft w:val="1166"/>
          <w:marRight w:val="0"/>
          <w:marTop w:val="86"/>
          <w:marBottom w:val="60"/>
          <w:divBdr>
            <w:top w:val="none" w:sz="0" w:space="0" w:color="auto"/>
            <w:left w:val="none" w:sz="0" w:space="0" w:color="auto"/>
            <w:bottom w:val="none" w:sz="0" w:space="0" w:color="auto"/>
            <w:right w:val="none" w:sz="0" w:space="0" w:color="auto"/>
          </w:divBdr>
        </w:div>
        <w:div w:id="898439424">
          <w:marLeft w:val="1166"/>
          <w:marRight w:val="0"/>
          <w:marTop w:val="86"/>
          <w:marBottom w:val="60"/>
          <w:divBdr>
            <w:top w:val="none" w:sz="0" w:space="0" w:color="auto"/>
            <w:left w:val="none" w:sz="0" w:space="0" w:color="auto"/>
            <w:bottom w:val="none" w:sz="0" w:space="0" w:color="auto"/>
            <w:right w:val="none" w:sz="0" w:space="0" w:color="auto"/>
          </w:divBdr>
        </w:div>
        <w:div w:id="988443331">
          <w:marLeft w:val="1166"/>
          <w:marRight w:val="0"/>
          <w:marTop w:val="86"/>
          <w:marBottom w:val="60"/>
          <w:divBdr>
            <w:top w:val="none" w:sz="0" w:space="0" w:color="auto"/>
            <w:left w:val="none" w:sz="0" w:space="0" w:color="auto"/>
            <w:bottom w:val="none" w:sz="0" w:space="0" w:color="auto"/>
            <w:right w:val="none" w:sz="0" w:space="0" w:color="auto"/>
          </w:divBdr>
        </w:div>
        <w:div w:id="1123884165">
          <w:marLeft w:val="1166"/>
          <w:marRight w:val="0"/>
          <w:marTop w:val="86"/>
          <w:marBottom w:val="60"/>
          <w:divBdr>
            <w:top w:val="none" w:sz="0" w:space="0" w:color="auto"/>
            <w:left w:val="none" w:sz="0" w:space="0" w:color="auto"/>
            <w:bottom w:val="none" w:sz="0" w:space="0" w:color="auto"/>
            <w:right w:val="none" w:sz="0" w:space="0" w:color="auto"/>
          </w:divBdr>
        </w:div>
        <w:div w:id="1447575416">
          <w:marLeft w:val="1166"/>
          <w:marRight w:val="0"/>
          <w:marTop w:val="86"/>
          <w:marBottom w:val="60"/>
          <w:divBdr>
            <w:top w:val="none" w:sz="0" w:space="0" w:color="auto"/>
            <w:left w:val="none" w:sz="0" w:space="0" w:color="auto"/>
            <w:bottom w:val="none" w:sz="0" w:space="0" w:color="auto"/>
            <w:right w:val="none" w:sz="0" w:space="0" w:color="auto"/>
          </w:divBdr>
        </w:div>
      </w:divsChild>
    </w:div>
    <w:div w:id="693728586">
      <w:bodyDiv w:val="1"/>
      <w:marLeft w:val="0"/>
      <w:marRight w:val="0"/>
      <w:marTop w:val="0"/>
      <w:marBottom w:val="0"/>
      <w:divBdr>
        <w:top w:val="none" w:sz="0" w:space="0" w:color="auto"/>
        <w:left w:val="none" w:sz="0" w:space="0" w:color="auto"/>
        <w:bottom w:val="none" w:sz="0" w:space="0" w:color="auto"/>
        <w:right w:val="none" w:sz="0" w:space="0" w:color="auto"/>
      </w:divBdr>
      <w:divsChild>
        <w:div w:id="1670937459">
          <w:marLeft w:val="547"/>
          <w:marRight w:val="0"/>
          <w:marTop w:val="96"/>
          <w:marBottom w:val="60"/>
          <w:divBdr>
            <w:top w:val="none" w:sz="0" w:space="0" w:color="auto"/>
            <w:left w:val="none" w:sz="0" w:space="0" w:color="auto"/>
            <w:bottom w:val="none" w:sz="0" w:space="0" w:color="auto"/>
            <w:right w:val="none" w:sz="0" w:space="0" w:color="auto"/>
          </w:divBdr>
        </w:div>
        <w:div w:id="1968387089">
          <w:marLeft w:val="547"/>
          <w:marRight w:val="0"/>
          <w:marTop w:val="96"/>
          <w:marBottom w:val="60"/>
          <w:divBdr>
            <w:top w:val="none" w:sz="0" w:space="0" w:color="auto"/>
            <w:left w:val="none" w:sz="0" w:space="0" w:color="auto"/>
            <w:bottom w:val="none" w:sz="0" w:space="0" w:color="auto"/>
            <w:right w:val="none" w:sz="0" w:space="0" w:color="auto"/>
          </w:divBdr>
        </w:div>
      </w:divsChild>
    </w:div>
    <w:div w:id="711151268">
      <w:bodyDiv w:val="1"/>
      <w:marLeft w:val="0"/>
      <w:marRight w:val="0"/>
      <w:marTop w:val="0"/>
      <w:marBottom w:val="0"/>
      <w:divBdr>
        <w:top w:val="none" w:sz="0" w:space="0" w:color="auto"/>
        <w:left w:val="none" w:sz="0" w:space="0" w:color="auto"/>
        <w:bottom w:val="none" w:sz="0" w:space="0" w:color="auto"/>
        <w:right w:val="none" w:sz="0" w:space="0" w:color="auto"/>
      </w:divBdr>
    </w:div>
    <w:div w:id="770661877">
      <w:bodyDiv w:val="1"/>
      <w:marLeft w:val="0"/>
      <w:marRight w:val="0"/>
      <w:marTop w:val="0"/>
      <w:marBottom w:val="0"/>
      <w:divBdr>
        <w:top w:val="none" w:sz="0" w:space="0" w:color="auto"/>
        <w:left w:val="none" w:sz="0" w:space="0" w:color="auto"/>
        <w:bottom w:val="none" w:sz="0" w:space="0" w:color="auto"/>
        <w:right w:val="none" w:sz="0" w:space="0" w:color="auto"/>
      </w:divBdr>
    </w:div>
    <w:div w:id="787048700">
      <w:bodyDiv w:val="1"/>
      <w:marLeft w:val="0"/>
      <w:marRight w:val="0"/>
      <w:marTop w:val="0"/>
      <w:marBottom w:val="0"/>
      <w:divBdr>
        <w:top w:val="none" w:sz="0" w:space="0" w:color="auto"/>
        <w:left w:val="none" w:sz="0" w:space="0" w:color="auto"/>
        <w:bottom w:val="none" w:sz="0" w:space="0" w:color="auto"/>
        <w:right w:val="none" w:sz="0" w:space="0" w:color="auto"/>
      </w:divBdr>
    </w:div>
    <w:div w:id="811825527">
      <w:bodyDiv w:val="1"/>
      <w:marLeft w:val="0"/>
      <w:marRight w:val="0"/>
      <w:marTop w:val="0"/>
      <w:marBottom w:val="0"/>
      <w:divBdr>
        <w:top w:val="none" w:sz="0" w:space="0" w:color="auto"/>
        <w:left w:val="none" w:sz="0" w:space="0" w:color="auto"/>
        <w:bottom w:val="none" w:sz="0" w:space="0" w:color="auto"/>
        <w:right w:val="none" w:sz="0" w:space="0" w:color="auto"/>
      </w:divBdr>
      <w:divsChild>
        <w:div w:id="117528376">
          <w:marLeft w:val="1166"/>
          <w:marRight w:val="0"/>
          <w:marTop w:val="77"/>
          <w:marBottom w:val="60"/>
          <w:divBdr>
            <w:top w:val="none" w:sz="0" w:space="0" w:color="auto"/>
            <w:left w:val="none" w:sz="0" w:space="0" w:color="auto"/>
            <w:bottom w:val="none" w:sz="0" w:space="0" w:color="auto"/>
            <w:right w:val="none" w:sz="0" w:space="0" w:color="auto"/>
          </w:divBdr>
        </w:div>
        <w:div w:id="622536017">
          <w:marLeft w:val="1166"/>
          <w:marRight w:val="0"/>
          <w:marTop w:val="77"/>
          <w:marBottom w:val="60"/>
          <w:divBdr>
            <w:top w:val="none" w:sz="0" w:space="0" w:color="auto"/>
            <w:left w:val="none" w:sz="0" w:space="0" w:color="auto"/>
            <w:bottom w:val="none" w:sz="0" w:space="0" w:color="auto"/>
            <w:right w:val="none" w:sz="0" w:space="0" w:color="auto"/>
          </w:divBdr>
        </w:div>
        <w:div w:id="650448365">
          <w:marLeft w:val="1166"/>
          <w:marRight w:val="0"/>
          <w:marTop w:val="77"/>
          <w:marBottom w:val="60"/>
          <w:divBdr>
            <w:top w:val="none" w:sz="0" w:space="0" w:color="auto"/>
            <w:left w:val="none" w:sz="0" w:space="0" w:color="auto"/>
            <w:bottom w:val="none" w:sz="0" w:space="0" w:color="auto"/>
            <w:right w:val="none" w:sz="0" w:space="0" w:color="auto"/>
          </w:divBdr>
        </w:div>
        <w:div w:id="1042560630">
          <w:marLeft w:val="1166"/>
          <w:marRight w:val="0"/>
          <w:marTop w:val="77"/>
          <w:marBottom w:val="60"/>
          <w:divBdr>
            <w:top w:val="none" w:sz="0" w:space="0" w:color="auto"/>
            <w:left w:val="none" w:sz="0" w:space="0" w:color="auto"/>
            <w:bottom w:val="none" w:sz="0" w:space="0" w:color="auto"/>
            <w:right w:val="none" w:sz="0" w:space="0" w:color="auto"/>
          </w:divBdr>
        </w:div>
        <w:div w:id="1183478107">
          <w:marLeft w:val="547"/>
          <w:marRight w:val="0"/>
          <w:marTop w:val="96"/>
          <w:marBottom w:val="60"/>
          <w:divBdr>
            <w:top w:val="none" w:sz="0" w:space="0" w:color="auto"/>
            <w:left w:val="none" w:sz="0" w:space="0" w:color="auto"/>
            <w:bottom w:val="none" w:sz="0" w:space="0" w:color="auto"/>
            <w:right w:val="none" w:sz="0" w:space="0" w:color="auto"/>
          </w:divBdr>
        </w:div>
        <w:div w:id="1434981635">
          <w:marLeft w:val="1166"/>
          <w:marRight w:val="0"/>
          <w:marTop w:val="77"/>
          <w:marBottom w:val="60"/>
          <w:divBdr>
            <w:top w:val="none" w:sz="0" w:space="0" w:color="auto"/>
            <w:left w:val="none" w:sz="0" w:space="0" w:color="auto"/>
            <w:bottom w:val="none" w:sz="0" w:space="0" w:color="auto"/>
            <w:right w:val="none" w:sz="0" w:space="0" w:color="auto"/>
          </w:divBdr>
        </w:div>
        <w:div w:id="1658922152">
          <w:marLeft w:val="1166"/>
          <w:marRight w:val="0"/>
          <w:marTop w:val="77"/>
          <w:marBottom w:val="60"/>
          <w:divBdr>
            <w:top w:val="none" w:sz="0" w:space="0" w:color="auto"/>
            <w:left w:val="none" w:sz="0" w:space="0" w:color="auto"/>
            <w:bottom w:val="none" w:sz="0" w:space="0" w:color="auto"/>
            <w:right w:val="none" w:sz="0" w:space="0" w:color="auto"/>
          </w:divBdr>
        </w:div>
        <w:div w:id="1873956981">
          <w:marLeft w:val="547"/>
          <w:marRight w:val="0"/>
          <w:marTop w:val="96"/>
          <w:marBottom w:val="60"/>
          <w:divBdr>
            <w:top w:val="none" w:sz="0" w:space="0" w:color="auto"/>
            <w:left w:val="none" w:sz="0" w:space="0" w:color="auto"/>
            <w:bottom w:val="none" w:sz="0" w:space="0" w:color="auto"/>
            <w:right w:val="none" w:sz="0" w:space="0" w:color="auto"/>
          </w:divBdr>
        </w:div>
        <w:div w:id="1981304561">
          <w:marLeft w:val="547"/>
          <w:marRight w:val="0"/>
          <w:marTop w:val="96"/>
          <w:marBottom w:val="60"/>
          <w:divBdr>
            <w:top w:val="none" w:sz="0" w:space="0" w:color="auto"/>
            <w:left w:val="none" w:sz="0" w:space="0" w:color="auto"/>
            <w:bottom w:val="none" w:sz="0" w:space="0" w:color="auto"/>
            <w:right w:val="none" w:sz="0" w:space="0" w:color="auto"/>
          </w:divBdr>
        </w:div>
        <w:div w:id="2108915161">
          <w:marLeft w:val="547"/>
          <w:marRight w:val="0"/>
          <w:marTop w:val="96"/>
          <w:marBottom w:val="60"/>
          <w:divBdr>
            <w:top w:val="none" w:sz="0" w:space="0" w:color="auto"/>
            <w:left w:val="none" w:sz="0" w:space="0" w:color="auto"/>
            <w:bottom w:val="none" w:sz="0" w:space="0" w:color="auto"/>
            <w:right w:val="none" w:sz="0" w:space="0" w:color="auto"/>
          </w:divBdr>
        </w:div>
      </w:divsChild>
    </w:div>
    <w:div w:id="830756798">
      <w:bodyDiv w:val="1"/>
      <w:marLeft w:val="0"/>
      <w:marRight w:val="0"/>
      <w:marTop w:val="0"/>
      <w:marBottom w:val="0"/>
      <w:divBdr>
        <w:top w:val="none" w:sz="0" w:space="0" w:color="auto"/>
        <w:left w:val="none" w:sz="0" w:space="0" w:color="auto"/>
        <w:bottom w:val="none" w:sz="0" w:space="0" w:color="auto"/>
        <w:right w:val="none" w:sz="0" w:space="0" w:color="auto"/>
      </w:divBdr>
    </w:div>
    <w:div w:id="846678826">
      <w:bodyDiv w:val="1"/>
      <w:marLeft w:val="0"/>
      <w:marRight w:val="0"/>
      <w:marTop w:val="0"/>
      <w:marBottom w:val="0"/>
      <w:divBdr>
        <w:top w:val="none" w:sz="0" w:space="0" w:color="auto"/>
        <w:left w:val="none" w:sz="0" w:space="0" w:color="auto"/>
        <w:bottom w:val="none" w:sz="0" w:space="0" w:color="auto"/>
        <w:right w:val="none" w:sz="0" w:space="0" w:color="auto"/>
      </w:divBdr>
      <w:divsChild>
        <w:div w:id="367531328">
          <w:marLeft w:val="547"/>
          <w:marRight w:val="0"/>
          <w:marTop w:val="96"/>
          <w:marBottom w:val="60"/>
          <w:divBdr>
            <w:top w:val="none" w:sz="0" w:space="0" w:color="auto"/>
            <w:left w:val="none" w:sz="0" w:space="0" w:color="auto"/>
            <w:bottom w:val="none" w:sz="0" w:space="0" w:color="auto"/>
            <w:right w:val="none" w:sz="0" w:space="0" w:color="auto"/>
          </w:divBdr>
        </w:div>
        <w:div w:id="835149427">
          <w:marLeft w:val="547"/>
          <w:marRight w:val="0"/>
          <w:marTop w:val="96"/>
          <w:marBottom w:val="60"/>
          <w:divBdr>
            <w:top w:val="none" w:sz="0" w:space="0" w:color="auto"/>
            <w:left w:val="none" w:sz="0" w:space="0" w:color="auto"/>
            <w:bottom w:val="none" w:sz="0" w:space="0" w:color="auto"/>
            <w:right w:val="none" w:sz="0" w:space="0" w:color="auto"/>
          </w:divBdr>
        </w:div>
        <w:div w:id="980697611">
          <w:marLeft w:val="1166"/>
          <w:marRight w:val="0"/>
          <w:marTop w:val="86"/>
          <w:marBottom w:val="60"/>
          <w:divBdr>
            <w:top w:val="none" w:sz="0" w:space="0" w:color="auto"/>
            <w:left w:val="none" w:sz="0" w:space="0" w:color="auto"/>
            <w:bottom w:val="none" w:sz="0" w:space="0" w:color="auto"/>
            <w:right w:val="none" w:sz="0" w:space="0" w:color="auto"/>
          </w:divBdr>
        </w:div>
        <w:div w:id="1274560233">
          <w:marLeft w:val="547"/>
          <w:marRight w:val="0"/>
          <w:marTop w:val="96"/>
          <w:marBottom w:val="60"/>
          <w:divBdr>
            <w:top w:val="none" w:sz="0" w:space="0" w:color="auto"/>
            <w:left w:val="none" w:sz="0" w:space="0" w:color="auto"/>
            <w:bottom w:val="none" w:sz="0" w:space="0" w:color="auto"/>
            <w:right w:val="none" w:sz="0" w:space="0" w:color="auto"/>
          </w:divBdr>
        </w:div>
        <w:div w:id="1319649134">
          <w:marLeft w:val="547"/>
          <w:marRight w:val="0"/>
          <w:marTop w:val="96"/>
          <w:marBottom w:val="60"/>
          <w:divBdr>
            <w:top w:val="none" w:sz="0" w:space="0" w:color="auto"/>
            <w:left w:val="none" w:sz="0" w:space="0" w:color="auto"/>
            <w:bottom w:val="none" w:sz="0" w:space="0" w:color="auto"/>
            <w:right w:val="none" w:sz="0" w:space="0" w:color="auto"/>
          </w:divBdr>
        </w:div>
        <w:div w:id="1746419174">
          <w:marLeft w:val="1166"/>
          <w:marRight w:val="0"/>
          <w:marTop w:val="86"/>
          <w:marBottom w:val="60"/>
          <w:divBdr>
            <w:top w:val="none" w:sz="0" w:space="0" w:color="auto"/>
            <w:left w:val="none" w:sz="0" w:space="0" w:color="auto"/>
            <w:bottom w:val="none" w:sz="0" w:space="0" w:color="auto"/>
            <w:right w:val="none" w:sz="0" w:space="0" w:color="auto"/>
          </w:divBdr>
        </w:div>
      </w:divsChild>
    </w:div>
    <w:div w:id="902182388">
      <w:bodyDiv w:val="1"/>
      <w:marLeft w:val="0"/>
      <w:marRight w:val="0"/>
      <w:marTop w:val="0"/>
      <w:marBottom w:val="0"/>
      <w:divBdr>
        <w:top w:val="none" w:sz="0" w:space="0" w:color="auto"/>
        <w:left w:val="none" w:sz="0" w:space="0" w:color="auto"/>
        <w:bottom w:val="none" w:sz="0" w:space="0" w:color="auto"/>
        <w:right w:val="none" w:sz="0" w:space="0" w:color="auto"/>
      </w:divBdr>
      <w:divsChild>
        <w:div w:id="102921809">
          <w:marLeft w:val="994"/>
          <w:marRight w:val="0"/>
          <w:marTop w:val="77"/>
          <w:marBottom w:val="0"/>
          <w:divBdr>
            <w:top w:val="none" w:sz="0" w:space="0" w:color="auto"/>
            <w:left w:val="none" w:sz="0" w:space="0" w:color="auto"/>
            <w:bottom w:val="none" w:sz="0" w:space="0" w:color="auto"/>
            <w:right w:val="none" w:sz="0" w:space="0" w:color="auto"/>
          </w:divBdr>
        </w:div>
        <w:div w:id="138697087">
          <w:marLeft w:val="994"/>
          <w:marRight w:val="0"/>
          <w:marTop w:val="77"/>
          <w:marBottom w:val="0"/>
          <w:divBdr>
            <w:top w:val="none" w:sz="0" w:space="0" w:color="auto"/>
            <w:left w:val="none" w:sz="0" w:space="0" w:color="auto"/>
            <w:bottom w:val="none" w:sz="0" w:space="0" w:color="auto"/>
            <w:right w:val="none" w:sz="0" w:space="0" w:color="auto"/>
          </w:divBdr>
        </w:div>
        <w:div w:id="494994534">
          <w:marLeft w:val="547"/>
          <w:marRight w:val="0"/>
          <w:marTop w:val="96"/>
          <w:marBottom w:val="60"/>
          <w:divBdr>
            <w:top w:val="none" w:sz="0" w:space="0" w:color="auto"/>
            <w:left w:val="none" w:sz="0" w:space="0" w:color="auto"/>
            <w:bottom w:val="none" w:sz="0" w:space="0" w:color="auto"/>
            <w:right w:val="none" w:sz="0" w:space="0" w:color="auto"/>
          </w:divBdr>
        </w:div>
        <w:div w:id="538858221">
          <w:marLeft w:val="547"/>
          <w:marRight w:val="0"/>
          <w:marTop w:val="96"/>
          <w:marBottom w:val="60"/>
          <w:divBdr>
            <w:top w:val="none" w:sz="0" w:space="0" w:color="auto"/>
            <w:left w:val="none" w:sz="0" w:space="0" w:color="auto"/>
            <w:bottom w:val="none" w:sz="0" w:space="0" w:color="auto"/>
            <w:right w:val="none" w:sz="0" w:space="0" w:color="auto"/>
          </w:divBdr>
        </w:div>
        <w:div w:id="934946717">
          <w:marLeft w:val="547"/>
          <w:marRight w:val="0"/>
          <w:marTop w:val="96"/>
          <w:marBottom w:val="60"/>
          <w:divBdr>
            <w:top w:val="none" w:sz="0" w:space="0" w:color="auto"/>
            <w:left w:val="none" w:sz="0" w:space="0" w:color="auto"/>
            <w:bottom w:val="none" w:sz="0" w:space="0" w:color="auto"/>
            <w:right w:val="none" w:sz="0" w:space="0" w:color="auto"/>
          </w:divBdr>
        </w:div>
        <w:div w:id="1088503836">
          <w:marLeft w:val="547"/>
          <w:marRight w:val="0"/>
          <w:marTop w:val="96"/>
          <w:marBottom w:val="60"/>
          <w:divBdr>
            <w:top w:val="none" w:sz="0" w:space="0" w:color="auto"/>
            <w:left w:val="none" w:sz="0" w:space="0" w:color="auto"/>
            <w:bottom w:val="none" w:sz="0" w:space="0" w:color="auto"/>
            <w:right w:val="none" w:sz="0" w:space="0" w:color="auto"/>
          </w:divBdr>
        </w:div>
        <w:div w:id="1124349046">
          <w:marLeft w:val="547"/>
          <w:marRight w:val="0"/>
          <w:marTop w:val="96"/>
          <w:marBottom w:val="60"/>
          <w:divBdr>
            <w:top w:val="none" w:sz="0" w:space="0" w:color="auto"/>
            <w:left w:val="none" w:sz="0" w:space="0" w:color="auto"/>
            <w:bottom w:val="none" w:sz="0" w:space="0" w:color="auto"/>
            <w:right w:val="none" w:sz="0" w:space="0" w:color="auto"/>
          </w:divBdr>
        </w:div>
      </w:divsChild>
    </w:div>
    <w:div w:id="922185922">
      <w:bodyDiv w:val="1"/>
      <w:marLeft w:val="0"/>
      <w:marRight w:val="0"/>
      <w:marTop w:val="0"/>
      <w:marBottom w:val="0"/>
      <w:divBdr>
        <w:top w:val="none" w:sz="0" w:space="0" w:color="auto"/>
        <w:left w:val="none" w:sz="0" w:space="0" w:color="auto"/>
        <w:bottom w:val="none" w:sz="0" w:space="0" w:color="auto"/>
        <w:right w:val="none" w:sz="0" w:space="0" w:color="auto"/>
      </w:divBdr>
      <w:divsChild>
        <w:div w:id="305546201">
          <w:marLeft w:val="1166"/>
          <w:marRight w:val="0"/>
          <w:marTop w:val="86"/>
          <w:marBottom w:val="0"/>
          <w:divBdr>
            <w:top w:val="none" w:sz="0" w:space="0" w:color="auto"/>
            <w:left w:val="none" w:sz="0" w:space="0" w:color="auto"/>
            <w:bottom w:val="none" w:sz="0" w:space="0" w:color="auto"/>
            <w:right w:val="none" w:sz="0" w:space="0" w:color="auto"/>
          </w:divBdr>
        </w:div>
        <w:div w:id="1624649048">
          <w:marLeft w:val="1166"/>
          <w:marRight w:val="0"/>
          <w:marTop w:val="86"/>
          <w:marBottom w:val="0"/>
          <w:divBdr>
            <w:top w:val="none" w:sz="0" w:space="0" w:color="auto"/>
            <w:left w:val="none" w:sz="0" w:space="0" w:color="auto"/>
            <w:bottom w:val="none" w:sz="0" w:space="0" w:color="auto"/>
            <w:right w:val="none" w:sz="0" w:space="0" w:color="auto"/>
          </w:divBdr>
        </w:div>
        <w:div w:id="1797333357">
          <w:marLeft w:val="1166"/>
          <w:marRight w:val="0"/>
          <w:marTop w:val="86"/>
          <w:marBottom w:val="0"/>
          <w:divBdr>
            <w:top w:val="none" w:sz="0" w:space="0" w:color="auto"/>
            <w:left w:val="none" w:sz="0" w:space="0" w:color="auto"/>
            <w:bottom w:val="none" w:sz="0" w:space="0" w:color="auto"/>
            <w:right w:val="none" w:sz="0" w:space="0" w:color="auto"/>
          </w:divBdr>
        </w:div>
        <w:div w:id="2017615493">
          <w:marLeft w:val="1166"/>
          <w:marRight w:val="0"/>
          <w:marTop w:val="86"/>
          <w:marBottom w:val="0"/>
          <w:divBdr>
            <w:top w:val="none" w:sz="0" w:space="0" w:color="auto"/>
            <w:left w:val="none" w:sz="0" w:space="0" w:color="auto"/>
            <w:bottom w:val="none" w:sz="0" w:space="0" w:color="auto"/>
            <w:right w:val="none" w:sz="0" w:space="0" w:color="auto"/>
          </w:divBdr>
        </w:div>
        <w:div w:id="2024014427">
          <w:marLeft w:val="547"/>
          <w:marRight w:val="0"/>
          <w:marTop w:val="96"/>
          <w:marBottom w:val="60"/>
          <w:divBdr>
            <w:top w:val="none" w:sz="0" w:space="0" w:color="auto"/>
            <w:left w:val="none" w:sz="0" w:space="0" w:color="auto"/>
            <w:bottom w:val="none" w:sz="0" w:space="0" w:color="auto"/>
            <w:right w:val="none" w:sz="0" w:space="0" w:color="auto"/>
          </w:divBdr>
        </w:div>
      </w:divsChild>
    </w:div>
    <w:div w:id="946503272">
      <w:bodyDiv w:val="1"/>
      <w:marLeft w:val="0"/>
      <w:marRight w:val="0"/>
      <w:marTop w:val="0"/>
      <w:marBottom w:val="0"/>
      <w:divBdr>
        <w:top w:val="none" w:sz="0" w:space="0" w:color="auto"/>
        <w:left w:val="none" w:sz="0" w:space="0" w:color="auto"/>
        <w:bottom w:val="none" w:sz="0" w:space="0" w:color="auto"/>
        <w:right w:val="none" w:sz="0" w:space="0" w:color="auto"/>
      </w:divBdr>
      <w:divsChild>
        <w:div w:id="119880023">
          <w:marLeft w:val="547"/>
          <w:marRight w:val="0"/>
          <w:marTop w:val="96"/>
          <w:marBottom w:val="60"/>
          <w:divBdr>
            <w:top w:val="none" w:sz="0" w:space="0" w:color="auto"/>
            <w:left w:val="none" w:sz="0" w:space="0" w:color="auto"/>
            <w:bottom w:val="none" w:sz="0" w:space="0" w:color="auto"/>
            <w:right w:val="none" w:sz="0" w:space="0" w:color="auto"/>
          </w:divBdr>
        </w:div>
        <w:div w:id="1044058882">
          <w:marLeft w:val="547"/>
          <w:marRight w:val="0"/>
          <w:marTop w:val="96"/>
          <w:marBottom w:val="60"/>
          <w:divBdr>
            <w:top w:val="none" w:sz="0" w:space="0" w:color="auto"/>
            <w:left w:val="none" w:sz="0" w:space="0" w:color="auto"/>
            <w:bottom w:val="none" w:sz="0" w:space="0" w:color="auto"/>
            <w:right w:val="none" w:sz="0" w:space="0" w:color="auto"/>
          </w:divBdr>
        </w:div>
        <w:div w:id="1280183715">
          <w:marLeft w:val="547"/>
          <w:marRight w:val="0"/>
          <w:marTop w:val="96"/>
          <w:marBottom w:val="60"/>
          <w:divBdr>
            <w:top w:val="none" w:sz="0" w:space="0" w:color="auto"/>
            <w:left w:val="none" w:sz="0" w:space="0" w:color="auto"/>
            <w:bottom w:val="none" w:sz="0" w:space="0" w:color="auto"/>
            <w:right w:val="none" w:sz="0" w:space="0" w:color="auto"/>
          </w:divBdr>
        </w:div>
        <w:div w:id="1382099716">
          <w:marLeft w:val="547"/>
          <w:marRight w:val="0"/>
          <w:marTop w:val="96"/>
          <w:marBottom w:val="60"/>
          <w:divBdr>
            <w:top w:val="none" w:sz="0" w:space="0" w:color="auto"/>
            <w:left w:val="none" w:sz="0" w:space="0" w:color="auto"/>
            <w:bottom w:val="none" w:sz="0" w:space="0" w:color="auto"/>
            <w:right w:val="none" w:sz="0" w:space="0" w:color="auto"/>
          </w:divBdr>
        </w:div>
        <w:div w:id="1906602497">
          <w:marLeft w:val="547"/>
          <w:marRight w:val="0"/>
          <w:marTop w:val="96"/>
          <w:marBottom w:val="60"/>
          <w:divBdr>
            <w:top w:val="none" w:sz="0" w:space="0" w:color="auto"/>
            <w:left w:val="none" w:sz="0" w:space="0" w:color="auto"/>
            <w:bottom w:val="none" w:sz="0" w:space="0" w:color="auto"/>
            <w:right w:val="none" w:sz="0" w:space="0" w:color="auto"/>
          </w:divBdr>
        </w:div>
        <w:div w:id="1941256893">
          <w:marLeft w:val="547"/>
          <w:marRight w:val="0"/>
          <w:marTop w:val="96"/>
          <w:marBottom w:val="60"/>
          <w:divBdr>
            <w:top w:val="none" w:sz="0" w:space="0" w:color="auto"/>
            <w:left w:val="none" w:sz="0" w:space="0" w:color="auto"/>
            <w:bottom w:val="none" w:sz="0" w:space="0" w:color="auto"/>
            <w:right w:val="none" w:sz="0" w:space="0" w:color="auto"/>
          </w:divBdr>
        </w:div>
      </w:divsChild>
    </w:div>
    <w:div w:id="948437936">
      <w:bodyDiv w:val="1"/>
      <w:marLeft w:val="0"/>
      <w:marRight w:val="0"/>
      <w:marTop w:val="0"/>
      <w:marBottom w:val="0"/>
      <w:divBdr>
        <w:top w:val="none" w:sz="0" w:space="0" w:color="auto"/>
        <w:left w:val="none" w:sz="0" w:space="0" w:color="auto"/>
        <w:bottom w:val="none" w:sz="0" w:space="0" w:color="auto"/>
        <w:right w:val="none" w:sz="0" w:space="0" w:color="auto"/>
      </w:divBdr>
    </w:div>
    <w:div w:id="966007931">
      <w:bodyDiv w:val="1"/>
      <w:marLeft w:val="0"/>
      <w:marRight w:val="0"/>
      <w:marTop w:val="0"/>
      <w:marBottom w:val="0"/>
      <w:divBdr>
        <w:top w:val="none" w:sz="0" w:space="0" w:color="auto"/>
        <w:left w:val="none" w:sz="0" w:space="0" w:color="auto"/>
        <w:bottom w:val="none" w:sz="0" w:space="0" w:color="auto"/>
        <w:right w:val="none" w:sz="0" w:space="0" w:color="auto"/>
      </w:divBdr>
    </w:div>
    <w:div w:id="974290774">
      <w:bodyDiv w:val="1"/>
      <w:marLeft w:val="0"/>
      <w:marRight w:val="0"/>
      <w:marTop w:val="0"/>
      <w:marBottom w:val="0"/>
      <w:divBdr>
        <w:top w:val="none" w:sz="0" w:space="0" w:color="auto"/>
        <w:left w:val="none" w:sz="0" w:space="0" w:color="auto"/>
        <w:bottom w:val="none" w:sz="0" w:space="0" w:color="auto"/>
        <w:right w:val="none" w:sz="0" w:space="0" w:color="auto"/>
      </w:divBdr>
    </w:div>
    <w:div w:id="1021205843">
      <w:bodyDiv w:val="1"/>
      <w:marLeft w:val="0"/>
      <w:marRight w:val="0"/>
      <w:marTop w:val="0"/>
      <w:marBottom w:val="0"/>
      <w:divBdr>
        <w:top w:val="none" w:sz="0" w:space="0" w:color="auto"/>
        <w:left w:val="none" w:sz="0" w:space="0" w:color="auto"/>
        <w:bottom w:val="none" w:sz="0" w:space="0" w:color="auto"/>
        <w:right w:val="none" w:sz="0" w:space="0" w:color="auto"/>
      </w:divBdr>
    </w:div>
    <w:div w:id="1077939967">
      <w:bodyDiv w:val="1"/>
      <w:marLeft w:val="0"/>
      <w:marRight w:val="0"/>
      <w:marTop w:val="0"/>
      <w:marBottom w:val="0"/>
      <w:divBdr>
        <w:top w:val="none" w:sz="0" w:space="0" w:color="auto"/>
        <w:left w:val="none" w:sz="0" w:space="0" w:color="auto"/>
        <w:bottom w:val="none" w:sz="0" w:space="0" w:color="auto"/>
        <w:right w:val="none" w:sz="0" w:space="0" w:color="auto"/>
      </w:divBdr>
      <w:divsChild>
        <w:div w:id="115872948">
          <w:marLeft w:val="1166"/>
          <w:marRight w:val="0"/>
          <w:marTop w:val="86"/>
          <w:marBottom w:val="60"/>
          <w:divBdr>
            <w:top w:val="none" w:sz="0" w:space="0" w:color="auto"/>
            <w:left w:val="none" w:sz="0" w:space="0" w:color="auto"/>
            <w:bottom w:val="none" w:sz="0" w:space="0" w:color="auto"/>
            <w:right w:val="none" w:sz="0" w:space="0" w:color="auto"/>
          </w:divBdr>
        </w:div>
        <w:div w:id="499663015">
          <w:marLeft w:val="1166"/>
          <w:marRight w:val="0"/>
          <w:marTop w:val="86"/>
          <w:marBottom w:val="60"/>
          <w:divBdr>
            <w:top w:val="none" w:sz="0" w:space="0" w:color="auto"/>
            <w:left w:val="none" w:sz="0" w:space="0" w:color="auto"/>
            <w:bottom w:val="none" w:sz="0" w:space="0" w:color="auto"/>
            <w:right w:val="none" w:sz="0" w:space="0" w:color="auto"/>
          </w:divBdr>
        </w:div>
        <w:div w:id="831721619">
          <w:marLeft w:val="547"/>
          <w:marRight w:val="0"/>
          <w:marTop w:val="96"/>
          <w:marBottom w:val="60"/>
          <w:divBdr>
            <w:top w:val="none" w:sz="0" w:space="0" w:color="auto"/>
            <w:left w:val="none" w:sz="0" w:space="0" w:color="auto"/>
            <w:bottom w:val="none" w:sz="0" w:space="0" w:color="auto"/>
            <w:right w:val="none" w:sz="0" w:space="0" w:color="auto"/>
          </w:divBdr>
        </w:div>
        <w:div w:id="1141654918">
          <w:marLeft w:val="1166"/>
          <w:marRight w:val="0"/>
          <w:marTop w:val="86"/>
          <w:marBottom w:val="60"/>
          <w:divBdr>
            <w:top w:val="none" w:sz="0" w:space="0" w:color="auto"/>
            <w:left w:val="none" w:sz="0" w:space="0" w:color="auto"/>
            <w:bottom w:val="none" w:sz="0" w:space="0" w:color="auto"/>
            <w:right w:val="none" w:sz="0" w:space="0" w:color="auto"/>
          </w:divBdr>
        </w:div>
        <w:div w:id="1451126738">
          <w:marLeft w:val="547"/>
          <w:marRight w:val="0"/>
          <w:marTop w:val="96"/>
          <w:marBottom w:val="60"/>
          <w:divBdr>
            <w:top w:val="none" w:sz="0" w:space="0" w:color="auto"/>
            <w:left w:val="none" w:sz="0" w:space="0" w:color="auto"/>
            <w:bottom w:val="none" w:sz="0" w:space="0" w:color="auto"/>
            <w:right w:val="none" w:sz="0" w:space="0" w:color="auto"/>
          </w:divBdr>
        </w:div>
        <w:div w:id="1864125216">
          <w:marLeft w:val="1166"/>
          <w:marRight w:val="0"/>
          <w:marTop w:val="86"/>
          <w:marBottom w:val="60"/>
          <w:divBdr>
            <w:top w:val="none" w:sz="0" w:space="0" w:color="auto"/>
            <w:left w:val="none" w:sz="0" w:space="0" w:color="auto"/>
            <w:bottom w:val="none" w:sz="0" w:space="0" w:color="auto"/>
            <w:right w:val="none" w:sz="0" w:space="0" w:color="auto"/>
          </w:divBdr>
        </w:div>
      </w:divsChild>
    </w:div>
    <w:div w:id="1082022695">
      <w:bodyDiv w:val="1"/>
      <w:marLeft w:val="0"/>
      <w:marRight w:val="0"/>
      <w:marTop w:val="0"/>
      <w:marBottom w:val="0"/>
      <w:divBdr>
        <w:top w:val="none" w:sz="0" w:space="0" w:color="auto"/>
        <w:left w:val="none" w:sz="0" w:space="0" w:color="auto"/>
        <w:bottom w:val="none" w:sz="0" w:space="0" w:color="auto"/>
        <w:right w:val="none" w:sz="0" w:space="0" w:color="auto"/>
      </w:divBdr>
      <w:divsChild>
        <w:div w:id="1396321892">
          <w:marLeft w:val="0"/>
          <w:marRight w:val="0"/>
          <w:marTop w:val="0"/>
          <w:marBottom w:val="0"/>
          <w:divBdr>
            <w:top w:val="none" w:sz="0" w:space="0" w:color="auto"/>
            <w:left w:val="none" w:sz="0" w:space="0" w:color="auto"/>
            <w:bottom w:val="none" w:sz="0" w:space="0" w:color="auto"/>
            <w:right w:val="none" w:sz="0" w:space="0" w:color="auto"/>
          </w:divBdr>
        </w:div>
      </w:divsChild>
    </w:div>
    <w:div w:id="1086997139">
      <w:bodyDiv w:val="1"/>
      <w:marLeft w:val="0"/>
      <w:marRight w:val="0"/>
      <w:marTop w:val="0"/>
      <w:marBottom w:val="0"/>
      <w:divBdr>
        <w:top w:val="none" w:sz="0" w:space="0" w:color="auto"/>
        <w:left w:val="none" w:sz="0" w:space="0" w:color="auto"/>
        <w:bottom w:val="none" w:sz="0" w:space="0" w:color="auto"/>
        <w:right w:val="none" w:sz="0" w:space="0" w:color="auto"/>
      </w:divBdr>
      <w:divsChild>
        <w:div w:id="391315820">
          <w:marLeft w:val="1166"/>
          <w:marRight w:val="0"/>
          <w:marTop w:val="86"/>
          <w:marBottom w:val="0"/>
          <w:divBdr>
            <w:top w:val="none" w:sz="0" w:space="0" w:color="auto"/>
            <w:left w:val="none" w:sz="0" w:space="0" w:color="auto"/>
            <w:bottom w:val="none" w:sz="0" w:space="0" w:color="auto"/>
            <w:right w:val="none" w:sz="0" w:space="0" w:color="auto"/>
          </w:divBdr>
        </w:div>
        <w:div w:id="650451171">
          <w:marLeft w:val="1166"/>
          <w:marRight w:val="0"/>
          <w:marTop w:val="86"/>
          <w:marBottom w:val="0"/>
          <w:divBdr>
            <w:top w:val="none" w:sz="0" w:space="0" w:color="auto"/>
            <w:left w:val="none" w:sz="0" w:space="0" w:color="auto"/>
            <w:bottom w:val="none" w:sz="0" w:space="0" w:color="auto"/>
            <w:right w:val="none" w:sz="0" w:space="0" w:color="auto"/>
          </w:divBdr>
        </w:div>
        <w:div w:id="925840667">
          <w:marLeft w:val="547"/>
          <w:marRight w:val="0"/>
          <w:marTop w:val="96"/>
          <w:marBottom w:val="0"/>
          <w:divBdr>
            <w:top w:val="none" w:sz="0" w:space="0" w:color="auto"/>
            <w:left w:val="none" w:sz="0" w:space="0" w:color="auto"/>
            <w:bottom w:val="none" w:sz="0" w:space="0" w:color="auto"/>
            <w:right w:val="none" w:sz="0" w:space="0" w:color="auto"/>
          </w:divBdr>
        </w:div>
        <w:div w:id="1433168511">
          <w:marLeft w:val="547"/>
          <w:marRight w:val="0"/>
          <w:marTop w:val="96"/>
          <w:marBottom w:val="0"/>
          <w:divBdr>
            <w:top w:val="none" w:sz="0" w:space="0" w:color="auto"/>
            <w:left w:val="none" w:sz="0" w:space="0" w:color="auto"/>
            <w:bottom w:val="none" w:sz="0" w:space="0" w:color="auto"/>
            <w:right w:val="none" w:sz="0" w:space="0" w:color="auto"/>
          </w:divBdr>
        </w:div>
        <w:div w:id="1923368991">
          <w:marLeft w:val="547"/>
          <w:marRight w:val="0"/>
          <w:marTop w:val="96"/>
          <w:marBottom w:val="0"/>
          <w:divBdr>
            <w:top w:val="none" w:sz="0" w:space="0" w:color="auto"/>
            <w:left w:val="none" w:sz="0" w:space="0" w:color="auto"/>
            <w:bottom w:val="none" w:sz="0" w:space="0" w:color="auto"/>
            <w:right w:val="none" w:sz="0" w:space="0" w:color="auto"/>
          </w:divBdr>
        </w:div>
        <w:div w:id="2070837395">
          <w:marLeft w:val="547"/>
          <w:marRight w:val="0"/>
          <w:marTop w:val="96"/>
          <w:marBottom w:val="0"/>
          <w:divBdr>
            <w:top w:val="none" w:sz="0" w:space="0" w:color="auto"/>
            <w:left w:val="none" w:sz="0" w:space="0" w:color="auto"/>
            <w:bottom w:val="none" w:sz="0" w:space="0" w:color="auto"/>
            <w:right w:val="none" w:sz="0" w:space="0" w:color="auto"/>
          </w:divBdr>
        </w:div>
      </w:divsChild>
    </w:div>
    <w:div w:id="1104881385">
      <w:bodyDiv w:val="1"/>
      <w:marLeft w:val="0"/>
      <w:marRight w:val="0"/>
      <w:marTop w:val="0"/>
      <w:marBottom w:val="0"/>
      <w:divBdr>
        <w:top w:val="none" w:sz="0" w:space="0" w:color="auto"/>
        <w:left w:val="none" w:sz="0" w:space="0" w:color="auto"/>
        <w:bottom w:val="none" w:sz="0" w:space="0" w:color="auto"/>
        <w:right w:val="none" w:sz="0" w:space="0" w:color="auto"/>
      </w:divBdr>
      <w:divsChild>
        <w:div w:id="771323012">
          <w:marLeft w:val="1166"/>
          <w:marRight w:val="0"/>
          <w:marTop w:val="82"/>
          <w:marBottom w:val="0"/>
          <w:divBdr>
            <w:top w:val="none" w:sz="0" w:space="0" w:color="auto"/>
            <w:left w:val="none" w:sz="0" w:space="0" w:color="auto"/>
            <w:bottom w:val="none" w:sz="0" w:space="0" w:color="auto"/>
            <w:right w:val="none" w:sz="0" w:space="0" w:color="auto"/>
          </w:divBdr>
        </w:div>
        <w:div w:id="1238857709">
          <w:marLeft w:val="547"/>
          <w:marRight w:val="0"/>
          <w:marTop w:val="96"/>
          <w:marBottom w:val="0"/>
          <w:divBdr>
            <w:top w:val="none" w:sz="0" w:space="0" w:color="auto"/>
            <w:left w:val="none" w:sz="0" w:space="0" w:color="auto"/>
            <w:bottom w:val="none" w:sz="0" w:space="0" w:color="auto"/>
            <w:right w:val="none" w:sz="0" w:space="0" w:color="auto"/>
          </w:divBdr>
        </w:div>
        <w:div w:id="1319455080">
          <w:marLeft w:val="1166"/>
          <w:marRight w:val="0"/>
          <w:marTop w:val="82"/>
          <w:marBottom w:val="0"/>
          <w:divBdr>
            <w:top w:val="none" w:sz="0" w:space="0" w:color="auto"/>
            <w:left w:val="none" w:sz="0" w:space="0" w:color="auto"/>
            <w:bottom w:val="none" w:sz="0" w:space="0" w:color="auto"/>
            <w:right w:val="none" w:sz="0" w:space="0" w:color="auto"/>
          </w:divBdr>
        </w:div>
        <w:div w:id="1865361936">
          <w:marLeft w:val="1166"/>
          <w:marRight w:val="0"/>
          <w:marTop w:val="82"/>
          <w:marBottom w:val="0"/>
          <w:divBdr>
            <w:top w:val="none" w:sz="0" w:space="0" w:color="auto"/>
            <w:left w:val="none" w:sz="0" w:space="0" w:color="auto"/>
            <w:bottom w:val="none" w:sz="0" w:space="0" w:color="auto"/>
            <w:right w:val="none" w:sz="0" w:space="0" w:color="auto"/>
          </w:divBdr>
        </w:div>
        <w:div w:id="1942563266">
          <w:marLeft w:val="547"/>
          <w:marRight w:val="0"/>
          <w:marTop w:val="96"/>
          <w:marBottom w:val="0"/>
          <w:divBdr>
            <w:top w:val="none" w:sz="0" w:space="0" w:color="auto"/>
            <w:left w:val="none" w:sz="0" w:space="0" w:color="auto"/>
            <w:bottom w:val="none" w:sz="0" w:space="0" w:color="auto"/>
            <w:right w:val="none" w:sz="0" w:space="0" w:color="auto"/>
          </w:divBdr>
        </w:div>
      </w:divsChild>
    </w:div>
    <w:div w:id="1122383149">
      <w:bodyDiv w:val="1"/>
      <w:marLeft w:val="0"/>
      <w:marRight w:val="0"/>
      <w:marTop w:val="0"/>
      <w:marBottom w:val="0"/>
      <w:divBdr>
        <w:top w:val="none" w:sz="0" w:space="0" w:color="auto"/>
        <w:left w:val="none" w:sz="0" w:space="0" w:color="auto"/>
        <w:bottom w:val="none" w:sz="0" w:space="0" w:color="auto"/>
        <w:right w:val="none" w:sz="0" w:space="0" w:color="auto"/>
      </w:divBdr>
    </w:div>
    <w:div w:id="1144930899">
      <w:bodyDiv w:val="1"/>
      <w:marLeft w:val="0"/>
      <w:marRight w:val="0"/>
      <w:marTop w:val="0"/>
      <w:marBottom w:val="0"/>
      <w:divBdr>
        <w:top w:val="none" w:sz="0" w:space="0" w:color="auto"/>
        <w:left w:val="none" w:sz="0" w:space="0" w:color="auto"/>
        <w:bottom w:val="none" w:sz="0" w:space="0" w:color="auto"/>
        <w:right w:val="none" w:sz="0" w:space="0" w:color="auto"/>
      </w:divBdr>
    </w:div>
    <w:div w:id="1171532411">
      <w:bodyDiv w:val="1"/>
      <w:marLeft w:val="0"/>
      <w:marRight w:val="0"/>
      <w:marTop w:val="0"/>
      <w:marBottom w:val="0"/>
      <w:divBdr>
        <w:top w:val="none" w:sz="0" w:space="0" w:color="auto"/>
        <w:left w:val="none" w:sz="0" w:space="0" w:color="auto"/>
        <w:bottom w:val="none" w:sz="0" w:space="0" w:color="auto"/>
        <w:right w:val="none" w:sz="0" w:space="0" w:color="auto"/>
      </w:divBdr>
    </w:div>
    <w:div w:id="1178697452">
      <w:bodyDiv w:val="1"/>
      <w:marLeft w:val="0"/>
      <w:marRight w:val="0"/>
      <w:marTop w:val="0"/>
      <w:marBottom w:val="0"/>
      <w:divBdr>
        <w:top w:val="none" w:sz="0" w:space="0" w:color="auto"/>
        <w:left w:val="none" w:sz="0" w:space="0" w:color="auto"/>
        <w:bottom w:val="none" w:sz="0" w:space="0" w:color="auto"/>
        <w:right w:val="none" w:sz="0" w:space="0" w:color="auto"/>
      </w:divBdr>
    </w:div>
    <w:div w:id="1195733184">
      <w:bodyDiv w:val="1"/>
      <w:marLeft w:val="0"/>
      <w:marRight w:val="0"/>
      <w:marTop w:val="0"/>
      <w:marBottom w:val="0"/>
      <w:divBdr>
        <w:top w:val="none" w:sz="0" w:space="0" w:color="auto"/>
        <w:left w:val="none" w:sz="0" w:space="0" w:color="auto"/>
        <w:bottom w:val="none" w:sz="0" w:space="0" w:color="auto"/>
        <w:right w:val="none" w:sz="0" w:space="0" w:color="auto"/>
      </w:divBdr>
    </w:div>
    <w:div w:id="1243031815">
      <w:bodyDiv w:val="1"/>
      <w:marLeft w:val="0"/>
      <w:marRight w:val="0"/>
      <w:marTop w:val="0"/>
      <w:marBottom w:val="0"/>
      <w:divBdr>
        <w:top w:val="none" w:sz="0" w:space="0" w:color="auto"/>
        <w:left w:val="none" w:sz="0" w:space="0" w:color="auto"/>
        <w:bottom w:val="none" w:sz="0" w:space="0" w:color="auto"/>
        <w:right w:val="none" w:sz="0" w:space="0" w:color="auto"/>
      </w:divBdr>
      <w:divsChild>
        <w:div w:id="248387332">
          <w:marLeft w:val="547"/>
          <w:marRight w:val="0"/>
          <w:marTop w:val="91"/>
          <w:marBottom w:val="0"/>
          <w:divBdr>
            <w:top w:val="none" w:sz="0" w:space="0" w:color="auto"/>
            <w:left w:val="none" w:sz="0" w:space="0" w:color="auto"/>
            <w:bottom w:val="none" w:sz="0" w:space="0" w:color="auto"/>
            <w:right w:val="none" w:sz="0" w:space="0" w:color="auto"/>
          </w:divBdr>
        </w:div>
        <w:div w:id="1494377238">
          <w:marLeft w:val="547"/>
          <w:marRight w:val="0"/>
          <w:marTop w:val="91"/>
          <w:marBottom w:val="0"/>
          <w:divBdr>
            <w:top w:val="none" w:sz="0" w:space="0" w:color="auto"/>
            <w:left w:val="none" w:sz="0" w:space="0" w:color="auto"/>
            <w:bottom w:val="none" w:sz="0" w:space="0" w:color="auto"/>
            <w:right w:val="none" w:sz="0" w:space="0" w:color="auto"/>
          </w:divBdr>
        </w:div>
        <w:div w:id="1549295372">
          <w:marLeft w:val="547"/>
          <w:marRight w:val="0"/>
          <w:marTop w:val="91"/>
          <w:marBottom w:val="0"/>
          <w:divBdr>
            <w:top w:val="none" w:sz="0" w:space="0" w:color="auto"/>
            <w:left w:val="none" w:sz="0" w:space="0" w:color="auto"/>
            <w:bottom w:val="none" w:sz="0" w:space="0" w:color="auto"/>
            <w:right w:val="none" w:sz="0" w:space="0" w:color="auto"/>
          </w:divBdr>
        </w:div>
        <w:div w:id="1694576635">
          <w:marLeft w:val="547"/>
          <w:marRight w:val="0"/>
          <w:marTop w:val="91"/>
          <w:marBottom w:val="0"/>
          <w:divBdr>
            <w:top w:val="none" w:sz="0" w:space="0" w:color="auto"/>
            <w:left w:val="none" w:sz="0" w:space="0" w:color="auto"/>
            <w:bottom w:val="none" w:sz="0" w:space="0" w:color="auto"/>
            <w:right w:val="none" w:sz="0" w:space="0" w:color="auto"/>
          </w:divBdr>
        </w:div>
      </w:divsChild>
    </w:div>
    <w:div w:id="1298339851">
      <w:bodyDiv w:val="1"/>
      <w:marLeft w:val="0"/>
      <w:marRight w:val="0"/>
      <w:marTop w:val="0"/>
      <w:marBottom w:val="0"/>
      <w:divBdr>
        <w:top w:val="none" w:sz="0" w:space="0" w:color="auto"/>
        <w:left w:val="none" w:sz="0" w:space="0" w:color="auto"/>
        <w:bottom w:val="none" w:sz="0" w:space="0" w:color="auto"/>
        <w:right w:val="none" w:sz="0" w:space="0" w:color="auto"/>
      </w:divBdr>
    </w:div>
    <w:div w:id="1299919423">
      <w:bodyDiv w:val="1"/>
      <w:marLeft w:val="0"/>
      <w:marRight w:val="0"/>
      <w:marTop w:val="0"/>
      <w:marBottom w:val="0"/>
      <w:divBdr>
        <w:top w:val="none" w:sz="0" w:space="0" w:color="auto"/>
        <w:left w:val="none" w:sz="0" w:space="0" w:color="auto"/>
        <w:bottom w:val="none" w:sz="0" w:space="0" w:color="auto"/>
        <w:right w:val="none" w:sz="0" w:space="0" w:color="auto"/>
      </w:divBdr>
      <w:divsChild>
        <w:div w:id="446001587">
          <w:marLeft w:val="547"/>
          <w:marRight w:val="0"/>
          <w:marTop w:val="115"/>
          <w:marBottom w:val="60"/>
          <w:divBdr>
            <w:top w:val="none" w:sz="0" w:space="0" w:color="auto"/>
            <w:left w:val="none" w:sz="0" w:space="0" w:color="auto"/>
            <w:bottom w:val="none" w:sz="0" w:space="0" w:color="auto"/>
            <w:right w:val="none" w:sz="0" w:space="0" w:color="auto"/>
          </w:divBdr>
        </w:div>
        <w:div w:id="678967548">
          <w:marLeft w:val="1166"/>
          <w:marRight w:val="0"/>
          <w:marTop w:val="96"/>
          <w:marBottom w:val="60"/>
          <w:divBdr>
            <w:top w:val="none" w:sz="0" w:space="0" w:color="auto"/>
            <w:left w:val="none" w:sz="0" w:space="0" w:color="auto"/>
            <w:bottom w:val="none" w:sz="0" w:space="0" w:color="auto"/>
            <w:right w:val="none" w:sz="0" w:space="0" w:color="auto"/>
          </w:divBdr>
        </w:div>
        <w:div w:id="1404375325">
          <w:marLeft w:val="1166"/>
          <w:marRight w:val="0"/>
          <w:marTop w:val="96"/>
          <w:marBottom w:val="60"/>
          <w:divBdr>
            <w:top w:val="none" w:sz="0" w:space="0" w:color="auto"/>
            <w:left w:val="none" w:sz="0" w:space="0" w:color="auto"/>
            <w:bottom w:val="none" w:sz="0" w:space="0" w:color="auto"/>
            <w:right w:val="none" w:sz="0" w:space="0" w:color="auto"/>
          </w:divBdr>
        </w:div>
        <w:div w:id="1525627697">
          <w:marLeft w:val="1166"/>
          <w:marRight w:val="0"/>
          <w:marTop w:val="96"/>
          <w:marBottom w:val="60"/>
          <w:divBdr>
            <w:top w:val="none" w:sz="0" w:space="0" w:color="auto"/>
            <w:left w:val="none" w:sz="0" w:space="0" w:color="auto"/>
            <w:bottom w:val="none" w:sz="0" w:space="0" w:color="auto"/>
            <w:right w:val="none" w:sz="0" w:space="0" w:color="auto"/>
          </w:divBdr>
        </w:div>
        <w:div w:id="1773353912">
          <w:marLeft w:val="547"/>
          <w:marRight w:val="0"/>
          <w:marTop w:val="115"/>
          <w:marBottom w:val="60"/>
          <w:divBdr>
            <w:top w:val="none" w:sz="0" w:space="0" w:color="auto"/>
            <w:left w:val="none" w:sz="0" w:space="0" w:color="auto"/>
            <w:bottom w:val="none" w:sz="0" w:space="0" w:color="auto"/>
            <w:right w:val="none" w:sz="0" w:space="0" w:color="auto"/>
          </w:divBdr>
        </w:div>
        <w:div w:id="2020692940">
          <w:marLeft w:val="1166"/>
          <w:marRight w:val="0"/>
          <w:marTop w:val="96"/>
          <w:marBottom w:val="60"/>
          <w:divBdr>
            <w:top w:val="none" w:sz="0" w:space="0" w:color="auto"/>
            <w:left w:val="none" w:sz="0" w:space="0" w:color="auto"/>
            <w:bottom w:val="none" w:sz="0" w:space="0" w:color="auto"/>
            <w:right w:val="none" w:sz="0" w:space="0" w:color="auto"/>
          </w:divBdr>
        </w:div>
      </w:divsChild>
    </w:div>
    <w:div w:id="1309284894">
      <w:bodyDiv w:val="1"/>
      <w:marLeft w:val="0"/>
      <w:marRight w:val="0"/>
      <w:marTop w:val="0"/>
      <w:marBottom w:val="0"/>
      <w:divBdr>
        <w:top w:val="none" w:sz="0" w:space="0" w:color="auto"/>
        <w:left w:val="none" w:sz="0" w:space="0" w:color="auto"/>
        <w:bottom w:val="none" w:sz="0" w:space="0" w:color="auto"/>
        <w:right w:val="none" w:sz="0" w:space="0" w:color="auto"/>
      </w:divBdr>
      <w:divsChild>
        <w:div w:id="776292441">
          <w:marLeft w:val="547"/>
          <w:marRight w:val="0"/>
          <w:marTop w:val="96"/>
          <w:marBottom w:val="60"/>
          <w:divBdr>
            <w:top w:val="none" w:sz="0" w:space="0" w:color="auto"/>
            <w:left w:val="none" w:sz="0" w:space="0" w:color="auto"/>
            <w:bottom w:val="none" w:sz="0" w:space="0" w:color="auto"/>
            <w:right w:val="none" w:sz="0" w:space="0" w:color="auto"/>
          </w:divBdr>
        </w:div>
        <w:div w:id="788747391">
          <w:marLeft w:val="1166"/>
          <w:marRight w:val="0"/>
          <w:marTop w:val="86"/>
          <w:marBottom w:val="60"/>
          <w:divBdr>
            <w:top w:val="none" w:sz="0" w:space="0" w:color="auto"/>
            <w:left w:val="none" w:sz="0" w:space="0" w:color="auto"/>
            <w:bottom w:val="none" w:sz="0" w:space="0" w:color="auto"/>
            <w:right w:val="none" w:sz="0" w:space="0" w:color="auto"/>
          </w:divBdr>
        </w:div>
        <w:div w:id="1282762081">
          <w:marLeft w:val="1166"/>
          <w:marRight w:val="0"/>
          <w:marTop w:val="86"/>
          <w:marBottom w:val="60"/>
          <w:divBdr>
            <w:top w:val="none" w:sz="0" w:space="0" w:color="auto"/>
            <w:left w:val="none" w:sz="0" w:space="0" w:color="auto"/>
            <w:bottom w:val="none" w:sz="0" w:space="0" w:color="auto"/>
            <w:right w:val="none" w:sz="0" w:space="0" w:color="auto"/>
          </w:divBdr>
        </w:div>
        <w:div w:id="1361279023">
          <w:marLeft w:val="1166"/>
          <w:marRight w:val="0"/>
          <w:marTop w:val="86"/>
          <w:marBottom w:val="60"/>
          <w:divBdr>
            <w:top w:val="none" w:sz="0" w:space="0" w:color="auto"/>
            <w:left w:val="none" w:sz="0" w:space="0" w:color="auto"/>
            <w:bottom w:val="none" w:sz="0" w:space="0" w:color="auto"/>
            <w:right w:val="none" w:sz="0" w:space="0" w:color="auto"/>
          </w:divBdr>
        </w:div>
        <w:div w:id="1412966956">
          <w:marLeft w:val="547"/>
          <w:marRight w:val="0"/>
          <w:marTop w:val="96"/>
          <w:marBottom w:val="60"/>
          <w:divBdr>
            <w:top w:val="none" w:sz="0" w:space="0" w:color="auto"/>
            <w:left w:val="none" w:sz="0" w:space="0" w:color="auto"/>
            <w:bottom w:val="none" w:sz="0" w:space="0" w:color="auto"/>
            <w:right w:val="none" w:sz="0" w:space="0" w:color="auto"/>
          </w:divBdr>
        </w:div>
        <w:div w:id="1705136304">
          <w:marLeft w:val="547"/>
          <w:marRight w:val="0"/>
          <w:marTop w:val="96"/>
          <w:marBottom w:val="60"/>
          <w:divBdr>
            <w:top w:val="none" w:sz="0" w:space="0" w:color="auto"/>
            <w:left w:val="none" w:sz="0" w:space="0" w:color="auto"/>
            <w:bottom w:val="none" w:sz="0" w:space="0" w:color="auto"/>
            <w:right w:val="none" w:sz="0" w:space="0" w:color="auto"/>
          </w:divBdr>
        </w:div>
        <w:div w:id="1984387605">
          <w:marLeft w:val="1166"/>
          <w:marRight w:val="0"/>
          <w:marTop w:val="86"/>
          <w:marBottom w:val="60"/>
          <w:divBdr>
            <w:top w:val="none" w:sz="0" w:space="0" w:color="auto"/>
            <w:left w:val="none" w:sz="0" w:space="0" w:color="auto"/>
            <w:bottom w:val="none" w:sz="0" w:space="0" w:color="auto"/>
            <w:right w:val="none" w:sz="0" w:space="0" w:color="auto"/>
          </w:divBdr>
        </w:div>
      </w:divsChild>
    </w:div>
    <w:div w:id="1319654802">
      <w:bodyDiv w:val="1"/>
      <w:marLeft w:val="0"/>
      <w:marRight w:val="0"/>
      <w:marTop w:val="0"/>
      <w:marBottom w:val="0"/>
      <w:divBdr>
        <w:top w:val="none" w:sz="0" w:space="0" w:color="auto"/>
        <w:left w:val="none" w:sz="0" w:space="0" w:color="auto"/>
        <w:bottom w:val="none" w:sz="0" w:space="0" w:color="auto"/>
        <w:right w:val="none" w:sz="0" w:space="0" w:color="auto"/>
      </w:divBdr>
      <w:divsChild>
        <w:div w:id="493837962">
          <w:marLeft w:val="720"/>
          <w:marRight w:val="0"/>
          <w:marTop w:val="96"/>
          <w:marBottom w:val="240"/>
          <w:divBdr>
            <w:top w:val="none" w:sz="0" w:space="0" w:color="auto"/>
            <w:left w:val="none" w:sz="0" w:space="0" w:color="auto"/>
            <w:bottom w:val="none" w:sz="0" w:space="0" w:color="auto"/>
            <w:right w:val="none" w:sz="0" w:space="0" w:color="auto"/>
          </w:divBdr>
        </w:div>
        <w:div w:id="548958451">
          <w:marLeft w:val="720"/>
          <w:marRight w:val="0"/>
          <w:marTop w:val="96"/>
          <w:marBottom w:val="240"/>
          <w:divBdr>
            <w:top w:val="none" w:sz="0" w:space="0" w:color="auto"/>
            <w:left w:val="none" w:sz="0" w:space="0" w:color="auto"/>
            <w:bottom w:val="none" w:sz="0" w:space="0" w:color="auto"/>
            <w:right w:val="none" w:sz="0" w:space="0" w:color="auto"/>
          </w:divBdr>
        </w:div>
        <w:div w:id="551307175">
          <w:marLeft w:val="720"/>
          <w:marRight w:val="0"/>
          <w:marTop w:val="96"/>
          <w:marBottom w:val="240"/>
          <w:divBdr>
            <w:top w:val="none" w:sz="0" w:space="0" w:color="auto"/>
            <w:left w:val="none" w:sz="0" w:space="0" w:color="auto"/>
            <w:bottom w:val="none" w:sz="0" w:space="0" w:color="auto"/>
            <w:right w:val="none" w:sz="0" w:space="0" w:color="auto"/>
          </w:divBdr>
        </w:div>
        <w:div w:id="640842255">
          <w:marLeft w:val="720"/>
          <w:marRight w:val="0"/>
          <w:marTop w:val="96"/>
          <w:marBottom w:val="240"/>
          <w:divBdr>
            <w:top w:val="none" w:sz="0" w:space="0" w:color="auto"/>
            <w:left w:val="none" w:sz="0" w:space="0" w:color="auto"/>
            <w:bottom w:val="none" w:sz="0" w:space="0" w:color="auto"/>
            <w:right w:val="none" w:sz="0" w:space="0" w:color="auto"/>
          </w:divBdr>
        </w:div>
        <w:div w:id="676158680">
          <w:marLeft w:val="720"/>
          <w:marRight w:val="0"/>
          <w:marTop w:val="96"/>
          <w:marBottom w:val="240"/>
          <w:divBdr>
            <w:top w:val="none" w:sz="0" w:space="0" w:color="auto"/>
            <w:left w:val="none" w:sz="0" w:space="0" w:color="auto"/>
            <w:bottom w:val="none" w:sz="0" w:space="0" w:color="auto"/>
            <w:right w:val="none" w:sz="0" w:space="0" w:color="auto"/>
          </w:divBdr>
        </w:div>
        <w:div w:id="817261135">
          <w:marLeft w:val="720"/>
          <w:marRight w:val="0"/>
          <w:marTop w:val="96"/>
          <w:marBottom w:val="240"/>
          <w:divBdr>
            <w:top w:val="none" w:sz="0" w:space="0" w:color="auto"/>
            <w:left w:val="none" w:sz="0" w:space="0" w:color="auto"/>
            <w:bottom w:val="none" w:sz="0" w:space="0" w:color="auto"/>
            <w:right w:val="none" w:sz="0" w:space="0" w:color="auto"/>
          </w:divBdr>
        </w:div>
        <w:div w:id="1208178002">
          <w:marLeft w:val="720"/>
          <w:marRight w:val="0"/>
          <w:marTop w:val="96"/>
          <w:marBottom w:val="240"/>
          <w:divBdr>
            <w:top w:val="none" w:sz="0" w:space="0" w:color="auto"/>
            <w:left w:val="none" w:sz="0" w:space="0" w:color="auto"/>
            <w:bottom w:val="none" w:sz="0" w:space="0" w:color="auto"/>
            <w:right w:val="none" w:sz="0" w:space="0" w:color="auto"/>
          </w:divBdr>
        </w:div>
      </w:divsChild>
    </w:div>
    <w:div w:id="1328971716">
      <w:bodyDiv w:val="1"/>
      <w:marLeft w:val="0"/>
      <w:marRight w:val="0"/>
      <w:marTop w:val="0"/>
      <w:marBottom w:val="0"/>
      <w:divBdr>
        <w:top w:val="none" w:sz="0" w:space="0" w:color="auto"/>
        <w:left w:val="none" w:sz="0" w:space="0" w:color="auto"/>
        <w:bottom w:val="none" w:sz="0" w:space="0" w:color="auto"/>
        <w:right w:val="none" w:sz="0" w:space="0" w:color="auto"/>
      </w:divBdr>
      <w:divsChild>
        <w:div w:id="67503837">
          <w:marLeft w:val="547"/>
          <w:marRight w:val="0"/>
          <w:marTop w:val="86"/>
          <w:marBottom w:val="0"/>
          <w:divBdr>
            <w:top w:val="none" w:sz="0" w:space="0" w:color="auto"/>
            <w:left w:val="none" w:sz="0" w:space="0" w:color="auto"/>
            <w:bottom w:val="none" w:sz="0" w:space="0" w:color="auto"/>
            <w:right w:val="none" w:sz="0" w:space="0" w:color="auto"/>
          </w:divBdr>
        </w:div>
        <w:div w:id="420956310">
          <w:marLeft w:val="547"/>
          <w:marRight w:val="0"/>
          <w:marTop w:val="86"/>
          <w:marBottom w:val="0"/>
          <w:divBdr>
            <w:top w:val="none" w:sz="0" w:space="0" w:color="auto"/>
            <w:left w:val="none" w:sz="0" w:space="0" w:color="auto"/>
            <w:bottom w:val="none" w:sz="0" w:space="0" w:color="auto"/>
            <w:right w:val="none" w:sz="0" w:space="0" w:color="auto"/>
          </w:divBdr>
        </w:div>
        <w:div w:id="502009233">
          <w:marLeft w:val="547"/>
          <w:marRight w:val="0"/>
          <w:marTop w:val="86"/>
          <w:marBottom w:val="0"/>
          <w:divBdr>
            <w:top w:val="none" w:sz="0" w:space="0" w:color="auto"/>
            <w:left w:val="none" w:sz="0" w:space="0" w:color="auto"/>
            <w:bottom w:val="none" w:sz="0" w:space="0" w:color="auto"/>
            <w:right w:val="none" w:sz="0" w:space="0" w:color="auto"/>
          </w:divBdr>
        </w:div>
        <w:div w:id="800731503">
          <w:marLeft w:val="547"/>
          <w:marRight w:val="0"/>
          <w:marTop w:val="86"/>
          <w:marBottom w:val="0"/>
          <w:divBdr>
            <w:top w:val="none" w:sz="0" w:space="0" w:color="auto"/>
            <w:left w:val="none" w:sz="0" w:space="0" w:color="auto"/>
            <w:bottom w:val="none" w:sz="0" w:space="0" w:color="auto"/>
            <w:right w:val="none" w:sz="0" w:space="0" w:color="auto"/>
          </w:divBdr>
        </w:div>
        <w:div w:id="828984160">
          <w:marLeft w:val="547"/>
          <w:marRight w:val="0"/>
          <w:marTop w:val="86"/>
          <w:marBottom w:val="0"/>
          <w:divBdr>
            <w:top w:val="none" w:sz="0" w:space="0" w:color="auto"/>
            <w:left w:val="none" w:sz="0" w:space="0" w:color="auto"/>
            <w:bottom w:val="none" w:sz="0" w:space="0" w:color="auto"/>
            <w:right w:val="none" w:sz="0" w:space="0" w:color="auto"/>
          </w:divBdr>
        </w:div>
        <w:div w:id="1790516152">
          <w:marLeft w:val="547"/>
          <w:marRight w:val="0"/>
          <w:marTop w:val="86"/>
          <w:marBottom w:val="0"/>
          <w:divBdr>
            <w:top w:val="none" w:sz="0" w:space="0" w:color="auto"/>
            <w:left w:val="none" w:sz="0" w:space="0" w:color="auto"/>
            <w:bottom w:val="none" w:sz="0" w:space="0" w:color="auto"/>
            <w:right w:val="none" w:sz="0" w:space="0" w:color="auto"/>
          </w:divBdr>
        </w:div>
        <w:div w:id="2048025146">
          <w:marLeft w:val="547"/>
          <w:marRight w:val="0"/>
          <w:marTop w:val="86"/>
          <w:marBottom w:val="0"/>
          <w:divBdr>
            <w:top w:val="none" w:sz="0" w:space="0" w:color="auto"/>
            <w:left w:val="none" w:sz="0" w:space="0" w:color="auto"/>
            <w:bottom w:val="none" w:sz="0" w:space="0" w:color="auto"/>
            <w:right w:val="none" w:sz="0" w:space="0" w:color="auto"/>
          </w:divBdr>
        </w:div>
        <w:div w:id="2057005119">
          <w:marLeft w:val="547"/>
          <w:marRight w:val="0"/>
          <w:marTop w:val="86"/>
          <w:marBottom w:val="0"/>
          <w:divBdr>
            <w:top w:val="none" w:sz="0" w:space="0" w:color="auto"/>
            <w:left w:val="none" w:sz="0" w:space="0" w:color="auto"/>
            <w:bottom w:val="none" w:sz="0" w:space="0" w:color="auto"/>
            <w:right w:val="none" w:sz="0" w:space="0" w:color="auto"/>
          </w:divBdr>
        </w:div>
      </w:divsChild>
    </w:div>
    <w:div w:id="1330787993">
      <w:bodyDiv w:val="1"/>
      <w:marLeft w:val="0"/>
      <w:marRight w:val="0"/>
      <w:marTop w:val="0"/>
      <w:marBottom w:val="0"/>
      <w:divBdr>
        <w:top w:val="none" w:sz="0" w:space="0" w:color="auto"/>
        <w:left w:val="none" w:sz="0" w:space="0" w:color="auto"/>
        <w:bottom w:val="none" w:sz="0" w:space="0" w:color="auto"/>
        <w:right w:val="none" w:sz="0" w:space="0" w:color="auto"/>
      </w:divBdr>
      <w:divsChild>
        <w:div w:id="840507213">
          <w:marLeft w:val="1166"/>
          <w:marRight w:val="0"/>
          <w:marTop w:val="0"/>
          <w:marBottom w:val="0"/>
          <w:divBdr>
            <w:top w:val="none" w:sz="0" w:space="0" w:color="auto"/>
            <w:left w:val="none" w:sz="0" w:space="0" w:color="auto"/>
            <w:bottom w:val="none" w:sz="0" w:space="0" w:color="auto"/>
            <w:right w:val="none" w:sz="0" w:space="0" w:color="auto"/>
          </w:divBdr>
        </w:div>
        <w:div w:id="861866538">
          <w:marLeft w:val="547"/>
          <w:marRight w:val="0"/>
          <w:marTop w:val="0"/>
          <w:marBottom w:val="0"/>
          <w:divBdr>
            <w:top w:val="none" w:sz="0" w:space="0" w:color="auto"/>
            <w:left w:val="none" w:sz="0" w:space="0" w:color="auto"/>
            <w:bottom w:val="none" w:sz="0" w:space="0" w:color="auto"/>
            <w:right w:val="none" w:sz="0" w:space="0" w:color="auto"/>
          </w:divBdr>
        </w:div>
      </w:divsChild>
    </w:div>
    <w:div w:id="1342778815">
      <w:bodyDiv w:val="1"/>
      <w:marLeft w:val="0"/>
      <w:marRight w:val="0"/>
      <w:marTop w:val="0"/>
      <w:marBottom w:val="0"/>
      <w:divBdr>
        <w:top w:val="none" w:sz="0" w:space="0" w:color="auto"/>
        <w:left w:val="none" w:sz="0" w:space="0" w:color="auto"/>
        <w:bottom w:val="none" w:sz="0" w:space="0" w:color="auto"/>
        <w:right w:val="none" w:sz="0" w:space="0" w:color="auto"/>
      </w:divBdr>
    </w:div>
    <w:div w:id="1373001120">
      <w:bodyDiv w:val="1"/>
      <w:marLeft w:val="0"/>
      <w:marRight w:val="0"/>
      <w:marTop w:val="0"/>
      <w:marBottom w:val="0"/>
      <w:divBdr>
        <w:top w:val="none" w:sz="0" w:space="0" w:color="auto"/>
        <w:left w:val="none" w:sz="0" w:space="0" w:color="auto"/>
        <w:bottom w:val="none" w:sz="0" w:space="0" w:color="auto"/>
        <w:right w:val="none" w:sz="0" w:space="0" w:color="auto"/>
      </w:divBdr>
    </w:div>
    <w:div w:id="1386295351">
      <w:bodyDiv w:val="1"/>
      <w:marLeft w:val="0"/>
      <w:marRight w:val="0"/>
      <w:marTop w:val="0"/>
      <w:marBottom w:val="0"/>
      <w:divBdr>
        <w:top w:val="none" w:sz="0" w:space="0" w:color="auto"/>
        <w:left w:val="none" w:sz="0" w:space="0" w:color="auto"/>
        <w:bottom w:val="none" w:sz="0" w:space="0" w:color="auto"/>
        <w:right w:val="none" w:sz="0" w:space="0" w:color="auto"/>
      </w:divBdr>
    </w:div>
    <w:div w:id="1392583436">
      <w:bodyDiv w:val="1"/>
      <w:marLeft w:val="0"/>
      <w:marRight w:val="0"/>
      <w:marTop w:val="0"/>
      <w:marBottom w:val="0"/>
      <w:divBdr>
        <w:top w:val="none" w:sz="0" w:space="0" w:color="auto"/>
        <w:left w:val="none" w:sz="0" w:space="0" w:color="auto"/>
        <w:bottom w:val="none" w:sz="0" w:space="0" w:color="auto"/>
        <w:right w:val="none" w:sz="0" w:space="0" w:color="auto"/>
      </w:divBdr>
    </w:div>
    <w:div w:id="1393649599">
      <w:bodyDiv w:val="1"/>
      <w:marLeft w:val="0"/>
      <w:marRight w:val="0"/>
      <w:marTop w:val="0"/>
      <w:marBottom w:val="0"/>
      <w:divBdr>
        <w:top w:val="none" w:sz="0" w:space="0" w:color="auto"/>
        <w:left w:val="none" w:sz="0" w:space="0" w:color="auto"/>
        <w:bottom w:val="none" w:sz="0" w:space="0" w:color="auto"/>
        <w:right w:val="none" w:sz="0" w:space="0" w:color="auto"/>
      </w:divBdr>
    </w:div>
    <w:div w:id="1418358479">
      <w:bodyDiv w:val="1"/>
      <w:marLeft w:val="0"/>
      <w:marRight w:val="0"/>
      <w:marTop w:val="0"/>
      <w:marBottom w:val="0"/>
      <w:divBdr>
        <w:top w:val="none" w:sz="0" w:space="0" w:color="auto"/>
        <w:left w:val="none" w:sz="0" w:space="0" w:color="auto"/>
        <w:bottom w:val="none" w:sz="0" w:space="0" w:color="auto"/>
        <w:right w:val="none" w:sz="0" w:space="0" w:color="auto"/>
      </w:divBdr>
      <w:divsChild>
        <w:div w:id="908198694">
          <w:marLeft w:val="547"/>
          <w:marRight w:val="0"/>
          <w:marTop w:val="115"/>
          <w:marBottom w:val="0"/>
          <w:divBdr>
            <w:top w:val="none" w:sz="0" w:space="0" w:color="auto"/>
            <w:left w:val="none" w:sz="0" w:space="0" w:color="auto"/>
            <w:bottom w:val="none" w:sz="0" w:space="0" w:color="auto"/>
            <w:right w:val="none" w:sz="0" w:space="0" w:color="auto"/>
          </w:divBdr>
        </w:div>
      </w:divsChild>
    </w:div>
    <w:div w:id="1454446844">
      <w:bodyDiv w:val="1"/>
      <w:marLeft w:val="0"/>
      <w:marRight w:val="0"/>
      <w:marTop w:val="0"/>
      <w:marBottom w:val="0"/>
      <w:divBdr>
        <w:top w:val="none" w:sz="0" w:space="0" w:color="auto"/>
        <w:left w:val="none" w:sz="0" w:space="0" w:color="auto"/>
        <w:bottom w:val="none" w:sz="0" w:space="0" w:color="auto"/>
        <w:right w:val="none" w:sz="0" w:space="0" w:color="auto"/>
      </w:divBdr>
    </w:div>
    <w:div w:id="1458599035">
      <w:bodyDiv w:val="1"/>
      <w:marLeft w:val="0"/>
      <w:marRight w:val="0"/>
      <w:marTop w:val="0"/>
      <w:marBottom w:val="0"/>
      <w:divBdr>
        <w:top w:val="none" w:sz="0" w:space="0" w:color="auto"/>
        <w:left w:val="none" w:sz="0" w:space="0" w:color="auto"/>
        <w:bottom w:val="none" w:sz="0" w:space="0" w:color="auto"/>
        <w:right w:val="none" w:sz="0" w:space="0" w:color="auto"/>
      </w:divBdr>
    </w:div>
    <w:div w:id="1485925525">
      <w:bodyDiv w:val="1"/>
      <w:marLeft w:val="0"/>
      <w:marRight w:val="0"/>
      <w:marTop w:val="0"/>
      <w:marBottom w:val="0"/>
      <w:divBdr>
        <w:top w:val="none" w:sz="0" w:space="0" w:color="auto"/>
        <w:left w:val="none" w:sz="0" w:space="0" w:color="auto"/>
        <w:bottom w:val="none" w:sz="0" w:space="0" w:color="auto"/>
        <w:right w:val="none" w:sz="0" w:space="0" w:color="auto"/>
      </w:divBdr>
      <w:divsChild>
        <w:div w:id="30569152">
          <w:marLeft w:val="1166"/>
          <w:marRight w:val="0"/>
          <w:marTop w:val="86"/>
          <w:marBottom w:val="60"/>
          <w:divBdr>
            <w:top w:val="none" w:sz="0" w:space="0" w:color="auto"/>
            <w:left w:val="none" w:sz="0" w:space="0" w:color="auto"/>
            <w:bottom w:val="none" w:sz="0" w:space="0" w:color="auto"/>
            <w:right w:val="none" w:sz="0" w:space="0" w:color="auto"/>
          </w:divBdr>
        </w:div>
        <w:div w:id="1262566280">
          <w:marLeft w:val="1166"/>
          <w:marRight w:val="0"/>
          <w:marTop w:val="86"/>
          <w:marBottom w:val="60"/>
          <w:divBdr>
            <w:top w:val="none" w:sz="0" w:space="0" w:color="auto"/>
            <w:left w:val="none" w:sz="0" w:space="0" w:color="auto"/>
            <w:bottom w:val="none" w:sz="0" w:space="0" w:color="auto"/>
            <w:right w:val="none" w:sz="0" w:space="0" w:color="auto"/>
          </w:divBdr>
        </w:div>
        <w:div w:id="1309355671">
          <w:marLeft w:val="1166"/>
          <w:marRight w:val="0"/>
          <w:marTop w:val="86"/>
          <w:marBottom w:val="60"/>
          <w:divBdr>
            <w:top w:val="none" w:sz="0" w:space="0" w:color="auto"/>
            <w:left w:val="none" w:sz="0" w:space="0" w:color="auto"/>
            <w:bottom w:val="none" w:sz="0" w:space="0" w:color="auto"/>
            <w:right w:val="none" w:sz="0" w:space="0" w:color="auto"/>
          </w:divBdr>
        </w:div>
        <w:div w:id="1693606742">
          <w:marLeft w:val="547"/>
          <w:marRight w:val="0"/>
          <w:marTop w:val="96"/>
          <w:marBottom w:val="60"/>
          <w:divBdr>
            <w:top w:val="none" w:sz="0" w:space="0" w:color="auto"/>
            <w:left w:val="none" w:sz="0" w:space="0" w:color="auto"/>
            <w:bottom w:val="none" w:sz="0" w:space="0" w:color="auto"/>
            <w:right w:val="none" w:sz="0" w:space="0" w:color="auto"/>
          </w:divBdr>
        </w:div>
      </w:divsChild>
    </w:div>
    <w:div w:id="1527519975">
      <w:bodyDiv w:val="1"/>
      <w:marLeft w:val="0"/>
      <w:marRight w:val="0"/>
      <w:marTop w:val="0"/>
      <w:marBottom w:val="0"/>
      <w:divBdr>
        <w:top w:val="none" w:sz="0" w:space="0" w:color="auto"/>
        <w:left w:val="none" w:sz="0" w:space="0" w:color="auto"/>
        <w:bottom w:val="none" w:sz="0" w:space="0" w:color="auto"/>
        <w:right w:val="none" w:sz="0" w:space="0" w:color="auto"/>
      </w:divBdr>
    </w:div>
    <w:div w:id="1572886820">
      <w:bodyDiv w:val="1"/>
      <w:marLeft w:val="0"/>
      <w:marRight w:val="0"/>
      <w:marTop w:val="0"/>
      <w:marBottom w:val="0"/>
      <w:divBdr>
        <w:top w:val="none" w:sz="0" w:space="0" w:color="auto"/>
        <w:left w:val="none" w:sz="0" w:space="0" w:color="auto"/>
        <w:bottom w:val="none" w:sz="0" w:space="0" w:color="auto"/>
        <w:right w:val="none" w:sz="0" w:space="0" w:color="auto"/>
      </w:divBdr>
      <w:divsChild>
        <w:div w:id="497305999">
          <w:marLeft w:val="547"/>
          <w:marRight w:val="0"/>
          <w:marTop w:val="96"/>
          <w:marBottom w:val="60"/>
          <w:divBdr>
            <w:top w:val="none" w:sz="0" w:space="0" w:color="auto"/>
            <w:left w:val="none" w:sz="0" w:space="0" w:color="auto"/>
            <w:bottom w:val="none" w:sz="0" w:space="0" w:color="auto"/>
            <w:right w:val="none" w:sz="0" w:space="0" w:color="auto"/>
          </w:divBdr>
        </w:div>
        <w:div w:id="602303924">
          <w:marLeft w:val="547"/>
          <w:marRight w:val="0"/>
          <w:marTop w:val="96"/>
          <w:marBottom w:val="60"/>
          <w:divBdr>
            <w:top w:val="none" w:sz="0" w:space="0" w:color="auto"/>
            <w:left w:val="none" w:sz="0" w:space="0" w:color="auto"/>
            <w:bottom w:val="none" w:sz="0" w:space="0" w:color="auto"/>
            <w:right w:val="none" w:sz="0" w:space="0" w:color="auto"/>
          </w:divBdr>
        </w:div>
        <w:div w:id="743642519">
          <w:marLeft w:val="547"/>
          <w:marRight w:val="0"/>
          <w:marTop w:val="96"/>
          <w:marBottom w:val="60"/>
          <w:divBdr>
            <w:top w:val="none" w:sz="0" w:space="0" w:color="auto"/>
            <w:left w:val="none" w:sz="0" w:space="0" w:color="auto"/>
            <w:bottom w:val="none" w:sz="0" w:space="0" w:color="auto"/>
            <w:right w:val="none" w:sz="0" w:space="0" w:color="auto"/>
          </w:divBdr>
        </w:div>
      </w:divsChild>
    </w:div>
    <w:div w:id="1583105407">
      <w:bodyDiv w:val="1"/>
      <w:marLeft w:val="0"/>
      <w:marRight w:val="0"/>
      <w:marTop w:val="0"/>
      <w:marBottom w:val="0"/>
      <w:divBdr>
        <w:top w:val="none" w:sz="0" w:space="0" w:color="auto"/>
        <w:left w:val="none" w:sz="0" w:space="0" w:color="auto"/>
        <w:bottom w:val="none" w:sz="0" w:space="0" w:color="auto"/>
        <w:right w:val="none" w:sz="0" w:space="0" w:color="auto"/>
      </w:divBdr>
    </w:div>
    <w:div w:id="1597205688">
      <w:bodyDiv w:val="1"/>
      <w:marLeft w:val="0"/>
      <w:marRight w:val="0"/>
      <w:marTop w:val="0"/>
      <w:marBottom w:val="0"/>
      <w:divBdr>
        <w:top w:val="none" w:sz="0" w:space="0" w:color="auto"/>
        <w:left w:val="none" w:sz="0" w:space="0" w:color="auto"/>
        <w:bottom w:val="none" w:sz="0" w:space="0" w:color="auto"/>
        <w:right w:val="none" w:sz="0" w:space="0" w:color="auto"/>
      </w:divBdr>
    </w:div>
    <w:div w:id="1605184177">
      <w:bodyDiv w:val="1"/>
      <w:marLeft w:val="0"/>
      <w:marRight w:val="0"/>
      <w:marTop w:val="0"/>
      <w:marBottom w:val="0"/>
      <w:divBdr>
        <w:top w:val="none" w:sz="0" w:space="0" w:color="auto"/>
        <w:left w:val="none" w:sz="0" w:space="0" w:color="auto"/>
        <w:bottom w:val="none" w:sz="0" w:space="0" w:color="auto"/>
        <w:right w:val="none" w:sz="0" w:space="0" w:color="auto"/>
      </w:divBdr>
      <w:divsChild>
        <w:div w:id="363596250">
          <w:marLeft w:val="547"/>
          <w:marRight w:val="0"/>
          <w:marTop w:val="96"/>
          <w:marBottom w:val="60"/>
          <w:divBdr>
            <w:top w:val="none" w:sz="0" w:space="0" w:color="auto"/>
            <w:left w:val="none" w:sz="0" w:space="0" w:color="auto"/>
            <w:bottom w:val="none" w:sz="0" w:space="0" w:color="auto"/>
            <w:right w:val="none" w:sz="0" w:space="0" w:color="auto"/>
          </w:divBdr>
        </w:div>
        <w:div w:id="608389844">
          <w:marLeft w:val="547"/>
          <w:marRight w:val="0"/>
          <w:marTop w:val="96"/>
          <w:marBottom w:val="60"/>
          <w:divBdr>
            <w:top w:val="none" w:sz="0" w:space="0" w:color="auto"/>
            <w:left w:val="none" w:sz="0" w:space="0" w:color="auto"/>
            <w:bottom w:val="none" w:sz="0" w:space="0" w:color="auto"/>
            <w:right w:val="none" w:sz="0" w:space="0" w:color="auto"/>
          </w:divBdr>
        </w:div>
        <w:div w:id="1431002926">
          <w:marLeft w:val="547"/>
          <w:marRight w:val="0"/>
          <w:marTop w:val="96"/>
          <w:marBottom w:val="60"/>
          <w:divBdr>
            <w:top w:val="none" w:sz="0" w:space="0" w:color="auto"/>
            <w:left w:val="none" w:sz="0" w:space="0" w:color="auto"/>
            <w:bottom w:val="none" w:sz="0" w:space="0" w:color="auto"/>
            <w:right w:val="none" w:sz="0" w:space="0" w:color="auto"/>
          </w:divBdr>
        </w:div>
        <w:div w:id="1640499733">
          <w:marLeft w:val="547"/>
          <w:marRight w:val="0"/>
          <w:marTop w:val="96"/>
          <w:marBottom w:val="60"/>
          <w:divBdr>
            <w:top w:val="none" w:sz="0" w:space="0" w:color="auto"/>
            <w:left w:val="none" w:sz="0" w:space="0" w:color="auto"/>
            <w:bottom w:val="none" w:sz="0" w:space="0" w:color="auto"/>
            <w:right w:val="none" w:sz="0" w:space="0" w:color="auto"/>
          </w:divBdr>
        </w:div>
        <w:div w:id="1688632976">
          <w:marLeft w:val="547"/>
          <w:marRight w:val="0"/>
          <w:marTop w:val="96"/>
          <w:marBottom w:val="60"/>
          <w:divBdr>
            <w:top w:val="none" w:sz="0" w:space="0" w:color="auto"/>
            <w:left w:val="none" w:sz="0" w:space="0" w:color="auto"/>
            <w:bottom w:val="none" w:sz="0" w:space="0" w:color="auto"/>
            <w:right w:val="none" w:sz="0" w:space="0" w:color="auto"/>
          </w:divBdr>
        </w:div>
        <w:div w:id="1820799912">
          <w:marLeft w:val="547"/>
          <w:marRight w:val="0"/>
          <w:marTop w:val="96"/>
          <w:marBottom w:val="60"/>
          <w:divBdr>
            <w:top w:val="none" w:sz="0" w:space="0" w:color="auto"/>
            <w:left w:val="none" w:sz="0" w:space="0" w:color="auto"/>
            <w:bottom w:val="none" w:sz="0" w:space="0" w:color="auto"/>
            <w:right w:val="none" w:sz="0" w:space="0" w:color="auto"/>
          </w:divBdr>
        </w:div>
      </w:divsChild>
    </w:div>
    <w:div w:id="1657562714">
      <w:bodyDiv w:val="1"/>
      <w:marLeft w:val="0"/>
      <w:marRight w:val="0"/>
      <w:marTop w:val="0"/>
      <w:marBottom w:val="0"/>
      <w:divBdr>
        <w:top w:val="none" w:sz="0" w:space="0" w:color="auto"/>
        <w:left w:val="none" w:sz="0" w:space="0" w:color="auto"/>
        <w:bottom w:val="none" w:sz="0" w:space="0" w:color="auto"/>
        <w:right w:val="none" w:sz="0" w:space="0" w:color="auto"/>
      </w:divBdr>
      <w:divsChild>
        <w:div w:id="346754092">
          <w:marLeft w:val="547"/>
          <w:marRight w:val="0"/>
          <w:marTop w:val="96"/>
          <w:marBottom w:val="60"/>
          <w:divBdr>
            <w:top w:val="none" w:sz="0" w:space="0" w:color="auto"/>
            <w:left w:val="none" w:sz="0" w:space="0" w:color="auto"/>
            <w:bottom w:val="none" w:sz="0" w:space="0" w:color="auto"/>
            <w:right w:val="none" w:sz="0" w:space="0" w:color="auto"/>
          </w:divBdr>
        </w:div>
        <w:div w:id="367754092">
          <w:marLeft w:val="547"/>
          <w:marRight w:val="0"/>
          <w:marTop w:val="96"/>
          <w:marBottom w:val="60"/>
          <w:divBdr>
            <w:top w:val="none" w:sz="0" w:space="0" w:color="auto"/>
            <w:left w:val="none" w:sz="0" w:space="0" w:color="auto"/>
            <w:bottom w:val="none" w:sz="0" w:space="0" w:color="auto"/>
            <w:right w:val="none" w:sz="0" w:space="0" w:color="auto"/>
          </w:divBdr>
        </w:div>
        <w:div w:id="454831498">
          <w:marLeft w:val="547"/>
          <w:marRight w:val="0"/>
          <w:marTop w:val="96"/>
          <w:marBottom w:val="60"/>
          <w:divBdr>
            <w:top w:val="none" w:sz="0" w:space="0" w:color="auto"/>
            <w:left w:val="none" w:sz="0" w:space="0" w:color="auto"/>
            <w:bottom w:val="none" w:sz="0" w:space="0" w:color="auto"/>
            <w:right w:val="none" w:sz="0" w:space="0" w:color="auto"/>
          </w:divBdr>
        </w:div>
        <w:div w:id="640577586">
          <w:marLeft w:val="547"/>
          <w:marRight w:val="0"/>
          <w:marTop w:val="96"/>
          <w:marBottom w:val="60"/>
          <w:divBdr>
            <w:top w:val="none" w:sz="0" w:space="0" w:color="auto"/>
            <w:left w:val="none" w:sz="0" w:space="0" w:color="auto"/>
            <w:bottom w:val="none" w:sz="0" w:space="0" w:color="auto"/>
            <w:right w:val="none" w:sz="0" w:space="0" w:color="auto"/>
          </w:divBdr>
        </w:div>
        <w:div w:id="1425758253">
          <w:marLeft w:val="547"/>
          <w:marRight w:val="0"/>
          <w:marTop w:val="96"/>
          <w:marBottom w:val="60"/>
          <w:divBdr>
            <w:top w:val="none" w:sz="0" w:space="0" w:color="auto"/>
            <w:left w:val="none" w:sz="0" w:space="0" w:color="auto"/>
            <w:bottom w:val="none" w:sz="0" w:space="0" w:color="auto"/>
            <w:right w:val="none" w:sz="0" w:space="0" w:color="auto"/>
          </w:divBdr>
        </w:div>
        <w:div w:id="1438989672">
          <w:marLeft w:val="547"/>
          <w:marRight w:val="0"/>
          <w:marTop w:val="96"/>
          <w:marBottom w:val="60"/>
          <w:divBdr>
            <w:top w:val="none" w:sz="0" w:space="0" w:color="auto"/>
            <w:left w:val="none" w:sz="0" w:space="0" w:color="auto"/>
            <w:bottom w:val="none" w:sz="0" w:space="0" w:color="auto"/>
            <w:right w:val="none" w:sz="0" w:space="0" w:color="auto"/>
          </w:divBdr>
        </w:div>
      </w:divsChild>
    </w:div>
    <w:div w:id="1670407756">
      <w:bodyDiv w:val="1"/>
      <w:marLeft w:val="0"/>
      <w:marRight w:val="0"/>
      <w:marTop w:val="0"/>
      <w:marBottom w:val="0"/>
      <w:divBdr>
        <w:top w:val="none" w:sz="0" w:space="0" w:color="auto"/>
        <w:left w:val="none" w:sz="0" w:space="0" w:color="auto"/>
        <w:bottom w:val="none" w:sz="0" w:space="0" w:color="auto"/>
        <w:right w:val="none" w:sz="0" w:space="0" w:color="auto"/>
      </w:divBdr>
    </w:div>
    <w:div w:id="1687294333">
      <w:bodyDiv w:val="1"/>
      <w:marLeft w:val="0"/>
      <w:marRight w:val="0"/>
      <w:marTop w:val="0"/>
      <w:marBottom w:val="0"/>
      <w:divBdr>
        <w:top w:val="none" w:sz="0" w:space="0" w:color="auto"/>
        <w:left w:val="none" w:sz="0" w:space="0" w:color="auto"/>
        <w:bottom w:val="none" w:sz="0" w:space="0" w:color="auto"/>
        <w:right w:val="none" w:sz="0" w:space="0" w:color="auto"/>
      </w:divBdr>
    </w:div>
    <w:div w:id="1691955850">
      <w:bodyDiv w:val="1"/>
      <w:marLeft w:val="0"/>
      <w:marRight w:val="0"/>
      <w:marTop w:val="0"/>
      <w:marBottom w:val="0"/>
      <w:divBdr>
        <w:top w:val="none" w:sz="0" w:space="0" w:color="auto"/>
        <w:left w:val="none" w:sz="0" w:space="0" w:color="auto"/>
        <w:bottom w:val="none" w:sz="0" w:space="0" w:color="auto"/>
        <w:right w:val="none" w:sz="0" w:space="0" w:color="auto"/>
      </w:divBdr>
      <w:divsChild>
        <w:div w:id="998774270">
          <w:marLeft w:val="720"/>
          <w:marRight w:val="0"/>
          <w:marTop w:val="96"/>
          <w:marBottom w:val="60"/>
          <w:divBdr>
            <w:top w:val="none" w:sz="0" w:space="0" w:color="auto"/>
            <w:left w:val="none" w:sz="0" w:space="0" w:color="auto"/>
            <w:bottom w:val="none" w:sz="0" w:space="0" w:color="auto"/>
            <w:right w:val="none" w:sz="0" w:space="0" w:color="auto"/>
          </w:divBdr>
        </w:div>
        <w:div w:id="1218317562">
          <w:marLeft w:val="720"/>
          <w:marRight w:val="0"/>
          <w:marTop w:val="96"/>
          <w:marBottom w:val="60"/>
          <w:divBdr>
            <w:top w:val="none" w:sz="0" w:space="0" w:color="auto"/>
            <w:left w:val="none" w:sz="0" w:space="0" w:color="auto"/>
            <w:bottom w:val="none" w:sz="0" w:space="0" w:color="auto"/>
            <w:right w:val="none" w:sz="0" w:space="0" w:color="auto"/>
          </w:divBdr>
        </w:div>
        <w:div w:id="1886523486">
          <w:marLeft w:val="720"/>
          <w:marRight w:val="0"/>
          <w:marTop w:val="96"/>
          <w:marBottom w:val="60"/>
          <w:divBdr>
            <w:top w:val="none" w:sz="0" w:space="0" w:color="auto"/>
            <w:left w:val="none" w:sz="0" w:space="0" w:color="auto"/>
            <w:bottom w:val="none" w:sz="0" w:space="0" w:color="auto"/>
            <w:right w:val="none" w:sz="0" w:space="0" w:color="auto"/>
          </w:divBdr>
        </w:div>
        <w:div w:id="2065175821">
          <w:marLeft w:val="720"/>
          <w:marRight w:val="0"/>
          <w:marTop w:val="96"/>
          <w:marBottom w:val="60"/>
          <w:divBdr>
            <w:top w:val="none" w:sz="0" w:space="0" w:color="auto"/>
            <w:left w:val="none" w:sz="0" w:space="0" w:color="auto"/>
            <w:bottom w:val="none" w:sz="0" w:space="0" w:color="auto"/>
            <w:right w:val="none" w:sz="0" w:space="0" w:color="auto"/>
          </w:divBdr>
        </w:div>
      </w:divsChild>
    </w:div>
    <w:div w:id="1726903067">
      <w:bodyDiv w:val="1"/>
      <w:marLeft w:val="0"/>
      <w:marRight w:val="0"/>
      <w:marTop w:val="0"/>
      <w:marBottom w:val="0"/>
      <w:divBdr>
        <w:top w:val="none" w:sz="0" w:space="0" w:color="auto"/>
        <w:left w:val="none" w:sz="0" w:space="0" w:color="auto"/>
        <w:bottom w:val="none" w:sz="0" w:space="0" w:color="auto"/>
        <w:right w:val="none" w:sz="0" w:space="0" w:color="auto"/>
      </w:divBdr>
    </w:div>
    <w:div w:id="1747847121">
      <w:bodyDiv w:val="1"/>
      <w:marLeft w:val="0"/>
      <w:marRight w:val="0"/>
      <w:marTop w:val="0"/>
      <w:marBottom w:val="0"/>
      <w:divBdr>
        <w:top w:val="none" w:sz="0" w:space="0" w:color="auto"/>
        <w:left w:val="none" w:sz="0" w:space="0" w:color="auto"/>
        <w:bottom w:val="none" w:sz="0" w:space="0" w:color="auto"/>
        <w:right w:val="none" w:sz="0" w:space="0" w:color="auto"/>
      </w:divBdr>
    </w:div>
    <w:div w:id="1768043004">
      <w:bodyDiv w:val="1"/>
      <w:marLeft w:val="0"/>
      <w:marRight w:val="0"/>
      <w:marTop w:val="0"/>
      <w:marBottom w:val="0"/>
      <w:divBdr>
        <w:top w:val="none" w:sz="0" w:space="0" w:color="auto"/>
        <w:left w:val="none" w:sz="0" w:space="0" w:color="auto"/>
        <w:bottom w:val="none" w:sz="0" w:space="0" w:color="auto"/>
        <w:right w:val="none" w:sz="0" w:space="0" w:color="auto"/>
      </w:divBdr>
    </w:div>
    <w:div w:id="1805654898">
      <w:bodyDiv w:val="1"/>
      <w:marLeft w:val="0"/>
      <w:marRight w:val="0"/>
      <w:marTop w:val="0"/>
      <w:marBottom w:val="0"/>
      <w:divBdr>
        <w:top w:val="none" w:sz="0" w:space="0" w:color="auto"/>
        <w:left w:val="none" w:sz="0" w:space="0" w:color="auto"/>
        <w:bottom w:val="none" w:sz="0" w:space="0" w:color="auto"/>
        <w:right w:val="none" w:sz="0" w:space="0" w:color="auto"/>
      </w:divBdr>
      <w:divsChild>
        <w:div w:id="92357910">
          <w:marLeft w:val="547"/>
          <w:marRight w:val="0"/>
          <w:marTop w:val="96"/>
          <w:marBottom w:val="0"/>
          <w:divBdr>
            <w:top w:val="none" w:sz="0" w:space="0" w:color="auto"/>
            <w:left w:val="none" w:sz="0" w:space="0" w:color="auto"/>
            <w:bottom w:val="none" w:sz="0" w:space="0" w:color="auto"/>
            <w:right w:val="none" w:sz="0" w:space="0" w:color="auto"/>
          </w:divBdr>
        </w:div>
        <w:div w:id="131799618">
          <w:marLeft w:val="547"/>
          <w:marRight w:val="0"/>
          <w:marTop w:val="96"/>
          <w:marBottom w:val="0"/>
          <w:divBdr>
            <w:top w:val="none" w:sz="0" w:space="0" w:color="auto"/>
            <w:left w:val="none" w:sz="0" w:space="0" w:color="auto"/>
            <w:bottom w:val="none" w:sz="0" w:space="0" w:color="auto"/>
            <w:right w:val="none" w:sz="0" w:space="0" w:color="auto"/>
          </w:divBdr>
        </w:div>
        <w:div w:id="244805491">
          <w:marLeft w:val="547"/>
          <w:marRight w:val="0"/>
          <w:marTop w:val="96"/>
          <w:marBottom w:val="0"/>
          <w:divBdr>
            <w:top w:val="none" w:sz="0" w:space="0" w:color="auto"/>
            <w:left w:val="none" w:sz="0" w:space="0" w:color="auto"/>
            <w:bottom w:val="none" w:sz="0" w:space="0" w:color="auto"/>
            <w:right w:val="none" w:sz="0" w:space="0" w:color="auto"/>
          </w:divBdr>
        </w:div>
        <w:div w:id="996962638">
          <w:marLeft w:val="547"/>
          <w:marRight w:val="0"/>
          <w:marTop w:val="96"/>
          <w:marBottom w:val="0"/>
          <w:divBdr>
            <w:top w:val="none" w:sz="0" w:space="0" w:color="auto"/>
            <w:left w:val="none" w:sz="0" w:space="0" w:color="auto"/>
            <w:bottom w:val="none" w:sz="0" w:space="0" w:color="auto"/>
            <w:right w:val="none" w:sz="0" w:space="0" w:color="auto"/>
          </w:divBdr>
        </w:div>
        <w:div w:id="1235312852">
          <w:marLeft w:val="547"/>
          <w:marRight w:val="0"/>
          <w:marTop w:val="96"/>
          <w:marBottom w:val="0"/>
          <w:divBdr>
            <w:top w:val="none" w:sz="0" w:space="0" w:color="auto"/>
            <w:left w:val="none" w:sz="0" w:space="0" w:color="auto"/>
            <w:bottom w:val="none" w:sz="0" w:space="0" w:color="auto"/>
            <w:right w:val="none" w:sz="0" w:space="0" w:color="auto"/>
          </w:divBdr>
        </w:div>
        <w:div w:id="1289967255">
          <w:marLeft w:val="547"/>
          <w:marRight w:val="0"/>
          <w:marTop w:val="96"/>
          <w:marBottom w:val="0"/>
          <w:divBdr>
            <w:top w:val="none" w:sz="0" w:space="0" w:color="auto"/>
            <w:left w:val="none" w:sz="0" w:space="0" w:color="auto"/>
            <w:bottom w:val="none" w:sz="0" w:space="0" w:color="auto"/>
            <w:right w:val="none" w:sz="0" w:space="0" w:color="auto"/>
          </w:divBdr>
        </w:div>
        <w:div w:id="1430157370">
          <w:marLeft w:val="547"/>
          <w:marRight w:val="0"/>
          <w:marTop w:val="96"/>
          <w:marBottom w:val="0"/>
          <w:divBdr>
            <w:top w:val="none" w:sz="0" w:space="0" w:color="auto"/>
            <w:left w:val="none" w:sz="0" w:space="0" w:color="auto"/>
            <w:bottom w:val="none" w:sz="0" w:space="0" w:color="auto"/>
            <w:right w:val="none" w:sz="0" w:space="0" w:color="auto"/>
          </w:divBdr>
        </w:div>
        <w:div w:id="1831477330">
          <w:marLeft w:val="547"/>
          <w:marRight w:val="0"/>
          <w:marTop w:val="96"/>
          <w:marBottom w:val="0"/>
          <w:divBdr>
            <w:top w:val="none" w:sz="0" w:space="0" w:color="auto"/>
            <w:left w:val="none" w:sz="0" w:space="0" w:color="auto"/>
            <w:bottom w:val="none" w:sz="0" w:space="0" w:color="auto"/>
            <w:right w:val="none" w:sz="0" w:space="0" w:color="auto"/>
          </w:divBdr>
        </w:div>
      </w:divsChild>
    </w:div>
    <w:div w:id="1826778497">
      <w:bodyDiv w:val="1"/>
      <w:marLeft w:val="0"/>
      <w:marRight w:val="0"/>
      <w:marTop w:val="0"/>
      <w:marBottom w:val="0"/>
      <w:divBdr>
        <w:top w:val="none" w:sz="0" w:space="0" w:color="auto"/>
        <w:left w:val="none" w:sz="0" w:space="0" w:color="auto"/>
        <w:bottom w:val="none" w:sz="0" w:space="0" w:color="auto"/>
        <w:right w:val="none" w:sz="0" w:space="0" w:color="auto"/>
      </w:divBdr>
    </w:div>
    <w:div w:id="1833787956">
      <w:bodyDiv w:val="1"/>
      <w:marLeft w:val="0"/>
      <w:marRight w:val="0"/>
      <w:marTop w:val="0"/>
      <w:marBottom w:val="0"/>
      <w:divBdr>
        <w:top w:val="none" w:sz="0" w:space="0" w:color="auto"/>
        <w:left w:val="none" w:sz="0" w:space="0" w:color="auto"/>
        <w:bottom w:val="none" w:sz="0" w:space="0" w:color="auto"/>
        <w:right w:val="none" w:sz="0" w:space="0" w:color="auto"/>
      </w:divBdr>
      <w:divsChild>
        <w:div w:id="254241535">
          <w:marLeft w:val="547"/>
          <w:marRight w:val="0"/>
          <w:marTop w:val="96"/>
          <w:marBottom w:val="60"/>
          <w:divBdr>
            <w:top w:val="none" w:sz="0" w:space="0" w:color="auto"/>
            <w:left w:val="none" w:sz="0" w:space="0" w:color="auto"/>
            <w:bottom w:val="none" w:sz="0" w:space="0" w:color="auto"/>
            <w:right w:val="none" w:sz="0" w:space="0" w:color="auto"/>
          </w:divBdr>
        </w:div>
        <w:div w:id="2009480760">
          <w:marLeft w:val="547"/>
          <w:marRight w:val="0"/>
          <w:marTop w:val="96"/>
          <w:marBottom w:val="60"/>
          <w:divBdr>
            <w:top w:val="none" w:sz="0" w:space="0" w:color="auto"/>
            <w:left w:val="none" w:sz="0" w:space="0" w:color="auto"/>
            <w:bottom w:val="none" w:sz="0" w:space="0" w:color="auto"/>
            <w:right w:val="none" w:sz="0" w:space="0" w:color="auto"/>
          </w:divBdr>
        </w:div>
      </w:divsChild>
    </w:div>
    <w:div w:id="1842308884">
      <w:bodyDiv w:val="1"/>
      <w:marLeft w:val="0"/>
      <w:marRight w:val="0"/>
      <w:marTop w:val="0"/>
      <w:marBottom w:val="0"/>
      <w:divBdr>
        <w:top w:val="none" w:sz="0" w:space="0" w:color="auto"/>
        <w:left w:val="none" w:sz="0" w:space="0" w:color="auto"/>
        <w:bottom w:val="none" w:sz="0" w:space="0" w:color="auto"/>
        <w:right w:val="none" w:sz="0" w:space="0" w:color="auto"/>
      </w:divBdr>
    </w:div>
    <w:div w:id="1842357354">
      <w:bodyDiv w:val="1"/>
      <w:marLeft w:val="0"/>
      <w:marRight w:val="0"/>
      <w:marTop w:val="0"/>
      <w:marBottom w:val="0"/>
      <w:divBdr>
        <w:top w:val="none" w:sz="0" w:space="0" w:color="auto"/>
        <w:left w:val="none" w:sz="0" w:space="0" w:color="auto"/>
        <w:bottom w:val="none" w:sz="0" w:space="0" w:color="auto"/>
        <w:right w:val="none" w:sz="0" w:space="0" w:color="auto"/>
      </w:divBdr>
    </w:div>
    <w:div w:id="1848867773">
      <w:bodyDiv w:val="1"/>
      <w:marLeft w:val="0"/>
      <w:marRight w:val="0"/>
      <w:marTop w:val="0"/>
      <w:marBottom w:val="0"/>
      <w:divBdr>
        <w:top w:val="none" w:sz="0" w:space="0" w:color="auto"/>
        <w:left w:val="none" w:sz="0" w:space="0" w:color="auto"/>
        <w:bottom w:val="none" w:sz="0" w:space="0" w:color="auto"/>
        <w:right w:val="none" w:sz="0" w:space="0" w:color="auto"/>
      </w:divBdr>
    </w:div>
    <w:div w:id="1858738019">
      <w:bodyDiv w:val="1"/>
      <w:marLeft w:val="0"/>
      <w:marRight w:val="0"/>
      <w:marTop w:val="0"/>
      <w:marBottom w:val="0"/>
      <w:divBdr>
        <w:top w:val="none" w:sz="0" w:space="0" w:color="auto"/>
        <w:left w:val="none" w:sz="0" w:space="0" w:color="auto"/>
        <w:bottom w:val="none" w:sz="0" w:space="0" w:color="auto"/>
        <w:right w:val="none" w:sz="0" w:space="0" w:color="auto"/>
      </w:divBdr>
    </w:div>
    <w:div w:id="1934169440">
      <w:bodyDiv w:val="1"/>
      <w:marLeft w:val="0"/>
      <w:marRight w:val="0"/>
      <w:marTop w:val="0"/>
      <w:marBottom w:val="0"/>
      <w:divBdr>
        <w:top w:val="none" w:sz="0" w:space="0" w:color="auto"/>
        <w:left w:val="none" w:sz="0" w:space="0" w:color="auto"/>
        <w:bottom w:val="none" w:sz="0" w:space="0" w:color="auto"/>
        <w:right w:val="none" w:sz="0" w:space="0" w:color="auto"/>
      </w:divBdr>
    </w:div>
    <w:div w:id="1942906577">
      <w:bodyDiv w:val="1"/>
      <w:marLeft w:val="0"/>
      <w:marRight w:val="0"/>
      <w:marTop w:val="0"/>
      <w:marBottom w:val="0"/>
      <w:divBdr>
        <w:top w:val="none" w:sz="0" w:space="0" w:color="auto"/>
        <w:left w:val="none" w:sz="0" w:space="0" w:color="auto"/>
        <w:bottom w:val="none" w:sz="0" w:space="0" w:color="auto"/>
        <w:right w:val="none" w:sz="0" w:space="0" w:color="auto"/>
      </w:divBdr>
    </w:div>
    <w:div w:id="1978756348">
      <w:bodyDiv w:val="1"/>
      <w:marLeft w:val="0"/>
      <w:marRight w:val="0"/>
      <w:marTop w:val="0"/>
      <w:marBottom w:val="0"/>
      <w:divBdr>
        <w:top w:val="none" w:sz="0" w:space="0" w:color="auto"/>
        <w:left w:val="none" w:sz="0" w:space="0" w:color="auto"/>
        <w:bottom w:val="none" w:sz="0" w:space="0" w:color="auto"/>
        <w:right w:val="none" w:sz="0" w:space="0" w:color="auto"/>
      </w:divBdr>
      <w:divsChild>
        <w:div w:id="1760254185">
          <w:marLeft w:val="0"/>
          <w:marRight w:val="0"/>
          <w:marTop w:val="0"/>
          <w:marBottom w:val="0"/>
          <w:divBdr>
            <w:top w:val="none" w:sz="0" w:space="0" w:color="auto"/>
            <w:left w:val="none" w:sz="0" w:space="0" w:color="auto"/>
            <w:bottom w:val="none" w:sz="0" w:space="0" w:color="auto"/>
            <w:right w:val="none" w:sz="0" w:space="0" w:color="auto"/>
          </w:divBdr>
          <w:divsChild>
            <w:div w:id="2065173264">
              <w:marLeft w:val="0"/>
              <w:marRight w:val="0"/>
              <w:marTop w:val="0"/>
              <w:marBottom w:val="0"/>
              <w:divBdr>
                <w:top w:val="none" w:sz="0" w:space="0" w:color="auto"/>
                <w:left w:val="none" w:sz="0" w:space="0" w:color="auto"/>
                <w:bottom w:val="none" w:sz="0" w:space="0" w:color="auto"/>
                <w:right w:val="none" w:sz="0" w:space="0" w:color="auto"/>
              </w:divBdr>
              <w:divsChild>
                <w:div w:id="2026320122">
                  <w:marLeft w:val="0"/>
                  <w:marRight w:val="0"/>
                  <w:marTop w:val="0"/>
                  <w:marBottom w:val="0"/>
                  <w:divBdr>
                    <w:top w:val="none" w:sz="0" w:space="0" w:color="auto"/>
                    <w:left w:val="none" w:sz="0" w:space="0" w:color="auto"/>
                    <w:bottom w:val="none" w:sz="0" w:space="0" w:color="auto"/>
                    <w:right w:val="none" w:sz="0" w:space="0" w:color="auto"/>
                  </w:divBdr>
                  <w:divsChild>
                    <w:div w:id="1363095048">
                      <w:marLeft w:val="0"/>
                      <w:marRight w:val="0"/>
                      <w:marTop w:val="0"/>
                      <w:marBottom w:val="0"/>
                      <w:divBdr>
                        <w:top w:val="none" w:sz="0" w:space="0" w:color="auto"/>
                        <w:left w:val="none" w:sz="0" w:space="0" w:color="auto"/>
                        <w:bottom w:val="none" w:sz="0" w:space="0" w:color="auto"/>
                        <w:right w:val="none" w:sz="0" w:space="0" w:color="auto"/>
                      </w:divBdr>
                      <w:divsChild>
                        <w:div w:id="1667782254">
                          <w:marLeft w:val="0"/>
                          <w:marRight w:val="0"/>
                          <w:marTop w:val="0"/>
                          <w:marBottom w:val="0"/>
                          <w:divBdr>
                            <w:top w:val="none" w:sz="0" w:space="0" w:color="auto"/>
                            <w:left w:val="none" w:sz="0" w:space="0" w:color="auto"/>
                            <w:bottom w:val="none" w:sz="0" w:space="0" w:color="auto"/>
                            <w:right w:val="none" w:sz="0" w:space="0" w:color="auto"/>
                          </w:divBdr>
                          <w:divsChild>
                            <w:div w:id="7607316">
                              <w:marLeft w:val="0"/>
                              <w:marRight w:val="0"/>
                              <w:marTop w:val="0"/>
                              <w:marBottom w:val="0"/>
                              <w:divBdr>
                                <w:top w:val="none" w:sz="0" w:space="0" w:color="auto"/>
                                <w:left w:val="none" w:sz="0" w:space="0" w:color="auto"/>
                                <w:bottom w:val="none" w:sz="0" w:space="0" w:color="auto"/>
                                <w:right w:val="none" w:sz="0" w:space="0" w:color="auto"/>
                              </w:divBdr>
                              <w:divsChild>
                                <w:div w:id="293996338">
                                  <w:marLeft w:val="0"/>
                                  <w:marRight w:val="0"/>
                                  <w:marTop w:val="0"/>
                                  <w:marBottom w:val="0"/>
                                  <w:divBdr>
                                    <w:top w:val="none" w:sz="0" w:space="0" w:color="auto"/>
                                    <w:left w:val="none" w:sz="0" w:space="0" w:color="auto"/>
                                    <w:bottom w:val="none" w:sz="0" w:space="0" w:color="auto"/>
                                    <w:right w:val="none" w:sz="0" w:space="0" w:color="auto"/>
                                  </w:divBdr>
                                  <w:divsChild>
                                    <w:div w:id="21217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150664">
      <w:bodyDiv w:val="1"/>
      <w:marLeft w:val="0"/>
      <w:marRight w:val="0"/>
      <w:marTop w:val="0"/>
      <w:marBottom w:val="0"/>
      <w:divBdr>
        <w:top w:val="none" w:sz="0" w:space="0" w:color="auto"/>
        <w:left w:val="none" w:sz="0" w:space="0" w:color="auto"/>
        <w:bottom w:val="none" w:sz="0" w:space="0" w:color="auto"/>
        <w:right w:val="none" w:sz="0" w:space="0" w:color="auto"/>
      </w:divBdr>
      <w:divsChild>
        <w:div w:id="723330734">
          <w:marLeft w:val="0"/>
          <w:marRight w:val="0"/>
          <w:marTop w:val="0"/>
          <w:marBottom w:val="0"/>
          <w:divBdr>
            <w:top w:val="none" w:sz="0" w:space="0" w:color="auto"/>
            <w:left w:val="none" w:sz="0" w:space="0" w:color="auto"/>
            <w:bottom w:val="none" w:sz="0" w:space="0" w:color="auto"/>
            <w:right w:val="none" w:sz="0" w:space="0" w:color="auto"/>
          </w:divBdr>
          <w:divsChild>
            <w:div w:id="1935702179">
              <w:marLeft w:val="0"/>
              <w:marRight w:val="0"/>
              <w:marTop w:val="0"/>
              <w:marBottom w:val="0"/>
              <w:divBdr>
                <w:top w:val="none" w:sz="0" w:space="0" w:color="auto"/>
                <w:left w:val="none" w:sz="0" w:space="0" w:color="auto"/>
                <w:bottom w:val="none" w:sz="0" w:space="0" w:color="auto"/>
                <w:right w:val="none" w:sz="0" w:space="0" w:color="auto"/>
              </w:divBdr>
              <w:divsChild>
                <w:div w:id="1988969903">
                  <w:marLeft w:val="0"/>
                  <w:marRight w:val="150"/>
                  <w:marTop w:val="0"/>
                  <w:marBottom w:val="0"/>
                  <w:divBdr>
                    <w:top w:val="none" w:sz="0" w:space="0" w:color="auto"/>
                    <w:left w:val="none" w:sz="0" w:space="0" w:color="auto"/>
                    <w:bottom w:val="none" w:sz="0" w:space="0" w:color="auto"/>
                    <w:right w:val="none" w:sz="0" w:space="0" w:color="auto"/>
                  </w:divBdr>
                  <w:divsChild>
                    <w:div w:id="778568260">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sChild>
            </w:div>
          </w:divsChild>
        </w:div>
      </w:divsChild>
    </w:div>
    <w:div w:id="20131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13.emf"/><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header" Target="header13.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eader" Target="header9.xml"/><Relationship Id="rId49" Type="http://schemas.openxmlformats.org/officeDocument/2006/relationships/customXml" Target="../customXml/item2.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header" Target="header6.xml"/><Relationship Id="rId44"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chart" Target="charts/chart2.xml"/><Relationship Id="rId35" Type="http://schemas.openxmlformats.org/officeDocument/2006/relationships/image" Target="media/image12.png"/><Relationship Id="rId43" Type="http://schemas.openxmlformats.org/officeDocument/2006/relationships/header" Target="header14.xml"/><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header" Target="header11.xml"/><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kemdikbud.go.id/kemdikbud/sites/default/files/rkakl2014.pdf" TargetMode="External"/><Relationship Id="rId2" Type="http://schemas.openxmlformats.org/officeDocument/2006/relationships/hyperlink" Target="http://www.eastasiaforum.org/2014/12/22/hopes-on-the-economic-upside-in-indonesia/" TargetMode="External"/><Relationship Id="rId1" Type="http://schemas.openxmlformats.org/officeDocument/2006/relationships/hyperlink" Target="http://dapo.dikdas.kemdikbud.go.id/exrepor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hejakartapost.com/news/2014/12/07/anies-nixes-much-maligned-2013-curriculum.html"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7.emf"/></Relationships>
</file>

<file path=word/_rels/header11.xml.rels><?xml version="1.0" encoding="UTF-8" standalone="yes"?>
<Relationships xmlns="http://schemas.openxmlformats.org/package/2006/relationships"><Relationship Id="rId1" Type="http://schemas.openxmlformats.org/officeDocument/2006/relationships/image" Target="media/image7.emf"/></Relationships>
</file>

<file path=word/_rels/header12.xml.rels><?xml version="1.0" encoding="UTF-8" standalone="yes"?>
<Relationships xmlns="http://schemas.openxmlformats.org/package/2006/relationships"><Relationship Id="rId1" Type="http://schemas.openxmlformats.org/officeDocument/2006/relationships/image" Target="media/image7.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_rels/header7.xml.rels><?xml version="1.0" encoding="UTF-8" standalone="yes"?>
<Relationships xmlns="http://schemas.openxmlformats.org/package/2006/relationships"><Relationship Id="rId1" Type="http://schemas.openxmlformats.org/officeDocument/2006/relationships/image" Target="media/image7.emf"/></Relationships>
</file>

<file path=word/_rels/header8.xml.rels><?xml version="1.0" encoding="UTF-8" standalone="yes"?>
<Relationships xmlns="http://schemas.openxmlformats.org/package/2006/relationships"><Relationship Id="rId1" Type="http://schemas.openxmlformats.org/officeDocument/2006/relationships/image" Target="media/image7.emf"/></Relationships>
</file>

<file path=word/_rels/header9.xml.rels><?xml version="1.0" encoding="UTF-8" standalone="yes"?>
<Relationships xmlns="http://schemas.openxmlformats.org/package/2006/relationships"><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[Book1]Sheet4!PivotTable3</c:name>
    <c:fmtId val="-1"/>
  </c:pivotSource>
  <c:chart>
    <c:autoTitleDeleted val="0"/>
    <c:pivotFmts>
      <c:pivotFmt>
        <c:idx val="0"/>
        <c:spPr>
          <a:solidFill>
            <a:schemeClr val="accent2"/>
          </a:solidFill>
        </c:spPr>
        <c:marker>
          <c:symbol val="none"/>
        </c:marker>
      </c:pivotFmt>
      <c:pivotFmt>
        <c:idx val="1"/>
        <c:spPr>
          <a:solidFill>
            <a:schemeClr val="accent1"/>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manualLayout>
          <c:layoutTarget val="inner"/>
          <c:xMode val="edge"/>
          <c:yMode val="edge"/>
          <c:x val="0.21052571450182239"/>
          <c:y val="5.1400554097404488E-2"/>
          <c:w val="0.71473306933626224"/>
          <c:h val="0.62428623505395164"/>
        </c:manualLayout>
      </c:layout>
      <c:barChart>
        <c:barDir val="col"/>
        <c:grouping val="clustered"/>
        <c:varyColors val="0"/>
        <c:ser>
          <c:idx val="0"/>
          <c:order val="0"/>
          <c:tx>
            <c:strRef>
              <c:f>Sheet4!$B$12:$B$13</c:f>
              <c:strCache>
                <c:ptCount val="1"/>
                <c:pt idx="0">
                  <c:v>SATAP</c:v>
                </c:pt>
              </c:strCache>
            </c:strRef>
          </c:tx>
          <c:spPr>
            <a:solidFill>
              <a:schemeClr val="accent2"/>
            </a:solidFill>
          </c:spPr>
          <c:invertIfNegative val="0"/>
          <c:cat>
            <c:strRef>
              <c:f>Sheet4!$A$14:$A$21</c:f>
              <c:strCache>
                <c:ptCount val="7"/>
                <c:pt idx="0">
                  <c:v>&lt; 4.5</c:v>
                </c:pt>
                <c:pt idx="1">
                  <c:v>4.5 - &lt;09.0</c:v>
                </c:pt>
                <c:pt idx="2">
                  <c:v>9.0 - &lt;13.5</c:v>
                </c:pt>
                <c:pt idx="3">
                  <c:v>13.5 - &lt;18.0</c:v>
                </c:pt>
                <c:pt idx="4">
                  <c:v>18.0 - &lt;22.5</c:v>
                </c:pt>
                <c:pt idx="5">
                  <c:v>22.5 - &lt;27.0</c:v>
                </c:pt>
                <c:pt idx="6">
                  <c:v>&gt;=27.0</c:v>
                </c:pt>
              </c:strCache>
            </c:strRef>
          </c:cat>
          <c:val>
            <c:numRef>
              <c:f>Sheet4!$B$14:$B$21</c:f>
              <c:numCache>
                <c:formatCode>General</c:formatCode>
                <c:ptCount val="7"/>
                <c:pt idx="0">
                  <c:v>109</c:v>
                </c:pt>
                <c:pt idx="1">
                  <c:v>154</c:v>
                </c:pt>
                <c:pt idx="2">
                  <c:v>62</c:v>
                </c:pt>
                <c:pt idx="3">
                  <c:v>22</c:v>
                </c:pt>
                <c:pt idx="4">
                  <c:v>8</c:v>
                </c:pt>
                <c:pt idx="5">
                  <c:v>2</c:v>
                </c:pt>
                <c:pt idx="6">
                  <c:v>1</c:v>
                </c:pt>
              </c:numCache>
            </c:numRef>
          </c:val>
        </c:ser>
        <c:ser>
          <c:idx val="1"/>
          <c:order val="1"/>
          <c:tx>
            <c:strRef>
              <c:f>Sheet4!$C$12:$C$13</c:f>
              <c:strCache>
                <c:ptCount val="1"/>
                <c:pt idx="0">
                  <c:v>USB</c:v>
                </c:pt>
              </c:strCache>
            </c:strRef>
          </c:tx>
          <c:spPr>
            <a:solidFill>
              <a:schemeClr val="accent1"/>
            </a:solidFill>
          </c:spPr>
          <c:invertIfNegative val="0"/>
          <c:cat>
            <c:strRef>
              <c:f>Sheet4!$A$14:$A$21</c:f>
              <c:strCache>
                <c:ptCount val="7"/>
                <c:pt idx="0">
                  <c:v>&lt; 4.5</c:v>
                </c:pt>
                <c:pt idx="1">
                  <c:v>4.5 - &lt;09.0</c:v>
                </c:pt>
                <c:pt idx="2">
                  <c:v>9.0 - &lt;13.5</c:v>
                </c:pt>
                <c:pt idx="3">
                  <c:v>13.5 - &lt;18.0</c:v>
                </c:pt>
                <c:pt idx="4">
                  <c:v>18.0 - &lt;22.5</c:v>
                </c:pt>
                <c:pt idx="5">
                  <c:v>22.5 - &lt;27.0</c:v>
                </c:pt>
                <c:pt idx="6">
                  <c:v>&gt;=27.0</c:v>
                </c:pt>
              </c:strCache>
            </c:strRef>
          </c:cat>
          <c:val>
            <c:numRef>
              <c:f>Sheet4!$C$14:$C$21</c:f>
              <c:numCache>
                <c:formatCode>General</c:formatCode>
                <c:ptCount val="7"/>
                <c:pt idx="0">
                  <c:v>36</c:v>
                </c:pt>
                <c:pt idx="1">
                  <c:v>66</c:v>
                </c:pt>
                <c:pt idx="2">
                  <c:v>66</c:v>
                </c:pt>
                <c:pt idx="3">
                  <c:v>21</c:v>
                </c:pt>
                <c:pt idx="4">
                  <c:v>10</c:v>
                </c:pt>
                <c:pt idx="5">
                  <c:v>7</c:v>
                </c:pt>
                <c:pt idx="6">
                  <c:v>3</c:v>
                </c:pt>
              </c:numCache>
            </c:numRef>
          </c:val>
        </c:ser>
        <c:dLbls>
          <c:showLegendKey val="0"/>
          <c:showVal val="0"/>
          <c:showCatName val="0"/>
          <c:showSerName val="0"/>
          <c:showPercent val="0"/>
          <c:showBubbleSize val="0"/>
        </c:dLbls>
        <c:gapWidth val="50"/>
        <c:axId val="138256384"/>
        <c:axId val="138258304"/>
      </c:barChart>
      <c:catAx>
        <c:axId val="138256384"/>
        <c:scaling>
          <c:orientation val="minMax"/>
        </c:scaling>
        <c:delete val="0"/>
        <c:axPos val="b"/>
        <c:title>
          <c:tx>
            <c:rich>
              <a:bodyPr/>
              <a:lstStyle/>
              <a:p>
                <a:pPr>
                  <a:defRPr/>
                </a:pPr>
                <a:r>
                  <a:rPr lang="en-AU"/>
                  <a:t>Lower &lt;---  STR </a:t>
                </a:r>
                <a:r>
                  <a:rPr lang="en-AU" baseline="0"/>
                  <a:t>---&gt; Higher</a:t>
                </a:r>
                <a:endParaRPr lang="en-AU"/>
              </a:p>
            </c:rich>
          </c:tx>
          <c:layout>
            <c:manualLayout>
              <c:xMode val="edge"/>
              <c:yMode val="edge"/>
              <c:x val="0.30284331362547889"/>
              <c:y val="0.92141893801736319"/>
            </c:manualLayout>
          </c:layout>
          <c:overlay val="0"/>
        </c:title>
        <c:majorTickMark val="out"/>
        <c:minorTickMark val="none"/>
        <c:tickLblPos val="nextTo"/>
        <c:txPr>
          <a:bodyPr rot="-5400000" vert="horz"/>
          <a:lstStyle/>
          <a:p>
            <a:pPr>
              <a:defRPr/>
            </a:pPr>
            <a:endParaRPr lang="en-US"/>
          </a:p>
        </c:txPr>
        <c:crossAx val="138258304"/>
        <c:crosses val="autoZero"/>
        <c:auto val="1"/>
        <c:lblAlgn val="ctr"/>
        <c:lblOffset val="100"/>
        <c:noMultiLvlLbl val="0"/>
      </c:catAx>
      <c:valAx>
        <c:axId val="138258304"/>
        <c:scaling>
          <c:orientation val="minMax"/>
        </c:scaling>
        <c:delete val="0"/>
        <c:axPos val="l"/>
        <c:title>
          <c:tx>
            <c:rich>
              <a:bodyPr rot="-5400000" vert="horz"/>
              <a:lstStyle/>
              <a:p>
                <a:pPr>
                  <a:defRPr/>
                </a:pPr>
                <a:r>
                  <a:rPr lang="en-AU"/>
                  <a:t>Number</a:t>
                </a:r>
                <a:r>
                  <a:rPr lang="en-AU" baseline="0"/>
                  <a:t> of C1 Schools</a:t>
                </a:r>
                <a:endParaRPr lang="en-AU"/>
              </a:p>
            </c:rich>
          </c:tx>
          <c:overlay val="0"/>
        </c:title>
        <c:numFmt formatCode="General" sourceLinked="1"/>
        <c:majorTickMark val="out"/>
        <c:minorTickMark val="none"/>
        <c:tickLblPos val="nextTo"/>
        <c:crossAx val="138256384"/>
        <c:crosses val="autoZero"/>
        <c:crossBetween val="between"/>
        <c:majorUnit val="30"/>
      </c:valAx>
    </c:plotArea>
    <c:legend>
      <c:legendPos val="r"/>
      <c:layout>
        <c:manualLayout>
          <c:xMode val="edge"/>
          <c:yMode val="edge"/>
          <c:x val="0.65612131971266696"/>
          <c:y val="7.6111986001749787E-2"/>
          <c:w val="0.21608351993293445"/>
          <c:h val="0.12364385221078135"/>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[Book1]Sheet4!PivotTable5</c:name>
    <c:fmtId val="-1"/>
  </c:pivotSource>
  <c:chart>
    <c:autoTitleDeleted val="0"/>
    <c:pivotFmts>
      <c:pivotFmt>
        <c:idx val="0"/>
        <c:marker>
          <c:symbol val="none"/>
        </c:marker>
      </c:pivotFmt>
      <c:pivotFmt>
        <c:idx val="1"/>
        <c:marker>
          <c:symbol val="none"/>
        </c:marker>
      </c:pivotFmt>
      <c:pivotFmt>
        <c:idx val="2"/>
        <c:marker>
          <c:symbol val="none"/>
        </c:marker>
      </c:pivotFmt>
      <c:pivotFmt>
        <c:idx val="3"/>
        <c:spPr>
          <a:solidFill>
            <a:schemeClr val="accent1">
              <a:lumMod val="40000"/>
              <a:lumOff val="60000"/>
            </a:schemeClr>
          </a:solidFill>
        </c:spPr>
      </c:pivotFmt>
      <c:pivotFmt>
        <c:idx val="4"/>
        <c:marker>
          <c:symbol val="none"/>
        </c:marker>
      </c:pivotFmt>
      <c:pivotFmt>
        <c:idx val="5"/>
        <c:spPr>
          <a:solidFill>
            <a:schemeClr val="accent1">
              <a:lumMod val="40000"/>
              <a:lumOff val="60000"/>
            </a:schemeClr>
          </a:solidFill>
        </c:spPr>
        <c:marker>
          <c:symbol val="none"/>
        </c:marker>
      </c:pivotFmt>
      <c:pivotFmt>
        <c:idx val="6"/>
        <c:marker>
          <c:symbol val="none"/>
        </c:marker>
      </c:pivotFmt>
      <c:pivotFmt>
        <c:idx val="7"/>
        <c:spPr>
          <a:solidFill>
            <a:schemeClr val="accent1">
              <a:lumMod val="40000"/>
              <a:lumOff val="60000"/>
            </a:schemeClr>
          </a:solidFill>
        </c:spPr>
        <c:marker>
          <c:symbol val="none"/>
        </c:marker>
      </c:pivotFmt>
    </c:pivotFmts>
    <c:plotArea>
      <c:layout>
        <c:manualLayout>
          <c:layoutTarget val="inner"/>
          <c:xMode val="edge"/>
          <c:yMode val="edge"/>
          <c:x val="0.19432183985638582"/>
          <c:y val="5.1400554097404488E-2"/>
          <c:w val="0.78072510444861498"/>
          <c:h val="0.62584207664579017"/>
        </c:manualLayout>
      </c:layout>
      <c:barChart>
        <c:barDir val="col"/>
        <c:grouping val="clustered"/>
        <c:varyColors val="0"/>
        <c:ser>
          <c:idx val="0"/>
          <c:order val="0"/>
          <c:tx>
            <c:strRef>
              <c:f>Sheet4!$B$37:$B$38</c:f>
              <c:strCache>
                <c:ptCount val="1"/>
                <c:pt idx="0">
                  <c:v>Cycle 1</c:v>
                </c:pt>
              </c:strCache>
            </c:strRef>
          </c:tx>
          <c:invertIfNegative val="0"/>
          <c:cat>
            <c:strRef>
              <c:f>Sheet4!$A$39:$A$46</c:f>
              <c:strCache>
                <c:ptCount val="7"/>
                <c:pt idx="0">
                  <c:v>&lt; 4.5</c:v>
                </c:pt>
                <c:pt idx="1">
                  <c:v>4.5 - &lt;09.0</c:v>
                </c:pt>
                <c:pt idx="2">
                  <c:v>9.0 - &lt;13.5</c:v>
                </c:pt>
                <c:pt idx="3">
                  <c:v>13.5 - &lt;18.0</c:v>
                </c:pt>
                <c:pt idx="4">
                  <c:v>18.0 - &lt;22.5</c:v>
                </c:pt>
                <c:pt idx="5">
                  <c:v>22.5 - &lt;27.0</c:v>
                </c:pt>
                <c:pt idx="6">
                  <c:v>&gt;=27.0</c:v>
                </c:pt>
              </c:strCache>
            </c:strRef>
          </c:cat>
          <c:val>
            <c:numRef>
              <c:f>Sheet4!$B$39:$B$46</c:f>
              <c:numCache>
                <c:formatCode>General</c:formatCode>
                <c:ptCount val="7"/>
                <c:pt idx="0">
                  <c:v>82</c:v>
                </c:pt>
                <c:pt idx="1">
                  <c:v>155</c:v>
                </c:pt>
                <c:pt idx="2">
                  <c:v>78</c:v>
                </c:pt>
                <c:pt idx="3">
                  <c:v>23</c:v>
                </c:pt>
                <c:pt idx="4">
                  <c:v>12</c:v>
                </c:pt>
                <c:pt idx="5">
                  <c:v>9</c:v>
                </c:pt>
                <c:pt idx="6">
                  <c:v>2</c:v>
                </c:pt>
              </c:numCache>
            </c:numRef>
          </c:val>
        </c:ser>
        <c:ser>
          <c:idx val="1"/>
          <c:order val="1"/>
          <c:tx>
            <c:strRef>
              <c:f>Sheet4!$C$37:$C$38</c:f>
              <c:strCache>
                <c:ptCount val="1"/>
                <c:pt idx="0">
                  <c:v>Cycle 2</c:v>
                </c:pt>
              </c:strCache>
            </c:strRef>
          </c:tx>
          <c:spPr>
            <a:solidFill>
              <a:schemeClr val="accent1">
                <a:lumMod val="40000"/>
                <a:lumOff val="60000"/>
              </a:schemeClr>
            </a:solidFill>
          </c:spPr>
          <c:invertIfNegative val="0"/>
          <c:cat>
            <c:strRef>
              <c:f>Sheet4!$A$39:$A$46</c:f>
              <c:strCache>
                <c:ptCount val="7"/>
                <c:pt idx="0">
                  <c:v>&lt; 4.5</c:v>
                </c:pt>
                <c:pt idx="1">
                  <c:v>4.5 - &lt;09.0</c:v>
                </c:pt>
                <c:pt idx="2">
                  <c:v>9.0 - &lt;13.5</c:v>
                </c:pt>
                <c:pt idx="3">
                  <c:v>13.5 - &lt;18.0</c:v>
                </c:pt>
                <c:pt idx="4">
                  <c:v>18.0 - &lt;22.5</c:v>
                </c:pt>
                <c:pt idx="5">
                  <c:v>22.5 - &lt;27.0</c:v>
                </c:pt>
                <c:pt idx="6">
                  <c:v>&gt;=27.0</c:v>
                </c:pt>
              </c:strCache>
            </c:strRef>
          </c:cat>
          <c:val>
            <c:numRef>
              <c:f>Sheet4!$C$39:$C$46</c:f>
              <c:numCache>
                <c:formatCode>General</c:formatCode>
                <c:ptCount val="7"/>
                <c:pt idx="0">
                  <c:v>63</c:v>
                </c:pt>
                <c:pt idx="1">
                  <c:v>65</c:v>
                </c:pt>
                <c:pt idx="2">
                  <c:v>50</c:v>
                </c:pt>
                <c:pt idx="3">
                  <c:v>20</c:v>
                </c:pt>
                <c:pt idx="4">
                  <c:v>6</c:v>
                </c:pt>
                <c:pt idx="6">
                  <c:v>2</c:v>
                </c:pt>
              </c:numCache>
            </c:numRef>
          </c:val>
        </c:ser>
        <c:dLbls>
          <c:showLegendKey val="0"/>
          <c:showVal val="0"/>
          <c:showCatName val="0"/>
          <c:showSerName val="0"/>
          <c:showPercent val="0"/>
          <c:showBubbleSize val="0"/>
        </c:dLbls>
        <c:gapWidth val="50"/>
        <c:axId val="137236480"/>
        <c:axId val="137238400"/>
      </c:barChart>
      <c:catAx>
        <c:axId val="137236480"/>
        <c:scaling>
          <c:orientation val="minMax"/>
        </c:scaling>
        <c:delete val="0"/>
        <c:axPos val="b"/>
        <c:title>
          <c:tx>
            <c:rich>
              <a:bodyPr/>
              <a:lstStyle/>
              <a:p>
                <a:pPr>
                  <a:defRPr/>
                </a:pPr>
                <a:r>
                  <a:rPr lang="en-AU"/>
                  <a:t>Lower</a:t>
                </a:r>
                <a:r>
                  <a:rPr lang="en-AU" baseline="0"/>
                  <a:t> &lt;-- STR --&gt; Higher</a:t>
                </a:r>
                <a:endParaRPr lang="en-AU"/>
              </a:p>
            </c:rich>
          </c:tx>
          <c:layout>
            <c:manualLayout>
              <c:xMode val="edge"/>
              <c:yMode val="edge"/>
              <c:x val="0.33884301737326417"/>
              <c:y val="0.92234649696920878"/>
            </c:manualLayout>
          </c:layout>
          <c:overlay val="0"/>
        </c:title>
        <c:majorTickMark val="out"/>
        <c:minorTickMark val="none"/>
        <c:tickLblPos val="nextTo"/>
        <c:txPr>
          <a:bodyPr rot="-5400000" vert="horz"/>
          <a:lstStyle/>
          <a:p>
            <a:pPr>
              <a:defRPr/>
            </a:pPr>
            <a:endParaRPr lang="en-US"/>
          </a:p>
        </c:txPr>
        <c:crossAx val="137238400"/>
        <c:crosses val="autoZero"/>
        <c:auto val="1"/>
        <c:lblAlgn val="ctr"/>
        <c:lblOffset val="100"/>
        <c:noMultiLvlLbl val="0"/>
      </c:catAx>
      <c:valAx>
        <c:axId val="137238400"/>
        <c:scaling>
          <c:orientation val="minMax"/>
        </c:scaling>
        <c:delete val="0"/>
        <c:axPos val="l"/>
        <c:title>
          <c:tx>
            <c:rich>
              <a:bodyPr rot="-5400000" vert="horz"/>
              <a:lstStyle/>
              <a:p>
                <a:pPr>
                  <a:defRPr/>
                </a:pPr>
                <a:r>
                  <a:rPr lang="en-AU"/>
                  <a:t>Number of C1</a:t>
                </a:r>
                <a:r>
                  <a:rPr lang="en-AU" baseline="0"/>
                  <a:t> School</a:t>
                </a:r>
                <a:endParaRPr lang="en-AU"/>
              </a:p>
            </c:rich>
          </c:tx>
          <c:overlay val="0"/>
        </c:title>
        <c:numFmt formatCode="General" sourceLinked="1"/>
        <c:majorTickMark val="out"/>
        <c:minorTickMark val="none"/>
        <c:tickLblPos val="nextTo"/>
        <c:crossAx val="137236480"/>
        <c:crosses val="autoZero"/>
        <c:crossBetween val="between"/>
        <c:majorUnit val="30"/>
      </c:valAx>
    </c:plotArea>
    <c:legend>
      <c:legendPos val="r"/>
      <c:layout>
        <c:manualLayout>
          <c:xMode val="edge"/>
          <c:yMode val="edge"/>
          <c:x val="0.69399660168689625"/>
          <c:y val="6.9060586176727903E-2"/>
          <c:w val="0.30566371750889071"/>
          <c:h val="0.12332762752482027"/>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9F6388-7B2D-4EFA-A561-D47D95BD0222}"/>
</file>

<file path=customXml/itemProps2.xml><?xml version="1.0" encoding="utf-8"?>
<ds:datastoreItem xmlns:ds="http://schemas.openxmlformats.org/officeDocument/2006/customXml" ds:itemID="{DE020881-0449-48E8-B542-9FDA89C67DA2}"/>
</file>

<file path=customXml/itemProps3.xml><?xml version="1.0" encoding="utf-8"?>
<ds:datastoreItem xmlns:ds="http://schemas.openxmlformats.org/officeDocument/2006/customXml" ds:itemID="{430216F8-BD1A-4F24-8FE9-590D02B5E375}"/>
</file>

<file path=customXml/itemProps4.xml><?xml version="1.0" encoding="utf-8"?>
<ds:datastoreItem xmlns:ds="http://schemas.openxmlformats.org/officeDocument/2006/customXml" ds:itemID="{FADF0A9C-0FD7-419E-8D77-94C17EA560A6}"/>
</file>

<file path=docProps/app.xml><?xml version="1.0" encoding="utf-8"?>
<Properties xmlns="http://schemas.openxmlformats.org/officeDocument/2006/extended-properties" xmlns:vt="http://schemas.openxmlformats.org/officeDocument/2006/docPropsVTypes">
  <Template>E53CD52D.dotm</Template>
  <TotalTime>0</TotalTime>
  <Pages>126</Pages>
  <Words>35549</Words>
  <Characters>203778</Characters>
  <Application>Microsoft Office Word</Application>
  <DocSecurity>0</DocSecurity>
  <Lines>1698</Lines>
  <Paragraphs>477</Paragraphs>
  <ScaleCrop>false</ScaleCrop>
  <Company/>
  <LinksUpToDate>false</LinksUpToDate>
  <CharactersWithSpaces>238850</CharactersWithSpaces>
  <SharedDoc>false</SharedDoc>
  <HLinks>
    <vt:vector size="228" baseType="variant">
      <vt:variant>
        <vt:i4>1703996</vt:i4>
      </vt:variant>
      <vt:variant>
        <vt:i4>224</vt:i4>
      </vt:variant>
      <vt:variant>
        <vt:i4>0</vt:i4>
      </vt:variant>
      <vt:variant>
        <vt:i4>5</vt:i4>
      </vt:variant>
      <vt:variant>
        <vt:lpwstr/>
      </vt:variant>
      <vt:variant>
        <vt:lpwstr>_Toc353955940</vt:lpwstr>
      </vt:variant>
      <vt:variant>
        <vt:i4>1900604</vt:i4>
      </vt:variant>
      <vt:variant>
        <vt:i4>218</vt:i4>
      </vt:variant>
      <vt:variant>
        <vt:i4>0</vt:i4>
      </vt:variant>
      <vt:variant>
        <vt:i4>5</vt:i4>
      </vt:variant>
      <vt:variant>
        <vt:lpwstr/>
      </vt:variant>
      <vt:variant>
        <vt:lpwstr>_Toc353955939</vt:lpwstr>
      </vt:variant>
      <vt:variant>
        <vt:i4>1900604</vt:i4>
      </vt:variant>
      <vt:variant>
        <vt:i4>212</vt:i4>
      </vt:variant>
      <vt:variant>
        <vt:i4>0</vt:i4>
      </vt:variant>
      <vt:variant>
        <vt:i4>5</vt:i4>
      </vt:variant>
      <vt:variant>
        <vt:lpwstr/>
      </vt:variant>
      <vt:variant>
        <vt:lpwstr>_Toc353955938</vt:lpwstr>
      </vt:variant>
      <vt:variant>
        <vt:i4>1900604</vt:i4>
      </vt:variant>
      <vt:variant>
        <vt:i4>206</vt:i4>
      </vt:variant>
      <vt:variant>
        <vt:i4>0</vt:i4>
      </vt:variant>
      <vt:variant>
        <vt:i4>5</vt:i4>
      </vt:variant>
      <vt:variant>
        <vt:lpwstr/>
      </vt:variant>
      <vt:variant>
        <vt:lpwstr>_Toc353955937</vt:lpwstr>
      </vt:variant>
      <vt:variant>
        <vt:i4>1900604</vt:i4>
      </vt:variant>
      <vt:variant>
        <vt:i4>200</vt:i4>
      </vt:variant>
      <vt:variant>
        <vt:i4>0</vt:i4>
      </vt:variant>
      <vt:variant>
        <vt:i4>5</vt:i4>
      </vt:variant>
      <vt:variant>
        <vt:lpwstr/>
      </vt:variant>
      <vt:variant>
        <vt:lpwstr>_Toc353955936</vt:lpwstr>
      </vt:variant>
      <vt:variant>
        <vt:i4>1900604</vt:i4>
      </vt:variant>
      <vt:variant>
        <vt:i4>194</vt:i4>
      </vt:variant>
      <vt:variant>
        <vt:i4>0</vt:i4>
      </vt:variant>
      <vt:variant>
        <vt:i4>5</vt:i4>
      </vt:variant>
      <vt:variant>
        <vt:lpwstr/>
      </vt:variant>
      <vt:variant>
        <vt:lpwstr>_Toc353955935</vt:lpwstr>
      </vt:variant>
      <vt:variant>
        <vt:i4>1900604</vt:i4>
      </vt:variant>
      <vt:variant>
        <vt:i4>188</vt:i4>
      </vt:variant>
      <vt:variant>
        <vt:i4>0</vt:i4>
      </vt:variant>
      <vt:variant>
        <vt:i4>5</vt:i4>
      </vt:variant>
      <vt:variant>
        <vt:lpwstr/>
      </vt:variant>
      <vt:variant>
        <vt:lpwstr>_Toc353955934</vt:lpwstr>
      </vt:variant>
      <vt:variant>
        <vt:i4>1900604</vt:i4>
      </vt:variant>
      <vt:variant>
        <vt:i4>182</vt:i4>
      </vt:variant>
      <vt:variant>
        <vt:i4>0</vt:i4>
      </vt:variant>
      <vt:variant>
        <vt:i4>5</vt:i4>
      </vt:variant>
      <vt:variant>
        <vt:lpwstr/>
      </vt:variant>
      <vt:variant>
        <vt:lpwstr>_Toc353955933</vt:lpwstr>
      </vt:variant>
      <vt:variant>
        <vt:i4>1900604</vt:i4>
      </vt:variant>
      <vt:variant>
        <vt:i4>176</vt:i4>
      </vt:variant>
      <vt:variant>
        <vt:i4>0</vt:i4>
      </vt:variant>
      <vt:variant>
        <vt:i4>5</vt:i4>
      </vt:variant>
      <vt:variant>
        <vt:lpwstr/>
      </vt:variant>
      <vt:variant>
        <vt:lpwstr>_Toc353955932</vt:lpwstr>
      </vt:variant>
      <vt:variant>
        <vt:i4>1900604</vt:i4>
      </vt:variant>
      <vt:variant>
        <vt:i4>170</vt:i4>
      </vt:variant>
      <vt:variant>
        <vt:i4>0</vt:i4>
      </vt:variant>
      <vt:variant>
        <vt:i4>5</vt:i4>
      </vt:variant>
      <vt:variant>
        <vt:lpwstr/>
      </vt:variant>
      <vt:variant>
        <vt:lpwstr>_Toc353955931</vt:lpwstr>
      </vt:variant>
      <vt:variant>
        <vt:i4>1900604</vt:i4>
      </vt:variant>
      <vt:variant>
        <vt:i4>164</vt:i4>
      </vt:variant>
      <vt:variant>
        <vt:i4>0</vt:i4>
      </vt:variant>
      <vt:variant>
        <vt:i4>5</vt:i4>
      </vt:variant>
      <vt:variant>
        <vt:lpwstr/>
      </vt:variant>
      <vt:variant>
        <vt:lpwstr>_Toc353955930</vt:lpwstr>
      </vt:variant>
      <vt:variant>
        <vt:i4>1835068</vt:i4>
      </vt:variant>
      <vt:variant>
        <vt:i4>158</vt:i4>
      </vt:variant>
      <vt:variant>
        <vt:i4>0</vt:i4>
      </vt:variant>
      <vt:variant>
        <vt:i4>5</vt:i4>
      </vt:variant>
      <vt:variant>
        <vt:lpwstr/>
      </vt:variant>
      <vt:variant>
        <vt:lpwstr>_Toc353955929</vt:lpwstr>
      </vt:variant>
      <vt:variant>
        <vt:i4>1835068</vt:i4>
      </vt:variant>
      <vt:variant>
        <vt:i4>152</vt:i4>
      </vt:variant>
      <vt:variant>
        <vt:i4>0</vt:i4>
      </vt:variant>
      <vt:variant>
        <vt:i4>5</vt:i4>
      </vt:variant>
      <vt:variant>
        <vt:lpwstr/>
      </vt:variant>
      <vt:variant>
        <vt:lpwstr>_Toc353955928</vt:lpwstr>
      </vt:variant>
      <vt:variant>
        <vt:i4>1835068</vt:i4>
      </vt:variant>
      <vt:variant>
        <vt:i4>146</vt:i4>
      </vt:variant>
      <vt:variant>
        <vt:i4>0</vt:i4>
      </vt:variant>
      <vt:variant>
        <vt:i4>5</vt:i4>
      </vt:variant>
      <vt:variant>
        <vt:lpwstr/>
      </vt:variant>
      <vt:variant>
        <vt:lpwstr>_Toc353955927</vt:lpwstr>
      </vt:variant>
      <vt:variant>
        <vt:i4>1835068</vt:i4>
      </vt:variant>
      <vt:variant>
        <vt:i4>140</vt:i4>
      </vt:variant>
      <vt:variant>
        <vt:i4>0</vt:i4>
      </vt:variant>
      <vt:variant>
        <vt:i4>5</vt:i4>
      </vt:variant>
      <vt:variant>
        <vt:lpwstr/>
      </vt:variant>
      <vt:variant>
        <vt:lpwstr>_Toc353955926</vt:lpwstr>
      </vt:variant>
      <vt:variant>
        <vt:i4>1835068</vt:i4>
      </vt:variant>
      <vt:variant>
        <vt:i4>134</vt:i4>
      </vt:variant>
      <vt:variant>
        <vt:i4>0</vt:i4>
      </vt:variant>
      <vt:variant>
        <vt:i4>5</vt:i4>
      </vt:variant>
      <vt:variant>
        <vt:lpwstr/>
      </vt:variant>
      <vt:variant>
        <vt:lpwstr>_Toc353955925</vt:lpwstr>
      </vt:variant>
      <vt:variant>
        <vt:i4>1835068</vt:i4>
      </vt:variant>
      <vt:variant>
        <vt:i4>128</vt:i4>
      </vt:variant>
      <vt:variant>
        <vt:i4>0</vt:i4>
      </vt:variant>
      <vt:variant>
        <vt:i4>5</vt:i4>
      </vt:variant>
      <vt:variant>
        <vt:lpwstr/>
      </vt:variant>
      <vt:variant>
        <vt:lpwstr>_Toc353955924</vt:lpwstr>
      </vt:variant>
      <vt:variant>
        <vt:i4>1835068</vt:i4>
      </vt:variant>
      <vt:variant>
        <vt:i4>122</vt:i4>
      </vt:variant>
      <vt:variant>
        <vt:i4>0</vt:i4>
      </vt:variant>
      <vt:variant>
        <vt:i4>5</vt:i4>
      </vt:variant>
      <vt:variant>
        <vt:lpwstr/>
      </vt:variant>
      <vt:variant>
        <vt:lpwstr>_Toc353955923</vt:lpwstr>
      </vt:variant>
      <vt:variant>
        <vt:i4>1835068</vt:i4>
      </vt:variant>
      <vt:variant>
        <vt:i4>116</vt:i4>
      </vt:variant>
      <vt:variant>
        <vt:i4>0</vt:i4>
      </vt:variant>
      <vt:variant>
        <vt:i4>5</vt:i4>
      </vt:variant>
      <vt:variant>
        <vt:lpwstr/>
      </vt:variant>
      <vt:variant>
        <vt:lpwstr>_Toc353955922</vt:lpwstr>
      </vt:variant>
      <vt:variant>
        <vt:i4>1835068</vt:i4>
      </vt:variant>
      <vt:variant>
        <vt:i4>110</vt:i4>
      </vt:variant>
      <vt:variant>
        <vt:i4>0</vt:i4>
      </vt:variant>
      <vt:variant>
        <vt:i4>5</vt:i4>
      </vt:variant>
      <vt:variant>
        <vt:lpwstr/>
      </vt:variant>
      <vt:variant>
        <vt:lpwstr>_Toc353955921</vt:lpwstr>
      </vt:variant>
      <vt:variant>
        <vt:i4>1835068</vt:i4>
      </vt:variant>
      <vt:variant>
        <vt:i4>104</vt:i4>
      </vt:variant>
      <vt:variant>
        <vt:i4>0</vt:i4>
      </vt:variant>
      <vt:variant>
        <vt:i4>5</vt:i4>
      </vt:variant>
      <vt:variant>
        <vt:lpwstr/>
      </vt:variant>
      <vt:variant>
        <vt:lpwstr>_Toc353955920</vt:lpwstr>
      </vt:variant>
      <vt:variant>
        <vt:i4>2031676</vt:i4>
      </vt:variant>
      <vt:variant>
        <vt:i4>98</vt:i4>
      </vt:variant>
      <vt:variant>
        <vt:i4>0</vt:i4>
      </vt:variant>
      <vt:variant>
        <vt:i4>5</vt:i4>
      </vt:variant>
      <vt:variant>
        <vt:lpwstr/>
      </vt:variant>
      <vt:variant>
        <vt:lpwstr>_Toc353955919</vt:lpwstr>
      </vt:variant>
      <vt:variant>
        <vt:i4>2031676</vt:i4>
      </vt:variant>
      <vt:variant>
        <vt:i4>92</vt:i4>
      </vt:variant>
      <vt:variant>
        <vt:i4>0</vt:i4>
      </vt:variant>
      <vt:variant>
        <vt:i4>5</vt:i4>
      </vt:variant>
      <vt:variant>
        <vt:lpwstr/>
      </vt:variant>
      <vt:variant>
        <vt:lpwstr>_Toc353955918</vt:lpwstr>
      </vt:variant>
      <vt:variant>
        <vt:i4>2031676</vt:i4>
      </vt:variant>
      <vt:variant>
        <vt:i4>86</vt:i4>
      </vt:variant>
      <vt:variant>
        <vt:i4>0</vt:i4>
      </vt:variant>
      <vt:variant>
        <vt:i4>5</vt:i4>
      </vt:variant>
      <vt:variant>
        <vt:lpwstr/>
      </vt:variant>
      <vt:variant>
        <vt:lpwstr>_Toc353955917</vt:lpwstr>
      </vt:variant>
      <vt:variant>
        <vt:i4>2031676</vt:i4>
      </vt:variant>
      <vt:variant>
        <vt:i4>80</vt:i4>
      </vt:variant>
      <vt:variant>
        <vt:i4>0</vt:i4>
      </vt:variant>
      <vt:variant>
        <vt:i4>5</vt:i4>
      </vt:variant>
      <vt:variant>
        <vt:lpwstr/>
      </vt:variant>
      <vt:variant>
        <vt:lpwstr>_Toc353955916</vt:lpwstr>
      </vt:variant>
      <vt:variant>
        <vt:i4>2031676</vt:i4>
      </vt:variant>
      <vt:variant>
        <vt:i4>74</vt:i4>
      </vt:variant>
      <vt:variant>
        <vt:i4>0</vt:i4>
      </vt:variant>
      <vt:variant>
        <vt:i4>5</vt:i4>
      </vt:variant>
      <vt:variant>
        <vt:lpwstr/>
      </vt:variant>
      <vt:variant>
        <vt:lpwstr>_Toc353955915</vt:lpwstr>
      </vt:variant>
      <vt:variant>
        <vt:i4>2031676</vt:i4>
      </vt:variant>
      <vt:variant>
        <vt:i4>68</vt:i4>
      </vt:variant>
      <vt:variant>
        <vt:i4>0</vt:i4>
      </vt:variant>
      <vt:variant>
        <vt:i4>5</vt:i4>
      </vt:variant>
      <vt:variant>
        <vt:lpwstr/>
      </vt:variant>
      <vt:variant>
        <vt:lpwstr>_Toc353955914</vt:lpwstr>
      </vt:variant>
      <vt:variant>
        <vt:i4>2031676</vt:i4>
      </vt:variant>
      <vt:variant>
        <vt:i4>62</vt:i4>
      </vt:variant>
      <vt:variant>
        <vt:i4>0</vt:i4>
      </vt:variant>
      <vt:variant>
        <vt:i4>5</vt:i4>
      </vt:variant>
      <vt:variant>
        <vt:lpwstr/>
      </vt:variant>
      <vt:variant>
        <vt:lpwstr>_Toc353955913</vt:lpwstr>
      </vt:variant>
      <vt:variant>
        <vt:i4>2031676</vt:i4>
      </vt:variant>
      <vt:variant>
        <vt:i4>56</vt:i4>
      </vt:variant>
      <vt:variant>
        <vt:i4>0</vt:i4>
      </vt:variant>
      <vt:variant>
        <vt:i4>5</vt:i4>
      </vt:variant>
      <vt:variant>
        <vt:lpwstr/>
      </vt:variant>
      <vt:variant>
        <vt:lpwstr>_Toc353955912</vt:lpwstr>
      </vt:variant>
      <vt:variant>
        <vt:i4>2031676</vt:i4>
      </vt:variant>
      <vt:variant>
        <vt:i4>50</vt:i4>
      </vt:variant>
      <vt:variant>
        <vt:i4>0</vt:i4>
      </vt:variant>
      <vt:variant>
        <vt:i4>5</vt:i4>
      </vt:variant>
      <vt:variant>
        <vt:lpwstr/>
      </vt:variant>
      <vt:variant>
        <vt:lpwstr>_Toc353955911</vt:lpwstr>
      </vt:variant>
      <vt:variant>
        <vt:i4>2031676</vt:i4>
      </vt:variant>
      <vt:variant>
        <vt:i4>44</vt:i4>
      </vt:variant>
      <vt:variant>
        <vt:i4>0</vt:i4>
      </vt:variant>
      <vt:variant>
        <vt:i4>5</vt:i4>
      </vt:variant>
      <vt:variant>
        <vt:lpwstr/>
      </vt:variant>
      <vt:variant>
        <vt:lpwstr>_Toc353955910</vt:lpwstr>
      </vt:variant>
      <vt:variant>
        <vt:i4>1966140</vt:i4>
      </vt:variant>
      <vt:variant>
        <vt:i4>38</vt:i4>
      </vt:variant>
      <vt:variant>
        <vt:i4>0</vt:i4>
      </vt:variant>
      <vt:variant>
        <vt:i4>5</vt:i4>
      </vt:variant>
      <vt:variant>
        <vt:lpwstr/>
      </vt:variant>
      <vt:variant>
        <vt:lpwstr>_Toc353955909</vt:lpwstr>
      </vt:variant>
      <vt:variant>
        <vt:i4>1966140</vt:i4>
      </vt:variant>
      <vt:variant>
        <vt:i4>32</vt:i4>
      </vt:variant>
      <vt:variant>
        <vt:i4>0</vt:i4>
      </vt:variant>
      <vt:variant>
        <vt:i4>5</vt:i4>
      </vt:variant>
      <vt:variant>
        <vt:lpwstr/>
      </vt:variant>
      <vt:variant>
        <vt:lpwstr>_Toc353955908</vt:lpwstr>
      </vt:variant>
      <vt:variant>
        <vt:i4>1966140</vt:i4>
      </vt:variant>
      <vt:variant>
        <vt:i4>26</vt:i4>
      </vt:variant>
      <vt:variant>
        <vt:i4>0</vt:i4>
      </vt:variant>
      <vt:variant>
        <vt:i4>5</vt:i4>
      </vt:variant>
      <vt:variant>
        <vt:lpwstr/>
      </vt:variant>
      <vt:variant>
        <vt:lpwstr>_Toc353955907</vt:lpwstr>
      </vt:variant>
      <vt:variant>
        <vt:i4>1966140</vt:i4>
      </vt:variant>
      <vt:variant>
        <vt:i4>20</vt:i4>
      </vt:variant>
      <vt:variant>
        <vt:i4>0</vt:i4>
      </vt:variant>
      <vt:variant>
        <vt:i4>5</vt:i4>
      </vt:variant>
      <vt:variant>
        <vt:lpwstr/>
      </vt:variant>
      <vt:variant>
        <vt:lpwstr>_Toc353955906</vt:lpwstr>
      </vt:variant>
      <vt:variant>
        <vt:i4>1966140</vt:i4>
      </vt:variant>
      <vt:variant>
        <vt:i4>14</vt:i4>
      </vt:variant>
      <vt:variant>
        <vt:i4>0</vt:i4>
      </vt:variant>
      <vt:variant>
        <vt:i4>5</vt:i4>
      </vt:variant>
      <vt:variant>
        <vt:lpwstr/>
      </vt:variant>
      <vt:variant>
        <vt:lpwstr>_Toc353955905</vt:lpwstr>
      </vt:variant>
      <vt:variant>
        <vt:i4>1966140</vt:i4>
      </vt:variant>
      <vt:variant>
        <vt:i4>8</vt:i4>
      </vt:variant>
      <vt:variant>
        <vt:i4>0</vt:i4>
      </vt:variant>
      <vt:variant>
        <vt:i4>5</vt:i4>
      </vt:variant>
      <vt:variant>
        <vt:lpwstr/>
      </vt:variant>
      <vt:variant>
        <vt:lpwstr>_Toc353955904</vt:lpwstr>
      </vt:variant>
      <vt:variant>
        <vt:i4>1966140</vt:i4>
      </vt:variant>
      <vt:variant>
        <vt:i4>2</vt:i4>
      </vt:variant>
      <vt:variant>
        <vt:i4>0</vt:i4>
      </vt:variant>
      <vt:variant>
        <vt:i4>5</vt:i4>
      </vt:variant>
      <vt:variant>
        <vt:lpwstr/>
      </vt:variant>
      <vt:variant>
        <vt:lpwstr>_Toc353955903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2015-08-25T06:32:00Z</dcterms:created>
  <dcterms:modified xsi:type="dcterms:W3CDTF">2015-08-25T06:32:00Z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961300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