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06FB5" w14:textId="77777777" w:rsidR="00F60A73" w:rsidRPr="007C51C3" w:rsidRDefault="008C733B" w:rsidP="00F60A73">
      <w:pPr>
        <w:pStyle w:val="DocName"/>
        <w:pBdr>
          <w:top w:val="single" w:sz="4" w:space="12" w:color="FF9900"/>
          <w:bottom w:val="single" w:sz="4" w:space="5" w:color="FF9900"/>
        </w:pBdr>
        <w:shd w:val="clear" w:color="auto" w:fill="FFFFCC"/>
        <w:spacing w:line="276" w:lineRule="auto"/>
        <w:rPr>
          <w:rFonts w:asciiTheme="minorHAnsi" w:hAnsiTheme="minorHAnsi" w:cstheme="minorHAnsi"/>
          <w:szCs w:val="28"/>
          <w:lang w:eastAsia="en-AU"/>
        </w:rPr>
      </w:pPr>
      <w:bookmarkStart w:id="0" w:name="_GoBack"/>
      <w:bookmarkEnd w:id="0"/>
      <w:r w:rsidRPr="007C51C3">
        <w:rPr>
          <w:rFonts w:asciiTheme="minorHAnsi" w:hAnsiTheme="minorHAnsi" w:cstheme="minorHAnsi"/>
          <w:szCs w:val="28"/>
          <w:lang w:eastAsia="en-AU"/>
        </w:rPr>
        <w:t>Education Partnership</w:t>
      </w:r>
      <w:r w:rsidR="00F62212" w:rsidRPr="007C51C3">
        <w:rPr>
          <w:rFonts w:asciiTheme="minorHAnsi" w:hAnsiTheme="minorHAnsi" w:cstheme="minorHAnsi"/>
          <w:szCs w:val="28"/>
          <w:lang w:eastAsia="en-AU"/>
        </w:rPr>
        <w:t xml:space="preserve"> Annual Partnership Performance Report</w:t>
      </w:r>
    </w:p>
    <w:p w14:paraId="23DA53B7" w14:textId="77777777" w:rsidR="00F60A73" w:rsidRPr="007C51C3" w:rsidRDefault="00F60A73" w:rsidP="00F60A73">
      <w:pPr>
        <w:pStyle w:val="DocName"/>
        <w:pBdr>
          <w:top w:val="single" w:sz="4" w:space="12" w:color="FF9900"/>
          <w:bottom w:val="single" w:sz="4" w:space="5" w:color="FF9900"/>
        </w:pBdr>
        <w:shd w:val="clear" w:color="auto" w:fill="FFFFCC"/>
        <w:spacing w:line="276" w:lineRule="auto"/>
        <w:rPr>
          <w:rFonts w:asciiTheme="minorHAnsi" w:hAnsiTheme="minorHAnsi" w:cstheme="minorHAnsi"/>
          <w:sz w:val="12"/>
          <w:szCs w:val="28"/>
          <w:lang w:eastAsia="en-AU"/>
        </w:rPr>
      </w:pPr>
    </w:p>
    <w:p w14:paraId="09CA489C" w14:textId="77777777" w:rsidR="008C733B" w:rsidRPr="007C51C3" w:rsidRDefault="008C733B" w:rsidP="008D1A91">
      <w:pPr>
        <w:pStyle w:val="DocName"/>
        <w:pBdr>
          <w:top w:val="single" w:sz="4" w:space="12" w:color="FF9900"/>
          <w:bottom w:val="single" w:sz="4" w:space="5" w:color="FF9900"/>
        </w:pBdr>
        <w:shd w:val="clear" w:color="auto" w:fill="FFFFCC"/>
        <w:rPr>
          <w:rFonts w:asciiTheme="minorHAnsi" w:hAnsiTheme="minorHAnsi" w:cstheme="minorHAnsi"/>
          <w:szCs w:val="28"/>
          <w:lang w:eastAsia="en-AU"/>
        </w:rPr>
      </w:pPr>
      <w:r w:rsidRPr="007C51C3">
        <w:rPr>
          <w:rFonts w:asciiTheme="minorHAnsi" w:hAnsiTheme="minorHAnsi" w:cstheme="minorHAnsi"/>
          <w:szCs w:val="28"/>
          <w:lang w:eastAsia="en-AU"/>
        </w:rPr>
        <w:t>MANAGEMENT RESPONSE</w:t>
      </w:r>
    </w:p>
    <w:p w14:paraId="305033D5" w14:textId="77777777" w:rsidR="00290C57" w:rsidRDefault="00290C57" w:rsidP="00290C57">
      <w:pPr>
        <w:tabs>
          <w:tab w:val="left" w:pos="1539"/>
        </w:tabs>
        <w:spacing w:after="0" w:line="240" w:lineRule="auto"/>
        <w:ind w:left="1440" w:hanging="1440"/>
        <w:rPr>
          <w:rFonts w:ascii="Times New Roman" w:hAnsi="Times New Roman" w:cs="Times New Roman"/>
          <w:b/>
          <w:sz w:val="24"/>
          <w:szCs w:val="24"/>
          <w:lang w:eastAsia="en-AU"/>
        </w:rPr>
      </w:pPr>
    </w:p>
    <w:p w14:paraId="0FE13DD6" w14:textId="123F9E9D" w:rsidR="00290C57" w:rsidRPr="007C51C3" w:rsidRDefault="002F190B" w:rsidP="00CC2E79">
      <w:pPr>
        <w:tabs>
          <w:tab w:val="left" w:pos="1276"/>
          <w:tab w:val="left" w:pos="1560"/>
        </w:tabs>
        <w:spacing w:after="0" w:line="240" w:lineRule="auto"/>
        <w:ind w:left="1701" w:hanging="1701"/>
        <w:rPr>
          <w:rFonts w:cstheme="minorHAnsi"/>
          <w:lang w:eastAsia="en-AU"/>
        </w:rPr>
      </w:pPr>
      <w:r w:rsidRPr="007C51C3">
        <w:rPr>
          <w:rFonts w:cstheme="minorHAnsi"/>
          <w:b/>
          <w:lang w:eastAsia="en-AU"/>
        </w:rPr>
        <w:t>Prepared by</w:t>
      </w:r>
      <w:r w:rsidRPr="007C51C3">
        <w:rPr>
          <w:rFonts w:cstheme="minorHAnsi"/>
          <w:lang w:eastAsia="en-AU"/>
        </w:rPr>
        <w:tab/>
      </w:r>
      <w:r w:rsidR="00290C57" w:rsidRPr="007C51C3">
        <w:rPr>
          <w:rFonts w:cstheme="minorHAnsi"/>
          <w:lang w:eastAsia="en-AU"/>
        </w:rPr>
        <w:tab/>
      </w:r>
      <w:r w:rsidRPr="007C51C3">
        <w:rPr>
          <w:rFonts w:cstheme="minorHAnsi"/>
          <w:lang w:eastAsia="en-AU"/>
        </w:rPr>
        <w:t xml:space="preserve">: </w:t>
      </w:r>
      <w:r w:rsidR="00E910C3" w:rsidRPr="007C51C3">
        <w:rPr>
          <w:rFonts w:cstheme="minorHAnsi"/>
          <w:lang w:eastAsia="en-AU"/>
        </w:rPr>
        <w:t xml:space="preserve">Sarah Leslie, </w:t>
      </w:r>
      <w:r w:rsidR="005832B0" w:rsidRPr="007C51C3">
        <w:rPr>
          <w:rFonts w:cstheme="minorHAnsi"/>
          <w:lang w:eastAsia="en-AU"/>
        </w:rPr>
        <w:t xml:space="preserve">Senior Program Manager </w:t>
      </w:r>
      <w:r w:rsidR="00CC2E79" w:rsidRPr="007C51C3">
        <w:rPr>
          <w:rFonts w:cstheme="minorHAnsi"/>
          <w:lang w:eastAsia="en-AU"/>
        </w:rPr>
        <w:t xml:space="preserve">Basic Education </w:t>
      </w:r>
      <w:r w:rsidR="005832B0" w:rsidRPr="007C51C3">
        <w:rPr>
          <w:rFonts w:cstheme="minorHAnsi"/>
          <w:lang w:eastAsia="en-AU"/>
        </w:rPr>
        <w:t>Performance</w:t>
      </w:r>
      <w:r w:rsidR="00CC2E79" w:rsidRPr="007C51C3">
        <w:rPr>
          <w:rFonts w:cstheme="minorHAnsi"/>
          <w:lang w:eastAsia="en-AU"/>
        </w:rPr>
        <w:t xml:space="preserve"> and Visibility</w:t>
      </w:r>
      <w:r w:rsidR="00767A40">
        <w:rPr>
          <w:rFonts w:cstheme="minorHAnsi"/>
          <w:lang w:eastAsia="en-AU"/>
        </w:rPr>
        <w:t>, Jerry Strudwick, Education Advisor</w:t>
      </w:r>
    </w:p>
    <w:p w14:paraId="4F0DEAD8" w14:textId="165E9D2E" w:rsidR="008C733B" w:rsidRPr="007C51C3" w:rsidRDefault="00290C57" w:rsidP="00290C57">
      <w:pPr>
        <w:tabs>
          <w:tab w:val="left" w:pos="1539"/>
        </w:tabs>
        <w:spacing w:after="0" w:line="240" w:lineRule="auto"/>
        <w:rPr>
          <w:rFonts w:cstheme="minorHAnsi"/>
          <w:lang w:eastAsia="en-AU"/>
        </w:rPr>
      </w:pPr>
      <w:r w:rsidRPr="007C51C3">
        <w:rPr>
          <w:rFonts w:cstheme="minorHAnsi"/>
          <w:b/>
          <w:lang w:eastAsia="en-AU"/>
        </w:rPr>
        <w:tab/>
      </w:r>
      <w:r w:rsidR="00D93E8D">
        <w:rPr>
          <w:rFonts w:cstheme="minorHAnsi"/>
          <w:b/>
          <w:lang w:eastAsia="en-AU"/>
        </w:rPr>
        <w:t xml:space="preserve"> </w:t>
      </w:r>
      <w:r w:rsidR="00CC2E79" w:rsidRPr="007C51C3">
        <w:rPr>
          <w:rFonts w:cstheme="minorHAnsi"/>
          <w:b/>
          <w:lang w:eastAsia="en-AU"/>
        </w:rPr>
        <w:t xml:space="preserve"> </w:t>
      </w:r>
    </w:p>
    <w:p w14:paraId="63F751D5" w14:textId="46C0A9A7" w:rsidR="002F190B" w:rsidRPr="007C51C3" w:rsidRDefault="002F190B" w:rsidP="00F35A3E">
      <w:pPr>
        <w:tabs>
          <w:tab w:val="left" w:pos="1539"/>
        </w:tabs>
        <w:spacing w:after="0" w:line="240" w:lineRule="auto"/>
        <w:ind w:left="1440" w:hanging="1440"/>
        <w:rPr>
          <w:rFonts w:cstheme="minorHAnsi"/>
          <w:lang w:eastAsia="en-AU"/>
        </w:rPr>
      </w:pPr>
      <w:r w:rsidRPr="007C51C3">
        <w:rPr>
          <w:rFonts w:cstheme="minorHAnsi"/>
          <w:b/>
          <w:lang w:eastAsia="en-AU"/>
        </w:rPr>
        <w:t>Through</w:t>
      </w:r>
      <w:r w:rsidRPr="007C51C3">
        <w:rPr>
          <w:rFonts w:cstheme="minorHAnsi"/>
          <w:b/>
          <w:lang w:eastAsia="en-AU"/>
        </w:rPr>
        <w:tab/>
      </w:r>
      <w:r w:rsidR="00290C57" w:rsidRPr="007C51C3">
        <w:rPr>
          <w:rFonts w:cstheme="minorHAnsi"/>
          <w:b/>
          <w:lang w:eastAsia="en-AU"/>
        </w:rPr>
        <w:tab/>
      </w:r>
      <w:r w:rsidRPr="007C51C3">
        <w:rPr>
          <w:rFonts w:cstheme="minorHAnsi"/>
          <w:lang w:eastAsia="en-AU"/>
        </w:rPr>
        <w:t>:</w:t>
      </w:r>
      <w:r w:rsidR="00404AD8" w:rsidRPr="007C51C3">
        <w:rPr>
          <w:rFonts w:cstheme="minorHAnsi"/>
          <w:lang w:eastAsia="en-AU"/>
        </w:rPr>
        <w:t xml:space="preserve"> </w:t>
      </w:r>
      <w:r w:rsidR="0034776F" w:rsidRPr="007C51C3">
        <w:rPr>
          <w:rFonts w:cstheme="minorHAnsi"/>
          <w:lang w:eastAsia="en-AU"/>
        </w:rPr>
        <w:t>Sarah Lendon</w:t>
      </w:r>
      <w:r w:rsidR="005832B0" w:rsidRPr="007C51C3">
        <w:rPr>
          <w:rFonts w:cstheme="minorHAnsi"/>
          <w:lang w:eastAsia="en-AU"/>
        </w:rPr>
        <w:t>, Counsellor</w:t>
      </w:r>
      <w:r w:rsidR="005C7465" w:rsidRPr="007C51C3">
        <w:rPr>
          <w:rFonts w:cstheme="minorHAnsi"/>
          <w:lang w:eastAsia="en-AU"/>
        </w:rPr>
        <w:t>,</w:t>
      </w:r>
      <w:r w:rsidR="005832B0" w:rsidRPr="007C51C3">
        <w:rPr>
          <w:rFonts w:cstheme="minorHAnsi"/>
          <w:lang w:eastAsia="en-AU"/>
        </w:rPr>
        <w:t xml:space="preserve"> Education, Scholarships and Knowledge</w:t>
      </w:r>
    </w:p>
    <w:p w14:paraId="12FD9A6A" w14:textId="568CDD0A" w:rsidR="007A65C0" w:rsidRDefault="009941BA" w:rsidP="008573E4">
      <w:pPr>
        <w:tabs>
          <w:tab w:val="left" w:pos="1701"/>
        </w:tabs>
        <w:spacing w:after="0" w:line="240" w:lineRule="auto"/>
        <w:ind w:left="1701" w:hanging="1440"/>
        <w:rPr>
          <w:rFonts w:cstheme="minorHAnsi"/>
          <w:lang w:eastAsia="en-AU"/>
        </w:rPr>
      </w:pPr>
      <w:r w:rsidRPr="007C51C3">
        <w:rPr>
          <w:rFonts w:cstheme="minorHAnsi"/>
          <w:b/>
          <w:lang w:eastAsia="en-AU"/>
        </w:rPr>
        <w:tab/>
      </w:r>
      <w:r w:rsidR="00CD7626" w:rsidRPr="007C51C3">
        <w:rPr>
          <w:rFonts w:cstheme="minorHAnsi"/>
          <w:lang w:eastAsia="en-AU"/>
        </w:rPr>
        <w:t>Jean-Bernard Carrasco, Minister Counsellor</w:t>
      </w:r>
      <w:r w:rsidR="007A65C0">
        <w:rPr>
          <w:rFonts w:cstheme="minorHAnsi"/>
          <w:lang w:eastAsia="en-AU"/>
        </w:rPr>
        <w:t>, Australian Embassy, Jakarta</w:t>
      </w:r>
    </w:p>
    <w:p w14:paraId="7508A1A5" w14:textId="77777777" w:rsidR="008573E4" w:rsidRPr="007C51C3" w:rsidRDefault="008573E4" w:rsidP="008573E4">
      <w:pPr>
        <w:tabs>
          <w:tab w:val="left" w:pos="1701"/>
        </w:tabs>
        <w:spacing w:after="0" w:line="240" w:lineRule="auto"/>
        <w:ind w:left="1701" w:hanging="1440"/>
        <w:rPr>
          <w:rFonts w:cstheme="minorHAnsi"/>
          <w:lang w:eastAsia="en-AU"/>
        </w:rPr>
      </w:pPr>
    </w:p>
    <w:p w14:paraId="3E4676D0" w14:textId="79F84934" w:rsidR="00325FB9" w:rsidRPr="007C51C3" w:rsidRDefault="008C733B" w:rsidP="00325FB9">
      <w:pPr>
        <w:tabs>
          <w:tab w:val="left" w:pos="1539"/>
        </w:tabs>
        <w:spacing w:after="0" w:line="240" w:lineRule="auto"/>
        <w:rPr>
          <w:rFonts w:cstheme="minorHAnsi"/>
          <w:lang w:eastAsia="en-AU"/>
        </w:rPr>
      </w:pPr>
      <w:r w:rsidRPr="007C51C3">
        <w:rPr>
          <w:rFonts w:cstheme="minorHAnsi"/>
          <w:b/>
          <w:lang w:eastAsia="en-AU"/>
        </w:rPr>
        <w:t>Approved by</w:t>
      </w:r>
      <w:r w:rsidR="002F190B" w:rsidRPr="007C51C3">
        <w:rPr>
          <w:rFonts w:cstheme="minorHAnsi"/>
          <w:lang w:eastAsia="en-AU"/>
        </w:rPr>
        <w:tab/>
        <w:t>:</w:t>
      </w:r>
      <w:r w:rsidR="004A44D9" w:rsidRPr="007C51C3">
        <w:rPr>
          <w:rFonts w:cstheme="minorHAnsi"/>
          <w:lang w:eastAsia="en-AU"/>
        </w:rPr>
        <w:t xml:space="preserve"> </w:t>
      </w:r>
      <w:r w:rsidR="00F35A3E" w:rsidRPr="007C51C3">
        <w:rPr>
          <w:rFonts w:cstheme="minorHAnsi"/>
          <w:lang w:eastAsia="en-AU"/>
        </w:rPr>
        <w:t>James Gilling</w:t>
      </w:r>
      <w:r w:rsidR="005832B0" w:rsidRPr="007C51C3">
        <w:rPr>
          <w:rFonts w:cstheme="minorHAnsi"/>
          <w:lang w:eastAsia="en-AU"/>
        </w:rPr>
        <w:t>, Minister</w:t>
      </w:r>
      <w:r w:rsidR="007A65C0">
        <w:rPr>
          <w:rFonts w:cstheme="minorHAnsi"/>
          <w:lang w:eastAsia="en-AU"/>
        </w:rPr>
        <w:t>, Australian Embassy, Jakarta</w:t>
      </w:r>
      <w:r w:rsidR="00D93E8D">
        <w:rPr>
          <w:rFonts w:cstheme="minorHAnsi"/>
          <w:lang w:eastAsia="en-AU"/>
        </w:rPr>
        <w:t xml:space="preserve"> </w:t>
      </w:r>
      <w:r w:rsidR="00E910C3" w:rsidRPr="007C51C3">
        <w:rPr>
          <w:rFonts w:cstheme="minorHAnsi"/>
          <w:lang w:eastAsia="en-AU"/>
        </w:rPr>
        <w:tab/>
      </w:r>
    </w:p>
    <w:p w14:paraId="3048DC0F" w14:textId="77777777" w:rsidR="00325FB9" w:rsidRPr="007C51C3" w:rsidRDefault="00325FB9" w:rsidP="00325FB9">
      <w:pPr>
        <w:tabs>
          <w:tab w:val="left" w:pos="1539"/>
        </w:tabs>
        <w:spacing w:after="0" w:line="240" w:lineRule="auto"/>
        <w:ind w:left="1440" w:hanging="1440"/>
        <w:rPr>
          <w:rFonts w:cstheme="minorHAnsi"/>
          <w:lang w:eastAsia="en-AU"/>
        </w:rPr>
      </w:pPr>
    </w:p>
    <w:p w14:paraId="16F71225" w14:textId="00004041" w:rsidR="00B82459" w:rsidRPr="007C51C3" w:rsidRDefault="008C733B" w:rsidP="00A71114">
      <w:pPr>
        <w:tabs>
          <w:tab w:val="left" w:pos="1539"/>
        </w:tabs>
        <w:spacing w:after="0" w:line="240" w:lineRule="auto"/>
        <w:rPr>
          <w:rFonts w:cstheme="minorHAnsi"/>
          <w:lang w:eastAsia="en-AU"/>
        </w:rPr>
      </w:pPr>
      <w:r w:rsidRPr="007C51C3">
        <w:rPr>
          <w:rFonts w:cstheme="minorHAnsi"/>
          <w:b/>
          <w:lang w:eastAsia="en-AU"/>
        </w:rPr>
        <w:t>Date Approved</w:t>
      </w:r>
      <w:r w:rsidR="00FF42AA">
        <w:rPr>
          <w:rFonts w:cstheme="minorHAnsi"/>
          <w:b/>
          <w:lang w:eastAsia="en-AU"/>
        </w:rPr>
        <w:tab/>
      </w:r>
      <w:r w:rsidRPr="00FF42AA">
        <w:rPr>
          <w:rFonts w:cstheme="minorHAnsi"/>
          <w:lang w:eastAsia="en-AU"/>
        </w:rPr>
        <w:t>:</w:t>
      </w:r>
      <w:r w:rsidRPr="007C51C3">
        <w:rPr>
          <w:rFonts w:cstheme="minorHAnsi"/>
          <w:lang w:eastAsia="en-AU"/>
        </w:rPr>
        <w:tab/>
      </w:r>
      <w:r w:rsidR="001A5DE7">
        <w:rPr>
          <w:rFonts w:cstheme="minorHAnsi"/>
          <w:lang w:eastAsia="en-AU"/>
        </w:rPr>
        <w:t>17 April 2015</w:t>
      </w:r>
    </w:p>
    <w:p w14:paraId="76BBBE82" w14:textId="77777777" w:rsidR="00B32886" w:rsidRPr="007C51C3" w:rsidRDefault="00732691" w:rsidP="00D16943">
      <w:pPr>
        <w:pStyle w:val="DocName"/>
        <w:shd w:val="clear" w:color="auto" w:fill="FFFFCC"/>
        <w:spacing w:before="240" w:after="240"/>
        <w:jc w:val="left"/>
        <w:rPr>
          <w:rFonts w:asciiTheme="minorHAnsi" w:hAnsiTheme="minorHAnsi" w:cstheme="minorHAnsi"/>
          <w:sz w:val="22"/>
          <w:szCs w:val="22"/>
          <w:lang w:eastAsia="en-AU"/>
        </w:rPr>
      </w:pPr>
      <w:r w:rsidRPr="007C51C3">
        <w:rPr>
          <w:rFonts w:asciiTheme="minorHAnsi" w:hAnsiTheme="minorHAnsi" w:cstheme="minorHAnsi"/>
          <w:sz w:val="22"/>
          <w:szCs w:val="22"/>
          <w:lang w:eastAsia="en-AU"/>
        </w:rPr>
        <w:t xml:space="preserve">The 2014 </w:t>
      </w:r>
      <w:r w:rsidR="00B32886" w:rsidRPr="007C51C3">
        <w:rPr>
          <w:rFonts w:asciiTheme="minorHAnsi" w:hAnsiTheme="minorHAnsi" w:cstheme="minorHAnsi"/>
          <w:sz w:val="22"/>
          <w:szCs w:val="22"/>
          <w:lang w:eastAsia="en-AU"/>
        </w:rPr>
        <w:t>Annual Partnership Performance Report</w:t>
      </w:r>
    </w:p>
    <w:p w14:paraId="1B887D03" w14:textId="77777777" w:rsidR="00B32886" w:rsidRPr="007C51C3" w:rsidRDefault="00B32886" w:rsidP="008D1A91">
      <w:pPr>
        <w:spacing w:after="0" w:line="240" w:lineRule="auto"/>
        <w:jc w:val="both"/>
        <w:rPr>
          <w:rFonts w:cstheme="minorHAnsi"/>
          <w:b/>
        </w:rPr>
      </w:pPr>
      <w:r w:rsidRPr="007C51C3">
        <w:rPr>
          <w:rFonts w:cstheme="minorHAnsi"/>
          <w:b/>
        </w:rPr>
        <w:t>Report Objective:</w:t>
      </w:r>
    </w:p>
    <w:p w14:paraId="5E309243" w14:textId="537817C9" w:rsidR="00E72789" w:rsidRPr="007C51C3" w:rsidRDefault="00FF6D6E" w:rsidP="007C51C3">
      <w:pPr>
        <w:spacing w:after="0" w:line="240" w:lineRule="auto"/>
        <w:rPr>
          <w:rFonts w:cstheme="minorHAnsi"/>
        </w:rPr>
      </w:pPr>
      <w:r w:rsidRPr="00851EC7">
        <w:rPr>
          <w:rFonts w:eastAsia="Calibri" w:cstheme="minorHAnsi"/>
          <w:szCs w:val="24"/>
          <w:lang w:eastAsia="en-AU"/>
        </w:rPr>
        <w:t>The A</w:t>
      </w:r>
      <w:r>
        <w:rPr>
          <w:rFonts w:eastAsia="Calibri" w:cstheme="minorHAnsi"/>
          <w:szCs w:val="24"/>
          <w:lang w:eastAsia="en-AU"/>
        </w:rPr>
        <w:t>PPR pr</w:t>
      </w:r>
      <w:r w:rsidRPr="00851EC7">
        <w:rPr>
          <w:rFonts w:eastAsia="Calibri" w:cstheme="minorHAnsi"/>
          <w:szCs w:val="24"/>
          <w:lang w:eastAsia="en-AU"/>
        </w:rPr>
        <w:t xml:space="preserve">ovides an assessment of </w:t>
      </w:r>
      <w:r>
        <w:rPr>
          <w:rFonts w:eastAsia="Calibri" w:cstheme="minorHAnsi"/>
          <w:szCs w:val="24"/>
          <w:lang w:eastAsia="en-AU"/>
        </w:rPr>
        <w:t>E</w:t>
      </w:r>
      <w:r w:rsidR="007A65C0">
        <w:rPr>
          <w:rFonts w:eastAsia="Calibri" w:cstheme="minorHAnsi"/>
          <w:szCs w:val="24"/>
          <w:lang w:eastAsia="en-AU"/>
        </w:rPr>
        <w:t xml:space="preserve">ducation Partnership </w:t>
      </w:r>
      <w:r>
        <w:rPr>
          <w:rFonts w:eastAsia="Calibri" w:cstheme="minorHAnsi"/>
          <w:szCs w:val="24"/>
          <w:lang w:eastAsia="en-AU"/>
        </w:rPr>
        <w:t>a</w:t>
      </w:r>
      <w:r w:rsidRPr="00851EC7">
        <w:rPr>
          <w:rFonts w:eastAsia="Calibri" w:cstheme="minorHAnsi"/>
          <w:szCs w:val="24"/>
          <w:lang w:eastAsia="en-AU"/>
        </w:rPr>
        <w:t>chievements, weaknesses, opportunities and challenges</w:t>
      </w:r>
      <w:r w:rsidR="004F5C46">
        <w:rPr>
          <w:rFonts w:eastAsia="Calibri" w:cstheme="minorHAnsi"/>
          <w:szCs w:val="24"/>
          <w:lang w:eastAsia="en-AU"/>
        </w:rPr>
        <w:t xml:space="preserve"> (see Annex 1 for background)</w:t>
      </w:r>
      <w:r w:rsidRPr="00851EC7">
        <w:rPr>
          <w:rFonts w:eastAsia="Calibri" w:cstheme="minorHAnsi"/>
          <w:szCs w:val="24"/>
          <w:lang w:eastAsia="en-AU"/>
        </w:rPr>
        <w:t xml:space="preserve">. </w:t>
      </w:r>
      <w:r>
        <w:rPr>
          <w:rFonts w:eastAsia="Calibri" w:cstheme="minorHAnsi"/>
          <w:szCs w:val="24"/>
          <w:lang w:eastAsia="en-AU"/>
        </w:rPr>
        <w:t xml:space="preserve">It </w:t>
      </w:r>
      <w:r w:rsidRPr="00851EC7">
        <w:rPr>
          <w:rFonts w:eastAsia="Calibri" w:cstheme="minorHAnsi"/>
          <w:szCs w:val="24"/>
          <w:lang w:eastAsia="en-AU"/>
        </w:rPr>
        <w:t xml:space="preserve">speaks to the </w:t>
      </w:r>
      <w:r w:rsidR="004F5C46" w:rsidRPr="004F5C46">
        <w:rPr>
          <w:rFonts w:eastAsia="Calibri" w:cstheme="minorHAnsi"/>
          <w:szCs w:val="24"/>
          <w:lang w:eastAsia="en-AU"/>
        </w:rPr>
        <w:t>Government of Australia</w:t>
      </w:r>
      <w:r w:rsidR="004F5C46">
        <w:rPr>
          <w:rFonts w:eastAsia="Calibri" w:cstheme="minorHAnsi"/>
          <w:szCs w:val="24"/>
          <w:lang w:eastAsia="en-AU"/>
        </w:rPr>
        <w:t>’s</w:t>
      </w:r>
      <w:r w:rsidR="004F5C46" w:rsidRPr="004F5C46">
        <w:rPr>
          <w:rFonts w:eastAsia="Calibri" w:cstheme="minorHAnsi"/>
          <w:szCs w:val="24"/>
          <w:lang w:eastAsia="en-AU"/>
        </w:rPr>
        <w:t xml:space="preserve"> </w:t>
      </w:r>
      <w:r w:rsidR="004F5C46">
        <w:rPr>
          <w:rFonts w:eastAsia="Calibri" w:cstheme="minorHAnsi"/>
          <w:szCs w:val="24"/>
          <w:lang w:eastAsia="en-AU"/>
        </w:rPr>
        <w:t>performance assessment</w:t>
      </w:r>
      <w:r w:rsidR="00996A10">
        <w:rPr>
          <w:rFonts w:eastAsia="Calibri" w:cstheme="minorHAnsi"/>
          <w:szCs w:val="24"/>
          <w:lang w:eastAsia="en-AU"/>
        </w:rPr>
        <w:t xml:space="preserve"> agenda</w:t>
      </w:r>
      <w:r w:rsidRPr="00851EC7">
        <w:rPr>
          <w:rFonts w:eastAsia="Calibri" w:cstheme="minorHAnsi"/>
          <w:szCs w:val="24"/>
          <w:lang w:eastAsia="en-AU"/>
        </w:rPr>
        <w:t>, whil</w:t>
      </w:r>
      <w:r>
        <w:rPr>
          <w:rFonts w:eastAsia="Calibri" w:cstheme="minorHAnsi"/>
          <w:szCs w:val="24"/>
          <w:lang w:eastAsia="en-AU"/>
        </w:rPr>
        <w:t>e</w:t>
      </w:r>
      <w:r w:rsidRPr="00851EC7">
        <w:rPr>
          <w:rFonts w:eastAsia="Calibri" w:cstheme="minorHAnsi"/>
          <w:szCs w:val="24"/>
          <w:lang w:eastAsia="en-AU"/>
        </w:rPr>
        <w:t xml:space="preserve"> inform</w:t>
      </w:r>
      <w:r>
        <w:rPr>
          <w:rFonts w:eastAsia="Calibri" w:cstheme="minorHAnsi"/>
          <w:szCs w:val="24"/>
          <w:lang w:eastAsia="en-AU"/>
        </w:rPr>
        <w:t>ing</w:t>
      </w:r>
      <w:r w:rsidRPr="00851EC7">
        <w:rPr>
          <w:rFonts w:eastAsia="Calibri" w:cstheme="minorHAnsi"/>
          <w:szCs w:val="24"/>
          <w:lang w:eastAsia="en-AU"/>
        </w:rPr>
        <w:t xml:space="preserve"> program management decisions and strategic dialogue between the Go</w:t>
      </w:r>
      <w:r w:rsidR="007A65C0">
        <w:rPr>
          <w:rFonts w:eastAsia="Calibri" w:cstheme="minorHAnsi"/>
          <w:szCs w:val="24"/>
          <w:lang w:eastAsia="en-AU"/>
        </w:rPr>
        <w:t>vernment of Australia (Go</w:t>
      </w:r>
      <w:r>
        <w:rPr>
          <w:rFonts w:eastAsia="Calibri" w:cstheme="minorHAnsi"/>
          <w:szCs w:val="24"/>
          <w:lang w:eastAsia="en-AU"/>
        </w:rPr>
        <w:t>A</w:t>
      </w:r>
      <w:r w:rsidR="007A65C0">
        <w:rPr>
          <w:rFonts w:eastAsia="Calibri" w:cstheme="minorHAnsi"/>
          <w:szCs w:val="24"/>
          <w:lang w:eastAsia="en-AU"/>
        </w:rPr>
        <w:t>)</w:t>
      </w:r>
      <w:r>
        <w:rPr>
          <w:rFonts w:eastAsia="Calibri" w:cstheme="minorHAnsi"/>
          <w:szCs w:val="24"/>
          <w:lang w:eastAsia="en-AU"/>
        </w:rPr>
        <w:t xml:space="preserve"> and </w:t>
      </w:r>
      <w:r w:rsidR="004F5C46">
        <w:rPr>
          <w:rFonts w:eastAsia="Calibri" w:cstheme="minorHAnsi"/>
          <w:szCs w:val="24"/>
          <w:lang w:eastAsia="en-AU"/>
        </w:rPr>
        <w:t>Government of Indonesia (</w:t>
      </w:r>
      <w:r>
        <w:rPr>
          <w:rFonts w:eastAsia="Calibri" w:cstheme="minorHAnsi"/>
          <w:szCs w:val="24"/>
          <w:lang w:eastAsia="en-AU"/>
        </w:rPr>
        <w:t>GoI</w:t>
      </w:r>
      <w:r w:rsidR="004F5C46">
        <w:rPr>
          <w:rFonts w:eastAsia="Calibri" w:cstheme="minorHAnsi"/>
          <w:szCs w:val="24"/>
          <w:lang w:eastAsia="en-AU"/>
        </w:rPr>
        <w:t>)</w:t>
      </w:r>
      <w:r w:rsidRPr="00851EC7">
        <w:rPr>
          <w:rFonts w:eastAsia="Calibri" w:cstheme="minorHAnsi"/>
          <w:szCs w:val="24"/>
          <w:lang w:eastAsia="en-AU"/>
        </w:rPr>
        <w:t xml:space="preserve"> about sector performance and emerging priorities. The APPR </w:t>
      </w:r>
      <w:r w:rsidR="000919C5">
        <w:rPr>
          <w:rFonts w:eastAsia="Calibri" w:cstheme="minorHAnsi"/>
          <w:szCs w:val="24"/>
          <w:lang w:eastAsia="en-AU"/>
        </w:rPr>
        <w:t xml:space="preserve">focuses on </w:t>
      </w:r>
      <w:r w:rsidRPr="00851EC7">
        <w:rPr>
          <w:rFonts w:eastAsia="Calibri" w:cstheme="minorHAnsi"/>
          <w:szCs w:val="24"/>
          <w:lang w:eastAsia="en-AU"/>
        </w:rPr>
        <w:t>relevance, ef</w:t>
      </w:r>
      <w:r>
        <w:rPr>
          <w:rFonts w:eastAsia="Calibri" w:cstheme="minorHAnsi"/>
          <w:szCs w:val="24"/>
          <w:lang w:eastAsia="en-AU"/>
        </w:rPr>
        <w:t>ficiency, effectiveness, impact an</w:t>
      </w:r>
      <w:r w:rsidRPr="00851EC7">
        <w:rPr>
          <w:rFonts w:eastAsia="Calibri" w:cstheme="minorHAnsi"/>
          <w:szCs w:val="24"/>
          <w:lang w:eastAsia="en-AU"/>
        </w:rPr>
        <w:t>d sustainability</w:t>
      </w:r>
      <w:r>
        <w:rPr>
          <w:rFonts w:eastAsia="Calibri" w:cstheme="minorHAnsi"/>
          <w:szCs w:val="24"/>
          <w:lang w:eastAsia="en-AU"/>
        </w:rPr>
        <w:t>.</w:t>
      </w:r>
      <w:r w:rsidR="00D93E8D">
        <w:rPr>
          <w:rFonts w:eastAsia="Calibri" w:cstheme="minorHAnsi"/>
          <w:szCs w:val="24"/>
          <w:lang w:eastAsia="en-AU"/>
        </w:rPr>
        <w:t xml:space="preserve"> </w:t>
      </w:r>
      <w:r>
        <w:rPr>
          <w:rFonts w:eastAsia="Calibri" w:cstheme="minorHAnsi"/>
          <w:szCs w:val="24"/>
          <w:lang w:eastAsia="en-AU"/>
        </w:rPr>
        <w:t xml:space="preserve">It is designed to comply with </w:t>
      </w:r>
      <w:r w:rsidR="007A65C0">
        <w:rPr>
          <w:rFonts w:eastAsia="Calibri" w:cstheme="minorHAnsi"/>
          <w:szCs w:val="24"/>
          <w:lang w:eastAsia="en-AU"/>
        </w:rPr>
        <w:t>GoA</w:t>
      </w:r>
      <w:r w:rsidRPr="00851EC7">
        <w:rPr>
          <w:bCs/>
        </w:rPr>
        <w:t xml:space="preserve">’s </w:t>
      </w:r>
      <w:r w:rsidR="00535D4F">
        <w:rPr>
          <w:bCs/>
        </w:rPr>
        <w:t>aid quality processes</w:t>
      </w:r>
      <w:r>
        <w:rPr>
          <w:bCs/>
        </w:rPr>
        <w:t>.</w:t>
      </w:r>
      <w:r w:rsidR="00252BD8" w:rsidRPr="007C51C3">
        <w:rPr>
          <w:rFonts w:cstheme="minorHAnsi"/>
        </w:rPr>
        <w:t xml:space="preserve"> </w:t>
      </w:r>
      <w:r w:rsidR="009C7866" w:rsidRPr="007C51C3">
        <w:rPr>
          <w:rFonts w:cstheme="minorHAnsi"/>
        </w:rPr>
        <w:t>It</w:t>
      </w:r>
      <w:r w:rsidR="00252BD8" w:rsidRPr="007C51C3">
        <w:rPr>
          <w:rFonts w:cstheme="minorHAnsi"/>
        </w:rPr>
        <w:t xml:space="preserve"> </w:t>
      </w:r>
      <w:r w:rsidR="003F0719" w:rsidRPr="007C51C3">
        <w:rPr>
          <w:rFonts w:cstheme="minorHAnsi"/>
        </w:rPr>
        <w:t>present</w:t>
      </w:r>
      <w:r w:rsidR="009C7866" w:rsidRPr="007C51C3">
        <w:rPr>
          <w:rFonts w:cstheme="minorHAnsi"/>
        </w:rPr>
        <w:t>s</w:t>
      </w:r>
      <w:r w:rsidR="00252BD8" w:rsidRPr="007C51C3">
        <w:rPr>
          <w:rFonts w:cstheme="minorHAnsi"/>
        </w:rPr>
        <w:t xml:space="preserve"> recommendations for action</w:t>
      </w:r>
      <w:r w:rsidR="008D66E3" w:rsidRPr="007C51C3">
        <w:rPr>
          <w:rFonts w:cstheme="minorHAnsi"/>
        </w:rPr>
        <w:t>s</w:t>
      </w:r>
      <w:r w:rsidR="00252BD8" w:rsidRPr="007C51C3">
        <w:rPr>
          <w:rFonts w:cstheme="minorHAnsi"/>
        </w:rPr>
        <w:t xml:space="preserve"> to improve </w:t>
      </w:r>
      <w:r w:rsidR="0050378A">
        <w:rPr>
          <w:rFonts w:cstheme="minorHAnsi"/>
        </w:rPr>
        <w:t>the Education Partnership</w:t>
      </w:r>
      <w:r>
        <w:rPr>
          <w:rFonts w:cstheme="minorHAnsi"/>
        </w:rPr>
        <w:t xml:space="preserve"> </w:t>
      </w:r>
      <w:r w:rsidR="00252BD8" w:rsidRPr="007C51C3">
        <w:rPr>
          <w:rFonts w:cstheme="minorHAnsi"/>
        </w:rPr>
        <w:t>performance</w:t>
      </w:r>
      <w:r>
        <w:rPr>
          <w:rFonts w:cstheme="minorHAnsi"/>
        </w:rPr>
        <w:t xml:space="preserve">. This </w:t>
      </w:r>
      <w:r w:rsidR="00B72B5B" w:rsidRPr="007C51C3">
        <w:rPr>
          <w:rFonts w:cstheme="minorHAnsi"/>
        </w:rPr>
        <w:t xml:space="preserve">is the </w:t>
      </w:r>
      <w:r w:rsidR="005E736F">
        <w:rPr>
          <w:rFonts w:cstheme="minorHAnsi"/>
        </w:rPr>
        <w:t>fourth</w:t>
      </w:r>
      <w:r w:rsidR="005E736F" w:rsidRPr="007C51C3">
        <w:rPr>
          <w:rFonts w:cstheme="minorHAnsi"/>
        </w:rPr>
        <w:t xml:space="preserve"> </w:t>
      </w:r>
      <w:r w:rsidR="00B72B5B" w:rsidRPr="007C51C3">
        <w:rPr>
          <w:rFonts w:cstheme="minorHAnsi"/>
        </w:rPr>
        <w:t>APPR produced by POM</w:t>
      </w:r>
      <w:r>
        <w:rPr>
          <w:rFonts w:cstheme="minorHAnsi"/>
        </w:rPr>
        <w:t xml:space="preserve"> </w:t>
      </w:r>
      <w:r w:rsidR="004F5C46">
        <w:rPr>
          <w:rFonts w:cstheme="minorHAnsi"/>
        </w:rPr>
        <w:t>-</w:t>
      </w:r>
      <w:r w:rsidR="00B77B79">
        <w:rPr>
          <w:rFonts w:cstheme="minorHAnsi"/>
        </w:rPr>
        <w:t xml:space="preserve"> </w:t>
      </w:r>
      <w:r w:rsidR="004F5C46">
        <w:t xml:space="preserve">the Education Partnership’s </w:t>
      </w:r>
      <w:r w:rsidR="004F5C46" w:rsidRPr="00851EC7">
        <w:rPr>
          <w:rFonts w:cstheme="minorHAnsi"/>
          <w:szCs w:val="24"/>
          <w:lang w:eastAsia="en-AU"/>
        </w:rPr>
        <w:t xml:space="preserve">Performance Oversight and Monitoring </w:t>
      </w:r>
      <w:r w:rsidR="004F5C46">
        <w:rPr>
          <w:rFonts w:cstheme="minorHAnsi"/>
          <w:szCs w:val="24"/>
          <w:lang w:eastAsia="en-AU"/>
        </w:rPr>
        <w:t>Contractor.</w:t>
      </w:r>
    </w:p>
    <w:p w14:paraId="0867FAB2" w14:textId="77777777" w:rsidR="007C51C3" w:rsidRDefault="007C51C3" w:rsidP="00C92837">
      <w:pPr>
        <w:spacing w:after="0" w:line="240" w:lineRule="auto"/>
        <w:rPr>
          <w:rFonts w:cstheme="minorHAnsi"/>
          <w:b/>
        </w:rPr>
      </w:pPr>
    </w:p>
    <w:p w14:paraId="180936CA" w14:textId="77777777" w:rsidR="00482A1A" w:rsidRPr="007C51C3" w:rsidRDefault="003F0719" w:rsidP="007C51C3">
      <w:pPr>
        <w:spacing w:after="0" w:line="240" w:lineRule="auto"/>
        <w:rPr>
          <w:rFonts w:cstheme="minorHAnsi"/>
          <w:b/>
        </w:rPr>
      </w:pPr>
      <w:r w:rsidRPr="007C51C3">
        <w:rPr>
          <w:rFonts w:cstheme="minorHAnsi"/>
          <w:b/>
        </w:rPr>
        <w:t>Key conclusions of the report</w:t>
      </w:r>
    </w:p>
    <w:p w14:paraId="348798BC" w14:textId="24E2FDB9" w:rsidR="00EB6F50" w:rsidRDefault="00FF42AA" w:rsidP="00EB6F50">
      <w:pPr>
        <w:spacing w:line="240" w:lineRule="auto"/>
      </w:pPr>
      <w:r>
        <w:rPr>
          <w:rFonts w:eastAsia="Calibri" w:cs="Times New Roman"/>
          <w:szCs w:val="24"/>
          <w:lang w:eastAsia="en-AU"/>
        </w:rPr>
        <w:t xml:space="preserve">The </w:t>
      </w:r>
      <w:r w:rsidR="00EB6F50" w:rsidRPr="00851EC7">
        <w:rPr>
          <w:rFonts w:eastAsia="Calibri" w:cs="Times New Roman"/>
          <w:szCs w:val="24"/>
          <w:lang w:eastAsia="en-AU"/>
        </w:rPr>
        <w:t>E</w:t>
      </w:r>
      <w:r>
        <w:rPr>
          <w:rFonts w:eastAsia="Calibri" w:cs="Times New Roman"/>
          <w:szCs w:val="24"/>
          <w:lang w:eastAsia="en-AU"/>
        </w:rPr>
        <w:t xml:space="preserve">ducation </w:t>
      </w:r>
      <w:r w:rsidR="00EB6F50" w:rsidRPr="00851EC7">
        <w:rPr>
          <w:rFonts w:eastAsia="Calibri" w:cs="Times New Roman"/>
          <w:szCs w:val="24"/>
          <w:lang w:eastAsia="en-AU"/>
        </w:rPr>
        <w:t>P</w:t>
      </w:r>
      <w:r>
        <w:rPr>
          <w:rFonts w:eastAsia="Calibri" w:cs="Times New Roman"/>
          <w:szCs w:val="24"/>
          <w:lang w:eastAsia="en-AU"/>
        </w:rPr>
        <w:t xml:space="preserve">artnership’s </w:t>
      </w:r>
      <w:r w:rsidR="00EB6F50" w:rsidRPr="00851EC7">
        <w:rPr>
          <w:rFonts w:eastAsia="Calibri" w:cs="Times New Roman"/>
          <w:szCs w:val="24"/>
          <w:lang w:eastAsia="en-AU"/>
        </w:rPr>
        <w:t xml:space="preserve">interventions </w:t>
      </w:r>
      <w:r w:rsidR="000919C5">
        <w:rPr>
          <w:rFonts w:eastAsia="Calibri" w:cs="Times New Roman"/>
          <w:szCs w:val="24"/>
          <w:lang w:eastAsia="en-AU"/>
        </w:rPr>
        <w:t xml:space="preserve">generally </w:t>
      </w:r>
      <w:r w:rsidR="00EB6F50" w:rsidRPr="00851EC7">
        <w:rPr>
          <w:rFonts w:eastAsia="Calibri" w:cs="Times New Roman"/>
          <w:szCs w:val="24"/>
          <w:lang w:eastAsia="en-AU"/>
        </w:rPr>
        <w:t>remain relevant to the policies and priorities of both governments and</w:t>
      </w:r>
      <w:r w:rsidR="00C92837">
        <w:rPr>
          <w:rFonts w:eastAsia="Calibri" w:cs="Times New Roman"/>
          <w:szCs w:val="24"/>
          <w:lang w:eastAsia="en-AU"/>
        </w:rPr>
        <w:t xml:space="preserve"> </w:t>
      </w:r>
      <w:r w:rsidR="00EB6F50" w:rsidRPr="00851EC7">
        <w:rPr>
          <w:rFonts w:eastAsia="Calibri" w:cs="Times New Roman"/>
          <w:szCs w:val="24"/>
          <w:lang w:eastAsia="en-AU"/>
        </w:rPr>
        <w:t>to the needs of the education sector.</w:t>
      </w:r>
      <w:r w:rsidR="000919C5">
        <w:rPr>
          <w:rFonts w:eastAsia="Calibri" w:cs="Times New Roman"/>
          <w:szCs w:val="24"/>
          <w:lang w:eastAsia="en-AU"/>
        </w:rPr>
        <w:t xml:space="preserve"> The program has been adapted throughout its delivery to ensure it remains relevant, with a reduced focus on access and a greater focus on education quality.</w:t>
      </w:r>
      <w:r w:rsidR="00EB6F50" w:rsidRPr="00851EC7">
        <w:rPr>
          <w:rFonts w:eastAsia="Calibri" w:cs="Times New Roman"/>
          <w:szCs w:val="24"/>
          <w:lang w:eastAsia="en-AU"/>
        </w:rPr>
        <w:t xml:space="preserve"> </w:t>
      </w:r>
      <w:r w:rsidR="00996A10">
        <w:rPr>
          <w:rFonts w:eastAsia="Calibri" w:cs="Times New Roman"/>
          <w:szCs w:val="24"/>
          <w:lang w:eastAsia="en-AU"/>
        </w:rPr>
        <w:t>Significant improvements</w:t>
      </w:r>
      <w:r w:rsidR="00EB6F50" w:rsidRPr="00851EC7">
        <w:rPr>
          <w:rFonts w:eastAsia="Calibri" w:cs="Times New Roman"/>
          <w:szCs w:val="24"/>
          <w:lang w:eastAsia="en-AU"/>
        </w:rPr>
        <w:t xml:space="preserve"> have been made </w:t>
      </w:r>
      <w:r w:rsidR="00C92837">
        <w:rPr>
          <w:rFonts w:eastAsia="Calibri" w:cs="Times New Roman"/>
          <w:szCs w:val="24"/>
          <w:lang w:eastAsia="en-AU"/>
        </w:rPr>
        <w:t xml:space="preserve">in </w:t>
      </w:r>
      <w:r w:rsidR="00EB6F50" w:rsidRPr="00851EC7">
        <w:rPr>
          <w:rFonts w:eastAsia="Calibri" w:cs="Times New Roman"/>
          <w:szCs w:val="24"/>
          <w:lang w:eastAsia="en-AU"/>
        </w:rPr>
        <w:t xml:space="preserve">the efficiency of </w:t>
      </w:r>
      <w:r w:rsidR="0050378A">
        <w:rPr>
          <w:rFonts w:eastAsia="Calibri" w:cs="Times New Roman"/>
          <w:szCs w:val="24"/>
          <w:lang w:eastAsia="en-AU"/>
        </w:rPr>
        <w:t xml:space="preserve">the </w:t>
      </w:r>
      <w:r w:rsidR="00EB6F50" w:rsidRPr="00851EC7">
        <w:rPr>
          <w:rFonts w:eastAsia="Calibri" w:cs="Times New Roman"/>
          <w:szCs w:val="24"/>
          <w:lang w:eastAsia="en-AU"/>
        </w:rPr>
        <w:t>E</w:t>
      </w:r>
      <w:r w:rsidR="0050378A">
        <w:rPr>
          <w:rFonts w:eastAsia="Calibri" w:cs="Times New Roman"/>
          <w:szCs w:val="24"/>
          <w:lang w:eastAsia="en-AU"/>
        </w:rPr>
        <w:t>ducation Partnership</w:t>
      </w:r>
      <w:r w:rsidR="00EB6F50" w:rsidRPr="00851EC7">
        <w:rPr>
          <w:rFonts w:eastAsia="Calibri" w:cs="Times New Roman"/>
          <w:szCs w:val="24"/>
          <w:lang w:eastAsia="en-AU"/>
        </w:rPr>
        <w:t xml:space="preserve"> delivery</w:t>
      </w:r>
      <w:r w:rsidR="00C92837">
        <w:rPr>
          <w:rFonts w:eastAsia="Calibri" w:cs="Times New Roman"/>
          <w:szCs w:val="24"/>
          <w:lang w:eastAsia="en-AU"/>
        </w:rPr>
        <w:t xml:space="preserve"> </w:t>
      </w:r>
      <w:r w:rsidR="00EB6F50" w:rsidRPr="00851EC7">
        <w:rPr>
          <w:rFonts w:eastAsia="Calibri" w:cs="Times New Roman"/>
          <w:szCs w:val="24"/>
          <w:lang w:eastAsia="en-AU"/>
        </w:rPr>
        <w:t>a</w:t>
      </w:r>
      <w:r w:rsidR="00EB6F50">
        <w:rPr>
          <w:rFonts w:eastAsia="Calibri" w:cs="Times New Roman"/>
          <w:szCs w:val="24"/>
          <w:lang w:eastAsia="en-AU"/>
        </w:rPr>
        <w:t>nd</w:t>
      </w:r>
      <w:r w:rsidR="00EB6F50" w:rsidRPr="00851EC7">
        <w:rPr>
          <w:rFonts w:eastAsia="Calibri" w:cs="Times New Roman"/>
          <w:szCs w:val="24"/>
          <w:lang w:eastAsia="en-AU"/>
        </w:rPr>
        <w:t xml:space="preserve"> </w:t>
      </w:r>
      <w:r w:rsidR="00EB6F50">
        <w:rPr>
          <w:rFonts w:eastAsia="Calibri" w:cs="Times New Roman"/>
          <w:szCs w:val="24"/>
          <w:lang w:eastAsia="en-AU"/>
        </w:rPr>
        <w:t xml:space="preserve">there is </w:t>
      </w:r>
      <w:r w:rsidR="00EB6F50" w:rsidRPr="00851EC7">
        <w:rPr>
          <w:rFonts w:eastAsia="Calibri" w:cs="Times New Roman"/>
          <w:szCs w:val="24"/>
          <w:lang w:eastAsia="en-AU"/>
        </w:rPr>
        <w:t xml:space="preserve">optimism </w:t>
      </w:r>
      <w:r w:rsidR="00EB6F50">
        <w:rPr>
          <w:rFonts w:eastAsia="Calibri" w:cs="Times New Roman"/>
          <w:szCs w:val="24"/>
          <w:lang w:eastAsia="en-AU"/>
        </w:rPr>
        <w:t xml:space="preserve">that </w:t>
      </w:r>
      <w:r w:rsidR="0050378A">
        <w:rPr>
          <w:rFonts w:eastAsia="Calibri" w:cs="Times New Roman"/>
          <w:szCs w:val="24"/>
          <w:lang w:eastAsia="en-AU"/>
        </w:rPr>
        <w:t xml:space="preserve">the </w:t>
      </w:r>
      <w:r w:rsidR="00EB6F50">
        <w:rPr>
          <w:rFonts w:eastAsia="Calibri" w:cs="Times New Roman"/>
          <w:szCs w:val="24"/>
          <w:lang w:eastAsia="en-AU"/>
        </w:rPr>
        <w:t>E</w:t>
      </w:r>
      <w:r w:rsidR="0050378A">
        <w:rPr>
          <w:rFonts w:eastAsia="Calibri" w:cs="Times New Roman"/>
          <w:szCs w:val="24"/>
          <w:lang w:eastAsia="en-AU"/>
        </w:rPr>
        <w:t xml:space="preserve">ducation </w:t>
      </w:r>
      <w:r w:rsidR="00EB6F50">
        <w:rPr>
          <w:rFonts w:eastAsia="Calibri" w:cs="Times New Roman"/>
          <w:szCs w:val="24"/>
          <w:lang w:eastAsia="en-AU"/>
        </w:rPr>
        <w:t>P</w:t>
      </w:r>
      <w:r w:rsidR="0050378A">
        <w:rPr>
          <w:rFonts w:eastAsia="Calibri" w:cs="Times New Roman"/>
          <w:szCs w:val="24"/>
          <w:lang w:eastAsia="en-AU"/>
        </w:rPr>
        <w:t>artnership</w:t>
      </w:r>
      <w:r w:rsidR="00EB6F50">
        <w:rPr>
          <w:rFonts w:eastAsia="Calibri" w:cs="Times New Roman"/>
          <w:szCs w:val="24"/>
          <w:lang w:eastAsia="en-AU"/>
        </w:rPr>
        <w:t xml:space="preserve"> is moving towards its objectives. However, </w:t>
      </w:r>
      <w:r w:rsidR="006F5AB4">
        <w:rPr>
          <w:rFonts w:eastAsia="Calibri" w:cs="Times New Roman"/>
          <w:szCs w:val="24"/>
          <w:lang w:eastAsia="en-AU"/>
        </w:rPr>
        <w:t xml:space="preserve">a concerted effort is required if Australia is to </w:t>
      </w:r>
      <w:r w:rsidR="00EB6F50" w:rsidRPr="00851EC7">
        <w:rPr>
          <w:rFonts w:eastAsia="Calibri" w:cs="Times New Roman"/>
          <w:szCs w:val="24"/>
          <w:lang w:eastAsia="en-AU"/>
        </w:rPr>
        <w:t xml:space="preserve">secure a fitting, lasting legacy </w:t>
      </w:r>
      <w:r w:rsidR="00E8165A">
        <w:rPr>
          <w:rFonts w:eastAsia="Calibri" w:cs="Times New Roman"/>
          <w:szCs w:val="24"/>
          <w:lang w:eastAsia="en-AU"/>
        </w:rPr>
        <w:t xml:space="preserve">and optimal </w:t>
      </w:r>
      <w:r w:rsidR="00EB6F50" w:rsidRPr="00851EC7">
        <w:t xml:space="preserve">returns </w:t>
      </w:r>
      <w:r w:rsidR="00E8165A">
        <w:t xml:space="preserve">on its </w:t>
      </w:r>
      <w:r w:rsidR="00EB6F50">
        <w:t>investment.</w:t>
      </w:r>
      <w:r w:rsidR="00D93E8D">
        <w:t xml:space="preserve"> </w:t>
      </w:r>
      <w:r w:rsidR="003A5B9A">
        <w:t xml:space="preserve"> </w:t>
      </w:r>
    </w:p>
    <w:p w14:paraId="50FB245C" w14:textId="77777777" w:rsidR="00103FD1" w:rsidRPr="007C51C3" w:rsidRDefault="00103FD1" w:rsidP="00D16943">
      <w:pPr>
        <w:pStyle w:val="DocName"/>
        <w:shd w:val="clear" w:color="auto" w:fill="FFFFCC"/>
        <w:spacing w:before="240" w:after="240"/>
        <w:jc w:val="left"/>
        <w:rPr>
          <w:rFonts w:asciiTheme="minorHAnsi" w:hAnsiTheme="minorHAnsi" w:cstheme="minorHAnsi"/>
          <w:sz w:val="22"/>
          <w:szCs w:val="22"/>
          <w:lang w:eastAsia="en-AU"/>
        </w:rPr>
      </w:pPr>
      <w:r>
        <w:rPr>
          <w:rFonts w:asciiTheme="minorHAnsi" w:hAnsiTheme="minorHAnsi" w:cstheme="minorHAnsi"/>
          <w:sz w:val="22"/>
          <w:szCs w:val="22"/>
          <w:lang w:eastAsia="en-AU"/>
        </w:rPr>
        <w:t xml:space="preserve">Main findings </w:t>
      </w:r>
    </w:p>
    <w:p w14:paraId="4DAEC2E0" w14:textId="777FE627" w:rsidR="00BC364A" w:rsidRDefault="00BC364A" w:rsidP="00BC364A">
      <w:pPr>
        <w:spacing w:after="120" w:line="240" w:lineRule="auto"/>
        <w:rPr>
          <w:rFonts w:eastAsia="Calibri" w:cs="Times New Roman"/>
          <w:szCs w:val="24"/>
          <w:lang w:eastAsia="en-AU"/>
        </w:rPr>
      </w:pPr>
      <w:r w:rsidRPr="0090786B">
        <w:rPr>
          <w:u w:val="single"/>
        </w:rPr>
        <w:t>Component</w:t>
      </w:r>
      <w:r>
        <w:rPr>
          <w:u w:val="single"/>
        </w:rPr>
        <w:t xml:space="preserve"> </w:t>
      </w:r>
      <w:r w:rsidRPr="00D76A83">
        <w:rPr>
          <w:u w:val="single"/>
        </w:rPr>
        <w:t>1</w:t>
      </w:r>
      <w:r w:rsidR="00D93E8D">
        <w:t xml:space="preserve"> </w:t>
      </w:r>
      <w:r w:rsidR="00BB2D6E">
        <w:t xml:space="preserve"> </w:t>
      </w:r>
      <w:r w:rsidRPr="00851EC7">
        <w:t>By December 2014, 763 schools had been built in 232 districts across 29 of the 34 provinces in Indonesia. These new schools have created a total of 3,267 new classrooms</w:t>
      </w:r>
      <w:r w:rsidRPr="00851EC7">
        <w:rPr>
          <w:rFonts w:eastAsiaTheme="minorEastAsia" w:cs="Arial"/>
          <w:color w:val="222222"/>
        </w:rPr>
        <w:t xml:space="preserve"> and </w:t>
      </w:r>
      <w:r w:rsidRPr="00851EC7">
        <w:t xml:space="preserve">an </w:t>
      </w:r>
      <w:r w:rsidRPr="00851EC7">
        <w:rPr>
          <w:rFonts w:eastAsia="Calibri" w:cstheme="minorHAnsi"/>
          <w:szCs w:val="24"/>
          <w:lang w:eastAsia="en-AU"/>
        </w:rPr>
        <w:t>additional 117,612 student places</w:t>
      </w:r>
      <w:r w:rsidR="00DD7661">
        <w:rPr>
          <w:rFonts w:eastAsia="Calibri" w:cstheme="minorHAnsi"/>
          <w:szCs w:val="24"/>
          <w:lang w:eastAsia="en-AU"/>
        </w:rPr>
        <w:t xml:space="preserve"> – a significant </w:t>
      </w:r>
      <w:r>
        <w:rPr>
          <w:rFonts w:eastAsia="Calibri" w:cstheme="minorHAnsi"/>
          <w:szCs w:val="24"/>
          <w:lang w:eastAsia="en-AU"/>
        </w:rPr>
        <w:t xml:space="preserve">number of new places in </w:t>
      </w:r>
      <w:r w:rsidR="000919C5">
        <w:rPr>
          <w:rFonts w:eastAsia="Calibri" w:cstheme="minorHAnsi"/>
          <w:szCs w:val="24"/>
          <w:lang w:eastAsia="en-AU"/>
        </w:rPr>
        <w:t>districts with low enrolment</w:t>
      </w:r>
      <w:r>
        <w:rPr>
          <w:rFonts w:eastAsia="Calibri" w:cstheme="minorHAnsi"/>
          <w:szCs w:val="24"/>
          <w:lang w:eastAsia="en-AU"/>
        </w:rPr>
        <w:t>.</w:t>
      </w:r>
      <w:r w:rsidR="00D93E8D">
        <w:rPr>
          <w:rFonts w:eastAsia="Calibri" w:cstheme="minorHAnsi"/>
          <w:szCs w:val="24"/>
          <w:lang w:eastAsia="en-AU"/>
        </w:rPr>
        <w:t xml:space="preserve"> </w:t>
      </w:r>
      <w:r>
        <w:rPr>
          <w:rFonts w:eastAsia="Calibri" w:cstheme="minorHAnsi"/>
          <w:szCs w:val="24"/>
          <w:lang w:eastAsia="en-AU"/>
        </w:rPr>
        <w:t>Over the course of 2014</w:t>
      </w:r>
      <w:r w:rsidRPr="00851EC7">
        <w:rPr>
          <w:rFonts w:eastAsia="Calibri" w:cs="Times New Roman"/>
          <w:szCs w:val="24"/>
          <w:lang w:eastAsia="en-AU"/>
        </w:rPr>
        <w:t xml:space="preserve"> site selection</w:t>
      </w:r>
      <w:r>
        <w:rPr>
          <w:rFonts w:eastAsia="Calibri" w:cs="Times New Roman"/>
          <w:szCs w:val="24"/>
          <w:lang w:eastAsia="en-AU"/>
        </w:rPr>
        <w:t xml:space="preserve"> processes and </w:t>
      </w:r>
      <w:r w:rsidRPr="00851EC7">
        <w:rPr>
          <w:rFonts w:eastAsia="Calibri" w:cs="Times New Roman"/>
          <w:szCs w:val="24"/>
          <w:lang w:eastAsia="en-AU"/>
        </w:rPr>
        <w:t xml:space="preserve">construction </w:t>
      </w:r>
      <w:r w:rsidRPr="00851EC7">
        <w:rPr>
          <w:rFonts w:eastAsia="Calibri" w:cstheme="minorHAnsi"/>
          <w:szCs w:val="24"/>
          <w:lang w:eastAsia="en-AU"/>
        </w:rPr>
        <w:t>monitoring</w:t>
      </w:r>
      <w:r w:rsidRPr="00851EC7">
        <w:rPr>
          <w:rFonts w:eastAsia="Calibri" w:cs="Times New Roman"/>
          <w:szCs w:val="24"/>
          <w:lang w:eastAsia="en-AU"/>
        </w:rPr>
        <w:t xml:space="preserve"> </w:t>
      </w:r>
      <w:r>
        <w:rPr>
          <w:rFonts w:eastAsia="Calibri" w:cs="Times New Roman"/>
          <w:szCs w:val="24"/>
          <w:lang w:eastAsia="en-AU"/>
        </w:rPr>
        <w:t>were</w:t>
      </w:r>
      <w:r w:rsidRPr="00851EC7">
        <w:rPr>
          <w:rFonts w:eastAsia="Calibri" w:cs="Times New Roman"/>
          <w:szCs w:val="24"/>
          <w:lang w:eastAsia="en-AU"/>
        </w:rPr>
        <w:t xml:space="preserve"> strengthening</w:t>
      </w:r>
      <w:r>
        <w:rPr>
          <w:rFonts w:eastAsia="Calibri" w:cs="Times New Roman"/>
          <w:szCs w:val="24"/>
          <w:lang w:eastAsia="en-AU"/>
        </w:rPr>
        <w:t>.</w:t>
      </w:r>
      <w:r w:rsidR="00D93E8D">
        <w:rPr>
          <w:rFonts w:eastAsia="Calibri" w:cs="Times New Roman"/>
          <w:szCs w:val="24"/>
          <w:lang w:eastAsia="en-AU"/>
        </w:rPr>
        <w:t xml:space="preserve"> </w:t>
      </w:r>
      <w:r>
        <w:rPr>
          <w:rFonts w:eastAsia="Calibri" w:cs="Times New Roman"/>
          <w:szCs w:val="24"/>
          <w:lang w:eastAsia="en-AU"/>
        </w:rPr>
        <w:t>The component was implemented efficiently and was well managed by DFAT.</w:t>
      </w:r>
    </w:p>
    <w:p w14:paraId="4476E2F7" w14:textId="4122C9DF" w:rsidR="00BC364A" w:rsidRDefault="00BC364A" w:rsidP="00BC364A">
      <w:pPr>
        <w:spacing w:before="240" w:after="120" w:line="240" w:lineRule="auto"/>
        <w:rPr>
          <w:bCs/>
          <w:iCs/>
        </w:rPr>
      </w:pPr>
      <w:r w:rsidRPr="00D76A83">
        <w:rPr>
          <w:rFonts w:eastAsia="Calibri" w:cs="Times New Roman"/>
          <w:szCs w:val="24"/>
          <w:u w:val="single"/>
          <w:lang w:eastAsia="en-AU"/>
        </w:rPr>
        <w:t>Component 2</w:t>
      </w:r>
      <w:r w:rsidR="00D93E8D">
        <w:rPr>
          <w:rFonts w:eastAsia="Calibri" w:cs="Times New Roman"/>
          <w:szCs w:val="24"/>
          <w:lang w:eastAsia="en-AU"/>
        </w:rPr>
        <w:t xml:space="preserve">  </w:t>
      </w:r>
      <w:r w:rsidR="007A65C0">
        <w:rPr>
          <w:rFonts w:eastAsia="Calibri" w:cs="Times New Roman"/>
          <w:szCs w:val="24"/>
          <w:lang w:eastAsia="en-AU"/>
        </w:rPr>
        <w:t>The implementation of the professional development for education personnel program (</w:t>
      </w:r>
      <w:r>
        <w:rPr>
          <w:rFonts w:eastAsia="Calibri" w:cs="Times New Roman"/>
          <w:szCs w:val="24"/>
          <w:lang w:eastAsia="en-AU"/>
        </w:rPr>
        <w:t>ProDEP</w:t>
      </w:r>
      <w:r w:rsidR="007A65C0">
        <w:rPr>
          <w:rFonts w:eastAsia="Calibri" w:cs="Times New Roman"/>
          <w:szCs w:val="24"/>
          <w:lang w:eastAsia="en-AU"/>
        </w:rPr>
        <w:t xml:space="preserve">) </w:t>
      </w:r>
      <w:r>
        <w:rPr>
          <w:rFonts w:eastAsia="Calibri" w:cs="Times New Roman"/>
          <w:szCs w:val="24"/>
          <w:lang w:eastAsia="en-AU"/>
        </w:rPr>
        <w:t xml:space="preserve">began in July 2014: some </w:t>
      </w:r>
      <w:r w:rsidRPr="00851EC7">
        <w:rPr>
          <w:bCs/>
          <w:iCs/>
        </w:rPr>
        <w:t xml:space="preserve">12,000 officials </w:t>
      </w:r>
      <w:r>
        <w:rPr>
          <w:bCs/>
          <w:iCs/>
        </w:rPr>
        <w:t>were</w:t>
      </w:r>
      <w:r w:rsidRPr="00851EC7">
        <w:rPr>
          <w:bCs/>
          <w:iCs/>
        </w:rPr>
        <w:t xml:space="preserve"> train</w:t>
      </w:r>
      <w:r>
        <w:rPr>
          <w:bCs/>
          <w:iCs/>
        </w:rPr>
        <w:t>ed (with a reported</w:t>
      </w:r>
      <w:r w:rsidRPr="00851EC7">
        <w:rPr>
          <w:bCs/>
          <w:iCs/>
        </w:rPr>
        <w:t xml:space="preserve"> “satisfaction” rate of 90% </w:t>
      </w:r>
      <w:r>
        <w:rPr>
          <w:bCs/>
          <w:iCs/>
        </w:rPr>
        <w:t xml:space="preserve">- </w:t>
      </w:r>
      <w:r w:rsidRPr="00851EC7">
        <w:rPr>
          <w:bCs/>
          <w:iCs/>
        </w:rPr>
        <w:t xml:space="preserve">significantly above the 80% </w:t>
      </w:r>
      <w:r>
        <w:rPr>
          <w:bCs/>
          <w:iCs/>
        </w:rPr>
        <w:t>target</w:t>
      </w:r>
      <w:r w:rsidR="00DD7661">
        <w:rPr>
          <w:bCs/>
          <w:iCs/>
        </w:rPr>
        <w:t xml:space="preserve">) </w:t>
      </w:r>
      <w:r>
        <w:rPr>
          <w:bCs/>
          <w:iCs/>
        </w:rPr>
        <w:t xml:space="preserve">and </w:t>
      </w:r>
      <w:r w:rsidRPr="00851EC7">
        <w:rPr>
          <w:bCs/>
          <w:iCs/>
        </w:rPr>
        <w:t xml:space="preserve">2,726 officials at 546 schools received training </w:t>
      </w:r>
      <w:r w:rsidR="00E8165A">
        <w:rPr>
          <w:bCs/>
          <w:iCs/>
        </w:rPr>
        <w:t xml:space="preserve">in the efficiently delivered </w:t>
      </w:r>
      <w:r w:rsidRPr="00851EC7">
        <w:rPr>
          <w:bCs/>
          <w:iCs/>
        </w:rPr>
        <w:t>New Schools Induction Program</w:t>
      </w:r>
      <w:r w:rsidR="00E8165A">
        <w:rPr>
          <w:bCs/>
          <w:iCs/>
        </w:rPr>
        <w:t>.</w:t>
      </w:r>
      <w:r w:rsidR="00DD7661">
        <w:rPr>
          <w:bCs/>
          <w:iCs/>
        </w:rPr>
        <w:t xml:space="preserve"> </w:t>
      </w:r>
      <w:r>
        <w:rPr>
          <w:bCs/>
          <w:iCs/>
        </w:rPr>
        <w:t xml:space="preserve">The investment remains in line </w:t>
      </w:r>
      <w:r w:rsidRPr="00851EC7">
        <w:rPr>
          <w:bCs/>
          <w:iCs/>
        </w:rPr>
        <w:t xml:space="preserve">with commitments made to support the </w:t>
      </w:r>
      <w:r w:rsidR="00E8165A">
        <w:rPr>
          <w:bCs/>
          <w:iCs/>
        </w:rPr>
        <w:t xml:space="preserve">GoI’s </w:t>
      </w:r>
      <w:r w:rsidRPr="00851EC7">
        <w:rPr>
          <w:bCs/>
          <w:iCs/>
        </w:rPr>
        <w:t>education quality agenda</w:t>
      </w:r>
      <w:r>
        <w:rPr>
          <w:bCs/>
          <w:iCs/>
        </w:rPr>
        <w:t>.</w:t>
      </w:r>
      <w:r w:rsidR="00D93E8D">
        <w:rPr>
          <w:bCs/>
          <w:iCs/>
        </w:rPr>
        <w:t xml:space="preserve"> </w:t>
      </w:r>
      <w:r w:rsidRPr="00851EC7">
        <w:rPr>
          <w:bCs/>
          <w:iCs/>
        </w:rPr>
        <w:t xml:space="preserve">Most ProDEP-related output-level indicators in the </w:t>
      </w:r>
      <w:r w:rsidR="000919C5">
        <w:rPr>
          <w:bCs/>
          <w:iCs/>
        </w:rPr>
        <w:t xml:space="preserve">program’s </w:t>
      </w:r>
      <w:r w:rsidRPr="00851EC7">
        <w:rPr>
          <w:bCs/>
          <w:iCs/>
        </w:rPr>
        <w:t>P</w:t>
      </w:r>
      <w:r w:rsidR="000919C5">
        <w:rPr>
          <w:bCs/>
          <w:iCs/>
        </w:rPr>
        <w:t xml:space="preserve">rogram </w:t>
      </w:r>
      <w:r>
        <w:rPr>
          <w:bCs/>
          <w:iCs/>
        </w:rPr>
        <w:t>A</w:t>
      </w:r>
      <w:r w:rsidR="000919C5">
        <w:rPr>
          <w:bCs/>
          <w:iCs/>
        </w:rPr>
        <w:t xml:space="preserve">ssessment </w:t>
      </w:r>
      <w:r>
        <w:rPr>
          <w:bCs/>
          <w:iCs/>
        </w:rPr>
        <w:t>F</w:t>
      </w:r>
      <w:r w:rsidR="000919C5">
        <w:rPr>
          <w:bCs/>
          <w:iCs/>
        </w:rPr>
        <w:t>ramework</w:t>
      </w:r>
      <w:r>
        <w:rPr>
          <w:bCs/>
          <w:iCs/>
        </w:rPr>
        <w:t xml:space="preserve"> are on track, a</w:t>
      </w:r>
      <w:r w:rsidRPr="00851EC7">
        <w:rPr>
          <w:bCs/>
          <w:iCs/>
        </w:rPr>
        <w:t xml:space="preserve">lthough the reported low number of Continuous Professional Development participants </w:t>
      </w:r>
      <w:r>
        <w:rPr>
          <w:bCs/>
          <w:iCs/>
        </w:rPr>
        <w:t>raises some concern.</w:t>
      </w:r>
      <w:r w:rsidRPr="00851EC7">
        <w:rPr>
          <w:bCs/>
          <w:iCs/>
        </w:rPr>
        <w:t xml:space="preserve"> </w:t>
      </w:r>
      <w:r w:rsidR="000919C5">
        <w:rPr>
          <w:bCs/>
          <w:iCs/>
        </w:rPr>
        <w:t>We do not expect this t</w:t>
      </w:r>
      <w:r w:rsidR="00890CF0">
        <w:rPr>
          <w:bCs/>
          <w:iCs/>
        </w:rPr>
        <w:t>o be a problem in the next year</w:t>
      </w:r>
      <w:r w:rsidR="000919C5">
        <w:rPr>
          <w:bCs/>
          <w:iCs/>
        </w:rPr>
        <w:t xml:space="preserve"> of the program. The program is still in an early stage of implementation and so it is not yet possible to measure impact.</w:t>
      </w:r>
    </w:p>
    <w:p w14:paraId="1FEE0489" w14:textId="4FD9ABA5" w:rsidR="00BC364A" w:rsidRDefault="00BC364A" w:rsidP="00BC364A">
      <w:pPr>
        <w:spacing w:before="120" w:after="120" w:line="240" w:lineRule="auto"/>
        <w:contextualSpacing/>
        <w:rPr>
          <w:rFonts w:eastAsia="Calibri" w:cstheme="minorHAnsi"/>
          <w:szCs w:val="24"/>
          <w:lang w:eastAsia="en-AU"/>
        </w:rPr>
      </w:pPr>
      <w:r>
        <w:rPr>
          <w:rFonts w:eastAsia="Calibri" w:cstheme="minorHAnsi"/>
          <w:szCs w:val="24"/>
          <w:lang w:eastAsia="en-AU"/>
        </w:rPr>
        <w:lastRenderedPageBreak/>
        <w:t xml:space="preserve">There are </w:t>
      </w:r>
      <w:r w:rsidR="00483A59">
        <w:rPr>
          <w:rFonts w:eastAsia="Calibri" w:cstheme="minorHAnsi"/>
          <w:szCs w:val="24"/>
          <w:lang w:eastAsia="en-AU"/>
        </w:rPr>
        <w:t>three</w:t>
      </w:r>
      <w:r>
        <w:rPr>
          <w:rFonts w:eastAsia="Calibri" w:cstheme="minorHAnsi"/>
          <w:szCs w:val="24"/>
          <w:lang w:eastAsia="en-AU"/>
        </w:rPr>
        <w:t xml:space="preserve"> concerns to </w:t>
      </w:r>
      <w:r w:rsidR="00DD7661">
        <w:rPr>
          <w:rFonts w:eastAsia="Calibri" w:cstheme="minorHAnsi"/>
          <w:szCs w:val="24"/>
          <w:lang w:eastAsia="en-AU"/>
        </w:rPr>
        <w:t>address</w:t>
      </w:r>
      <w:r>
        <w:rPr>
          <w:rFonts w:eastAsia="Calibri" w:cstheme="minorHAnsi"/>
          <w:szCs w:val="24"/>
          <w:lang w:eastAsia="en-AU"/>
        </w:rPr>
        <w:t xml:space="preserve"> in respect to efficiency, impact and </w:t>
      </w:r>
      <w:r w:rsidR="00DD7661">
        <w:rPr>
          <w:rFonts w:eastAsia="Calibri" w:cstheme="minorHAnsi"/>
          <w:szCs w:val="24"/>
          <w:lang w:eastAsia="en-AU"/>
        </w:rPr>
        <w:t>sustainability:</w:t>
      </w:r>
      <w:r>
        <w:rPr>
          <w:rFonts w:eastAsia="Calibri" w:cstheme="minorHAnsi"/>
          <w:szCs w:val="24"/>
          <w:lang w:eastAsia="en-AU"/>
        </w:rPr>
        <w:t xml:space="preserve"> (i) how the </w:t>
      </w:r>
      <w:r w:rsidRPr="00851EC7">
        <w:rPr>
          <w:rFonts w:eastAsia="Calibri" w:cs="Times New Roman"/>
          <w:szCs w:val="24"/>
          <w:lang w:eastAsia="en-AU"/>
        </w:rPr>
        <w:t xml:space="preserve">Units of Learning </w:t>
      </w:r>
      <w:r>
        <w:rPr>
          <w:rFonts w:eastAsia="Calibri" w:cs="Times New Roman"/>
          <w:szCs w:val="24"/>
          <w:lang w:eastAsia="en-AU"/>
        </w:rPr>
        <w:t xml:space="preserve">will be made to better reflect </w:t>
      </w:r>
      <w:r w:rsidRPr="00851EC7">
        <w:rPr>
          <w:rFonts w:eastAsia="Calibri" w:cs="Times New Roman"/>
          <w:szCs w:val="24"/>
          <w:lang w:eastAsia="en-AU"/>
        </w:rPr>
        <w:t>the requirements of individual principals</w:t>
      </w:r>
      <w:r>
        <w:rPr>
          <w:rFonts w:eastAsia="Calibri" w:cs="Times New Roman"/>
          <w:szCs w:val="24"/>
          <w:lang w:eastAsia="en-AU"/>
        </w:rPr>
        <w:t xml:space="preserve"> in a variety of settings, </w:t>
      </w:r>
      <w:r w:rsidR="00E8165A">
        <w:rPr>
          <w:rFonts w:eastAsia="Calibri" w:cs="Times New Roman"/>
          <w:szCs w:val="24"/>
          <w:lang w:eastAsia="en-AU"/>
        </w:rPr>
        <w:t>(ii) how</w:t>
      </w:r>
      <w:r w:rsidR="00483A59">
        <w:rPr>
          <w:rFonts w:eastAsia="Calibri" w:cs="Times New Roman"/>
          <w:szCs w:val="24"/>
          <w:lang w:eastAsia="en-AU"/>
        </w:rPr>
        <w:t xml:space="preserve"> </w:t>
      </w:r>
      <w:r w:rsidR="000919C5">
        <w:rPr>
          <w:rFonts w:eastAsia="Calibri" w:cs="Times New Roman"/>
          <w:szCs w:val="24"/>
          <w:lang w:eastAsia="en-AU"/>
        </w:rPr>
        <w:t>the Ministry of Religious Affairs (</w:t>
      </w:r>
      <w:r w:rsidR="00483A59">
        <w:rPr>
          <w:rFonts w:eastAsia="Calibri" w:cs="Times New Roman"/>
          <w:szCs w:val="24"/>
          <w:lang w:eastAsia="en-AU"/>
        </w:rPr>
        <w:t>MoRA</w:t>
      </w:r>
      <w:r w:rsidR="000919C5">
        <w:rPr>
          <w:rFonts w:eastAsia="Calibri" w:cs="Times New Roman"/>
          <w:szCs w:val="24"/>
          <w:lang w:eastAsia="en-AU"/>
        </w:rPr>
        <w:t>)</w:t>
      </w:r>
      <w:r w:rsidR="00483A59">
        <w:rPr>
          <w:rFonts w:eastAsia="Calibri" w:cs="Times New Roman"/>
          <w:szCs w:val="24"/>
          <w:lang w:eastAsia="en-AU"/>
        </w:rPr>
        <w:t xml:space="preserve"> will be more directly engaged in ProDEP management, </w:t>
      </w:r>
      <w:r>
        <w:rPr>
          <w:rFonts w:eastAsia="Calibri" w:cs="Times New Roman"/>
          <w:szCs w:val="24"/>
          <w:lang w:eastAsia="en-AU"/>
        </w:rPr>
        <w:t>and (ii</w:t>
      </w:r>
      <w:r w:rsidR="00E8165A">
        <w:rPr>
          <w:rFonts w:eastAsia="Calibri" w:cs="Times New Roman"/>
          <w:szCs w:val="24"/>
          <w:lang w:eastAsia="en-AU"/>
        </w:rPr>
        <w:t>i</w:t>
      </w:r>
      <w:r>
        <w:rPr>
          <w:rFonts w:eastAsia="Calibri" w:cs="Times New Roman"/>
          <w:szCs w:val="24"/>
          <w:lang w:eastAsia="en-AU"/>
        </w:rPr>
        <w:t xml:space="preserve">) </w:t>
      </w:r>
      <w:r>
        <w:rPr>
          <w:rFonts w:eastAsia="Calibri" w:cstheme="minorHAnsi"/>
          <w:szCs w:val="24"/>
          <w:lang w:eastAsia="en-AU"/>
        </w:rPr>
        <w:t xml:space="preserve">how GoI will continue </w:t>
      </w:r>
      <w:r w:rsidR="00996A10">
        <w:rPr>
          <w:rFonts w:eastAsia="Calibri" w:cstheme="minorHAnsi"/>
          <w:szCs w:val="24"/>
          <w:lang w:eastAsia="en-AU"/>
        </w:rPr>
        <w:t xml:space="preserve">to </w:t>
      </w:r>
      <w:r>
        <w:rPr>
          <w:rFonts w:eastAsia="Calibri" w:cstheme="minorHAnsi"/>
          <w:szCs w:val="24"/>
          <w:lang w:eastAsia="en-AU"/>
        </w:rPr>
        <w:t xml:space="preserve">deliver and finance ProDEP post </w:t>
      </w:r>
      <w:r w:rsidR="002546E4">
        <w:rPr>
          <w:rFonts w:eastAsia="Calibri" w:cstheme="minorHAnsi"/>
          <w:szCs w:val="24"/>
          <w:lang w:eastAsia="en-AU"/>
        </w:rPr>
        <w:t>the Education Partnership</w:t>
      </w:r>
      <w:r>
        <w:rPr>
          <w:rFonts w:eastAsia="Calibri" w:cstheme="minorHAnsi"/>
          <w:szCs w:val="24"/>
          <w:lang w:eastAsia="en-AU"/>
        </w:rPr>
        <w:t>.</w:t>
      </w:r>
    </w:p>
    <w:p w14:paraId="0930B757" w14:textId="49A55A79" w:rsidR="00BC364A" w:rsidRPr="004F51F7" w:rsidRDefault="00BC364A" w:rsidP="00DD7661">
      <w:pPr>
        <w:spacing w:before="360" w:after="120" w:line="240" w:lineRule="auto"/>
      </w:pPr>
      <w:r w:rsidRPr="004F51F7">
        <w:rPr>
          <w:rFonts w:eastAsia="Calibri" w:cstheme="minorHAnsi"/>
          <w:szCs w:val="24"/>
          <w:u w:val="single"/>
          <w:lang w:eastAsia="en-AU"/>
        </w:rPr>
        <w:t>Component 3</w:t>
      </w:r>
      <w:r w:rsidR="00D93E8D">
        <w:rPr>
          <w:rFonts w:eastAsia="Calibri" w:cstheme="minorHAnsi"/>
          <w:szCs w:val="24"/>
          <w:lang w:eastAsia="en-AU"/>
        </w:rPr>
        <w:t xml:space="preserve">  </w:t>
      </w:r>
      <w:r w:rsidR="00DD7661">
        <w:rPr>
          <w:rFonts w:eastAsia="Calibri" w:cstheme="minorHAnsi"/>
          <w:szCs w:val="24"/>
          <w:lang w:eastAsia="en-AU"/>
        </w:rPr>
        <w:t xml:space="preserve">To date, </w:t>
      </w:r>
      <w:r w:rsidRPr="00851EC7">
        <w:rPr>
          <w:bCs/>
        </w:rPr>
        <w:t xml:space="preserve">2,500 madrasah </w:t>
      </w:r>
      <w:r w:rsidR="00DD7661">
        <w:rPr>
          <w:bCs/>
        </w:rPr>
        <w:t>have received</w:t>
      </w:r>
      <w:r w:rsidR="0031542A">
        <w:rPr>
          <w:bCs/>
        </w:rPr>
        <w:t xml:space="preserve"> Australian funded</w:t>
      </w:r>
      <w:r w:rsidR="00DD7661">
        <w:rPr>
          <w:bCs/>
        </w:rPr>
        <w:t xml:space="preserve"> support </w:t>
      </w:r>
      <w:r w:rsidRPr="00851EC7">
        <w:rPr>
          <w:bCs/>
        </w:rPr>
        <w:t xml:space="preserve">– well </w:t>
      </w:r>
      <w:r w:rsidR="00DD7661">
        <w:rPr>
          <w:bCs/>
        </w:rPr>
        <w:t xml:space="preserve">in excess of </w:t>
      </w:r>
      <w:r w:rsidRPr="00851EC7">
        <w:rPr>
          <w:bCs/>
        </w:rPr>
        <w:t xml:space="preserve">the </w:t>
      </w:r>
      <w:r w:rsidR="00DD7661">
        <w:rPr>
          <w:bCs/>
        </w:rPr>
        <w:t xml:space="preserve">1,500 </w:t>
      </w:r>
      <w:r w:rsidRPr="00851EC7">
        <w:rPr>
          <w:bCs/>
        </w:rPr>
        <w:t>target</w:t>
      </w:r>
      <w:r w:rsidR="00DD7661">
        <w:rPr>
          <w:bCs/>
        </w:rPr>
        <w:t>.</w:t>
      </w:r>
      <w:r>
        <w:rPr>
          <w:bCs/>
        </w:rPr>
        <w:t xml:space="preserve"> There is a </w:t>
      </w:r>
      <w:r w:rsidRPr="00851EC7">
        <w:rPr>
          <w:bCs/>
        </w:rPr>
        <w:t>growing sense of interest in and commitment to the E</w:t>
      </w:r>
      <w:r w:rsidR="002546E4">
        <w:rPr>
          <w:bCs/>
        </w:rPr>
        <w:t xml:space="preserve">ducation </w:t>
      </w:r>
      <w:r w:rsidRPr="00851EC7">
        <w:rPr>
          <w:bCs/>
        </w:rPr>
        <w:t>P</w:t>
      </w:r>
      <w:r w:rsidR="002546E4">
        <w:rPr>
          <w:bCs/>
        </w:rPr>
        <w:t>artnership</w:t>
      </w:r>
      <w:r w:rsidRPr="00851EC7">
        <w:rPr>
          <w:bCs/>
        </w:rPr>
        <w:t xml:space="preserve"> model of </w:t>
      </w:r>
      <w:r w:rsidR="00DD7661">
        <w:rPr>
          <w:bCs/>
        </w:rPr>
        <w:t xml:space="preserve">supporting madrasah </w:t>
      </w:r>
      <w:r w:rsidR="000919C5">
        <w:rPr>
          <w:bCs/>
        </w:rPr>
        <w:t xml:space="preserve">by the Indonesian Government </w:t>
      </w:r>
      <w:r w:rsidRPr="00851EC7">
        <w:rPr>
          <w:bCs/>
        </w:rPr>
        <w:t xml:space="preserve">as </w:t>
      </w:r>
      <w:r>
        <w:rPr>
          <w:bCs/>
        </w:rPr>
        <w:t>evidenced by the d</w:t>
      </w:r>
      <w:r w:rsidRPr="00851EC7">
        <w:t>raft M</w:t>
      </w:r>
      <w:r w:rsidR="007A65C0">
        <w:t>adrasah Development Centre (M</w:t>
      </w:r>
      <w:r w:rsidRPr="00851EC7">
        <w:t>DC</w:t>
      </w:r>
      <w:r w:rsidR="007A65C0">
        <w:t>)</w:t>
      </w:r>
      <w:r w:rsidRPr="00851EC7">
        <w:t xml:space="preserve"> Regulation and the transfer of responsibilities held by MoRA’s </w:t>
      </w:r>
      <w:r w:rsidRPr="00851EC7">
        <w:rPr>
          <w:bCs/>
        </w:rPr>
        <w:t xml:space="preserve">Unit for </w:t>
      </w:r>
      <w:r w:rsidRPr="00851EC7">
        <w:rPr>
          <w:rFonts w:cstheme="minorHAnsi"/>
          <w:bCs/>
          <w:iCs/>
        </w:rPr>
        <w:t>Implementing Madrasah Accreditation</w:t>
      </w:r>
      <w:r w:rsidR="00DD7661">
        <w:rPr>
          <w:rFonts w:cstheme="minorHAnsi"/>
          <w:bCs/>
          <w:iCs/>
        </w:rPr>
        <w:t xml:space="preserve"> </w:t>
      </w:r>
      <w:r w:rsidRPr="00851EC7">
        <w:t xml:space="preserve">to Ministry sub-directorates in 2014. </w:t>
      </w:r>
      <w:r w:rsidRPr="004F51F7">
        <w:t xml:space="preserve">Five hundred and nineteen Phase 1 madrasah </w:t>
      </w:r>
      <w:r w:rsidR="00DD7661">
        <w:t xml:space="preserve">were </w:t>
      </w:r>
      <w:r w:rsidRPr="004F51F7">
        <w:t xml:space="preserve">assessed by </w:t>
      </w:r>
      <w:r w:rsidR="00890CF0">
        <w:t>the accreditation agency</w:t>
      </w:r>
      <w:r w:rsidR="00DD7661">
        <w:t xml:space="preserve">: </w:t>
      </w:r>
      <w:r w:rsidRPr="004F51F7">
        <w:t xml:space="preserve">89% receiving </w:t>
      </w:r>
      <w:r w:rsidR="00DD7661">
        <w:t xml:space="preserve">an A or B </w:t>
      </w:r>
      <w:r w:rsidRPr="004F51F7">
        <w:t>accreditation</w:t>
      </w:r>
      <w:r w:rsidR="00DD7661">
        <w:t xml:space="preserve">; </w:t>
      </w:r>
      <w:r>
        <w:t xml:space="preserve">53 </w:t>
      </w:r>
      <w:r w:rsidRPr="004F51F7">
        <w:t xml:space="preserve">madrasah </w:t>
      </w:r>
      <w:r w:rsidR="00DD7661">
        <w:t xml:space="preserve">moved up </w:t>
      </w:r>
      <w:r w:rsidRPr="004F51F7">
        <w:t xml:space="preserve">three accreditation levels and 192 madrasah </w:t>
      </w:r>
      <w:r w:rsidR="00DD7661">
        <w:t>moved up t</w:t>
      </w:r>
      <w:r w:rsidRPr="004F51F7">
        <w:t xml:space="preserve">wo levels. There is also evidence that </w:t>
      </w:r>
      <w:r w:rsidR="0098046F" w:rsidRPr="0098046F">
        <w:t>the</w:t>
      </w:r>
      <w:r w:rsidR="0098046F">
        <w:t xml:space="preserve"> quality of education services</w:t>
      </w:r>
      <w:r w:rsidRPr="004F51F7">
        <w:t xml:space="preserve"> is improving in both targeted and non-targeted madrasah, though the extent to which this is translating to sustained change in the quality of madrasah education is unknown.</w:t>
      </w:r>
    </w:p>
    <w:p w14:paraId="2CF64798" w14:textId="7163E323" w:rsidR="00BC364A" w:rsidRDefault="00BC364A" w:rsidP="00BC364A">
      <w:pPr>
        <w:spacing w:before="120" w:after="120" w:line="240" w:lineRule="auto"/>
        <w:rPr>
          <w:rFonts w:eastAsia="Calibri" w:cs="Times New Roman"/>
          <w:szCs w:val="24"/>
          <w:lang w:eastAsia="en-AU"/>
        </w:rPr>
      </w:pPr>
      <w:r>
        <w:t>T</w:t>
      </w:r>
      <w:r w:rsidR="00584112">
        <w:t xml:space="preserve">here are two </w:t>
      </w:r>
      <w:r>
        <w:t>concern</w:t>
      </w:r>
      <w:r w:rsidR="00584112">
        <w:t xml:space="preserve">s to address: (i) </w:t>
      </w:r>
      <w:r>
        <w:t xml:space="preserve">at </w:t>
      </w:r>
      <w:r w:rsidRPr="00851EC7">
        <w:rPr>
          <w:rFonts w:eastAsia="Calibri" w:cstheme="minorHAnsi"/>
          <w:szCs w:val="24"/>
          <w:lang w:eastAsia="en-AU"/>
        </w:rPr>
        <w:t>the</w:t>
      </w:r>
      <w:r w:rsidRPr="00851EC7">
        <w:rPr>
          <w:rFonts w:eastAsia="Calibri" w:cs="Times New Roman"/>
          <w:szCs w:val="24"/>
          <w:lang w:eastAsia="en-AU"/>
        </w:rPr>
        <w:t xml:space="preserve"> level of individual madrasah, </w:t>
      </w:r>
      <w:r w:rsidR="00584112">
        <w:rPr>
          <w:rFonts w:eastAsia="Calibri" w:cs="Times New Roman"/>
          <w:szCs w:val="24"/>
          <w:lang w:eastAsia="en-AU"/>
        </w:rPr>
        <w:t>it is not clear that t</w:t>
      </w:r>
      <w:r w:rsidRPr="00851EC7">
        <w:rPr>
          <w:rFonts w:eastAsia="Calibri" w:cs="Times New Roman"/>
          <w:szCs w:val="24"/>
          <w:lang w:eastAsia="en-AU"/>
        </w:rPr>
        <w:t xml:space="preserve">he focus on </w:t>
      </w:r>
      <w:r>
        <w:rPr>
          <w:rFonts w:eastAsia="Calibri" w:cs="Times New Roman"/>
          <w:szCs w:val="24"/>
          <w:lang w:eastAsia="en-AU"/>
        </w:rPr>
        <w:t xml:space="preserve">madrasah </w:t>
      </w:r>
      <w:r w:rsidRPr="005E736F">
        <w:rPr>
          <w:rFonts w:eastAsia="Calibri" w:cs="Times New Roman"/>
          <w:i/>
          <w:szCs w:val="24"/>
          <w:lang w:eastAsia="en-AU"/>
        </w:rPr>
        <w:t>accreditation</w:t>
      </w:r>
      <w:r w:rsidR="00584112">
        <w:rPr>
          <w:rFonts w:eastAsia="Calibri" w:cs="Times New Roman"/>
          <w:szCs w:val="24"/>
          <w:lang w:eastAsia="en-AU"/>
        </w:rPr>
        <w:t xml:space="preserve"> is </w:t>
      </w:r>
      <w:r w:rsidRPr="00851EC7">
        <w:t xml:space="preserve">driving </w:t>
      </w:r>
      <w:r w:rsidR="00584112">
        <w:t xml:space="preserve">quality </w:t>
      </w:r>
      <w:r w:rsidRPr="00851EC7">
        <w:t>improvements</w:t>
      </w:r>
      <w:r w:rsidR="00584112">
        <w:t xml:space="preserve">, and (ii) </w:t>
      </w:r>
      <w:r>
        <w:t xml:space="preserve">in respect to improving the </w:t>
      </w:r>
      <w:r w:rsidRPr="00851EC7">
        <w:rPr>
          <w:bCs/>
          <w:i/>
        </w:rPr>
        <w:t xml:space="preserve">system </w:t>
      </w:r>
      <w:r w:rsidRPr="001A5BBE">
        <w:rPr>
          <w:bCs/>
        </w:rPr>
        <w:t>for madrasah quality improvement</w:t>
      </w:r>
      <w:r>
        <w:rPr>
          <w:bCs/>
        </w:rPr>
        <w:t xml:space="preserve">, </w:t>
      </w:r>
      <w:r w:rsidR="00584112">
        <w:rPr>
          <w:bCs/>
        </w:rPr>
        <w:t xml:space="preserve">it is not yet clear how </w:t>
      </w:r>
      <w:r w:rsidR="002546E4">
        <w:rPr>
          <w:bCs/>
        </w:rPr>
        <w:t xml:space="preserve">the </w:t>
      </w:r>
      <w:r w:rsidR="00584112">
        <w:rPr>
          <w:bCs/>
        </w:rPr>
        <w:t>E</w:t>
      </w:r>
      <w:r w:rsidR="002546E4">
        <w:rPr>
          <w:bCs/>
        </w:rPr>
        <w:t xml:space="preserve">ducation </w:t>
      </w:r>
      <w:r w:rsidR="00584112">
        <w:rPr>
          <w:bCs/>
        </w:rPr>
        <w:t>P</w:t>
      </w:r>
      <w:r w:rsidR="002546E4">
        <w:rPr>
          <w:bCs/>
        </w:rPr>
        <w:t>artnership</w:t>
      </w:r>
      <w:r w:rsidR="00584112">
        <w:rPr>
          <w:bCs/>
        </w:rPr>
        <w:t xml:space="preserve"> will take advantage of the opportunity it has to assist MoRA to </w:t>
      </w:r>
      <w:r w:rsidRPr="00851EC7">
        <w:rPr>
          <w:rFonts w:eastAsia="Calibri" w:cs="Times New Roman"/>
          <w:szCs w:val="24"/>
          <w:lang w:eastAsia="en-AU"/>
        </w:rPr>
        <w:t>significant</w:t>
      </w:r>
      <w:r w:rsidR="00584112">
        <w:rPr>
          <w:rFonts w:eastAsia="Calibri" w:cs="Times New Roman"/>
          <w:szCs w:val="24"/>
          <w:lang w:eastAsia="en-AU"/>
        </w:rPr>
        <w:t xml:space="preserve">ly </w:t>
      </w:r>
      <w:r w:rsidRPr="00851EC7">
        <w:rPr>
          <w:rFonts w:eastAsia="Calibri" w:cs="Times New Roman"/>
          <w:szCs w:val="24"/>
          <w:lang w:eastAsia="en-AU"/>
        </w:rPr>
        <w:t xml:space="preserve">strengthen and sustain the systems necessary to drive </w:t>
      </w:r>
      <w:r w:rsidR="00584112">
        <w:rPr>
          <w:rFonts w:eastAsia="Calibri" w:cs="Times New Roman"/>
          <w:szCs w:val="24"/>
          <w:lang w:eastAsia="en-AU"/>
        </w:rPr>
        <w:t xml:space="preserve">quality </w:t>
      </w:r>
      <w:r w:rsidRPr="00851EC7">
        <w:rPr>
          <w:rFonts w:eastAsia="Calibri" w:cs="Times New Roman"/>
          <w:szCs w:val="24"/>
          <w:lang w:eastAsia="en-AU"/>
        </w:rPr>
        <w:t>improvements in madrasah</w:t>
      </w:r>
      <w:r w:rsidR="00584112">
        <w:rPr>
          <w:rFonts w:eastAsia="Calibri" w:cs="Times New Roman"/>
          <w:szCs w:val="24"/>
          <w:lang w:eastAsia="en-AU"/>
        </w:rPr>
        <w:t xml:space="preserve">. </w:t>
      </w:r>
    </w:p>
    <w:p w14:paraId="7F255487" w14:textId="04E04BA8" w:rsidR="00BC364A" w:rsidRDefault="00BC364A" w:rsidP="009C3BC1">
      <w:pPr>
        <w:spacing w:before="120" w:after="120" w:line="240" w:lineRule="auto"/>
        <w:rPr>
          <w:rFonts w:eastAsia="Calibri" w:cstheme="minorHAnsi"/>
          <w:szCs w:val="24"/>
          <w:lang w:eastAsia="en-AU"/>
        </w:rPr>
      </w:pPr>
      <w:r w:rsidRPr="00FF5EFA">
        <w:rPr>
          <w:rFonts w:eastAsia="Calibri" w:cs="Times New Roman"/>
          <w:szCs w:val="24"/>
          <w:u w:val="single"/>
          <w:lang w:eastAsia="en-AU"/>
        </w:rPr>
        <w:t>Component 4</w:t>
      </w:r>
      <w:r w:rsidR="00D93E8D">
        <w:rPr>
          <w:rFonts w:eastAsia="Calibri" w:cs="Times New Roman"/>
          <w:szCs w:val="24"/>
          <w:lang w:eastAsia="en-AU"/>
        </w:rPr>
        <w:t xml:space="preserve"> </w:t>
      </w:r>
      <w:r w:rsidRPr="00FF5EFA">
        <w:rPr>
          <w:rFonts w:eastAsia="Calibri" w:cs="Times New Roman"/>
          <w:szCs w:val="24"/>
          <w:lang w:eastAsia="en-AU"/>
        </w:rPr>
        <w:t xml:space="preserve"> </w:t>
      </w:r>
      <w:r>
        <w:rPr>
          <w:rFonts w:cstheme="minorHAnsi"/>
        </w:rPr>
        <w:t>By</w:t>
      </w:r>
      <w:r w:rsidRPr="00851EC7">
        <w:rPr>
          <w:rFonts w:cstheme="minorHAnsi"/>
        </w:rPr>
        <w:t xml:space="preserve"> December 2014</w:t>
      </w:r>
      <w:r w:rsidR="000919C5">
        <w:rPr>
          <w:rFonts w:cstheme="minorHAnsi"/>
        </w:rPr>
        <w:t>, the Analytical and Capacity Development Partnership</w:t>
      </w:r>
      <w:r w:rsidRPr="00851EC7">
        <w:rPr>
          <w:rFonts w:cstheme="minorHAnsi"/>
        </w:rPr>
        <w:t xml:space="preserve"> </w:t>
      </w:r>
      <w:r w:rsidR="000919C5">
        <w:rPr>
          <w:rFonts w:cstheme="minorHAnsi"/>
        </w:rPr>
        <w:t>(</w:t>
      </w:r>
      <w:r w:rsidR="009C3BC1">
        <w:rPr>
          <w:rFonts w:cstheme="minorHAnsi"/>
        </w:rPr>
        <w:t>ACDP</w:t>
      </w:r>
      <w:r w:rsidR="000919C5">
        <w:rPr>
          <w:rFonts w:cstheme="minorHAnsi"/>
        </w:rPr>
        <w:t>)</w:t>
      </w:r>
      <w:r w:rsidR="009C3BC1" w:rsidRPr="00851EC7">
        <w:rPr>
          <w:rFonts w:cstheme="minorHAnsi"/>
        </w:rPr>
        <w:t xml:space="preserve"> </w:t>
      </w:r>
      <w:r w:rsidR="009C3BC1">
        <w:rPr>
          <w:rFonts w:cstheme="minorHAnsi"/>
        </w:rPr>
        <w:t xml:space="preserve">had </w:t>
      </w:r>
      <w:r w:rsidRPr="00851EC7">
        <w:rPr>
          <w:rFonts w:cstheme="minorHAnsi"/>
        </w:rPr>
        <w:t>completed 24 activities</w:t>
      </w:r>
      <w:r>
        <w:rPr>
          <w:rFonts w:cstheme="minorHAnsi"/>
        </w:rPr>
        <w:t xml:space="preserve">; a </w:t>
      </w:r>
      <w:r w:rsidRPr="00851EC7">
        <w:rPr>
          <w:rFonts w:cstheme="minorHAnsi"/>
        </w:rPr>
        <w:t>further 13 activities were ongoing. Together, these 37 activities constitute nearly USD 29m of contracted commitments.</w:t>
      </w:r>
      <w:r w:rsidR="00D93E8D">
        <w:rPr>
          <w:rFonts w:cstheme="minorHAnsi"/>
        </w:rPr>
        <w:t xml:space="preserve"> </w:t>
      </w:r>
      <w:r w:rsidR="009C3BC1">
        <w:rPr>
          <w:rFonts w:cstheme="minorHAnsi"/>
        </w:rPr>
        <w:t>A</w:t>
      </w:r>
      <w:r w:rsidRPr="00851EC7">
        <w:rPr>
          <w:rFonts w:cstheme="minorHAnsi"/>
        </w:rPr>
        <w:t xml:space="preserve">chievements in 2014 include the delivery of </w:t>
      </w:r>
      <w:r w:rsidR="009C3BC1">
        <w:rPr>
          <w:rFonts w:cstheme="minorHAnsi"/>
        </w:rPr>
        <w:t xml:space="preserve">a series of </w:t>
      </w:r>
      <w:r w:rsidRPr="00851EC7">
        <w:rPr>
          <w:rFonts w:cstheme="minorHAnsi"/>
        </w:rPr>
        <w:t xml:space="preserve">background papers to Bappenas </w:t>
      </w:r>
      <w:r w:rsidR="009C3BC1">
        <w:rPr>
          <w:rFonts w:cstheme="minorHAnsi"/>
        </w:rPr>
        <w:t xml:space="preserve">to </w:t>
      </w:r>
      <w:r>
        <w:rPr>
          <w:rFonts w:cstheme="minorHAnsi"/>
        </w:rPr>
        <w:t xml:space="preserve">inform the </w:t>
      </w:r>
      <w:r w:rsidR="000919C5">
        <w:rPr>
          <w:rFonts w:cstheme="minorHAnsi"/>
        </w:rPr>
        <w:t>medium term development plan (</w:t>
      </w:r>
      <w:r>
        <w:rPr>
          <w:rFonts w:cstheme="minorHAnsi"/>
        </w:rPr>
        <w:t>RPJMN</w:t>
      </w:r>
      <w:r w:rsidR="000919C5">
        <w:rPr>
          <w:rFonts w:cstheme="minorHAnsi"/>
        </w:rPr>
        <w:t>)</w:t>
      </w:r>
      <w:r>
        <w:rPr>
          <w:rFonts w:cstheme="minorHAnsi"/>
        </w:rPr>
        <w:t xml:space="preserve">; </w:t>
      </w:r>
      <w:r w:rsidRPr="00851EC7">
        <w:t xml:space="preserve">the preparation of </w:t>
      </w:r>
      <w:r w:rsidRPr="0098046F">
        <w:t xml:space="preserve">a draft strategic </w:t>
      </w:r>
      <w:r w:rsidR="000919C5" w:rsidRPr="0098046F">
        <w:t xml:space="preserve">education </w:t>
      </w:r>
      <w:r w:rsidRPr="0098046F">
        <w:t>plan</w:t>
      </w:r>
      <w:r w:rsidRPr="00851EC7">
        <w:t xml:space="preserve"> for Papua Tanah, and delivery of several studies, including t</w:t>
      </w:r>
      <w:r w:rsidRPr="00851EC7">
        <w:rPr>
          <w:rFonts w:cstheme="minorHAnsi"/>
        </w:rPr>
        <w:t xml:space="preserve">he largest study of teacher absenteeism conducted in the world to date. ACDP </w:t>
      </w:r>
      <w:r w:rsidRPr="00851EC7">
        <w:rPr>
          <w:rFonts w:eastAsia="Calibri" w:cs="Times New Roman"/>
          <w:bCs/>
          <w:szCs w:val="24"/>
          <w:lang w:eastAsia="en-AU"/>
        </w:rPr>
        <w:t>continue</w:t>
      </w:r>
      <w:r w:rsidR="009C3BC1">
        <w:rPr>
          <w:rFonts w:eastAsia="Calibri" w:cs="Times New Roman"/>
          <w:bCs/>
          <w:szCs w:val="24"/>
          <w:lang w:eastAsia="en-AU"/>
        </w:rPr>
        <w:t>d</w:t>
      </w:r>
      <w:r w:rsidRPr="00851EC7">
        <w:rPr>
          <w:rFonts w:cstheme="minorHAnsi"/>
        </w:rPr>
        <w:t xml:space="preserve"> to demonstrate high levels of external relevance</w:t>
      </w:r>
      <w:r w:rsidR="009C3BC1">
        <w:rPr>
          <w:rFonts w:cstheme="minorHAnsi"/>
        </w:rPr>
        <w:t xml:space="preserve">: its work </w:t>
      </w:r>
      <w:r>
        <w:rPr>
          <w:rFonts w:cstheme="minorHAnsi"/>
        </w:rPr>
        <w:t xml:space="preserve">is in </w:t>
      </w:r>
      <w:r w:rsidRPr="00851EC7">
        <w:rPr>
          <w:rFonts w:eastAsia="Calibri" w:cstheme="minorHAnsi"/>
          <w:szCs w:val="24"/>
          <w:lang w:eastAsia="en-AU"/>
        </w:rPr>
        <w:t>line with GoI policy needs and it is in keeping with DFAT’s commitment to support Knowledge-to-Policy.</w:t>
      </w:r>
      <w:r w:rsidR="00D93E8D">
        <w:rPr>
          <w:rFonts w:eastAsia="Calibri" w:cstheme="minorHAnsi"/>
          <w:szCs w:val="24"/>
          <w:lang w:eastAsia="en-AU"/>
        </w:rPr>
        <w:t xml:space="preserve"> </w:t>
      </w:r>
      <w:r>
        <w:rPr>
          <w:rFonts w:eastAsia="Calibri" w:cstheme="minorHAnsi"/>
          <w:szCs w:val="24"/>
          <w:lang w:eastAsia="en-AU"/>
        </w:rPr>
        <w:t xml:space="preserve">There is </w:t>
      </w:r>
      <w:r w:rsidRPr="00851EC7">
        <w:rPr>
          <w:rFonts w:eastAsia="Calibri" w:cstheme="minorHAnsi"/>
          <w:szCs w:val="24"/>
          <w:lang w:eastAsia="en-AU"/>
        </w:rPr>
        <w:t>evidence that the investment is generating pockets of success, with reports of ACDP evidence being both utilised and then incorporated into key documents and frameworks</w:t>
      </w:r>
      <w:r w:rsidR="0098046F">
        <w:rPr>
          <w:rFonts w:eastAsia="Calibri" w:cstheme="minorHAnsi"/>
          <w:szCs w:val="24"/>
          <w:lang w:eastAsia="en-AU"/>
        </w:rPr>
        <w:t xml:space="preserve">, </w:t>
      </w:r>
      <w:r w:rsidR="00890CF0">
        <w:rPr>
          <w:rFonts w:eastAsia="Calibri" w:cstheme="minorHAnsi"/>
          <w:szCs w:val="24"/>
          <w:lang w:eastAsia="en-AU"/>
        </w:rPr>
        <w:t>including the</w:t>
      </w:r>
      <w:r w:rsidR="0098046F">
        <w:rPr>
          <w:rFonts w:eastAsia="Calibri" w:cstheme="minorHAnsi"/>
          <w:szCs w:val="24"/>
          <w:lang w:eastAsia="en-AU"/>
        </w:rPr>
        <w:t xml:space="preserve"> </w:t>
      </w:r>
      <w:r w:rsidR="00890CF0">
        <w:rPr>
          <w:rFonts w:eastAsia="Calibri" w:cstheme="minorHAnsi"/>
          <w:szCs w:val="24"/>
          <w:lang w:eastAsia="en-AU"/>
        </w:rPr>
        <w:t xml:space="preserve">Government of Indonesia’s </w:t>
      </w:r>
      <w:r w:rsidR="0098046F">
        <w:rPr>
          <w:rFonts w:eastAsia="Calibri" w:cstheme="minorHAnsi"/>
          <w:szCs w:val="24"/>
          <w:lang w:eastAsia="en-AU"/>
        </w:rPr>
        <w:t>medium-term development plan</w:t>
      </w:r>
      <w:r w:rsidR="00890CF0">
        <w:rPr>
          <w:rFonts w:eastAsia="Calibri" w:cstheme="minorHAnsi"/>
          <w:szCs w:val="24"/>
          <w:lang w:eastAsia="en-AU"/>
        </w:rPr>
        <w:t xml:space="preserve"> and education sector plan</w:t>
      </w:r>
      <w:r>
        <w:rPr>
          <w:rFonts w:eastAsia="Calibri" w:cstheme="minorHAnsi"/>
          <w:szCs w:val="24"/>
          <w:lang w:eastAsia="en-AU"/>
        </w:rPr>
        <w:t>.</w:t>
      </w:r>
    </w:p>
    <w:p w14:paraId="5628B5BA" w14:textId="11A3DD15" w:rsidR="00BC364A" w:rsidRPr="00851EC7" w:rsidRDefault="009C3BC1" w:rsidP="009C3BC1">
      <w:pPr>
        <w:spacing w:before="120" w:after="120" w:line="240" w:lineRule="auto"/>
        <w:contextualSpacing/>
        <w:rPr>
          <w:rFonts w:eastAsia="Calibri" w:cs="Times New Roman"/>
          <w:szCs w:val="24"/>
          <w:lang w:eastAsia="en-AU"/>
        </w:rPr>
      </w:pPr>
      <w:r>
        <w:t>T</w:t>
      </w:r>
      <w:r w:rsidR="00483A59">
        <w:t>here are three</w:t>
      </w:r>
      <w:r>
        <w:t xml:space="preserve"> concerns to address: (i) </w:t>
      </w:r>
      <w:r w:rsidR="00BC364A">
        <w:rPr>
          <w:rFonts w:eastAsia="Calibri" w:cstheme="minorHAnsi"/>
          <w:szCs w:val="24"/>
          <w:lang w:eastAsia="en-AU"/>
        </w:rPr>
        <w:t xml:space="preserve">there </w:t>
      </w:r>
      <w:r w:rsidR="00BC364A" w:rsidRPr="00851EC7">
        <w:rPr>
          <w:rFonts w:eastAsia="Calibri" w:cs="Times New Roman"/>
          <w:szCs w:val="24"/>
          <w:lang w:eastAsia="en-AU"/>
        </w:rPr>
        <w:t>is insufficient evidence of a ‘critical mass’ of ACDP evidence being incorporated into sector policies, regulations, plans and budgets</w:t>
      </w:r>
      <w:r>
        <w:rPr>
          <w:rFonts w:eastAsia="Calibri" w:cs="Times New Roman"/>
          <w:szCs w:val="24"/>
          <w:lang w:eastAsia="en-AU"/>
        </w:rPr>
        <w:t xml:space="preserve">, </w:t>
      </w:r>
      <w:r w:rsidR="00483A59">
        <w:rPr>
          <w:rFonts w:eastAsia="Calibri" w:cs="Times New Roman"/>
          <w:szCs w:val="24"/>
          <w:lang w:eastAsia="en-AU"/>
        </w:rPr>
        <w:t xml:space="preserve">(ii) the role of ACDP in pursuing their results to gain impact, </w:t>
      </w:r>
      <w:r>
        <w:rPr>
          <w:rFonts w:eastAsia="Calibri" w:cs="Times New Roman"/>
          <w:szCs w:val="24"/>
          <w:lang w:eastAsia="en-AU"/>
        </w:rPr>
        <w:t>and (i</w:t>
      </w:r>
      <w:r w:rsidR="00483A59">
        <w:rPr>
          <w:rFonts w:eastAsia="Calibri" w:cs="Times New Roman"/>
          <w:szCs w:val="24"/>
          <w:lang w:eastAsia="en-AU"/>
        </w:rPr>
        <w:t>i</w:t>
      </w:r>
      <w:r>
        <w:rPr>
          <w:rFonts w:eastAsia="Calibri" w:cs="Times New Roman"/>
          <w:szCs w:val="24"/>
          <w:lang w:eastAsia="en-AU"/>
        </w:rPr>
        <w:t>i) w</w:t>
      </w:r>
      <w:r w:rsidR="00BC364A" w:rsidRPr="00851EC7">
        <w:rPr>
          <w:rFonts w:eastAsia="Calibri" w:cs="Times New Roman"/>
          <w:szCs w:val="24"/>
          <w:lang w:eastAsia="en-AU"/>
        </w:rPr>
        <w:t>hil</w:t>
      </w:r>
      <w:r>
        <w:rPr>
          <w:rFonts w:eastAsia="Calibri" w:cs="Times New Roman"/>
          <w:szCs w:val="24"/>
          <w:lang w:eastAsia="en-AU"/>
        </w:rPr>
        <w:t>e</w:t>
      </w:r>
      <w:r w:rsidR="00BC364A" w:rsidRPr="00851EC7">
        <w:rPr>
          <w:rFonts w:eastAsia="Calibri" w:cs="Times New Roman"/>
          <w:szCs w:val="24"/>
          <w:lang w:eastAsia="en-AU"/>
        </w:rPr>
        <w:t xml:space="preserve"> sustainability was</w:t>
      </w:r>
      <w:r>
        <w:rPr>
          <w:rFonts w:eastAsia="Calibri" w:cs="Times New Roman"/>
          <w:szCs w:val="24"/>
          <w:lang w:eastAsia="en-AU"/>
        </w:rPr>
        <w:t xml:space="preserve"> </w:t>
      </w:r>
      <w:r w:rsidR="00BC364A" w:rsidRPr="00851EC7">
        <w:rPr>
          <w:rFonts w:eastAsia="Calibri" w:cs="Times New Roman"/>
          <w:szCs w:val="24"/>
          <w:lang w:eastAsia="en-AU"/>
        </w:rPr>
        <w:t>not foreseen within the design o</w:t>
      </w:r>
      <w:r>
        <w:rPr>
          <w:rFonts w:eastAsia="Calibri" w:cs="Times New Roman"/>
          <w:szCs w:val="24"/>
          <w:lang w:eastAsia="en-AU"/>
        </w:rPr>
        <w:t xml:space="preserve">f ACDP, </w:t>
      </w:r>
      <w:r w:rsidR="00E8165A">
        <w:rPr>
          <w:rFonts w:eastAsia="Calibri" w:cs="Times New Roman"/>
          <w:szCs w:val="24"/>
          <w:lang w:eastAsia="en-AU"/>
        </w:rPr>
        <w:t xml:space="preserve">a </w:t>
      </w:r>
      <w:r>
        <w:rPr>
          <w:rFonts w:eastAsia="Calibri" w:cs="Times New Roman"/>
          <w:szCs w:val="24"/>
          <w:lang w:eastAsia="en-AU"/>
        </w:rPr>
        <w:t xml:space="preserve">lack of movement to establish an institutional </w:t>
      </w:r>
      <w:r w:rsidR="00E8165A">
        <w:rPr>
          <w:rFonts w:eastAsia="Calibri" w:cs="Times New Roman"/>
          <w:szCs w:val="24"/>
          <w:lang w:eastAsia="en-AU"/>
        </w:rPr>
        <w:t>legacy will result</w:t>
      </w:r>
      <w:r>
        <w:rPr>
          <w:rFonts w:eastAsia="Calibri" w:cs="Times New Roman"/>
          <w:szCs w:val="24"/>
          <w:lang w:eastAsia="en-AU"/>
        </w:rPr>
        <w:t xml:space="preserve"> </w:t>
      </w:r>
      <w:r w:rsidR="00996A10">
        <w:rPr>
          <w:rFonts w:eastAsia="Calibri" w:cs="Times New Roman"/>
          <w:szCs w:val="24"/>
          <w:lang w:eastAsia="en-AU"/>
        </w:rPr>
        <w:t xml:space="preserve">in </w:t>
      </w:r>
      <w:r w:rsidR="00BC364A" w:rsidRPr="00851EC7">
        <w:rPr>
          <w:rFonts w:eastAsia="Calibri" w:cs="Times New Roman"/>
          <w:szCs w:val="24"/>
          <w:lang w:eastAsia="en-AU"/>
        </w:rPr>
        <w:t>a missed opportunity to generate a better return on the USD 50m investment.</w:t>
      </w:r>
    </w:p>
    <w:p w14:paraId="72D095FB" w14:textId="299824B2" w:rsidR="00BC364A" w:rsidRPr="00851EC7" w:rsidRDefault="00BC364A" w:rsidP="00F42BE4">
      <w:pPr>
        <w:spacing w:before="360" w:after="120" w:line="240" w:lineRule="auto"/>
        <w:rPr>
          <w:rFonts w:eastAsia="Calibri" w:cs="Times New Roman"/>
          <w:szCs w:val="24"/>
          <w:lang w:eastAsia="en-AU"/>
        </w:rPr>
      </w:pPr>
      <w:r w:rsidRPr="003A294C">
        <w:rPr>
          <w:rFonts w:eastAsia="Calibri" w:cstheme="minorHAnsi"/>
          <w:szCs w:val="24"/>
          <w:u w:val="single"/>
          <w:lang w:eastAsia="en-AU"/>
        </w:rPr>
        <w:t>Program management</w:t>
      </w:r>
      <w:r w:rsidR="00D93E8D">
        <w:rPr>
          <w:rFonts w:eastAsia="Calibri" w:cstheme="minorHAnsi"/>
          <w:szCs w:val="24"/>
          <w:lang w:eastAsia="en-AU"/>
        </w:rPr>
        <w:t xml:space="preserve"> </w:t>
      </w:r>
      <w:r w:rsidR="00435224">
        <w:t xml:space="preserve"> </w:t>
      </w:r>
      <w:r w:rsidR="00816576">
        <w:t xml:space="preserve"> </w:t>
      </w:r>
      <w:r w:rsidR="00BB2D6E">
        <w:t>In 201</w:t>
      </w:r>
      <w:r w:rsidR="00EC7CC0">
        <w:t>4</w:t>
      </w:r>
      <w:r w:rsidR="00BB2D6E">
        <w:t xml:space="preserve">, </w:t>
      </w:r>
      <w:r w:rsidR="0031542A">
        <w:t>with the Education Partnership now well into implementation,</w:t>
      </w:r>
      <w:r w:rsidR="00113E55">
        <w:t xml:space="preserve"> ongoing</w:t>
      </w:r>
      <w:r w:rsidR="00996A10">
        <w:t xml:space="preserve"> </w:t>
      </w:r>
      <w:r w:rsidR="00435224">
        <w:t xml:space="preserve">strategic </w:t>
      </w:r>
      <w:r w:rsidRPr="00851EC7">
        <w:t xml:space="preserve">engagement </w:t>
      </w:r>
      <w:r w:rsidR="00F42BE4">
        <w:t xml:space="preserve">and </w:t>
      </w:r>
      <w:r w:rsidR="00113E55">
        <w:t xml:space="preserve">discussion around </w:t>
      </w:r>
      <w:r w:rsidR="00F42BE4">
        <w:t>direction</w:t>
      </w:r>
      <w:r w:rsidR="00113E55">
        <w:t>s</w:t>
      </w:r>
      <w:r w:rsidR="00F42BE4">
        <w:t xml:space="preserve"> </w:t>
      </w:r>
      <w:r w:rsidR="00113E55">
        <w:t xml:space="preserve">with </w:t>
      </w:r>
      <w:r w:rsidRPr="00851EC7">
        <w:t>implementing partners</w:t>
      </w:r>
      <w:r>
        <w:t xml:space="preserve"> </w:t>
      </w:r>
      <w:r w:rsidR="00483A59">
        <w:t>is continuing</w:t>
      </w:r>
      <w:r w:rsidR="00F42BE4">
        <w:t xml:space="preserve"> to increase </w:t>
      </w:r>
      <w:r w:rsidRPr="00851EC7">
        <w:rPr>
          <w:rFonts w:eastAsia="Calibri" w:cs="Times New Roman"/>
          <w:szCs w:val="24"/>
          <w:lang w:eastAsia="en-AU"/>
        </w:rPr>
        <w:t>program effectiveness and impact.</w:t>
      </w:r>
      <w:r w:rsidR="00D93E8D">
        <w:rPr>
          <w:rFonts w:eastAsia="Calibri" w:cs="Times New Roman"/>
          <w:szCs w:val="24"/>
          <w:lang w:eastAsia="en-AU"/>
        </w:rPr>
        <w:t xml:space="preserve"> </w:t>
      </w:r>
      <w:r>
        <w:rPr>
          <w:rFonts w:eastAsia="Calibri" w:cs="Times New Roman"/>
          <w:szCs w:val="24"/>
          <w:lang w:eastAsia="en-AU"/>
        </w:rPr>
        <w:t>R</w:t>
      </w:r>
      <w:r w:rsidRPr="00851EC7">
        <w:rPr>
          <w:rFonts w:eastAsia="Calibri" w:cs="Times New Roman"/>
          <w:szCs w:val="24"/>
          <w:lang w:eastAsia="en-AU"/>
        </w:rPr>
        <w:t>elationships between the managers and the implementing agencies are strong</w:t>
      </w:r>
      <w:r w:rsidR="00483A59">
        <w:rPr>
          <w:rFonts w:eastAsia="Calibri" w:cs="Times New Roman"/>
          <w:szCs w:val="24"/>
          <w:lang w:eastAsia="en-AU"/>
        </w:rPr>
        <w:t>: i</w:t>
      </w:r>
      <w:r w:rsidRPr="00851EC7">
        <w:rPr>
          <w:rFonts w:eastAsia="Calibri" w:cs="Times New Roman"/>
          <w:szCs w:val="24"/>
          <w:lang w:eastAsia="en-AU"/>
        </w:rPr>
        <w:t xml:space="preserve">n particular, implementation of the School Systems and Quality (SSQ) contract has been typified by adaptive management, which has contributed to greater efficiency and improved prospects for </w:t>
      </w:r>
      <w:r w:rsidR="00F42BE4">
        <w:rPr>
          <w:rFonts w:eastAsia="Calibri" w:cs="Times New Roman"/>
          <w:szCs w:val="24"/>
          <w:lang w:eastAsia="en-AU"/>
        </w:rPr>
        <w:t xml:space="preserve">program </w:t>
      </w:r>
      <w:r w:rsidRPr="00851EC7">
        <w:rPr>
          <w:rFonts w:eastAsia="Calibri" w:cs="Times New Roman"/>
          <w:szCs w:val="24"/>
          <w:lang w:eastAsia="en-AU"/>
        </w:rPr>
        <w:t>effectiveness</w:t>
      </w:r>
      <w:r w:rsidR="00F42BE4">
        <w:rPr>
          <w:rFonts w:eastAsia="Calibri" w:cs="Times New Roman"/>
          <w:szCs w:val="24"/>
          <w:lang w:eastAsia="en-AU"/>
        </w:rPr>
        <w:t xml:space="preserve"> (Components 1 to 3)</w:t>
      </w:r>
      <w:r w:rsidRPr="00851EC7">
        <w:rPr>
          <w:rFonts w:eastAsia="Calibri" w:cs="Times New Roman"/>
          <w:szCs w:val="24"/>
          <w:lang w:eastAsia="en-AU"/>
        </w:rPr>
        <w:t xml:space="preserve">. </w:t>
      </w:r>
    </w:p>
    <w:p w14:paraId="4716B039" w14:textId="1809898C" w:rsidR="00BC364A" w:rsidRPr="00483A59" w:rsidRDefault="00BC364A" w:rsidP="00F42BE4">
      <w:pPr>
        <w:spacing w:before="120" w:after="120" w:line="240" w:lineRule="auto"/>
        <w:contextualSpacing/>
        <w:rPr>
          <w:rFonts w:eastAsia="Calibri" w:cs="Times New Roman"/>
          <w:szCs w:val="24"/>
          <w:lang w:eastAsia="en-AU"/>
        </w:rPr>
      </w:pPr>
      <w:r w:rsidRPr="00851EC7">
        <w:rPr>
          <w:rFonts w:eastAsia="Calibri" w:cs="Times New Roman"/>
          <w:szCs w:val="24"/>
          <w:lang w:eastAsia="en-AU"/>
        </w:rPr>
        <w:t>The</w:t>
      </w:r>
      <w:r>
        <w:rPr>
          <w:rFonts w:eastAsia="Calibri" w:cs="Times New Roman"/>
          <w:szCs w:val="24"/>
          <w:lang w:eastAsia="en-AU"/>
        </w:rPr>
        <w:t xml:space="preserve"> outstanding challenge is for </w:t>
      </w:r>
      <w:r w:rsidR="0031542A">
        <w:rPr>
          <w:rFonts w:eastAsia="Calibri" w:cs="Times New Roman"/>
          <w:szCs w:val="24"/>
          <w:lang w:eastAsia="en-AU"/>
        </w:rPr>
        <w:t>the Governments of Australia and Indonesia</w:t>
      </w:r>
      <w:r w:rsidRPr="00851EC7">
        <w:rPr>
          <w:rFonts w:eastAsia="Calibri" w:cs="Times New Roman"/>
          <w:szCs w:val="24"/>
          <w:lang w:eastAsia="en-AU"/>
        </w:rPr>
        <w:t xml:space="preserve"> to ensure that the E</w:t>
      </w:r>
      <w:r w:rsidR="002546E4">
        <w:rPr>
          <w:rFonts w:eastAsia="Calibri" w:cs="Times New Roman"/>
          <w:szCs w:val="24"/>
          <w:lang w:eastAsia="en-AU"/>
        </w:rPr>
        <w:t xml:space="preserve">ducation </w:t>
      </w:r>
      <w:r w:rsidRPr="00851EC7">
        <w:rPr>
          <w:rFonts w:eastAsia="Calibri" w:cs="Times New Roman"/>
          <w:szCs w:val="24"/>
          <w:lang w:eastAsia="en-AU"/>
        </w:rPr>
        <w:t>P</w:t>
      </w:r>
      <w:r w:rsidR="002546E4">
        <w:rPr>
          <w:rFonts w:eastAsia="Calibri" w:cs="Times New Roman"/>
          <w:szCs w:val="24"/>
          <w:lang w:eastAsia="en-AU"/>
        </w:rPr>
        <w:t>artnership</w:t>
      </w:r>
      <w:r w:rsidRPr="00851EC7">
        <w:rPr>
          <w:rFonts w:eastAsia="Calibri" w:cs="Times New Roman"/>
          <w:szCs w:val="24"/>
          <w:lang w:eastAsia="en-AU"/>
        </w:rPr>
        <w:t xml:space="preserve"> is in line with the governments’</w:t>
      </w:r>
      <w:r w:rsidRPr="00851EC7">
        <w:t xml:space="preserve"> overarching development aspirations. On one level this requires </w:t>
      </w:r>
      <w:r w:rsidR="00483A59">
        <w:t xml:space="preserve">attention be paid to </w:t>
      </w:r>
      <w:r w:rsidRPr="00851EC7">
        <w:t xml:space="preserve">the ‘traditional’ (and important) development principles of sustainability and capacity building. On another level it requires alignment with </w:t>
      </w:r>
      <w:r w:rsidR="007A65C0">
        <w:t>GoA’s</w:t>
      </w:r>
      <w:r w:rsidRPr="00851EC7">
        <w:t xml:space="preserve"> </w:t>
      </w:r>
      <w:r w:rsidR="007A65C0">
        <w:t>new aid paradigm</w:t>
      </w:r>
      <w:r w:rsidRPr="00851EC7">
        <w:t xml:space="preserve"> and its promotion of, </w:t>
      </w:r>
      <w:r w:rsidRPr="00851EC7">
        <w:rPr>
          <w:i/>
        </w:rPr>
        <w:t>inter alia</w:t>
      </w:r>
      <w:r w:rsidRPr="00851EC7">
        <w:t>, value for money, private sector engagement and combatting corruption.</w:t>
      </w:r>
      <w:r w:rsidR="00D93E8D">
        <w:t xml:space="preserve"> </w:t>
      </w:r>
      <w:r w:rsidR="00483A59">
        <w:t xml:space="preserve"> The APPR also </w:t>
      </w:r>
      <w:r w:rsidRPr="00851EC7">
        <w:t xml:space="preserve">notes the ongoing </w:t>
      </w:r>
      <w:r w:rsidRPr="00851EC7">
        <w:rPr>
          <w:rFonts w:eastAsia="Calibri" w:cs="Times New Roman"/>
          <w:szCs w:val="24"/>
          <w:lang w:eastAsia="en-AU"/>
        </w:rPr>
        <w:t>absence of social inclusion and value for money strategies or frameworks, potentially at the expense of securing optimal developmental returns.</w:t>
      </w:r>
      <w:r w:rsidR="00D93E8D">
        <w:rPr>
          <w:rFonts w:eastAsia="Calibri" w:cs="Times New Roman"/>
          <w:szCs w:val="24"/>
          <w:lang w:eastAsia="en-AU"/>
        </w:rPr>
        <w:t xml:space="preserve"> </w:t>
      </w:r>
    </w:p>
    <w:p w14:paraId="4C73663B" w14:textId="77777777" w:rsidR="00C92837" w:rsidRPr="007C51C3" w:rsidRDefault="00C92837" w:rsidP="00C92837">
      <w:pPr>
        <w:pStyle w:val="DocName"/>
        <w:shd w:val="clear" w:color="auto" w:fill="FFFFCC"/>
        <w:spacing w:before="240" w:after="240"/>
        <w:jc w:val="left"/>
        <w:rPr>
          <w:rFonts w:asciiTheme="minorHAnsi" w:hAnsiTheme="minorHAnsi" w:cstheme="minorHAnsi"/>
          <w:sz w:val="22"/>
          <w:szCs w:val="22"/>
          <w:lang w:eastAsia="en-AU"/>
        </w:rPr>
      </w:pPr>
      <w:r w:rsidRPr="007C51C3">
        <w:rPr>
          <w:rFonts w:asciiTheme="minorHAnsi" w:hAnsiTheme="minorHAnsi" w:cstheme="minorHAnsi"/>
          <w:sz w:val="22"/>
          <w:szCs w:val="22"/>
          <w:lang w:eastAsia="en-AU"/>
        </w:rPr>
        <w:lastRenderedPageBreak/>
        <w:t>Management Response</w:t>
      </w:r>
    </w:p>
    <w:p w14:paraId="0225B204" w14:textId="4C03DF77" w:rsidR="00315A09" w:rsidRDefault="00C92837" w:rsidP="00315A09">
      <w:pPr>
        <w:spacing w:line="240" w:lineRule="auto"/>
        <w:rPr>
          <w:rFonts w:cstheme="minorHAnsi"/>
        </w:rPr>
      </w:pPr>
      <w:r>
        <w:rPr>
          <w:rFonts w:cstheme="minorHAnsi"/>
        </w:rPr>
        <w:t>The APPR presents a well-</w:t>
      </w:r>
      <w:r w:rsidRPr="007C51C3">
        <w:rPr>
          <w:rFonts w:cstheme="minorHAnsi"/>
        </w:rPr>
        <w:t>balanced, fair and objective assessment of the performance of the E</w:t>
      </w:r>
      <w:r w:rsidR="002546E4">
        <w:rPr>
          <w:rFonts w:cstheme="minorHAnsi"/>
        </w:rPr>
        <w:t xml:space="preserve">ducation </w:t>
      </w:r>
      <w:r w:rsidRPr="007C51C3">
        <w:rPr>
          <w:rFonts w:cstheme="minorHAnsi"/>
        </w:rPr>
        <w:t>P</w:t>
      </w:r>
      <w:r w:rsidR="002546E4">
        <w:rPr>
          <w:rFonts w:cstheme="minorHAnsi"/>
        </w:rPr>
        <w:t>artnership</w:t>
      </w:r>
      <w:r w:rsidRPr="007C51C3">
        <w:rPr>
          <w:rFonts w:cstheme="minorHAnsi"/>
        </w:rPr>
        <w:t xml:space="preserve"> to date.</w:t>
      </w:r>
      <w:r w:rsidR="00D93E8D">
        <w:rPr>
          <w:rFonts w:cstheme="minorHAnsi"/>
        </w:rPr>
        <w:t xml:space="preserve"> </w:t>
      </w:r>
      <w:r>
        <w:rPr>
          <w:rFonts w:cstheme="minorHAnsi"/>
        </w:rPr>
        <w:t xml:space="preserve">We appreciate that </w:t>
      </w:r>
      <w:r w:rsidRPr="007C51C3">
        <w:rPr>
          <w:rFonts w:cstheme="minorHAnsi"/>
        </w:rPr>
        <w:t xml:space="preserve">POM took </w:t>
      </w:r>
      <w:r>
        <w:rPr>
          <w:rFonts w:cstheme="minorHAnsi"/>
        </w:rPr>
        <w:t xml:space="preserve">a </w:t>
      </w:r>
      <w:r w:rsidRPr="007C51C3">
        <w:rPr>
          <w:rFonts w:cstheme="minorHAnsi"/>
        </w:rPr>
        <w:t xml:space="preserve">highly consultative </w:t>
      </w:r>
      <w:r>
        <w:rPr>
          <w:rFonts w:cstheme="minorHAnsi"/>
        </w:rPr>
        <w:t xml:space="preserve">approach to preparing the APPR </w:t>
      </w:r>
      <w:r w:rsidRPr="007C51C3">
        <w:rPr>
          <w:rFonts w:cstheme="minorHAnsi"/>
        </w:rPr>
        <w:t xml:space="preserve">and </w:t>
      </w:r>
      <w:r>
        <w:rPr>
          <w:rFonts w:cstheme="minorHAnsi"/>
        </w:rPr>
        <w:t xml:space="preserve">believe that POM’s </w:t>
      </w:r>
      <w:r w:rsidRPr="007C51C3">
        <w:rPr>
          <w:rFonts w:cstheme="minorHAnsi"/>
        </w:rPr>
        <w:t xml:space="preserve">considerable engagement with stakeholders </w:t>
      </w:r>
      <w:r>
        <w:rPr>
          <w:rFonts w:cstheme="minorHAnsi"/>
        </w:rPr>
        <w:t>was productive</w:t>
      </w:r>
      <w:r w:rsidRPr="007C51C3">
        <w:rPr>
          <w:rFonts w:cstheme="minorHAnsi"/>
        </w:rPr>
        <w:t xml:space="preserve">. </w:t>
      </w:r>
      <w:r w:rsidR="00E12188" w:rsidRPr="007C51C3">
        <w:rPr>
          <w:rFonts w:cstheme="minorHAnsi"/>
        </w:rPr>
        <w:t xml:space="preserve">We </w:t>
      </w:r>
      <w:r w:rsidR="00E12188">
        <w:rPr>
          <w:rFonts w:cstheme="minorHAnsi"/>
        </w:rPr>
        <w:t>acknowledge that our contribution to the sector remains highly valued</w:t>
      </w:r>
      <w:r w:rsidR="00E12188" w:rsidRPr="007C51C3">
        <w:rPr>
          <w:rFonts w:cstheme="minorHAnsi"/>
        </w:rPr>
        <w:t xml:space="preserve"> </w:t>
      </w:r>
      <w:r w:rsidR="00E12188">
        <w:rPr>
          <w:rFonts w:cstheme="minorHAnsi"/>
        </w:rPr>
        <w:t xml:space="preserve">and that </w:t>
      </w:r>
      <w:r w:rsidR="00E12188" w:rsidRPr="007C51C3">
        <w:rPr>
          <w:rFonts w:cstheme="minorHAnsi"/>
        </w:rPr>
        <w:t xml:space="preserve">the </w:t>
      </w:r>
      <w:r w:rsidR="00E12188">
        <w:rPr>
          <w:rFonts w:cstheme="minorHAnsi"/>
        </w:rPr>
        <w:t>E</w:t>
      </w:r>
      <w:r w:rsidR="002546E4">
        <w:rPr>
          <w:rFonts w:cstheme="minorHAnsi"/>
        </w:rPr>
        <w:t>ducation Partnership</w:t>
      </w:r>
      <w:r w:rsidR="00E12188" w:rsidRPr="007C51C3">
        <w:rPr>
          <w:rFonts w:cstheme="minorHAnsi"/>
        </w:rPr>
        <w:t xml:space="preserve"> continues to </w:t>
      </w:r>
      <w:r w:rsidR="00E12188">
        <w:rPr>
          <w:rFonts w:cstheme="minorHAnsi"/>
        </w:rPr>
        <w:t xml:space="preserve">work on significant </w:t>
      </w:r>
      <w:r w:rsidR="00E12188" w:rsidRPr="007C51C3">
        <w:rPr>
          <w:rFonts w:cstheme="minorHAnsi"/>
        </w:rPr>
        <w:t xml:space="preserve">issues in </w:t>
      </w:r>
      <w:r w:rsidR="00E12188">
        <w:rPr>
          <w:rFonts w:cstheme="minorHAnsi"/>
        </w:rPr>
        <w:t>areas of importance to GoI.</w:t>
      </w:r>
      <w:r w:rsidR="00D93E8D">
        <w:rPr>
          <w:rFonts w:cstheme="minorHAnsi"/>
        </w:rPr>
        <w:t xml:space="preserve"> </w:t>
      </w:r>
      <w:r w:rsidR="00E12188">
        <w:rPr>
          <w:rFonts w:cstheme="minorHAnsi"/>
        </w:rPr>
        <w:t>We recognise the need to ensure that our</w:t>
      </w:r>
      <w:r w:rsidR="00E12188" w:rsidRPr="007C51C3">
        <w:rPr>
          <w:rFonts w:cstheme="minorHAnsi"/>
        </w:rPr>
        <w:t xml:space="preserve"> approaches to </w:t>
      </w:r>
      <w:r w:rsidR="00E12188">
        <w:rPr>
          <w:rFonts w:cstheme="minorHAnsi"/>
        </w:rPr>
        <w:t>t</w:t>
      </w:r>
      <w:r w:rsidR="00E12188" w:rsidRPr="007C51C3">
        <w:rPr>
          <w:rFonts w:cstheme="minorHAnsi"/>
        </w:rPr>
        <w:t>h</w:t>
      </w:r>
      <w:r w:rsidR="00E12188">
        <w:rPr>
          <w:rFonts w:cstheme="minorHAnsi"/>
        </w:rPr>
        <w:t xml:space="preserve">ose </w:t>
      </w:r>
      <w:r w:rsidR="00E12188" w:rsidRPr="007C51C3">
        <w:rPr>
          <w:rFonts w:cstheme="minorHAnsi"/>
        </w:rPr>
        <w:t xml:space="preserve">issues </w:t>
      </w:r>
      <w:r w:rsidR="00E12188">
        <w:rPr>
          <w:rFonts w:cstheme="minorHAnsi"/>
        </w:rPr>
        <w:t>must evolve as government policies and priorities change.</w:t>
      </w:r>
      <w:r w:rsidR="00D93E8D">
        <w:rPr>
          <w:rFonts w:cstheme="minorHAnsi"/>
        </w:rPr>
        <w:t xml:space="preserve"> </w:t>
      </w:r>
      <w:r w:rsidR="00315A09">
        <w:rPr>
          <w:rFonts w:cstheme="minorHAnsi"/>
        </w:rPr>
        <w:t xml:space="preserve">We </w:t>
      </w:r>
      <w:r w:rsidR="00315A09" w:rsidRPr="007C51C3">
        <w:rPr>
          <w:rFonts w:cstheme="minorHAnsi"/>
        </w:rPr>
        <w:t>agree</w:t>
      </w:r>
      <w:r w:rsidR="00816576">
        <w:rPr>
          <w:rFonts w:cstheme="minorHAnsi"/>
        </w:rPr>
        <w:t xml:space="preserve"> with the AP</w:t>
      </w:r>
      <w:r w:rsidR="00315A09">
        <w:rPr>
          <w:rFonts w:cstheme="minorHAnsi"/>
        </w:rPr>
        <w:t>PR’s assertion</w:t>
      </w:r>
      <w:r w:rsidR="00315A09" w:rsidRPr="007C51C3">
        <w:rPr>
          <w:rFonts w:cstheme="minorHAnsi"/>
        </w:rPr>
        <w:t xml:space="preserve"> that </w:t>
      </w:r>
      <w:r w:rsidR="00315A09">
        <w:rPr>
          <w:rFonts w:cstheme="minorHAnsi"/>
        </w:rPr>
        <w:t xml:space="preserve">we and the </w:t>
      </w:r>
      <w:r w:rsidR="00315A09" w:rsidRPr="007C51C3">
        <w:rPr>
          <w:rFonts w:cstheme="minorHAnsi"/>
        </w:rPr>
        <w:t>program</w:t>
      </w:r>
      <w:r w:rsidR="00315A09">
        <w:rPr>
          <w:rFonts w:cstheme="minorHAnsi"/>
        </w:rPr>
        <w:t xml:space="preserve">’s contractors </w:t>
      </w:r>
      <w:r w:rsidR="00315A09" w:rsidRPr="007C51C3">
        <w:rPr>
          <w:rFonts w:cstheme="minorHAnsi"/>
        </w:rPr>
        <w:t xml:space="preserve">should increasingly focus on sustainability and </w:t>
      </w:r>
      <w:r w:rsidR="00315A09">
        <w:rPr>
          <w:rFonts w:cstheme="minorHAnsi"/>
        </w:rPr>
        <w:t xml:space="preserve">on </w:t>
      </w:r>
      <w:r w:rsidR="00315A09" w:rsidRPr="007C51C3">
        <w:rPr>
          <w:rFonts w:cstheme="minorHAnsi"/>
        </w:rPr>
        <w:t>engaging with the Indonesian Government to maximise the program’s impact.</w:t>
      </w:r>
      <w:r w:rsidR="00D93E8D">
        <w:rPr>
          <w:rFonts w:cstheme="minorHAnsi"/>
        </w:rPr>
        <w:t xml:space="preserve"> </w:t>
      </w:r>
    </w:p>
    <w:p w14:paraId="674FA69B" w14:textId="77777777" w:rsidR="00382575" w:rsidRDefault="00612DB1" w:rsidP="00C92837">
      <w:pPr>
        <w:spacing w:line="240" w:lineRule="auto"/>
        <w:rPr>
          <w:rFonts w:cstheme="minorHAnsi"/>
        </w:rPr>
      </w:pPr>
      <w:r>
        <w:rPr>
          <w:rFonts w:cstheme="minorHAnsi"/>
        </w:rPr>
        <w:t xml:space="preserve">Responses to each of the </w:t>
      </w:r>
      <w:r w:rsidR="00876BBB">
        <w:rPr>
          <w:rFonts w:cstheme="minorHAnsi"/>
        </w:rPr>
        <w:t xml:space="preserve">APPR’s </w:t>
      </w:r>
      <w:r>
        <w:rPr>
          <w:rFonts w:cstheme="minorHAnsi"/>
        </w:rPr>
        <w:t xml:space="preserve">28 recommendations can be found in Annex 2.  It is </w:t>
      </w:r>
      <w:r w:rsidR="00C328C1">
        <w:rPr>
          <w:rFonts w:cstheme="minorHAnsi"/>
        </w:rPr>
        <w:t>important to note</w:t>
      </w:r>
      <w:r>
        <w:rPr>
          <w:rFonts w:cstheme="minorHAnsi"/>
        </w:rPr>
        <w:t xml:space="preserve"> that two factors in addition to the APPR’s findings have influenced </w:t>
      </w:r>
      <w:r w:rsidR="00382575">
        <w:rPr>
          <w:rFonts w:cstheme="minorHAnsi"/>
        </w:rPr>
        <w:t xml:space="preserve">both </w:t>
      </w:r>
      <w:r>
        <w:rPr>
          <w:rFonts w:cstheme="minorHAnsi"/>
        </w:rPr>
        <w:t>our responses to the recommendations</w:t>
      </w:r>
      <w:r w:rsidR="00382575">
        <w:rPr>
          <w:rFonts w:cstheme="minorHAnsi"/>
        </w:rPr>
        <w:t xml:space="preserve"> and our drivers for the coming year: f</w:t>
      </w:r>
      <w:r>
        <w:rPr>
          <w:rFonts w:cstheme="minorHAnsi"/>
        </w:rPr>
        <w:t xml:space="preserve">irst, we </w:t>
      </w:r>
      <w:r w:rsidR="00876BBB">
        <w:rPr>
          <w:rFonts w:cstheme="minorHAnsi"/>
        </w:rPr>
        <w:t>are m</w:t>
      </w:r>
      <w:r w:rsidR="00C31004">
        <w:rPr>
          <w:rFonts w:cstheme="minorHAnsi"/>
        </w:rPr>
        <w:t>ov</w:t>
      </w:r>
      <w:r w:rsidR="00876BBB">
        <w:rPr>
          <w:rFonts w:cstheme="minorHAnsi"/>
        </w:rPr>
        <w:t>ing</w:t>
      </w:r>
      <w:r w:rsidR="00C31004">
        <w:rPr>
          <w:rFonts w:cstheme="minorHAnsi"/>
        </w:rPr>
        <w:t xml:space="preserve"> into </w:t>
      </w:r>
      <w:r w:rsidR="00C328C1">
        <w:rPr>
          <w:rFonts w:cstheme="minorHAnsi"/>
        </w:rPr>
        <w:t>t</w:t>
      </w:r>
      <w:r w:rsidR="00876BBB">
        <w:rPr>
          <w:rFonts w:cstheme="minorHAnsi"/>
        </w:rPr>
        <w:t xml:space="preserve">he </w:t>
      </w:r>
      <w:r w:rsidR="00C31004">
        <w:rPr>
          <w:rFonts w:cstheme="minorHAnsi"/>
        </w:rPr>
        <w:t>final phase of the E</w:t>
      </w:r>
      <w:r w:rsidR="002546E4">
        <w:rPr>
          <w:rFonts w:cstheme="minorHAnsi"/>
        </w:rPr>
        <w:t xml:space="preserve">ducation </w:t>
      </w:r>
      <w:r w:rsidR="00C31004">
        <w:rPr>
          <w:rFonts w:cstheme="minorHAnsi"/>
        </w:rPr>
        <w:t>P</w:t>
      </w:r>
      <w:r w:rsidR="002546E4">
        <w:rPr>
          <w:rFonts w:cstheme="minorHAnsi"/>
        </w:rPr>
        <w:t>artnership</w:t>
      </w:r>
      <w:r w:rsidR="00C31004">
        <w:rPr>
          <w:rFonts w:cstheme="minorHAnsi"/>
        </w:rPr>
        <w:t xml:space="preserve"> (</w:t>
      </w:r>
      <w:r w:rsidR="001A1524">
        <w:rPr>
          <w:rFonts w:cstheme="minorHAnsi"/>
        </w:rPr>
        <w:t>Components 1</w:t>
      </w:r>
      <w:r>
        <w:rPr>
          <w:rFonts w:cstheme="minorHAnsi"/>
        </w:rPr>
        <w:t>, 2 and</w:t>
      </w:r>
      <w:r w:rsidR="001A1524">
        <w:rPr>
          <w:rFonts w:cstheme="minorHAnsi"/>
        </w:rPr>
        <w:t xml:space="preserve"> 3 will close at the end of FY 2015/16 and Component 4 will close at the end of 2015)</w:t>
      </w:r>
      <w:r w:rsidR="00382575">
        <w:rPr>
          <w:rFonts w:cstheme="minorHAnsi"/>
        </w:rPr>
        <w:t xml:space="preserve">; and second, </w:t>
      </w:r>
      <w:r w:rsidR="001A1524">
        <w:rPr>
          <w:rFonts w:cstheme="minorHAnsi"/>
        </w:rPr>
        <w:t xml:space="preserve">the Australian aid program will face a substantial reduction in financing starting in July </w:t>
      </w:r>
      <w:r>
        <w:rPr>
          <w:rFonts w:cstheme="minorHAnsi"/>
        </w:rPr>
        <w:t>2015</w:t>
      </w:r>
      <w:r w:rsidR="004F607A">
        <w:rPr>
          <w:rFonts w:cstheme="minorHAnsi"/>
        </w:rPr>
        <w:t>.</w:t>
      </w:r>
      <w:r w:rsidR="00D93E8D">
        <w:rPr>
          <w:rFonts w:cstheme="minorHAnsi"/>
        </w:rPr>
        <w:t xml:space="preserve"> </w:t>
      </w:r>
      <w:r w:rsidR="00382575">
        <w:rPr>
          <w:rFonts w:cstheme="minorHAnsi"/>
        </w:rPr>
        <w:t xml:space="preserve"> </w:t>
      </w:r>
    </w:p>
    <w:p w14:paraId="05474B29" w14:textId="0BF2AE97" w:rsidR="003F467C" w:rsidRDefault="00382575" w:rsidP="00C92837">
      <w:pPr>
        <w:spacing w:line="240" w:lineRule="auto"/>
        <w:rPr>
          <w:rFonts w:cstheme="minorHAnsi"/>
        </w:rPr>
      </w:pPr>
      <w:r>
        <w:rPr>
          <w:rFonts w:cstheme="minorHAnsi"/>
        </w:rPr>
        <w:t xml:space="preserve">Under these limiting conditions we are shaping our overall effort on the Education Partnership to focus on three outcomes; </w:t>
      </w:r>
      <w:r w:rsidR="004F607A">
        <w:rPr>
          <w:rFonts w:cstheme="minorHAnsi"/>
        </w:rPr>
        <w:t xml:space="preserve">(i) </w:t>
      </w:r>
      <w:r>
        <w:rPr>
          <w:rFonts w:cstheme="minorHAnsi"/>
        </w:rPr>
        <w:t>a</w:t>
      </w:r>
      <w:r w:rsidR="004F607A">
        <w:rPr>
          <w:rFonts w:cstheme="minorHAnsi"/>
        </w:rPr>
        <w:t xml:space="preserve"> successful transition</w:t>
      </w:r>
      <w:r w:rsidR="00C92837">
        <w:rPr>
          <w:rFonts w:cstheme="minorHAnsi"/>
        </w:rPr>
        <w:t xml:space="preserve"> from the P</w:t>
      </w:r>
      <w:r w:rsidR="002546E4">
        <w:rPr>
          <w:rFonts w:cstheme="minorHAnsi"/>
        </w:rPr>
        <w:t>artnership</w:t>
      </w:r>
      <w:r w:rsidR="00C92837">
        <w:rPr>
          <w:rFonts w:cstheme="minorHAnsi"/>
        </w:rPr>
        <w:t xml:space="preserve"> to a </w:t>
      </w:r>
      <w:r w:rsidR="004F607A">
        <w:rPr>
          <w:rFonts w:cstheme="minorHAnsi"/>
        </w:rPr>
        <w:t>forward program that s</w:t>
      </w:r>
      <w:r w:rsidR="00C92837">
        <w:rPr>
          <w:rFonts w:cstheme="minorHAnsi"/>
        </w:rPr>
        <w:t>upports GoI’s emerging priorities</w:t>
      </w:r>
      <w:r w:rsidR="004F607A">
        <w:rPr>
          <w:rFonts w:cstheme="minorHAnsi"/>
        </w:rPr>
        <w:t xml:space="preserve"> – the </w:t>
      </w:r>
      <w:r w:rsidR="00C92837">
        <w:rPr>
          <w:rFonts w:cstheme="minorHAnsi"/>
        </w:rPr>
        <w:t>quality of schooling and learning outcomes</w:t>
      </w:r>
      <w:r w:rsidR="004F607A">
        <w:rPr>
          <w:rFonts w:cstheme="minorHAnsi"/>
        </w:rPr>
        <w:t>; (ii) that those aspects of the P</w:t>
      </w:r>
      <w:r w:rsidR="002546E4">
        <w:rPr>
          <w:rFonts w:cstheme="minorHAnsi"/>
        </w:rPr>
        <w:t>artnership</w:t>
      </w:r>
      <w:r w:rsidR="004F607A">
        <w:rPr>
          <w:rFonts w:cstheme="minorHAnsi"/>
        </w:rPr>
        <w:t xml:space="preserve"> that are sustainable are provided </w:t>
      </w:r>
      <w:r w:rsidR="003F467C">
        <w:rPr>
          <w:rFonts w:cstheme="minorHAnsi"/>
        </w:rPr>
        <w:t xml:space="preserve">a feasible means of progressing and maturing </w:t>
      </w:r>
      <w:r w:rsidR="003F467C" w:rsidRPr="00382575">
        <w:rPr>
          <w:rFonts w:cstheme="minorHAnsi"/>
          <w:i/>
        </w:rPr>
        <w:t>within</w:t>
      </w:r>
      <w:r w:rsidR="003F467C">
        <w:rPr>
          <w:rFonts w:cstheme="minorHAnsi"/>
        </w:rPr>
        <w:t xml:space="preserve"> GoI programs; and (iii) that the gains made and lessons learned throughout the P</w:t>
      </w:r>
      <w:r w:rsidR="002546E4">
        <w:rPr>
          <w:rFonts w:cstheme="minorHAnsi"/>
        </w:rPr>
        <w:t>artnership</w:t>
      </w:r>
      <w:r w:rsidR="003F467C">
        <w:rPr>
          <w:rFonts w:cstheme="minorHAnsi"/>
        </w:rPr>
        <w:t xml:space="preserve"> are understood and</w:t>
      </w:r>
      <w:r w:rsidR="00996A10">
        <w:rPr>
          <w:rFonts w:cstheme="minorHAnsi"/>
        </w:rPr>
        <w:t>,</w:t>
      </w:r>
      <w:r w:rsidR="003F467C">
        <w:rPr>
          <w:rFonts w:cstheme="minorHAnsi"/>
        </w:rPr>
        <w:t xml:space="preserve"> where applicable</w:t>
      </w:r>
      <w:r w:rsidR="00996A10">
        <w:rPr>
          <w:rFonts w:cstheme="minorHAnsi"/>
        </w:rPr>
        <w:t>,</w:t>
      </w:r>
      <w:r w:rsidR="003F467C">
        <w:rPr>
          <w:rFonts w:cstheme="minorHAnsi"/>
        </w:rPr>
        <w:t xml:space="preserve"> applied to our forward program and</w:t>
      </w:r>
      <w:r w:rsidR="00EC7CC0">
        <w:rPr>
          <w:rFonts w:cstheme="minorHAnsi"/>
        </w:rPr>
        <w:t xml:space="preserve">, if appropriate, </w:t>
      </w:r>
      <w:r w:rsidR="003F467C">
        <w:rPr>
          <w:rFonts w:cstheme="minorHAnsi"/>
        </w:rPr>
        <w:t>to Australia’s aid program more generally.</w:t>
      </w:r>
      <w:r w:rsidR="00D93E8D">
        <w:rPr>
          <w:rFonts w:cstheme="minorHAnsi"/>
        </w:rPr>
        <w:t xml:space="preserve">  </w:t>
      </w:r>
    </w:p>
    <w:p w14:paraId="785C94B1" w14:textId="3E9338A4" w:rsidR="00C64C13" w:rsidRPr="00A50FCE" w:rsidRDefault="00945DC1" w:rsidP="00E3657B">
      <w:pPr>
        <w:spacing w:line="240" w:lineRule="auto"/>
        <w:rPr>
          <w:rFonts w:cstheme="minorHAnsi"/>
        </w:rPr>
      </w:pPr>
      <w:r>
        <w:rPr>
          <w:rFonts w:cstheme="minorHAnsi"/>
        </w:rPr>
        <w:t xml:space="preserve">Concerning </w:t>
      </w:r>
      <w:r w:rsidR="00A50FCE" w:rsidRPr="006000C8">
        <w:rPr>
          <w:rFonts w:cstheme="minorHAnsi"/>
        </w:rPr>
        <w:t xml:space="preserve">the transition to our forward program and the </w:t>
      </w:r>
      <w:r w:rsidR="00382575" w:rsidRPr="006000C8">
        <w:rPr>
          <w:rFonts w:cstheme="minorHAnsi"/>
        </w:rPr>
        <w:t xml:space="preserve">sustainability </w:t>
      </w:r>
      <w:r w:rsidR="00A50FCE" w:rsidRPr="006000C8">
        <w:rPr>
          <w:rFonts w:cstheme="minorHAnsi"/>
        </w:rPr>
        <w:t>of the Partnership’s programs</w:t>
      </w:r>
      <w:r w:rsidR="006000C8">
        <w:rPr>
          <w:rFonts w:cstheme="minorHAnsi"/>
        </w:rPr>
        <w:t xml:space="preserve"> </w:t>
      </w:r>
      <w:r w:rsidR="00A50FCE">
        <w:rPr>
          <w:rFonts w:cstheme="minorHAnsi"/>
        </w:rPr>
        <w:t xml:space="preserve">we will develop a Transition </w:t>
      </w:r>
      <w:r w:rsidR="00486412" w:rsidRPr="00A50FCE">
        <w:rPr>
          <w:rFonts w:cstheme="minorHAnsi"/>
        </w:rPr>
        <w:t>S</w:t>
      </w:r>
      <w:r w:rsidR="00BC364A" w:rsidRPr="00A50FCE">
        <w:rPr>
          <w:rFonts w:cstheme="minorHAnsi"/>
        </w:rPr>
        <w:t>trategy</w:t>
      </w:r>
      <w:r w:rsidR="00A50FCE">
        <w:rPr>
          <w:rFonts w:cstheme="minorHAnsi"/>
        </w:rPr>
        <w:t xml:space="preserve"> – to be finalized following the </w:t>
      </w:r>
      <w:r w:rsidR="00C260E9">
        <w:rPr>
          <w:rFonts w:cstheme="minorHAnsi"/>
        </w:rPr>
        <w:t xml:space="preserve">May </w:t>
      </w:r>
      <w:r w:rsidR="00A50FCE">
        <w:rPr>
          <w:rFonts w:cstheme="minorHAnsi"/>
        </w:rPr>
        <w:t xml:space="preserve">release of the educations program’s </w:t>
      </w:r>
      <w:r w:rsidR="00C260E9">
        <w:rPr>
          <w:rFonts w:cstheme="minorHAnsi"/>
        </w:rPr>
        <w:t>forward budget</w:t>
      </w:r>
      <w:r w:rsidR="00A50FCE">
        <w:rPr>
          <w:rFonts w:cstheme="minorHAnsi"/>
        </w:rPr>
        <w:t xml:space="preserve">.  Within that strategy we will </w:t>
      </w:r>
      <w:r w:rsidR="007A65C0" w:rsidRPr="00A50FCE">
        <w:rPr>
          <w:rFonts w:cstheme="minorHAnsi"/>
        </w:rPr>
        <w:t>prioriti</w:t>
      </w:r>
      <w:r w:rsidR="00A50FCE">
        <w:rPr>
          <w:rFonts w:cstheme="minorHAnsi"/>
        </w:rPr>
        <w:t>se those aspects of the Partnership that most strongly align with both Indonesia’s commitment to quality schooling and Australia’s interest in strengthening the education system so that it may better underpin Indonesia’s economic growth</w:t>
      </w:r>
      <w:r w:rsidR="005A01BE" w:rsidRPr="00A50FCE">
        <w:rPr>
          <w:rFonts w:cstheme="minorHAnsi"/>
        </w:rPr>
        <w:t>.</w:t>
      </w:r>
      <w:r w:rsidR="00D93E8D" w:rsidRPr="00A50FCE">
        <w:rPr>
          <w:rFonts w:cstheme="minorHAnsi"/>
        </w:rPr>
        <w:t xml:space="preserve"> </w:t>
      </w:r>
      <w:r w:rsidR="005A01BE" w:rsidRPr="00A50FCE">
        <w:rPr>
          <w:rFonts w:cstheme="minorHAnsi"/>
        </w:rPr>
        <w:t xml:space="preserve"> </w:t>
      </w:r>
      <w:r w:rsidR="00C260E9">
        <w:rPr>
          <w:rFonts w:cstheme="minorHAnsi"/>
        </w:rPr>
        <w:t>The strategy w</w:t>
      </w:r>
      <w:r w:rsidR="00BC364A" w:rsidRPr="00BC364A">
        <w:rPr>
          <w:rFonts w:cstheme="minorHAnsi"/>
        </w:rPr>
        <w:t xml:space="preserve">ill identify </w:t>
      </w:r>
      <w:r w:rsidR="00BC364A">
        <w:rPr>
          <w:rFonts w:cstheme="minorHAnsi"/>
        </w:rPr>
        <w:t xml:space="preserve">those </w:t>
      </w:r>
      <w:r w:rsidR="00BC364A" w:rsidRPr="00BC364A">
        <w:rPr>
          <w:rFonts w:cstheme="minorHAnsi"/>
        </w:rPr>
        <w:t>E</w:t>
      </w:r>
      <w:r w:rsidR="002546E4">
        <w:rPr>
          <w:rFonts w:cstheme="minorHAnsi"/>
        </w:rPr>
        <w:t xml:space="preserve">ducation </w:t>
      </w:r>
      <w:r w:rsidR="00BC364A" w:rsidRPr="00BC364A">
        <w:rPr>
          <w:rFonts w:cstheme="minorHAnsi"/>
        </w:rPr>
        <w:t>P</w:t>
      </w:r>
      <w:r w:rsidR="002546E4">
        <w:rPr>
          <w:rFonts w:cstheme="minorHAnsi"/>
        </w:rPr>
        <w:t>artnership</w:t>
      </w:r>
      <w:r w:rsidR="00BC364A" w:rsidRPr="00BC364A">
        <w:rPr>
          <w:rFonts w:cstheme="minorHAnsi"/>
        </w:rPr>
        <w:t xml:space="preserve"> </w:t>
      </w:r>
      <w:r w:rsidR="00BC364A" w:rsidRPr="00BC364A">
        <w:rPr>
          <w:rFonts w:cstheme="minorHAnsi"/>
          <w:lang w:val="en-GB"/>
        </w:rPr>
        <w:t xml:space="preserve">systems and processes </w:t>
      </w:r>
      <w:r w:rsidR="00BC364A">
        <w:rPr>
          <w:rFonts w:cstheme="minorHAnsi"/>
          <w:lang w:val="en-GB"/>
        </w:rPr>
        <w:t xml:space="preserve">that </w:t>
      </w:r>
      <w:r w:rsidR="00BC364A" w:rsidRPr="00BC364A">
        <w:rPr>
          <w:rFonts w:cstheme="minorHAnsi"/>
          <w:lang w:val="en-GB"/>
        </w:rPr>
        <w:t>have the greatest potential to be sustained, taking into account anticipated MoEC</w:t>
      </w:r>
      <w:r w:rsidR="00E26867">
        <w:rPr>
          <w:rFonts w:cstheme="minorHAnsi"/>
          <w:lang w:val="en-GB"/>
        </w:rPr>
        <w:t>, MoRA and local government</w:t>
      </w:r>
      <w:r w:rsidR="00BC364A" w:rsidRPr="00BC364A">
        <w:rPr>
          <w:rFonts w:cstheme="minorHAnsi"/>
          <w:lang w:val="en-GB"/>
        </w:rPr>
        <w:t xml:space="preserve"> resourcing</w:t>
      </w:r>
      <w:r w:rsidR="00BC364A">
        <w:rPr>
          <w:rFonts w:cstheme="minorHAnsi"/>
          <w:lang w:val="en-GB"/>
        </w:rPr>
        <w:t>,</w:t>
      </w:r>
      <w:r w:rsidR="00BC364A" w:rsidRPr="00BC364A">
        <w:rPr>
          <w:rFonts w:cstheme="minorHAnsi"/>
          <w:lang w:val="en-GB"/>
        </w:rPr>
        <w:t xml:space="preserve"> </w:t>
      </w:r>
      <w:r w:rsidR="00BC364A">
        <w:rPr>
          <w:rFonts w:cstheme="minorHAnsi"/>
          <w:lang w:val="en-GB"/>
        </w:rPr>
        <w:t>the role of districts in service provision</w:t>
      </w:r>
      <w:r w:rsidR="00A50A0D">
        <w:rPr>
          <w:rFonts w:cstheme="minorHAnsi"/>
          <w:lang w:val="en-GB"/>
        </w:rPr>
        <w:t xml:space="preserve">, necessary GoI </w:t>
      </w:r>
      <w:r w:rsidR="00BC364A">
        <w:rPr>
          <w:rFonts w:cstheme="minorHAnsi"/>
          <w:lang w:val="en-GB"/>
        </w:rPr>
        <w:t>staff development,</w:t>
      </w:r>
      <w:r w:rsidR="00A50A0D">
        <w:rPr>
          <w:rFonts w:cstheme="minorHAnsi"/>
          <w:lang w:val="en-GB"/>
        </w:rPr>
        <w:t xml:space="preserve"> and</w:t>
      </w:r>
      <w:r w:rsidR="00BC364A">
        <w:rPr>
          <w:rFonts w:cstheme="minorHAnsi"/>
          <w:lang w:val="en-GB"/>
        </w:rPr>
        <w:t xml:space="preserve"> the evolving </w:t>
      </w:r>
      <w:r w:rsidR="00A50A0D">
        <w:rPr>
          <w:rFonts w:cstheme="minorHAnsi"/>
          <w:lang w:val="en-GB"/>
        </w:rPr>
        <w:t>priorities of the GoI.</w:t>
      </w:r>
      <w:r w:rsidR="00D93E8D">
        <w:rPr>
          <w:rFonts w:cstheme="minorHAnsi"/>
          <w:lang w:val="en-GB"/>
        </w:rPr>
        <w:t xml:space="preserve"> </w:t>
      </w:r>
      <w:r w:rsidR="00E26867">
        <w:rPr>
          <w:rFonts w:cstheme="minorHAnsi"/>
          <w:lang w:val="en-GB"/>
        </w:rPr>
        <w:t>The strategy w</w:t>
      </w:r>
      <w:r w:rsidR="00A50A0D">
        <w:rPr>
          <w:rFonts w:cstheme="minorHAnsi"/>
          <w:lang w:val="en-GB"/>
        </w:rPr>
        <w:t>ill also detail the exten</w:t>
      </w:r>
      <w:r w:rsidR="00486412">
        <w:rPr>
          <w:rFonts w:cstheme="minorHAnsi"/>
          <w:lang w:val="en-GB"/>
        </w:rPr>
        <w:t>t</w:t>
      </w:r>
      <w:r w:rsidR="00A50A0D">
        <w:rPr>
          <w:rFonts w:cstheme="minorHAnsi"/>
          <w:lang w:val="en-GB"/>
        </w:rPr>
        <w:t xml:space="preserve"> to which Australia will invest in those systems and processes through the final year of the E</w:t>
      </w:r>
      <w:r w:rsidR="002546E4">
        <w:rPr>
          <w:rFonts w:cstheme="minorHAnsi"/>
          <w:lang w:val="en-GB"/>
        </w:rPr>
        <w:t xml:space="preserve">ducation </w:t>
      </w:r>
      <w:r w:rsidR="00A50A0D">
        <w:rPr>
          <w:rFonts w:cstheme="minorHAnsi"/>
          <w:lang w:val="en-GB"/>
        </w:rPr>
        <w:t>P</w:t>
      </w:r>
      <w:r w:rsidR="002546E4">
        <w:rPr>
          <w:rFonts w:cstheme="minorHAnsi"/>
          <w:lang w:val="en-GB"/>
        </w:rPr>
        <w:t>artnership</w:t>
      </w:r>
      <w:r w:rsidR="00A50A0D">
        <w:rPr>
          <w:rFonts w:cstheme="minorHAnsi"/>
          <w:lang w:val="en-GB"/>
        </w:rPr>
        <w:t xml:space="preserve"> and</w:t>
      </w:r>
      <w:r w:rsidR="00E26867">
        <w:rPr>
          <w:rFonts w:cstheme="minorHAnsi"/>
          <w:lang w:val="en-GB"/>
        </w:rPr>
        <w:t>,</w:t>
      </w:r>
      <w:r w:rsidR="00A50A0D">
        <w:rPr>
          <w:rFonts w:cstheme="minorHAnsi"/>
          <w:lang w:val="en-GB"/>
        </w:rPr>
        <w:t xml:space="preserve"> </w:t>
      </w:r>
      <w:r w:rsidR="00C260E9">
        <w:rPr>
          <w:rFonts w:cstheme="minorHAnsi"/>
          <w:lang w:val="en-GB"/>
        </w:rPr>
        <w:t xml:space="preserve">where </w:t>
      </w:r>
      <w:r w:rsidR="00A50A0D">
        <w:rPr>
          <w:rFonts w:cstheme="minorHAnsi"/>
          <w:lang w:val="en-GB"/>
        </w:rPr>
        <w:t>applicable</w:t>
      </w:r>
      <w:r w:rsidR="00E26867">
        <w:rPr>
          <w:rFonts w:cstheme="minorHAnsi"/>
          <w:lang w:val="en-GB"/>
        </w:rPr>
        <w:t>,</w:t>
      </w:r>
      <w:r w:rsidR="00A50A0D">
        <w:rPr>
          <w:rFonts w:cstheme="minorHAnsi"/>
          <w:lang w:val="en-GB"/>
        </w:rPr>
        <w:t xml:space="preserve"> within its forward program of support</w:t>
      </w:r>
      <w:r w:rsidR="00E26867">
        <w:rPr>
          <w:rFonts w:cstheme="minorHAnsi"/>
          <w:lang w:val="en-GB"/>
        </w:rPr>
        <w:t>,</w:t>
      </w:r>
      <w:r w:rsidR="00486412">
        <w:rPr>
          <w:rFonts w:cstheme="minorHAnsi"/>
          <w:lang w:val="en-GB"/>
        </w:rPr>
        <w:t xml:space="preserve"> and how those activities </w:t>
      </w:r>
      <w:r w:rsidR="0039369F">
        <w:rPr>
          <w:rFonts w:cstheme="minorHAnsi"/>
          <w:lang w:val="en-GB"/>
        </w:rPr>
        <w:t xml:space="preserve">can best </w:t>
      </w:r>
      <w:r w:rsidR="00D93E8D">
        <w:rPr>
          <w:rFonts w:cstheme="minorHAnsi"/>
          <w:lang w:val="en-GB"/>
        </w:rPr>
        <w:t xml:space="preserve">be </w:t>
      </w:r>
      <w:r w:rsidR="0039369F">
        <w:rPr>
          <w:rFonts w:cstheme="minorHAnsi"/>
          <w:lang w:val="en-GB"/>
        </w:rPr>
        <w:t xml:space="preserve">managed and </w:t>
      </w:r>
      <w:r w:rsidR="00486412">
        <w:rPr>
          <w:rFonts w:cstheme="minorHAnsi"/>
          <w:lang w:val="en-GB"/>
        </w:rPr>
        <w:t xml:space="preserve">monitored </w:t>
      </w:r>
      <w:r w:rsidR="0039369F">
        <w:rPr>
          <w:rFonts w:cstheme="minorHAnsi"/>
          <w:lang w:val="en-GB"/>
        </w:rPr>
        <w:t>to</w:t>
      </w:r>
      <w:r w:rsidR="000F1ED1">
        <w:rPr>
          <w:rFonts w:cstheme="minorHAnsi"/>
          <w:lang w:val="en-GB"/>
        </w:rPr>
        <w:t xml:space="preserve"> ensure their effective </w:t>
      </w:r>
      <w:r w:rsidR="0039369F">
        <w:rPr>
          <w:rFonts w:cstheme="minorHAnsi"/>
          <w:lang w:val="en-GB"/>
        </w:rPr>
        <w:t>absor</w:t>
      </w:r>
      <w:r w:rsidR="000F1ED1">
        <w:rPr>
          <w:rFonts w:cstheme="minorHAnsi"/>
          <w:lang w:val="en-GB"/>
        </w:rPr>
        <w:t>ption</w:t>
      </w:r>
      <w:r w:rsidR="0039369F">
        <w:rPr>
          <w:rFonts w:cstheme="minorHAnsi"/>
          <w:lang w:val="en-GB"/>
        </w:rPr>
        <w:t xml:space="preserve"> into GoI</w:t>
      </w:r>
      <w:r w:rsidR="00486412">
        <w:rPr>
          <w:rFonts w:cstheme="minorHAnsi"/>
          <w:lang w:val="en-GB"/>
        </w:rPr>
        <w:t xml:space="preserve"> programs.</w:t>
      </w:r>
      <w:r w:rsidR="00D93E8D">
        <w:rPr>
          <w:rFonts w:cstheme="minorHAnsi"/>
          <w:lang w:val="en-GB"/>
        </w:rPr>
        <w:t xml:space="preserve"> </w:t>
      </w:r>
      <w:r w:rsidR="00C64C13">
        <w:rPr>
          <w:rFonts w:cstheme="minorHAnsi"/>
          <w:lang w:val="en-GB"/>
        </w:rPr>
        <w:t xml:space="preserve"> </w:t>
      </w:r>
    </w:p>
    <w:p w14:paraId="12C13933" w14:textId="619B624B" w:rsidR="00BC364A" w:rsidRDefault="00C64C13" w:rsidP="00E3657B">
      <w:pPr>
        <w:spacing w:line="240" w:lineRule="auto"/>
        <w:rPr>
          <w:rFonts w:cstheme="minorHAnsi"/>
          <w:lang w:val="en-GB"/>
        </w:rPr>
      </w:pPr>
      <w:r>
        <w:rPr>
          <w:rFonts w:cstheme="minorHAnsi"/>
          <w:lang w:val="en-GB"/>
        </w:rPr>
        <w:t>Particular attention will be paid in this exercise to establishing with GoI the most practical ways of sustaining and strengthening the ProDEP</w:t>
      </w:r>
      <w:r w:rsidR="000F1ED1">
        <w:rPr>
          <w:rFonts w:cstheme="minorHAnsi"/>
          <w:lang w:val="en-GB"/>
        </w:rPr>
        <w:t xml:space="preserve"> program</w:t>
      </w:r>
      <w:r>
        <w:rPr>
          <w:rFonts w:cstheme="minorHAnsi"/>
          <w:lang w:val="en-GB"/>
        </w:rPr>
        <w:t>, recognising the critical role that districts must play in adopting/adapting and financing a professional development agenda</w:t>
      </w:r>
      <w:r w:rsidR="0039369F">
        <w:rPr>
          <w:rFonts w:cstheme="minorHAnsi"/>
          <w:lang w:val="en-GB"/>
        </w:rPr>
        <w:t xml:space="preserve"> for </w:t>
      </w:r>
      <w:r w:rsidR="00C260E9">
        <w:rPr>
          <w:rFonts w:cstheme="minorHAnsi"/>
          <w:lang w:val="en-GB"/>
        </w:rPr>
        <w:t xml:space="preserve">teachers, </w:t>
      </w:r>
      <w:r w:rsidR="0039369F">
        <w:rPr>
          <w:rFonts w:cstheme="minorHAnsi"/>
          <w:lang w:val="en-GB"/>
        </w:rPr>
        <w:t>school leaders and supervisors</w:t>
      </w:r>
      <w:r>
        <w:rPr>
          <w:rFonts w:cstheme="minorHAnsi"/>
          <w:lang w:val="en-GB"/>
        </w:rPr>
        <w:t xml:space="preserve">. </w:t>
      </w:r>
      <w:r w:rsidR="00C260E9">
        <w:rPr>
          <w:rFonts w:cstheme="minorHAnsi"/>
          <w:lang w:val="en-GB"/>
        </w:rPr>
        <w:t xml:space="preserve"> We are anticipating</w:t>
      </w:r>
      <w:r w:rsidR="00D33FD8">
        <w:rPr>
          <w:rFonts w:cstheme="minorHAnsi"/>
          <w:lang w:val="en-GB"/>
        </w:rPr>
        <w:t xml:space="preserve"> that </w:t>
      </w:r>
      <w:r w:rsidR="00C260E9">
        <w:rPr>
          <w:rFonts w:cstheme="minorHAnsi"/>
          <w:lang w:val="en-GB"/>
        </w:rPr>
        <w:t xml:space="preserve">discussions </w:t>
      </w:r>
      <w:r w:rsidR="00D33FD8">
        <w:rPr>
          <w:rFonts w:cstheme="minorHAnsi"/>
          <w:lang w:val="en-GB"/>
        </w:rPr>
        <w:t xml:space="preserve">with GoI </w:t>
      </w:r>
      <w:r w:rsidR="00C260E9">
        <w:rPr>
          <w:rFonts w:cstheme="minorHAnsi"/>
          <w:lang w:val="en-GB"/>
        </w:rPr>
        <w:t xml:space="preserve">throughout the remainder of this FY </w:t>
      </w:r>
      <w:r w:rsidR="00D33FD8">
        <w:rPr>
          <w:rFonts w:cstheme="minorHAnsi"/>
          <w:lang w:val="en-GB"/>
        </w:rPr>
        <w:t>will clarify the extent to which GoI will commit to supporting ProDEP beyond the Australian investment.</w:t>
      </w:r>
    </w:p>
    <w:p w14:paraId="19BC0669" w14:textId="45B7E01B" w:rsidR="00D33FD8" w:rsidRDefault="00D33FD8" w:rsidP="00E3657B">
      <w:pPr>
        <w:spacing w:line="240" w:lineRule="auto"/>
        <w:rPr>
          <w:rFonts w:cstheme="minorHAnsi"/>
          <w:lang w:val="en-GB"/>
        </w:rPr>
      </w:pPr>
      <w:r>
        <w:rPr>
          <w:rFonts w:cstheme="minorHAnsi"/>
          <w:lang w:val="en-GB"/>
        </w:rPr>
        <w:t xml:space="preserve">The Grand Design </w:t>
      </w:r>
      <w:r w:rsidR="00190A3E">
        <w:rPr>
          <w:rFonts w:cstheme="minorHAnsi"/>
          <w:lang w:val="en-GB"/>
        </w:rPr>
        <w:t>for Madrasah Quality</w:t>
      </w:r>
      <w:r w:rsidR="0031542A">
        <w:rPr>
          <w:rFonts w:cstheme="minorHAnsi"/>
          <w:lang w:val="en-GB"/>
        </w:rPr>
        <w:t>, which is</w:t>
      </w:r>
      <w:r w:rsidR="00190A3E">
        <w:rPr>
          <w:rFonts w:cstheme="minorHAnsi"/>
          <w:lang w:val="en-GB"/>
        </w:rPr>
        <w:t xml:space="preserve"> being developed by MoRA with Australian assistance</w:t>
      </w:r>
      <w:r w:rsidR="0031542A">
        <w:rPr>
          <w:rFonts w:cstheme="minorHAnsi"/>
          <w:lang w:val="en-GB"/>
        </w:rPr>
        <w:t>,</w:t>
      </w:r>
      <w:r w:rsidR="00190A3E">
        <w:rPr>
          <w:rFonts w:cstheme="minorHAnsi"/>
          <w:lang w:val="en-GB"/>
        </w:rPr>
        <w:t xml:space="preserve"> </w:t>
      </w:r>
      <w:r w:rsidR="000F1ED1">
        <w:rPr>
          <w:rFonts w:cstheme="minorHAnsi"/>
          <w:lang w:val="en-GB"/>
        </w:rPr>
        <w:t xml:space="preserve">will </w:t>
      </w:r>
      <w:r w:rsidR="00C260E9">
        <w:rPr>
          <w:rFonts w:cstheme="minorHAnsi"/>
          <w:lang w:val="en-GB"/>
        </w:rPr>
        <w:t xml:space="preserve">also </w:t>
      </w:r>
      <w:r w:rsidR="00A62A41">
        <w:rPr>
          <w:rFonts w:cstheme="minorHAnsi"/>
          <w:lang w:val="en-GB"/>
        </w:rPr>
        <w:t xml:space="preserve">inform the </w:t>
      </w:r>
      <w:r w:rsidR="00C260E9">
        <w:rPr>
          <w:rFonts w:cstheme="minorHAnsi"/>
          <w:lang w:val="en-GB"/>
        </w:rPr>
        <w:t>Transition S</w:t>
      </w:r>
      <w:r w:rsidR="00A62A41">
        <w:rPr>
          <w:rFonts w:cstheme="minorHAnsi"/>
          <w:lang w:val="en-GB"/>
        </w:rPr>
        <w:t xml:space="preserve">trategy as it is expected to articulate how MoRA </w:t>
      </w:r>
      <w:r w:rsidR="006F45E4">
        <w:rPr>
          <w:rFonts w:cstheme="minorHAnsi"/>
          <w:lang w:val="en-GB"/>
        </w:rPr>
        <w:t>intends</w:t>
      </w:r>
      <w:r w:rsidR="00A62A41">
        <w:rPr>
          <w:rFonts w:cstheme="minorHAnsi"/>
          <w:lang w:val="en-GB"/>
        </w:rPr>
        <w:t xml:space="preserve"> to </w:t>
      </w:r>
      <w:r w:rsidR="00054AF2">
        <w:rPr>
          <w:rFonts w:cstheme="minorHAnsi"/>
          <w:lang w:val="en-GB"/>
        </w:rPr>
        <w:t>proceed with systems introduced by the E</w:t>
      </w:r>
      <w:r w:rsidR="002546E4">
        <w:rPr>
          <w:rFonts w:cstheme="minorHAnsi"/>
          <w:lang w:val="en-GB"/>
        </w:rPr>
        <w:t xml:space="preserve">ducation </w:t>
      </w:r>
      <w:r w:rsidR="00054AF2">
        <w:rPr>
          <w:rFonts w:cstheme="minorHAnsi"/>
          <w:lang w:val="en-GB"/>
        </w:rPr>
        <w:t>P</w:t>
      </w:r>
      <w:r w:rsidR="002546E4">
        <w:rPr>
          <w:rFonts w:cstheme="minorHAnsi"/>
          <w:lang w:val="en-GB"/>
        </w:rPr>
        <w:t>artnership</w:t>
      </w:r>
      <w:r w:rsidR="00054AF2">
        <w:rPr>
          <w:rFonts w:cstheme="minorHAnsi"/>
          <w:lang w:val="en-GB"/>
        </w:rPr>
        <w:t xml:space="preserve"> including accreditation preparation for madrasah and Madrasah Development Centres at the provincial level.</w:t>
      </w:r>
      <w:r w:rsidR="006F45E4">
        <w:rPr>
          <w:rFonts w:cstheme="minorHAnsi"/>
          <w:lang w:val="en-GB"/>
        </w:rPr>
        <w:t xml:space="preserve"> </w:t>
      </w:r>
      <w:r w:rsidR="000F1ED1">
        <w:rPr>
          <w:rFonts w:cstheme="minorHAnsi"/>
          <w:lang w:val="en-GB"/>
        </w:rPr>
        <w:t xml:space="preserve">The Grand Design is also expected to address how the </w:t>
      </w:r>
      <w:r w:rsidR="00E2310E">
        <w:rPr>
          <w:rFonts w:cstheme="minorHAnsi"/>
          <w:lang w:val="en-GB"/>
        </w:rPr>
        <w:t>accreditation</w:t>
      </w:r>
      <w:r w:rsidR="000F1ED1">
        <w:rPr>
          <w:rFonts w:cstheme="minorHAnsi"/>
          <w:lang w:val="en-GB"/>
        </w:rPr>
        <w:t xml:space="preserve"> system </w:t>
      </w:r>
      <w:r w:rsidR="00E2310E">
        <w:rPr>
          <w:rFonts w:cstheme="minorHAnsi"/>
          <w:lang w:val="en-GB"/>
        </w:rPr>
        <w:t xml:space="preserve">employed by MoRA over the coming years will place a greater emphasis on assessing a madrasah’s quality of </w:t>
      </w:r>
      <w:r w:rsidR="0031542A">
        <w:rPr>
          <w:rFonts w:cstheme="minorHAnsi"/>
          <w:lang w:val="en-GB"/>
        </w:rPr>
        <w:t>teaching</w:t>
      </w:r>
      <w:r w:rsidR="00E2310E">
        <w:rPr>
          <w:rFonts w:cstheme="minorHAnsi"/>
          <w:lang w:val="en-GB"/>
        </w:rPr>
        <w:t>.</w:t>
      </w:r>
    </w:p>
    <w:p w14:paraId="71CFE627" w14:textId="27671E1B" w:rsidR="008573E4" w:rsidRPr="006000C8" w:rsidRDefault="00457B81" w:rsidP="006000C8">
      <w:pPr>
        <w:spacing w:line="240" w:lineRule="auto"/>
        <w:rPr>
          <w:rFonts w:cstheme="minorHAnsi"/>
          <w:lang w:val="en-GB"/>
        </w:rPr>
      </w:pPr>
      <w:r>
        <w:rPr>
          <w:rFonts w:cstheme="minorHAnsi"/>
          <w:lang w:val="en-GB"/>
        </w:rPr>
        <w:lastRenderedPageBreak/>
        <w:t>Th</w:t>
      </w:r>
      <w:r w:rsidR="005A01BE">
        <w:rPr>
          <w:rFonts w:cstheme="minorHAnsi"/>
          <w:lang w:val="en-GB"/>
        </w:rPr>
        <w:t xml:space="preserve">e </w:t>
      </w:r>
      <w:r w:rsidR="001C111C">
        <w:rPr>
          <w:rFonts w:cstheme="minorHAnsi"/>
          <w:lang w:val="en-GB"/>
        </w:rPr>
        <w:t>Transition S</w:t>
      </w:r>
      <w:r w:rsidR="005A01BE">
        <w:rPr>
          <w:rFonts w:cstheme="minorHAnsi"/>
          <w:lang w:val="en-GB"/>
        </w:rPr>
        <w:t xml:space="preserve">trategy </w:t>
      </w:r>
      <w:r>
        <w:rPr>
          <w:rFonts w:cstheme="minorHAnsi"/>
          <w:lang w:val="en-GB"/>
        </w:rPr>
        <w:t>will provide the “roadmap” through which we will exit the E</w:t>
      </w:r>
      <w:r w:rsidR="002546E4">
        <w:rPr>
          <w:rFonts w:cstheme="minorHAnsi"/>
          <w:lang w:val="en-GB"/>
        </w:rPr>
        <w:t xml:space="preserve">ducation </w:t>
      </w:r>
      <w:r>
        <w:rPr>
          <w:rFonts w:cstheme="minorHAnsi"/>
          <w:lang w:val="en-GB"/>
        </w:rPr>
        <w:t>P</w:t>
      </w:r>
      <w:r w:rsidR="002546E4">
        <w:rPr>
          <w:rFonts w:cstheme="minorHAnsi"/>
          <w:lang w:val="en-GB"/>
        </w:rPr>
        <w:t>artnership</w:t>
      </w:r>
      <w:r>
        <w:rPr>
          <w:rFonts w:cstheme="minorHAnsi"/>
          <w:lang w:val="en-GB"/>
        </w:rPr>
        <w:t xml:space="preserve"> and</w:t>
      </w:r>
      <w:r w:rsidR="00D93E8D">
        <w:rPr>
          <w:rFonts w:cstheme="minorHAnsi"/>
          <w:lang w:val="en-GB"/>
        </w:rPr>
        <w:t>,</w:t>
      </w:r>
      <w:r>
        <w:rPr>
          <w:rFonts w:cstheme="minorHAnsi"/>
          <w:lang w:val="en-GB"/>
        </w:rPr>
        <w:t xml:space="preserve"> as seamlessly as possible</w:t>
      </w:r>
      <w:r w:rsidR="00D93E8D">
        <w:rPr>
          <w:rFonts w:cstheme="minorHAnsi"/>
          <w:lang w:val="en-GB"/>
        </w:rPr>
        <w:t>,</w:t>
      </w:r>
      <w:r>
        <w:rPr>
          <w:rFonts w:cstheme="minorHAnsi"/>
          <w:lang w:val="en-GB"/>
        </w:rPr>
        <w:t xml:space="preserve"> establish </w:t>
      </w:r>
      <w:r w:rsidR="00810E48">
        <w:rPr>
          <w:rFonts w:cstheme="minorHAnsi"/>
          <w:lang w:val="en-GB"/>
        </w:rPr>
        <w:t xml:space="preserve">and strengthen </w:t>
      </w:r>
      <w:r w:rsidR="0031791F">
        <w:rPr>
          <w:rFonts w:cstheme="minorHAnsi"/>
          <w:lang w:val="en-GB"/>
        </w:rPr>
        <w:t xml:space="preserve">a </w:t>
      </w:r>
      <w:r w:rsidR="00810E48">
        <w:rPr>
          <w:rFonts w:cstheme="minorHAnsi"/>
          <w:lang w:val="en-GB"/>
        </w:rPr>
        <w:t>limited suite of activities designed to assist the GoI identify cost effective ways of meeting some of the</w:t>
      </w:r>
      <w:r w:rsidR="0031791F">
        <w:rPr>
          <w:rFonts w:cstheme="minorHAnsi"/>
          <w:lang w:val="en-GB"/>
        </w:rPr>
        <w:t>ir most challenging</w:t>
      </w:r>
      <w:r w:rsidR="00810E48">
        <w:rPr>
          <w:rFonts w:cstheme="minorHAnsi"/>
          <w:lang w:val="en-GB"/>
        </w:rPr>
        <w:t xml:space="preserve"> sector goals</w:t>
      </w:r>
      <w:r w:rsidR="005A01BE">
        <w:rPr>
          <w:rFonts w:cstheme="minorHAnsi"/>
          <w:lang w:val="en-GB"/>
        </w:rPr>
        <w:t xml:space="preserve">: it will, </w:t>
      </w:r>
      <w:r w:rsidR="009E1EEE">
        <w:rPr>
          <w:rFonts w:cstheme="minorHAnsi"/>
          <w:lang w:val="en-GB"/>
        </w:rPr>
        <w:t xml:space="preserve">for example, detail our expectations of the new INOVASI program in respect to testing means to embed </w:t>
      </w:r>
      <w:r w:rsidR="0031791F">
        <w:rPr>
          <w:rFonts w:cstheme="minorHAnsi"/>
          <w:lang w:val="en-GB"/>
        </w:rPr>
        <w:t xml:space="preserve">quality-focused </w:t>
      </w:r>
      <w:r w:rsidR="009E1EEE">
        <w:rPr>
          <w:rFonts w:cstheme="minorHAnsi"/>
          <w:lang w:val="en-GB"/>
        </w:rPr>
        <w:t>programs</w:t>
      </w:r>
      <w:r w:rsidR="0031791F">
        <w:rPr>
          <w:rFonts w:cstheme="minorHAnsi"/>
          <w:lang w:val="en-GB"/>
        </w:rPr>
        <w:t>,</w:t>
      </w:r>
      <w:r w:rsidR="009E1EEE">
        <w:rPr>
          <w:rFonts w:cstheme="minorHAnsi"/>
          <w:lang w:val="en-GB"/>
        </w:rPr>
        <w:t xml:space="preserve"> such as ProDEP</w:t>
      </w:r>
      <w:r w:rsidR="0031791F">
        <w:rPr>
          <w:rFonts w:cstheme="minorHAnsi"/>
          <w:lang w:val="en-GB"/>
        </w:rPr>
        <w:t>,</w:t>
      </w:r>
      <w:r w:rsidR="009E1EEE">
        <w:rPr>
          <w:rFonts w:cstheme="minorHAnsi"/>
          <w:lang w:val="en-GB"/>
        </w:rPr>
        <w:t xml:space="preserve"> within districts</w:t>
      </w:r>
      <w:r w:rsidR="0031791F">
        <w:rPr>
          <w:rFonts w:cstheme="minorHAnsi"/>
          <w:lang w:val="en-GB"/>
        </w:rPr>
        <w:t>’ plans and budgets</w:t>
      </w:r>
      <w:r w:rsidR="009E1EEE">
        <w:rPr>
          <w:rFonts w:cstheme="minorHAnsi"/>
          <w:lang w:val="en-GB"/>
        </w:rPr>
        <w:t xml:space="preserve">. </w:t>
      </w:r>
    </w:p>
    <w:p w14:paraId="3D6C4B0B" w14:textId="62E77D8F" w:rsidR="00863042" w:rsidRPr="006000C8" w:rsidRDefault="00945DC1" w:rsidP="0039369F">
      <w:pPr>
        <w:spacing w:before="240" w:line="240" w:lineRule="auto"/>
        <w:rPr>
          <w:rFonts w:cstheme="minorHAnsi"/>
          <w:lang w:val="en-GB"/>
        </w:rPr>
      </w:pPr>
      <w:r>
        <w:rPr>
          <w:rFonts w:cstheme="minorHAnsi"/>
          <w:lang w:val="en-GB"/>
        </w:rPr>
        <w:t>T</w:t>
      </w:r>
      <w:r w:rsidR="006000C8" w:rsidRPr="006000C8">
        <w:rPr>
          <w:rFonts w:cstheme="minorHAnsi"/>
          <w:lang w:val="en-GB"/>
        </w:rPr>
        <w:t>o e</w:t>
      </w:r>
      <w:r w:rsidR="00810E48" w:rsidRPr="006000C8">
        <w:rPr>
          <w:rFonts w:cstheme="minorHAnsi"/>
          <w:lang w:val="en-GB"/>
        </w:rPr>
        <w:t>stablish the impact of the E</w:t>
      </w:r>
      <w:r w:rsidR="002546E4" w:rsidRPr="006000C8">
        <w:rPr>
          <w:rFonts w:cstheme="minorHAnsi"/>
          <w:lang w:val="en-GB"/>
        </w:rPr>
        <w:t xml:space="preserve">ducation </w:t>
      </w:r>
      <w:r w:rsidR="00810E48" w:rsidRPr="006000C8">
        <w:rPr>
          <w:rFonts w:cstheme="minorHAnsi"/>
          <w:lang w:val="en-GB"/>
        </w:rPr>
        <w:t>P</w:t>
      </w:r>
      <w:r w:rsidR="002546E4" w:rsidRPr="006000C8">
        <w:rPr>
          <w:rFonts w:cstheme="minorHAnsi"/>
          <w:lang w:val="en-GB"/>
        </w:rPr>
        <w:t>artnership</w:t>
      </w:r>
      <w:r w:rsidR="00810E48" w:rsidRPr="006000C8">
        <w:rPr>
          <w:rFonts w:cstheme="minorHAnsi"/>
          <w:lang w:val="en-GB"/>
        </w:rPr>
        <w:t xml:space="preserve"> (</w:t>
      </w:r>
      <w:r w:rsidR="00863042" w:rsidRPr="006000C8">
        <w:rPr>
          <w:rFonts w:cstheme="minorHAnsi"/>
          <w:lang w:val="en-GB"/>
        </w:rPr>
        <w:t>Monitoring, evaluating and reporting E</w:t>
      </w:r>
      <w:r w:rsidR="00FF42AA" w:rsidRPr="006000C8">
        <w:rPr>
          <w:rFonts w:cstheme="minorHAnsi"/>
          <w:lang w:val="en-GB"/>
        </w:rPr>
        <w:t xml:space="preserve">ducation </w:t>
      </w:r>
      <w:r w:rsidR="00863042" w:rsidRPr="006000C8">
        <w:rPr>
          <w:rFonts w:cstheme="minorHAnsi"/>
          <w:lang w:val="en-GB"/>
        </w:rPr>
        <w:t>P</w:t>
      </w:r>
      <w:r w:rsidR="00FF42AA" w:rsidRPr="006000C8">
        <w:rPr>
          <w:rFonts w:cstheme="minorHAnsi"/>
          <w:lang w:val="en-GB"/>
        </w:rPr>
        <w:t>artnership</w:t>
      </w:r>
      <w:r w:rsidR="00863042" w:rsidRPr="006000C8">
        <w:rPr>
          <w:rFonts w:cstheme="minorHAnsi"/>
          <w:lang w:val="en-GB"/>
        </w:rPr>
        <w:t xml:space="preserve"> sy</w:t>
      </w:r>
      <w:r w:rsidR="00810E48" w:rsidRPr="006000C8">
        <w:rPr>
          <w:rFonts w:cstheme="minorHAnsi"/>
          <w:lang w:val="en-GB"/>
        </w:rPr>
        <w:t>stems, impact and lessons learnt)</w:t>
      </w:r>
      <w:r w:rsidR="006000C8">
        <w:rPr>
          <w:rFonts w:cstheme="minorHAnsi"/>
          <w:lang w:val="en-GB"/>
        </w:rPr>
        <w:t xml:space="preserve"> we will adopt a component specific strategy:</w:t>
      </w:r>
    </w:p>
    <w:p w14:paraId="7E87BB29" w14:textId="3242DA43" w:rsidR="00E3657B" w:rsidRDefault="0031791F" w:rsidP="006000C8">
      <w:pPr>
        <w:spacing w:line="240" w:lineRule="auto"/>
        <w:ind w:left="567"/>
        <w:rPr>
          <w:rFonts w:cstheme="minorHAnsi"/>
          <w:lang w:val="en-GB"/>
        </w:rPr>
      </w:pPr>
      <w:r w:rsidRPr="0031791F">
        <w:rPr>
          <w:rFonts w:cstheme="minorHAnsi"/>
          <w:u w:val="single"/>
          <w:lang w:val="en-GB"/>
        </w:rPr>
        <w:t>Component 1</w:t>
      </w:r>
      <w:r w:rsidR="00D93E8D">
        <w:rPr>
          <w:rFonts w:cstheme="minorHAnsi"/>
          <w:lang w:val="en-GB"/>
        </w:rPr>
        <w:t xml:space="preserve"> </w:t>
      </w:r>
      <w:r>
        <w:rPr>
          <w:rFonts w:cstheme="minorHAnsi"/>
          <w:lang w:val="en-GB"/>
        </w:rPr>
        <w:t xml:space="preserve"> </w:t>
      </w:r>
      <w:r w:rsidR="006000C8">
        <w:rPr>
          <w:rFonts w:cstheme="minorHAnsi"/>
          <w:lang w:val="en-GB"/>
        </w:rPr>
        <w:t xml:space="preserve"> </w:t>
      </w:r>
      <w:r w:rsidR="00810E48">
        <w:rPr>
          <w:rFonts w:cstheme="minorHAnsi"/>
          <w:lang w:val="en-GB"/>
        </w:rPr>
        <w:t xml:space="preserve">POM </w:t>
      </w:r>
      <w:r>
        <w:rPr>
          <w:rFonts w:cstheme="minorHAnsi"/>
          <w:lang w:val="en-GB"/>
        </w:rPr>
        <w:t xml:space="preserve">and SSQ </w:t>
      </w:r>
      <w:r w:rsidR="00810E48">
        <w:rPr>
          <w:rFonts w:cstheme="minorHAnsi"/>
          <w:lang w:val="en-GB"/>
        </w:rPr>
        <w:t>will</w:t>
      </w:r>
      <w:r>
        <w:rPr>
          <w:rFonts w:cstheme="minorHAnsi"/>
          <w:lang w:val="en-GB"/>
        </w:rPr>
        <w:t xml:space="preserve"> continue to assess the impact of Component 1. They will</w:t>
      </w:r>
      <w:r w:rsidR="00863042">
        <w:rPr>
          <w:rFonts w:cstheme="minorHAnsi"/>
          <w:lang w:val="en-GB"/>
        </w:rPr>
        <w:t xml:space="preserve"> (i) collect and analyse data on new school places created by </w:t>
      </w:r>
      <w:r w:rsidR="002546E4">
        <w:rPr>
          <w:rFonts w:cstheme="minorHAnsi"/>
          <w:lang w:val="en-GB"/>
        </w:rPr>
        <w:t xml:space="preserve">the </w:t>
      </w:r>
      <w:r w:rsidR="00863042">
        <w:rPr>
          <w:rFonts w:cstheme="minorHAnsi"/>
          <w:lang w:val="en-GB"/>
        </w:rPr>
        <w:t>E</w:t>
      </w:r>
      <w:r w:rsidR="002546E4">
        <w:rPr>
          <w:rFonts w:cstheme="minorHAnsi"/>
          <w:lang w:val="en-GB"/>
        </w:rPr>
        <w:t xml:space="preserve">ducation </w:t>
      </w:r>
      <w:r w:rsidR="00863042">
        <w:rPr>
          <w:rFonts w:cstheme="minorHAnsi"/>
          <w:lang w:val="en-GB"/>
        </w:rPr>
        <w:t>P</w:t>
      </w:r>
      <w:r w:rsidR="002546E4">
        <w:rPr>
          <w:rFonts w:cstheme="minorHAnsi"/>
          <w:lang w:val="en-GB"/>
        </w:rPr>
        <w:t>artnership</w:t>
      </w:r>
      <w:r w:rsidR="00863042">
        <w:rPr>
          <w:rFonts w:cstheme="minorHAnsi"/>
          <w:lang w:val="en-GB"/>
        </w:rPr>
        <w:t xml:space="preserve"> and the means by which these places are being filled; (ii) assess the impact of the new </w:t>
      </w:r>
      <w:r w:rsidR="008223BE">
        <w:rPr>
          <w:rFonts w:cstheme="minorHAnsi"/>
          <w:lang w:val="en-GB"/>
        </w:rPr>
        <w:t>site selection process; (iii) work with MoEC to determine the degree to which Component 1 processes and systems can be adopted/adapted for use in the planned expansion of senior secondary facilities.</w:t>
      </w:r>
    </w:p>
    <w:p w14:paraId="38240FC0" w14:textId="49BC1847" w:rsidR="009E1EEE" w:rsidRDefault="008223BE" w:rsidP="006000C8">
      <w:pPr>
        <w:spacing w:line="240" w:lineRule="auto"/>
        <w:ind w:left="567"/>
        <w:rPr>
          <w:rFonts w:cstheme="minorHAnsi"/>
          <w:lang w:val="en-GB"/>
        </w:rPr>
      </w:pPr>
      <w:r w:rsidRPr="008223BE">
        <w:rPr>
          <w:rFonts w:cstheme="minorHAnsi"/>
          <w:u w:val="single"/>
          <w:lang w:val="en-GB"/>
        </w:rPr>
        <w:t>Component 2</w:t>
      </w:r>
      <w:r w:rsidR="00D93E8D">
        <w:rPr>
          <w:rFonts w:cstheme="minorHAnsi"/>
          <w:lang w:val="en-GB"/>
        </w:rPr>
        <w:t xml:space="preserve"> </w:t>
      </w:r>
      <w:r>
        <w:rPr>
          <w:rFonts w:cstheme="minorHAnsi"/>
          <w:lang w:val="en-GB"/>
        </w:rPr>
        <w:t xml:space="preserve"> </w:t>
      </w:r>
      <w:r w:rsidR="006000C8">
        <w:rPr>
          <w:rFonts w:cstheme="minorHAnsi"/>
          <w:lang w:val="en-GB"/>
        </w:rPr>
        <w:t xml:space="preserve"> </w:t>
      </w:r>
      <w:r w:rsidR="009E1EEE">
        <w:rPr>
          <w:rFonts w:cstheme="minorHAnsi"/>
          <w:lang w:val="en-GB"/>
        </w:rPr>
        <w:t>MoEC ha</w:t>
      </w:r>
      <w:r w:rsidR="00D93E8D">
        <w:rPr>
          <w:rFonts w:cstheme="minorHAnsi"/>
          <w:lang w:val="en-GB"/>
        </w:rPr>
        <w:t>s</w:t>
      </w:r>
      <w:r w:rsidR="009E1EEE">
        <w:rPr>
          <w:rFonts w:cstheme="minorHAnsi"/>
          <w:lang w:val="en-GB"/>
        </w:rPr>
        <w:t xml:space="preserve"> already taken over the manag</w:t>
      </w:r>
      <w:r w:rsidR="005E6F41">
        <w:rPr>
          <w:rFonts w:cstheme="minorHAnsi"/>
          <w:lang w:val="en-GB"/>
        </w:rPr>
        <w:t>ement of the M&amp;E system and the on-line finance system for ProDEP. Efforts throughout 2015 will focus on ensuring that the quality assurance system is also fully embedded in the ministry.</w:t>
      </w:r>
      <w:r w:rsidR="00D93E8D">
        <w:rPr>
          <w:rFonts w:cstheme="minorHAnsi"/>
          <w:lang w:val="en-GB"/>
        </w:rPr>
        <w:t xml:space="preserve"> </w:t>
      </w:r>
      <w:r w:rsidR="000F1ED1">
        <w:rPr>
          <w:rFonts w:cstheme="minorHAnsi"/>
          <w:lang w:val="en-GB"/>
        </w:rPr>
        <w:t xml:space="preserve">An impact evaluation will inform </w:t>
      </w:r>
      <w:r w:rsidR="00D93E8D">
        <w:rPr>
          <w:rFonts w:cstheme="minorHAnsi"/>
          <w:lang w:val="en-GB"/>
        </w:rPr>
        <w:t xml:space="preserve">program effectiveness and </w:t>
      </w:r>
      <w:r w:rsidR="000F1ED1">
        <w:rPr>
          <w:rFonts w:cstheme="minorHAnsi"/>
          <w:lang w:val="en-GB"/>
        </w:rPr>
        <w:t>sustainability and be used to promote ProDEP as an all-inclusive PD system to key stakeholders.</w:t>
      </w:r>
      <w:r w:rsidR="00D93E8D">
        <w:rPr>
          <w:rFonts w:cstheme="minorHAnsi"/>
          <w:lang w:val="en-GB"/>
        </w:rPr>
        <w:t xml:space="preserve"> </w:t>
      </w:r>
    </w:p>
    <w:p w14:paraId="5A7D1C54" w14:textId="2A992987" w:rsidR="005E6F41" w:rsidRDefault="008223BE" w:rsidP="006000C8">
      <w:pPr>
        <w:spacing w:line="240" w:lineRule="auto"/>
        <w:ind w:left="567"/>
        <w:rPr>
          <w:rFonts w:cstheme="minorHAnsi"/>
          <w:lang w:val="en-GB"/>
        </w:rPr>
      </w:pPr>
      <w:r w:rsidRPr="008223BE">
        <w:rPr>
          <w:rFonts w:cstheme="minorHAnsi"/>
          <w:u w:val="single"/>
          <w:lang w:val="en-GB"/>
        </w:rPr>
        <w:t>Component 3</w:t>
      </w:r>
      <w:r w:rsidR="00D93E8D">
        <w:rPr>
          <w:rFonts w:cstheme="minorHAnsi"/>
          <w:lang w:val="en-GB"/>
        </w:rPr>
        <w:t xml:space="preserve"> </w:t>
      </w:r>
      <w:r>
        <w:rPr>
          <w:rFonts w:cstheme="minorHAnsi"/>
          <w:lang w:val="en-GB"/>
        </w:rPr>
        <w:t xml:space="preserve"> </w:t>
      </w:r>
      <w:r w:rsidR="006000C8">
        <w:rPr>
          <w:rFonts w:cstheme="minorHAnsi"/>
          <w:lang w:val="en-GB"/>
        </w:rPr>
        <w:t xml:space="preserve"> </w:t>
      </w:r>
      <w:r w:rsidR="005E6F41">
        <w:rPr>
          <w:rFonts w:cstheme="minorHAnsi"/>
          <w:lang w:val="en-GB"/>
        </w:rPr>
        <w:t>MoRA ha</w:t>
      </w:r>
      <w:r w:rsidR="00D93E8D">
        <w:rPr>
          <w:rFonts w:cstheme="minorHAnsi"/>
          <w:lang w:val="en-GB"/>
        </w:rPr>
        <w:t>s</w:t>
      </w:r>
      <w:r w:rsidR="005E6F41">
        <w:rPr>
          <w:rFonts w:cstheme="minorHAnsi"/>
          <w:lang w:val="en-GB"/>
        </w:rPr>
        <w:t xml:space="preserve"> committed to </w:t>
      </w:r>
      <w:r>
        <w:rPr>
          <w:rFonts w:cstheme="minorHAnsi"/>
          <w:lang w:val="en-GB"/>
        </w:rPr>
        <w:t xml:space="preserve">complete a </w:t>
      </w:r>
      <w:r w:rsidR="005E6F41">
        <w:rPr>
          <w:rFonts w:cstheme="minorHAnsi"/>
          <w:lang w:val="en-GB"/>
        </w:rPr>
        <w:t xml:space="preserve">Grand Design </w:t>
      </w:r>
      <w:r w:rsidR="00945DC1">
        <w:rPr>
          <w:rFonts w:cstheme="minorHAnsi"/>
          <w:lang w:val="en-GB"/>
        </w:rPr>
        <w:t xml:space="preserve">(GD) </w:t>
      </w:r>
      <w:r>
        <w:rPr>
          <w:rFonts w:cstheme="minorHAnsi"/>
          <w:lang w:val="en-GB"/>
        </w:rPr>
        <w:t>for Madrasah quality improvement.</w:t>
      </w:r>
      <w:r w:rsidR="00D93E8D">
        <w:rPr>
          <w:rFonts w:cstheme="minorHAnsi"/>
          <w:lang w:val="en-GB"/>
        </w:rPr>
        <w:t xml:space="preserve"> </w:t>
      </w:r>
      <w:r>
        <w:rPr>
          <w:rFonts w:cstheme="minorHAnsi"/>
          <w:lang w:val="en-GB"/>
        </w:rPr>
        <w:t xml:space="preserve">The GD </w:t>
      </w:r>
      <w:r w:rsidR="005E6F41">
        <w:rPr>
          <w:rFonts w:cstheme="minorHAnsi"/>
          <w:lang w:val="en-GB"/>
        </w:rPr>
        <w:t xml:space="preserve">team </w:t>
      </w:r>
      <w:r>
        <w:rPr>
          <w:rFonts w:cstheme="minorHAnsi"/>
          <w:lang w:val="en-GB"/>
        </w:rPr>
        <w:t xml:space="preserve">are </w:t>
      </w:r>
      <w:r w:rsidR="005E6F41">
        <w:rPr>
          <w:rFonts w:cstheme="minorHAnsi"/>
          <w:lang w:val="en-GB"/>
        </w:rPr>
        <w:t>preparing a background paper that explores the lessons lea</w:t>
      </w:r>
      <w:r>
        <w:rPr>
          <w:rFonts w:cstheme="minorHAnsi"/>
          <w:lang w:val="en-GB"/>
        </w:rPr>
        <w:t xml:space="preserve">rnt from on-going MoRA programs, </w:t>
      </w:r>
      <w:r w:rsidR="005E6F41">
        <w:rPr>
          <w:rFonts w:cstheme="minorHAnsi"/>
          <w:lang w:val="en-GB"/>
        </w:rPr>
        <w:t xml:space="preserve">including those under </w:t>
      </w:r>
      <w:r w:rsidR="00FF42AA">
        <w:rPr>
          <w:rFonts w:cstheme="minorHAnsi"/>
          <w:lang w:val="en-GB"/>
        </w:rPr>
        <w:t xml:space="preserve">the </w:t>
      </w:r>
      <w:r w:rsidR="005E6F41">
        <w:rPr>
          <w:rFonts w:cstheme="minorHAnsi"/>
          <w:lang w:val="en-GB"/>
        </w:rPr>
        <w:t>E</w:t>
      </w:r>
      <w:r w:rsidR="00FF42AA">
        <w:rPr>
          <w:rFonts w:cstheme="minorHAnsi"/>
          <w:lang w:val="en-GB"/>
        </w:rPr>
        <w:t xml:space="preserve">ducation </w:t>
      </w:r>
      <w:r w:rsidR="005E6F41">
        <w:rPr>
          <w:rFonts w:cstheme="minorHAnsi"/>
          <w:lang w:val="en-GB"/>
        </w:rPr>
        <w:t>P</w:t>
      </w:r>
      <w:r w:rsidR="00FF42AA">
        <w:rPr>
          <w:rFonts w:cstheme="minorHAnsi"/>
          <w:lang w:val="en-GB"/>
        </w:rPr>
        <w:t>artnership’s</w:t>
      </w:r>
      <w:r w:rsidR="005E6F41">
        <w:rPr>
          <w:rFonts w:cstheme="minorHAnsi"/>
          <w:lang w:val="en-GB"/>
        </w:rPr>
        <w:t xml:space="preserve"> Component 3.</w:t>
      </w:r>
      <w:r w:rsidR="006F45E4">
        <w:rPr>
          <w:rFonts w:cstheme="minorHAnsi"/>
          <w:lang w:val="en-GB"/>
        </w:rPr>
        <w:t xml:space="preserve"> Th</w:t>
      </w:r>
      <w:r w:rsidR="00945DC1">
        <w:rPr>
          <w:rFonts w:cstheme="minorHAnsi"/>
          <w:lang w:val="en-GB"/>
        </w:rPr>
        <w:t xml:space="preserve">e background </w:t>
      </w:r>
      <w:r w:rsidR="006F45E4">
        <w:rPr>
          <w:rFonts w:cstheme="minorHAnsi"/>
          <w:lang w:val="en-GB"/>
        </w:rPr>
        <w:t xml:space="preserve">paper is expected to be completed in </w:t>
      </w:r>
      <w:r w:rsidR="00945DC1">
        <w:rPr>
          <w:rFonts w:cstheme="minorHAnsi"/>
          <w:lang w:val="en-GB"/>
        </w:rPr>
        <w:t xml:space="preserve">April 2015 </w:t>
      </w:r>
      <w:r w:rsidR="006F45E4">
        <w:rPr>
          <w:rFonts w:cstheme="minorHAnsi"/>
          <w:lang w:val="en-GB"/>
        </w:rPr>
        <w:t xml:space="preserve">and will inform our </w:t>
      </w:r>
      <w:r w:rsidR="00945DC1">
        <w:rPr>
          <w:rFonts w:cstheme="minorHAnsi"/>
          <w:lang w:val="en-GB"/>
        </w:rPr>
        <w:t>T</w:t>
      </w:r>
      <w:r w:rsidR="006F45E4">
        <w:rPr>
          <w:rFonts w:cstheme="minorHAnsi"/>
          <w:lang w:val="en-GB"/>
        </w:rPr>
        <w:t xml:space="preserve">ransition </w:t>
      </w:r>
      <w:r w:rsidR="00945DC1">
        <w:rPr>
          <w:rFonts w:cstheme="minorHAnsi"/>
          <w:lang w:val="en-GB"/>
        </w:rPr>
        <w:t>S</w:t>
      </w:r>
      <w:r w:rsidR="006F45E4">
        <w:rPr>
          <w:rFonts w:cstheme="minorHAnsi"/>
          <w:lang w:val="en-GB"/>
        </w:rPr>
        <w:t>trategy.</w:t>
      </w:r>
    </w:p>
    <w:p w14:paraId="1F909CD7" w14:textId="039F8A0E" w:rsidR="00CE6885" w:rsidRDefault="00CE6885" w:rsidP="006000C8">
      <w:pPr>
        <w:spacing w:line="240" w:lineRule="auto"/>
        <w:ind w:left="567"/>
        <w:rPr>
          <w:rFonts w:cstheme="minorHAnsi"/>
          <w:lang w:val="en-GB"/>
        </w:rPr>
      </w:pPr>
      <w:r w:rsidRPr="00CE6885">
        <w:rPr>
          <w:rFonts w:cstheme="minorHAnsi"/>
          <w:u w:val="single"/>
          <w:lang w:val="en-GB"/>
        </w:rPr>
        <w:t>Component 4</w:t>
      </w:r>
      <w:r w:rsidR="00D93E8D">
        <w:rPr>
          <w:rFonts w:cstheme="minorHAnsi"/>
          <w:lang w:val="en-GB"/>
        </w:rPr>
        <w:t xml:space="preserve"> </w:t>
      </w:r>
      <w:r>
        <w:rPr>
          <w:rFonts w:cstheme="minorHAnsi"/>
          <w:lang w:val="en-GB"/>
        </w:rPr>
        <w:t xml:space="preserve"> </w:t>
      </w:r>
      <w:r w:rsidR="006000C8">
        <w:rPr>
          <w:rFonts w:cstheme="minorHAnsi"/>
          <w:lang w:val="en-GB"/>
        </w:rPr>
        <w:t xml:space="preserve"> </w:t>
      </w:r>
      <w:r w:rsidR="00945DC1">
        <w:rPr>
          <w:rFonts w:cstheme="minorHAnsi"/>
          <w:lang w:val="en-GB"/>
        </w:rPr>
        <w:t>With</w:t>
      </w:r>
      <w:r>
        <w:rPr>
          <w:rFonts w:cstheme="minorHAnsi"/>
          <w:lang w:val="en-GB"/>
        </w:rPr>
        <w:t xml:space="preserve"> respect to ACDP, </w:t>
      </w:r>
      <w:r w:rsidR="00825CF0">
        <w:rPr>
          <w:rFonts w:cstheme="minorHAnsi"/>
          <w:lang w:val="en-GB"/>
        </w:rPr>
        <w:t>Australia</w:t>
      </w:r>
      <w:r>
        <w:rPr>
          <w:rFonts w:cstheme="minorHAnsi"/>
          <w:lang w:val="en-GB"/>
        </w:rPr>
        <w:t xml:space="preserve"> will seek from the ADB a</w:t>
      </w:r>
      <w:r w:rsidR="00945DC1">
        <w:rPr>
          <w:rFonts w:cstheme="minorHAnsi"/>
          <w:lang w:val="en-GB"/>
        </w:rPr>
        <w:t xml:space="preserve">n assessment </w:t>
      </w:r>
      <w:r w:rsidR="00825CF0">
        <w:rPr>
          <w:rFonts w:cstheme="minorHAnsi"/>
          <w:lang w:val="en-GB"/>
        </w:rPr>
        <w:t xml:space="preserve">of the </w:t>
      </w:r>
      <w:r w:rsidR="00D93E8D">
        <w:rPr>
          <w:rFonts w:cstheme="minorHAnsi"/>
          <w:lang w:val="en-GB"/>
        </w:rPr>
        <w:t>a</w:t>
      </w:r>
      <w:r w:rsidR="00825CF0">
        <w:rPr>
          <w:rFonts w:cstheme="minorHAnsi"/>
          <w:lang w:val="en-GB"/>
        </w:rPr>
        <w:t>nticipated impact of the studies and capacity building completed under ACDP.</w:t>
      </w:r>
      <w:r w:rsidR="00D93E8D">
        <w:rPr>
          <w:rFonts w:cstheme="minorHAnsi"/>
          <w:lang w:val="en-GB"/>
        </w:rPr>
        <w:t xml:space="preserve"> </w:t>
      </w:r>
      <w:r w:rsidR="00825CF0">
        <w:rPr>
          <w:rFonts w:cstheme="minorHAnsi"/>
          <w:lang w:val="en-GB"/>
        </w:rPr>
        <w:t xml:space="preserve"> </w:t>
      </w:r>
      <w:r w:rsidR="005E736F">
        <w:rPr>
          <w:rFonts w:cstheme="minorHAnsi"/>
          <w:lang w:val="en-GB"/>
        </w:rPr>
        <w:t xml:space="preserve">There is also an ongoing POM evaluation of this component. </w:t>
      </w:r>
      <w:r w:rsidR="00825CF0">
        <w:rPr>
          <w:rFonts w:cstheme="minorHAnsi"/>
          <w:lang w:val="en-GB"/>
        </w:rPr>
        <w:t>While we will not extend ACDP, we are keen to learn exactly how it functioned and interacted with GoI to inform, stimulate dialogue on issues and influence policy.</w:t>
      </w:r>
      <w:r w:rsidR="00D93E8D">
        <w:rPr>
          <w:rFonts w:cstheme="minorHAnsi"/>
          <w:lang w:val="en-GB"/>
        </w:rPr>
        <w:t xml:space="preserve"> </w:t>
      </w:r>
      <w:r w:rsidR="00825CF0">
        <w:rPr>
          <w:rFonts w:cstheme="minorHAnsi"/>
          <w:lang w:val="en-GB"/>
        </w:rPr>
        <w:t xml:space="preserve"> </w:t>
      </w:r>
      <w:r w:rsidR="00032576">
        <w:rPr>
          <w:rFonts w:cstheme="minorHAnsi"/>
          <w:lang w:val="en-GB"/>
        </w:rPr>
        <w:t>Currently ADB is looking at the structure, processes and systems of the ACDP to assess the degree to which they are fit-for-purpose.</w:t>
      </w:r>
      <w:r w:rsidR="00D93E8D">
        <w:rPr>
          <w:rFonts w:cstheme="minorHAnsi"/>
          <w:lang w:val="en-GB"/>
        </w:rPr>
        <w:t xml:space="preserve"> </w:t>
      </w:r>
      <w:r w:rsidR="00032576">
        <w:rPr>
          <w:rFonts w:cstheme="minorHAnsi"/>
          <w:lang w:val="en-GB"/>
        </w:rPr>
        <w:t xml:space="preserve">That exercise </w:t>
      </w:r>
      <w:r>
        <w:rPr>
          <w:rFonts w:cstheme="minorHAnsi"/>
          <w:lang w:val="en-GB"/>
        </w:rPr>
        <w:t>will</w:t>
      </w:r>
      <w:r w:rsidR="00032576">
        <w:rPr>
          <w:rFonts w:cstheme="minorHAnsi"/>
          <w:lang w:val="en-GB"/>
        </w:rPr>
        <w:t xml:space="preserve"> be completed by April and </w:t>
      </w:r>
      <w:r>
        <w:rPr>
          <w:rFonts w:cstheme="minorHAnsi"/>
          <w:lang w:val="en-GB"/>
        </w:rPr>
        <w:t>will</w:t>
      </w:r>
      <w:r w:rsidR="00032576">
        <w:rPr>
          <w:rFonts w:cstheme="minorHAnsi"/>
          <w:lang w:val="en-GB"/>
        </w:rPr>
        <w:t xml:space="preserve"> inform how we design </w:t>
      </w:r>
      <w:r>
        <w:rPr>
          <w:rFonts w:cstheme="minorHAnsi"/>
          <w:lang w:val="en-GB"/>
        </w:rPr>
        <w:t xml:space="preserve">any </w:t>
      </w:r>
      <w:r w:rsidR="00032576">
        <w:rPr>
          <w:rFonts w:cstheme="minorHAnsi"/>
          <w:lang w:val="en-GB"/>
        </w:rPr>
        <w:t xml:space="preserve">future TA support </w:t>
      </w:r>
      <w:r w:rsidR="007A10D4">
        <w:rPr>
          <w:rFonts w:cstheme="minorHAnsi"/>
          <w:lang w:val="en-GB"/>
        </w:rPr>
        <w:t xml:space="preserve">to </w:t>
      </w:r>
      <w:r>
        <w:rPr>
          <w:rFonts w:cstheme="minorHAnsi"/>
          <w:lang w:val="en-GB"/>
        </w:rPr>
        <w:t xml:space="preserve">the policy analysis process. </w:t>
      </w:r>
    </w:p>
    <w:p w14:paraId="0A2C6639" w14:textId="1CE42D4D" w:rsidR="004F6BC7" w:rsidRDefault="007A10D4" w:rsidP="006000C8">
      <w:pPr>
        <w:spacing w:line="240" w:lineRule="auto"/>
        <w:ind w:left="567"/>
        <w:rPr>
          <w:rFonts w:cstheme="minorHAnsi"/>
          <w:lang w:val="en-GB"/>
        </w:rPr>
      </w:pPr>
      <w:r>
        <w:rPr>
          <w:rFonts w:cstheme="minorHAnsi"/>
          <w:lang w:val="en-GB"/>
        </w:rPr>
        <w:t xml:space="preserve">The ADB </w:t>
      </w:r>
      <w:r w:rsidR="00CE6885">
        <w:rPr>
          <w:rFonts w:cstheme="minorHAnsi"/>
          <w:lang w:val="en-GB"/>
        </w:rPr>
        <w:t>will</w:t>
      </w:r>
      <w:r>
        <w:rPr>
          <w:rFonts w:cstheme="minorHAnsi"/>
          <w:lang w:val="en-GB"/>
        </w:rPr>
        <w:t xml:space="preserve"> </w:t>
      </w:r>
      <w:r w:rsidR="006000C8">
        <w:rPr>
          <w:rFonts w:cstheme="minorHAnsi"/>
          <w:lang w:val="en-GB"/>
        </w:rPr>
        <w:t>finalize a</w:t>
      </w:r>
      <w:r w:rsidR="00CE6885">
        <w:rPr>
          <w:rFonts w:cstheme="minorHAnsi"/>
          <w:lang w:val="en-GB"/>
        </w:rPr>
        <w:t>n ACDP</w:t>
      </w:r>
      <w:r>
        <w:rPr>
          <w:rFonts w:cstheme="minorHAnsi"/>
          <w:lang w:val="en-GB"/>
        </w:rPr>
        <w:t xml:space="preserve"> work plan </w:t>
      </w:r>
      <w:r w:rsidR="00003721">
        <w:rPr>
          <w:rFonts w:cstheme="minorHAnsi"/>
          <w:lang w:val="en-GB"/>
        </w:rPr>
        <w:t>this month (</w:t>
      </w:r>
      <w:r w:rsidR="006000C8">
        <w:rPr>
          <w:rFonts w:cstheme="minorHAnsi"/>
          <w:lang w:val="en-GB"/>
        </w:rPr>
        <w:t>April</w:t>
      </w:r>
      <w:r w:rsidR="00003721">
        <w:rPr>
          <w:rFonts w:cstheme="minorHAnsi"/>
          <w:lang w:val="en-GB"/>
        </w:rPr>
        <w:t xml:space="preserve"> 2015) for the</w:t>
      </w:r>
      <w:r>
        <w:rPr>
          <w:rFonts w:cstheme="minorHAnsi"/>
          <w:lang w:val="en-GB"/>
        </w:rPr>
        <w:t xml:space="preserve"> remain</w:t>
      </w:r>
      <w:r w:rsidR="00CE6885">
        <w:rPr>
          <w:rFonts w:cstheme="minorHAnsi"/>
          <w:lang w:val="en-GB"/>
        </w:rPr>
        <w:t xml:space="preserve">der of the program. </w:t>
      </w:r>
      <w:r w:rsidR="00003721">
        <w:rPr>
          <w:rFonts w:cstheme="minorHAnsi"/>
          <w:lang w:val="en-GB"/>
        </w:rPr>
        <w:t xml:space="preserve">Our goal is to ensure that the </w:t>
      </w:r>
      <w:r w:rsidR="00B82BCE">
        <w:rPr>
          <w:rFonts w:cstheme="minorHAnsi"/>
          <w:lang w:val="en-GB"/>
        </w:rPr>
        <w:t>program proposed by ADP m</w:t>
      </w:r>
      <w:r w:rsidR="00003721">
        <w:rPr>
          <w:rFonts w:cstheme="minorHAnsi"/>
          <w:lang w:val="en-GB"/>
        </w:rPr>
        <w:t xml:space="preserve">eets three objectives: (i) it is fully aligned with GoI’s forward agenda for the sector; (ii) it is strategically managed and articulates how </w:t>
      </w:r>
      <w:r w:rsidR="004F6BC7">
        <w:rPr>
          <w:rFonts w:cstheme="minorHAnsi"/>
          <w:lang w:val="en-GB"/>
        </w:rPr>
        <w:t xml:space="preserve">completed, on-going and new </w:t>
      </w:r>
      <w:r w:rsidR="00003721">
        <w:rPr>
          <w:rFonts w:cstheme="minorHAnsi"/>
          <w:lang w:val="en-GB"/>
        </w:rPr>
        <w:t>ACDP studies will be followed through the knowledge-to-policy chain, and</w:t>
      </w:r>
      <w:r w:rsidR="004F6BC7">
        <w:rPr>
          <w:rFonts w:cstheme="minorHAnsi"/>
          <w:lang w:val="en-GB"/>
        </w:rPr>
        <w:t>;</w:t>
      </w:r>
      <w:r w:rsidR="00003721">
        <w:rPr>
          <w:rFonts w:cstheme="minorHAnsi"/>
          <w:lang w:val="en-GB"/>
        </w:rPr>
        <w:t xml:space="preserve"> (iii) </w:t>
      </w:r>
      <w:r w:rsidR="004F6BC7">
        <w:rPr>
          <w:rFonts w:cstheme="minorHAnsi"/>
          <w:lang w:val="en-GB"/>
        </w:rPr>
        <w:t>that contracted TA ha</w:t>
      </w:r>
      <w:r w:rsidR="00B82BCE">
        <w:rPr>
          <w:rFonts w:cstheme="minorHAnsi"/>
          <w:lang w:val="en-GB"/>
        </w:rPr>
        <w:t>ve</w:t>
      </w:r>
      <w:r w:rsidR="004F6BC7">
        <w:rPr>
          <w:rFonts w:cstheme="minorHAnsi"/>
          <w:lang w:val="en-GB"/>
        </w:rPr>
        <w:t xml:space="preserve"> the best possible credentials and reputation </w:t>
      </w:r>
      <w:r w:rsidR="00945DC1">
        <w:rPr>
          <w:rFonts w:cstheme="minorHAnsi"/>
          <w:lang w:val="en-GB"/>
        </w:rPr>
        <w:t>with</w:t>
      </w:r>
      <w:r w:rsidR="004F6BC7">
        <w:rPr>
          <w:rFonts w:cstheme="minorHAnsi"/>
          <w:lang w:val="en-GB"/>
        </w:rPr>
        <w:t xml:space="preserve"> respect to the areas being analysed.</w:t>
      </w:r>
    </w:p>
    <w:p w14:paraId="6B8D3516" w14:textId="7F6D6774" w:rsidR="00D22B20" w:rsidRPr="00D22B20" w:rsidRDefault="00945DC1" w:rsidP="00E3657B">
      <w:pPr>
        <w:spacing w:line="240" w:lineRule="auto"/>
        <w:rPr>
          <w:rFonts w:cstheme="minorHAnsi"/>
          <w:lang w:val="en-GB"/>
        </w:rPr>
      </w:pPr>
      <w:r>
        <w:rPr>
          <w:rFonts w:cstheme="minorHAnsi"/>
          <w:lang w:val="en-GB"/>
        </w:rPr>
        <w:t>Concerning the</w:t>
      </w:r>
      <w:r w:rsidR="006000C8" w:rsidRPr="006000C8">
        <w:rPr>
          <w:rFonts w:cstheme="minorHAnsi"/>
          <w:lang w:val="en-GB"/>
        </w:rPr>
        <w:t xml:space="preserve"> </w:t>
      </w:r>
      <w:r w:rsidR="006000C8">
        <w:rPr>
          <w:rFonts w:cstheme="minorHAnsi"/>
          <w:lang w:val="en-GB"/>
        </w:rPr>
        <w:t>promoti</w:t>
      </w:r>
      <w:r>
        <w:rPr>
          <w:rFonts w:cstheme="minorHAnsi"/>
          <w:lang w:val="en-GB"/>
        </w:rPr>
        <w:t>on of</w:t>
      </w:r>
      <w:r w:rsidR="006000C8">
        <w:rPr>
          <w:rFonts w:cstheme="minorHAnsi"/>
          <w:lang w:val="en-GB"/>
        </w:rPr>
        <w:t xml:space="preserve"> inclusive e</w:t>
      </w:r>
      <w:r w:rsidR="00D22B20" w:rsidRPr="006000C8">
        <w:rPr>
          <w:rFonts w:cstheme="minorHAnsi"/>
          <w:lang w:val="en-GB"/>
        </w:rPr>
        <w:t>ducation</w:t>
      </w:r>
      <w:r w:rsidR="006000C8">
        <w:rPr>
          <w:rFonts w:cstheme="minorHAnsi"/>
          <w:lang w:val="en-GB"/>
        </w:rPr>
        <w:t>, i</w:t>
      </w:r>
      <w:r w:rsidR="00D22B20" w:rsidRPr="002914EC">
        <w:rPr>
          <w:rFonts w:cstheme="minorHAnsi"/>
          <w:lang w:val="en-GB"/>
        </w:rPr>
        <w:t>n the final phase of the Education Partnership, particular emphasis will be placed on allowing the program to promote gender equality and disability inclusive education. The EP management and implementation team will work closely with SSQ’s Social Inclusion advisor and other technical support to explore opportunities within the program, with a particular focus on the ProDEP system.</w:t>
      </w:r>
    </w:p>
    <w:p w14:paraId="125083E9" w14:textId="77777777" w:rsidR="00945DC1" w:rsidRDefault="00945DC1" w:rsidP="00E3657B">
      <w:pPr>
        <w:spacing w:line="240" w:lineRule="auto"/>
        <w:rPr>
          <w:rFonts w:cstheme="minorHAnsi"/>
          <w:u w:val="single"/>
          <w:lang w:val="en-GB"/>
        </w:rPr>
      </w:pPr>
    </w:p>
    <w:p w14:paraId="35E1380B" w14:textId="77777777" w:rsidR="00945DC1" w:rsidRDefault="00945DC1" w:rsidP="00E3657B">
      <w:pPr>
        <w:spacing w:line="240" w:lineRule="auto"/>
        <w:rPr>
          <w:rFonts w:cstheme="minorHAnsi"/>
          <w:u w:val="single"/>
          <w:lang w:val="en-GB"/>
        </w:rPr>
      </w:pPr>
    </w:p>
    <w:p w14:paraId="645A4AE8" w14:textId="17C7B30B" w:rsidR="00825CF0" w:rsidRDefault="006000C8" w:rsidP="00E3657B">
      <w:pPr>
        <w:spacing w:line="240" w:lineRule="auto"/>
        <w:rPr>
          <w:rFonts w:cstheme="minorHAnsi"/>
          <w:u w:val="single"/>
          <w:lang w:val="en-GB"/>
        </w:rPr>
      </w:pPr>
      <w:r w:rsidRPr="006000C8">
        <w:rPr>
          <w:rFonts w:cstheme="minorHAnsi"/>
          <w:u w:val="single"/>
          <w:lang w:val="en-GB"/>
        </w:rPr>
        <w:lastRenderedPageBreak/>
        <w:t>Our Strategy to draw the Education Partnership to a close</w:t>
      </w:r>
    </w:p>
    <w:p w14:paraId="76F89AF1" w14:textId="79DFC1A8" w:rsidR="000A0B1E" w:rsidRDefault="00914E83" w:rsidP="00E3657B">
      <w:pPr>
        <w:spacing w:line="240" w:lineRule="auto"/>
        <w:rPr>
          <w:rFonts w:cstheme="minorHAnsi"/>
          <w:lang w:val="en-GB"/>
        </w:rPr>
      </w:pPr>
      <w:r>
        <w:rPr>
          <w:rFonts w:cstheme="minorHAnsi"/>
          <w:lang w:val="en-GB"/>
        </w:rPr>
        <w:t xml:space="preserve">While </w:t>
      </w:r>
      <w:r w:rsidR="00945DC1">
        <w:rPr>
          <w:rFonts w:cstheme="minorHAnsi"/>
          <w:lang w:val="en-GB"/>
        </w:rPr>
        <w:t>our</w:t>
      </w:r>
      <w:r>
        <w:rPr>
          <w:rFonts w:cstheme="minorHAnsi"/>
          <w:lang w:val="en-GB"/>
        </w:rPr>
        <w:t xml:space="preserve"> </w:t>
      </w:r>
      <w:r w:rsidR="00945DC1">
        <w:rPr>
          <w:rFonts w:cstheme="minorHAnsi"/>
          <w:lang w:val="en-GB"/>
        </w:rPr>
        <w:t>Transition S</w:t>
      </w:r>
      <w:r>
        <w:rPr>
          <w:rFonts w:cstheme="minorHAnsi"/>
          <w:lang w:val="en-GB"/>
        </w:rPr>
        <w:t>trateg</w:t>
      </w:r>
      <w:r w:rsidR="005A01BE">
        <w:rPr>
          <w:rFonts w:cstheme="minorHAnsi"/>
          <w:lang w:val="en-GB"/>
        </w:rPr>
        <w:t>y</w:t>
      </w:r>
      <w:r>
        <w:rPr>
          <w:rFonts w:cstheme="minorHAnsi"/>
          <w:lang w:val="en-GB"/>
        </w:rPr>
        <w:t xml:space="preserve"> </w:t>
      </w:r>
      <w:r w:rsidR="00945DC1">
        <w:rPr>
          <w:rFonts w:cstheme="minorHAnsi"/>
          <w:lang w:val="en-GB"/>
        </w:rPr>
        <w:t xml:space="preserve">(see above) </w:t>
      </w:r>
      <w:r>
        <w:rPr>
          <w:rFonts w:cstheme="minorHAnsi"/>
          <w:lang w:val="en-GB"/>
        </w:rPr>
        <w:t xml:space="preserve">will provide detail on how we close </w:t>
      </w:r>
      <w:r w:rsidR="002546E4">
        <w:rPr>
          <w:rFonts w:cstheme="minorHAnsi"/>
          <w:lang w:val="en-GB"/>
        </w:rPr>
        <w:t xml:space="preserve">the </w:t>
      </w:r>
      <w:r>
        <w:rPr>
          <w:rFonts w:cstheme="minorHAnsi"/>
          <w:lang w:val="en-GB"/>
        </w:rPr>
        <w:t>E</w:t>
      </w:r>
      <w:r w:rsidR="002546E4">
        <w:rPr>
          <w:rFonts w:cstheme="minorHAnsi"/>
          <w:lang w:val="en-GB"/>
        </w:rPr>
        <w:t xml:space="preserve">ducation </w:t>
      </w:r>
      <w:r>
        <w:rPr>
          <w:rFonts w:cstheme="minorHAnsi"/>
          <w:lang w:val="en-GB"/>
        </w:rPr>
        <w:t>P</w:t>
      </w:r>
      <w:r w:rsidR="002546E4">
        <w:rPr>
          <w:rFonts w:cstheme="minorHAnsi"/>
          <w:lang w:val="en-GB"/>
        </w:rPr>
        <w:t>artnership</w:t>
      </w:r>
      <w:r>
        <w:rPr>
          <w:rFonts w:cstheme="minorHAnsi"/>
          <w:lang w:val="en-GB"/>
        </w:rPr>
        <w:t xml:space="preserve"> and move to ou</w:t>
      </w:r>
      <w:r w:rsidR="00D93E8D">
        <w:rPr>
          <w:rFonts w:cstheme="minorHAnsi"/>
          <w:lang w:val="en-GB"/>
        </w:rPr>
        <w:t>r</w:t>
      </w:r>
      <w:r>
        <w:rPr>
          <w:rFonts w:cstheme="minorHAnsi"/>
          <w:lang w:val="en-GB"/>
        </w:rPr>
        <w:t xml:space="preserve"> forward agenda, </w:t>
      </w:r>
      <w:r w:rsidR="001D3C94">
        <w:rPr>
          <w:rFonts w:cstheme="minorHAnsi"/>
          <w:lang w:val="en-GB"/>
        </w:rPr>
        <w:t xml:space="preserve">the broad focus of </w:t>
      </w:r>
      <w:r w:rsidR="00FF42AA">
        <w:rPr>
          <w:rFonts w:cstheme="minorHAnsi"/>
          <w:lang w:val="en-GB"/>
        </w:rPr>
        <w:t xml:space="preserve">the </w:t>
      </w:r>
      <w:r w:rsidR="001D3C94">
        <w:rPr>
          <w:rFonts w:cstheme="minorHAnsi"/>
          <w:lang w:val="en-GB"/>
        </w:rPr>
        <w:t>E</w:t>
      </w:r>
      <w:r w:rsidR="00FF42AA">
        <w:rPr>
          <w:rFonts w:cstheme="minorHAnsi"/>
          <w:lang w:val="en-GB"/>
        </w:rPr>
        <w:t xml:space="preserve">ducation </w:t>
      </w:r>
      <w:r w:rsidR="001D3C94">
        <w:rPr>
          <w:rFonts w:cstheme="minorHAnsi"/>
          <w:lang w:val="en-GB"/>
        </w:rPr>
        <w:t>P</w:t>
      </w:r>
      <w:r w:rsidR="00FF42AA">
        <w:rPr>
          <w:rFonts w:cstheme="minorHAnsi"/>
          <w:lang w:val="en-GB"/>
        </w:rPr>
        <w:t>artnership</w:t>
      </w:r>
      <w:r w:rsidR="001D3C94">
        <w:rPr>
          <w:rFonts w:cstheme="minorHAnsi"/>
          <w:lang w:val="en-GB"/>
        </w:rPr>
        <w:t xml:space="preserve"> management team over the next 15 months will be to work with </w:t>
      </w:r>
      <w:r w:rsidR="00945DC1">
        <w:rPr>
          <w:rFonts w:cstheme="minorHAnsi"/>
          <w:lang w:val="en-GB"/>
        </w:rPr>
        <w:t>the GoI t</w:t>
      </w:r>
      <w:r w:rsidR="001D3C94">
        <w:rPr>
          <w:rFonts w:cstheme="minorHAnsi"/>
          <w:lang w:val="en-GB"/>
        </w:rPr>
        <w:t>o ensure a smooth closure and that all post-budget reduction obligations are met.</w:t>
      </w:r>
      <w:r w:rsidR="00D93E8D">
        <w:rPr>
          <w:rFonts w:cstheme="minorHAnsi"/>
          <w:lang w:val="en-GB"/>
        </w:rPr>
        <w:t xml:space="preserve"> </w:t>
      </w:r>
      <w:r w:rsidR="001D3C94">
        <w:rPr>
          <w:rFonts w:cstheme="minorHAnsi"/>
          <w:lang w:val="en-GB"/>
        </w:rPr>
        <w:t xml:space="preserve">This will involve sharing our transition schedule with GoI and ensuring that all </w:t>
      </w:r>
      <w:r w:rsidR="000A0B1E">
        <w:rPr>
          <w:rFonts w:cstheme="minorHAnsi"/>
          <w:lang w:val="en-GB"/>
        </w:rPr>
        <w:t>stakeholders</w:t>
      </w:r>
      <w:r w:rsidR="001D3C94">
        <w:rPr>
          <w:rFonts w:cstheme="minorHAnsi"/>
          <w:lang w:val="en-GB"/>
        </w:rPr>
        <w:t xml:space="preserve"> keep a clear line of sight on </w:t>
      </w:r>
      <w:r w:rsidR="002546E4">
        <w:rPr>
          <w:rFonts w:cstheme="minorHAnsi"/>
          <w:lang w:val="en-GB"/>
        </w:rPr>
        <w:t xml:space="preserve">the </w:t>
      </w:r>
      <w:r w:rsidR="001D3C94">
        <w:rPr>
          <w:rFonts w:cstheme="minorHAnsi"/>
          <w:lang w:val="en-GB"/>
        </w:rPr>
        <w:t>E</w:t>
      </w:r>
      <w:r w:rsidR="002546E4">
        <w:rPr>
          <w:rFonts w:cstheme="minorHAnsi"/>
          <w:lang w:val="en-GB"/>
        </w:rPr>
        <w:t xml:space="preserve">ducation </w:t>
      </w:r>
      <w:r w:rsidR="001D3C94">
        <w:rPr>
          <w:rFonts w:cstheme="minorHAnsi"/>
          <w:lang w:val="en-GB"/>
        </w:rPr>
        <w:t>P</w:t>
      </w:r>
      <w:r w:rsidR="002546E4">
        <w:rPr>
          <w:rFonts w:cstheme="minorHAnsi"/>
          <w:lang w:val="en-GB"/>
        </w:rPr>
        <w:t>artnership</w:t>
      </w:r>
      <w:r w:rsidR="001D3C94">
        <w:rPr>
          <w:rFonts w:cstheme="minorHAnsi"/>
          <w:lang w:val="en-GB"/>
        </w:rPr>
        <w:t>’s end of program objectives and outcomes.</w:t>
      </w:r>
      <w:r w:rsidR="00D93E8D">
        <w:rPr>
          <w:rFonts w:cstheme="minorHAnsi"/>
          <w:lang w:val="en-GB"/>
        </w:rPr>
        <w:t xml:space="preserve"> </w:t>
      </w:r>
      <w:r w:rsidR="000A0B1E">
        <w:rPr>
          <w:rFonts w:cstheme="minorHAnsi"/>
          <w:lang w:val="en-GB"/>
        </w:rPr>
        <w:t>We will ask POM to coordinate with SSQ and ACDP to ensure that this process is well monitored and potential issues are identified early.</w:t>
      </w:r>
      <w:r w:rsidR="00D93E8D">
        <w:rPr>
          <w:rFonts w:cstheme="minorHAnsi"/>
          <w:lang w:val="en-GB"/>
        </w:rPr>
        <w:t xml:space="preserve"> </w:t>
      </w:r>
    </w:p>
    <w:p w14:paraId="3A5D08A3" w14:textId="17893362" w:rsidR="003B05D3" w:rsidRDefault="000A0B1E" w:rsidP="00E3657B">
      <w:pPr>
        <w:spacing w:line="240" w:lineRule="auto"/>
        <w:rPr>
          <w:rFonts w:cstheme="minorHAnsi"/>
          <w:lang w:val="en-GB"/>
        </w:rPr>
      </w:pPr>
      <w:r>
        <w:rPr>
          <w:rFonts w:cstheme="minorHAnsi"/>
          <w:lang w:val="en-GB"/>
        </w:rPr>
        <w:t>From this point on, we will endeavour to ensure that int</w:t>
      </w:r>
      <w:r w:rsidR="005A01BE">
        <w:rPr>
          <w:rFonts w:cstheme="minorHAnsi"/>
          <w:lang w:val="en-GB"/>
        </w:rPr>
        <w:t>eraction with the E</w:t>
      </w:r>
      <w:r w:rsidR="002546E4">
        <w:rPr>
          <w:rFonts w:cstheme="minorHAnsi"/>
          <w:lang w:val="en-GB"/>
        </w:rPr>
        <w:t xml:space="preserve">ducation </w:t>
      </w:r>
      <w:r w:rsidR="005A01BE">
        <w:rPr>
          <w:rFonts w:cstheme="minorHAnsi"/>
          <w:lang w:val="en-GB"/>
        </w:rPr>
        <w:t>P</w:t>
      </w:r>
      <w:r w:rsidR="002546E4">
        <w:rPr>
          <w:rFonts w:cstheme="minorHAnsi"/>
          <w:lang w:val="en-GB"/>
        </w:rPr>
        <w:t>artnership</w:t>
      </w:r>
      <w:r w:rsidR="005A01BE">
        <w:rPr>
          <w:rFonts w:cstheme="minorHAnsi"/>
          <w:lang w:val="en-GB"/>
        </w:rPr>
        <w:t xml:space="preserve"> Technical </w:t>
      </w:r>
      <w:r w:rsidR="00996A10">
        <w:rPr>
          <w:rFonts w:cstheme="minorHAnsi"/>
          <w:lang w:val="en-GB"/>
        </w:rPr>
        <w:t xml:space="preserve">Oversight </w:t>
      </w:r>
      <w:r>
        <w:rPr>
          <w:rFonts w:cstheme="minorHAnsi"/>
          <w:lang w:val="en-GB"/>
        </w:rPr>
        <w:t xml:space="preserve">Groups </w:t>
      </w:r>
      <w:r w:rsidR="005A01BE">
        <w:rPr>
          <w:rFonts w:cstheme="minorHAnsi"/>
          <w:lang w:val="en-GB"/>
        </w:rPr>
        <w:t xml:space="preserve">(TOGs) </w:t>
      </w:r>
      <w:r>
        <w:rPr>
          <w:rFonts w:cstheme="minorHAnsi"/>
          <w:lang w:val="en-GB"/>
        </w:rPr>
        <w:t>are issue-</w:t>
      </w:r>
      <w:r w:rsidR="003B05D3">
        <w:rPr>
          <w:rFonts w:cstheme="minorHAnsi"/>
          <w:lang w:val="en-GB"/>
        </w:rPr>
        <w:t>focused</w:t>
      </w:r>
      <w:r w:rsidR="0031542A">
        <w:rPr>
          <w:rFonts w:cstheme="minorHAnsi"/>
          <w:lang w:val="en-GB"/>
        </w:rPr>
        <w:t>,</w:t>
      </w:r>
      <w:r w:rsidR="003B05D3">
        <w:rPr>
          <w:rFonts w:cstheme="minorHAnsi"/>
          <w:lang w:val="en-GB"/>
        </w:rPr>
        <w:t xml:space="preserve"> are</w:t>
      </w:r>
      <w:r>
        <w:rPr>
          <w:rFonts w:cstheme="minorHAnsi"/>
          <w:lang w:val="en-GB"/>
        </w:rPr>
        <w:t xml:space="preserve"> able to contribute to a smooth exit from </w:t>
      </w:r>
      <w:r w:rsidR="002546E4">
        <w:rPr>
          <w:rFonts w:cstheme="minorHAnsi"/>
          <w:lang w:val="en-GB"/>
        </w:rPr>
        <w:t xml:space="preserve">the </w:t>
      </w:r>
      <w:r>
        <w:rPr>
          <w:rFonts w:cstheme="minorHAnsi"/>
          <w:lang w:val="en-GB"/>
        </w:rPr>
        <w:t>E</w:t>
      </w:r>
      <w:r w:rsidR="002546E4">
        <w:rPr>
          <w:rFonts w:cstheme="minorHAnsi"/>
          <w:lang w:val="en-GB"/>
        </w:rPr>
        <w:t xml:space="preserve">ducation </w:t>
      </w:r>
      <w:r>
        <w:rPr>
          <w:rFonts w:cstheme="minorHAnsi"/>
          <w:lang w:val="en-GB"/>
        </w:rPr>
        <w:t>P</w:t>
      </w:r>
      <w:r w:rsidR="002546E4">
        <w:rPr>
          <w:rFonts w:cstheme="minorHAnsi"/>
          <w:lang w:val="en-GB"/>
        </w:rPr>
        <w:t>artnership</w:t>
      </w:r>
      <w:r>
        <w:rPr>
          <w:rFonts w:cstheme="minorHAnsi"/>
          <w:lang w:val="en-GB"/>
        </w:rPr>
        <w:t xml:space="preserve"> and transition to our forward program.</w:t>
      </w:r>
      <w:r w:rsidR="00D93E8D">
        <w:rPr>
          <w:rFonts w:cstheme="minorHAnsi"/>
          <w:lang w:val="en-GB"/>
        </w:rPr>
        <w:t xml:space="preserve"> </w:t>
      </w:r>
      <w:r>
        <w:rPr>
          <w:rFonts w:cstheme="minorHAnsi"/>
          <w:lang w:val="en-GB"/>
        </w:rPr>
        <w:t xml:space="preserve">We will ensure that the TOG Chairs are aware of our strategic </w:t>
      </w:r>
      <w:r w:rsidR="003B05D3">
        <w:rPr>
          <w:rFonts w:cstheme="minorHAnsi"/>
          <w:lang w:val="en-GB"/>
        </w:rPr>
        <w:t xml:space="preserve">short- and </w:t>
      </w:r>
      <w:r>
        <w:rPr>
          <w:rFonts w:cstheme="minorHAnsi"/>
          <w:lang w:val="en-GB"/>
        </w:rPr>
        <w:t>medium-term agenda b</w:t>
      </w:r>
      <w:r w:rsidR="003B05D3">
        <w:rPr>
          <w:rFonts w:cstheme="minorHAnsi"/>
          <w:lang w:val="en-GB"/>
        </w:rPr>
        <w:t>efore the TOGs meet and that the meetings are made more productive by confirming agreed ways forward and recognizing an</w:t>
      </w:r>
      <w:r w:rsidR="00996A10">
        <w:rPr>
          <w:rFonts w:cstheme="minorHAnsi"/>
          <w:lang w:val="en-GB"/>
        </w:rPr>
        <w:t>y</w:t>
      </w:r>
      <w:r w:rsidR="003B05D3">
        <w:rPr>
          <w:rFonts w:cstheme="minorHAnsi"/>
          <w:lang w:val="en-GB"/>
        </w:rPr>
        <w:t xml:space="preserve"> outstanding issues and a timeline for those issues to be addressed.</w:t>
      </w:r>
      <w:r w:rsidR="00D93E8D">
        <w:rPr>
          <w:rFonts w:cstheme="minorHAnsi"/>
          <w:lang w:val="en-GB"/>
        </w:rPr>
        <w:t xml:space="preserve"> </w:t>
      </w:r>
      <w:r w:rsidR="003B05D3">
        <w:rPr>
          <w:rFonts w:cstheme="minorHAnsi"/>
          <w:lang w:val="en-GB"/>
        </w:rPr>
        <w:t xml:space="preserve"> </w:t>
      </w:r>
    </w:p>
    <w:p w14:paraId="48276758" w14:textId="210E0CD3" w:rsidR="004F5C46" w:rsidRDefault="003D60D1" w:rsidP="003D60D1">
      <w:pPr>
        <w:spacing w:line="240" w:lineRule="auto"/>
        <w:rPr>
          <w:rFonts w:cstheme="minorHAnsi"/>
          <w:lang w:val="en-GB"/>
        </w:rPr>
      </w:pPr>
      <w:r>
        <w:rPr>
          <w:rFonts w:cstheme="minorHAnsi"/>
          <w:lang w:val="en-GB"/>
        </w:rPr>
        <w:t>With the assistance of SSQ and POM, o</w:t>
      </w:r>
      <w:r w:rsidR="00730358">
        <w:rPr>
          <w:rFonts w:cstheme="minorHAnsi"/>
          <w:lang w:val="en-GB"/>
        </w:rPr>
        <w:t>ver the course of the remainder of t</w:t>
      </w:r>
      <w:r>
        <w:rPr>
          <w:rFonts w:cstheme="minorHAnsi"/>
          <w:lang w:val="en-GB"/>
        </w:rPr>
        <w:t>h</w:t>
      </w:r>
      <w:r w:rsidR="00730358">
        <w:rPr>
          <w:rFonts w:cstheme="minorHAnsi"/>
          <w:lang w:val="en-GB"/>
        </w:rPr>
        <w:t>is financial year</w:t>
      </w:r>
      <w:r>
        <w:rPr>
          <w:rFonts w:cstheme="minorHAnsi"/>
          <w:lang w:val="en-GB"/>
        </w:rPr>
        <w:t>,</w:t>
      </w:r>
      <w:r w:rsidR="00730358">
        <w:rPr>
          <w:rFonts w:cstheme="minorHAnsi"/>
          <w:lang w:val="en-GB"/>
        </w:rPr>
        <w:t xml:space="preserve"> the E</w:t>
      </w:r>
      <w:r w:rsidR="002546E4">
        <w:rPr>
          <w:rFonts w:cstheme="minorHAnsi"/>
          <w:lang w:val="en-GB"/>
        </w:rPr>
        <w:t xml:space="preserve">ducation </w:t>
      </w:r>
      <w:r w:rsidR="00730358">
        <w:rPr>
          <w:rFonts w:cstheme="minorHAnsi"/>
          <w:lang w:val="en-GB"/>
        </w:rPr>
        <w:t>P</w:t>
      </w:r>
      <w:r w:rsidR="002546E4">
        <w:rPr>
          <w:rFonts w:cstheme="minorHAnsi"/>
          <w:lang w:val="en-GB"/>
        </w:rPr>
        <w:t>artnership</w:t>
      </w:r>
      <w:r w:rsidR="00730358">
        <w:rPr>
          <w:rFonts w:cstheme="minorHAnsi"/>
          <w:lang w:val="en-GB"/>
        </w:rPr>
        <w:t xml:space="preserve"> management team will: (i) formalise a me</w:t>
      </w:r>
      <w:r>
        <w:rPr>
          <w:rFonts w:cstheme="minorHAnsi"/>
          <w:lang w:val="en-GB"/>
        </w:rPr>
        <w:t xml:space="preserve">thod of documenting </w:t>
      </w:r>
      <w:r w:rsidR="002546E4">
        <w:rPr>
          <w:rFonts w:cstheme="minorHAnsi"/>
          <w:lang w:val="en-GB"/>
        </w:rPr>
        <w:t xml:space="preserve">the </w:t>
      </w:r>
      <w:r>
        <w:rPr>
          <w:rFonts w:cstheme="minorHAnsi"/>
          <w:lang w:val="en-GB"/>
        </w:rPr>
        <w:t>E</w:t>
      </w:r>
      <w:r w:rsidR="002546E4">
        <w:rPr>
          <w:rFonts w:cstheme="minorHAnsi"/>
          <w:lang w:val="en-GB"/>
        </w:rPr>
        <w:t xml:space="preserve">ducation </w:t>
      </w:r>
      <w:r>
        <w:rPr>
          <w:rFonts w:cstheme="minorHAnsi"/>
          <w:lang w:val="en-GB"/>
        </w:rPr>
        <w:t>P</w:t>
      </w:r>
      <w:r w:rsidR="002546E4">
        <w:rPr>
          <w:rFonts w:cstheme="minorHAnsi"/>
          <w:lang w:val="en-GB"/>
        </w:rPr>
        <w:t>artnership</w:t>
      </w:r>
      <w:r>
        <w:rPr>
          <w:rFonts w:cstheme="minorHAnsi"/>
          <w:lang w:val="en-GB"/>
        </w:rPr>
        <w:t>’s lessons</w:t>
      </w:r>
      <w:r w:rsidR="00730358">
        <w:rPr>
          <w:rFonts w:cstheme="minorHAnsi"/>
          <w:lang w:val="en-GB"/>
        </w:rPr>
        <w:t>; (ii) strengthen cross-component synergies</w:t>
      </w:r>
      <w:r>
        <w:rPr>
          <w:rFonts w:cstheme="minorHAnsi"/>
          <w:lang w:val="en-GB"/>
        </w:rPr>
        <w:t xml:space="preserve">; (iii) identify the extent that </w:t>
      </w:r>
      <w:r w:rsidR="002546E4">
        <w:rPr>
          <w:rFonts w:cstheme="minorHAnsi"/>
          <w:lang w:val="en-GB"/>
        </w:rPr>
        <w:t xml:space="preserve">the </w:t>
      </w:r>
      <w:r>
        <w:rPr>
          <w:rFonts w:cstheme="minorHAnsi"/>
          <w:lang w:val="en-GB"/>
        </w:rPr>
        <w:t>E</w:t>
      </w:r>
      <w:r w:rsidR="002546E4">
        <w:rPr>
          <w:rFonts w:cstheme="minorHAnsi"/>
          <w:lang w:val="en-GB"/>
        </w:rPr>
        <w:t xml:space="preserve">ducation </w:t>
      </w:r>
      <w:r>
        <w:rPr>
          <w:rFonts w:cstheme="minorHAnsi"/>
          <w:lang w:val="en-GB"/>
        </w:rPr>
        <w:t>P</w:t>
      </w:r>
      <w:r w:rsidR="002546E4">
        <w:rPr>
          <w:rFonts w:cstheme="minorHAnsi"/>
          <w:lang w:val="en-GB"/>
        </w:rPr>
        <w:t>artnership</w:t>
      </w:r>
      <w:r w:rsidR="00945DC1">
        <w:rPr>
          <w:rFonts w:cstheme="minorHAnsi"/>
          <w:lang w:val="en-GB"/>
        </w:rPr>
        <w:t xml:space="preserve"> can claim success with</w:t>
      </w:r>
      <w:r>
        <w:rPr>
          <w:rFonts w:cstheme="minorHAnsi"/>
          <w:lang w:val="en-GB"/>
        </w:rPr>
        <w:t xml:space="preserve"> respect to its social inclusion agenda</w:t>
      </w:r>
      <w:r w:rsidR="005A01BE">
        <w:rPr>
          <w:rFonts w:cstheme="minorHAnsi"/>
          <w:lang w:val="en-GB"/>
        </w:rPr>
        <w:t xml:space="preserve"> with a focus on disability</w:t>
      </w:r>
      <w:r>
        <w:rPr>
          <w:rFonts w:cstheme="minorHAnsi"/>
          <w:lang w:val="en-GB"/>
        </w:rPr>
        <w:t>; and (iv) agree on the terms of reference for an E</w:t>
      </w:r>
      <w:r w:rsidR="002546E4">
        <w:rPr>
          <w:rFonts w:cstheme="minorHAnsi"/>
          <w:lang w:val="en-GB"/>
        </w:rPr>
        <w:t xml:space="preserve">ducation </w:t>
      </w:r>
      <w:r>
        <w:rPr>
          <w:rFonts w:cstheme="minorHAnsi"/>
          <w:lang w:val="en-GB"/>
        </w:rPr>
        <w:t>P</w:t>
      </w:r>
      <w:r w:rsidR="002546E4">
        <w:rPr>
          <w:rFonts w:cstheme="minorHAnsi"/>
          <w:lang w:val="en-GB"/>
        </w:rPr>
        <w:t>artnership</w:t>
      </w:r>
      <w:r>
        <w:rPr>
          <w:rFonts w:cstheme="minorHAnsi"/>
          <w:lang w:val="en-GB"/>
        </w:rPr>
        <w:t xml:space="preserve">-wide value-for-money study to </w:t>
      </w:r>
      <w:r w:rsidR="00996A10">
        <w:rPr>
          <w:rFonts w:cstheme="minorHAnsi"/>
          <w:lang w:val="en-GB"/>
        </w:rPr>
        <w:t xml:space="preserve">be </w:t>
      </w:r>
      <w:r>
        <w:rPr>
          <w:rFonts w:cstheme="minorHAnsi"/>
          <w:lang w:val="en-GB"/>
        </w:rPr>
        <w:t>completed by POM</w:t>
      </w:r>
      <w:r w:rsidR="009E7A52">
        <w:rPr>
          <w:rFonts w:cstheme="minorHAnsi"/>
          <w:lang w:val="en-GB"/>
        </w:rPr>
        <w:t xml:space="preserve"> to inform the final assessment of the effectiveness of the program and Australia’s future program</w:t>
      </w:r>
      <w:r w:rsidR="00956C13">
        <w:rPr>
          <w:rFonts w:cstheme="minorHAnsi"/>
          <w:lang w:val="en-GB"/>
        </w:rPr>
        <w:t>s in the education sector</w:t>
      </w:r>
      <w:r>
        <w:rPr>
          <w:rFonts w:cstheme="minorHAnsi"/>
          <w:lang w:val="en-GB"/>
        </w:rPr>
        <w:t>.</w:t>
      </w:r>
    </w:p>
    <w:p w14:paraId="566E8BD2" w14:textId="77777777" w:rsidR="00945DC1" w:rsidRDefault="00945DC1">
      <w:pPr>
        <w:rPr>
          <w:rFonts w:cstheme="minorHAnsi"/>
          <w:b/>
          <w:bCs/>
        </w:rPr>
      </w:pPr>
      <w:r>
        <w:rPr>
          <w:rFonts w:cstheme="minorHAnsi"/>
          <w:b/>
          <w:bCs/>
        </w:rPr>
        <w:br w:type="page"/>
      </w:r>
    </w:p>
    <w:p w14:paraId="6C4CA91D" w14:textId="69F6E415" w:rsidR="004F5C46" w:rsidRPr="004F5C46" w:rsidRDefault="004F5C46" w:rsidP="004F5C46">
      <w:pPr>
        <w:spacing w:line="240" w:lineRule="auto"/>
        <w:rPr>
          <w:rFonts w:cstheme="minorHAnsi"/>
          <w:b/>
          <w:bCs/>
        </w:rPr>
      </w:pPr>
      <w:r>
        <w:rPr>
          <w:rFonts w:cstheme="minorHAnsi"/>
          <w:b/>
          <w:bCs/>
        </w:rPr>
        <w:lastRenderedPageBreak/>
        <w:t xml:space="preserve">Annex 1: </w:t>
      </w:r>
      <w:r w:rsidRPr="004F5C46">
        <w:rPr>
          <w:rFonts w:cstheme="minorHAnsi"/>
          <w:b/>
          <w:bCs/>
        </w:rPr>
        <w:t>Background</w:t>
      </w:r>
      <w:r w:rsidR="00945DC1">
        <w:rPr>
          <w:rFonts w:cstheme="minorHAnsi"/>
          <w:b/>
          <w:bCs/>
        </w:rPr>
        <w:t xml:space="preserve"> Information</w:t>
      </w:r>
    </w:p>
    <w:p w14:paraId="3703C0E1" w14:textId="3031060E" w:rsidR="004F5C46" w:rsidRPr="004F5C46" w:rsidRDefault="004F5C46" w:rsidP="004F5C46">
      <w:pPr>
        <w:spacing w:line="240" w:lineRule="auto"/>
        <w:rPr>
          <w:rFonts w:cstheme="minorHAnsi"/>
          <w:iCs/>
        </w:rPr>
      </w:pPr>
      <w:r w:rsidRPr="004F5C46">
        <w:rPr>
          <w:rFonts w:cstheme="minorHAnsi"/>
        </w:rPr>
        <w:t xml:space="preserve">Australia and the European Union are providing support to the Government of Indonesia to implement education priorities outlined in the </w:t>
      </w:r>
      <w:r w:rsidRPr="004F5C46">
        <w:rPr>
          <w:rFonts w:cstheme="minorHAnsi"/>
          <w:i/>
        </w:rPr>
        <w:t>2010-2014 Education Sector Strategic Plan (Renstra 2010-2014)</w:t>
      </w:r>
      <w:r w:rsidRPr="004F5C46">
        <w:rPr>
          <w:rFonts w:cstheme="minorHAnsi"/>
        </w:rPr>
        <w:t>.</w:t>
      </w:r>
      <w:r w:rsidR="00D93E8D">
        <w:rPr>
          <w:rFonts w:cstheme="minorHAnsi"/>
        </w:rPr>
        <w:t xml:space="preserve"> </w:t>
      </w:r>
      <w:r w:rsidRPr="004F5C46">
        <w:rPr>
          <w:rFonts w:cstheme="minorHAnsi"/>
          <w:iCs/>
        </w:rPr>
        <w:t xml:space="preserve">The program has four components. </w:t>
      </w:r>
    </w:p>
    <w:p w14:paraId="1AD5517C" w14:textId="18D234EE" w:rsidR="004F5C46" w:rsidRPr="004F5C46" w:rsidRDefault="004F5C46" w:rsidP="00945DC1">
      <w:pPr>
        <w:numPr>
          <w:ilvl w:val="0"/>
          <w:numId w:val="19"/>
        </w:numPr>
        <w:spacing w:after="0" w:line="240" w:lineRule="auto"/>
        <w:ind w:left="714" w:hanging="357"/>
        <w:rPr>
          <w:rFonts w:cstheme="minorHAnsi"/>
        </w:rPr>
      </w:pPr>
      <w:r w:rsidRPr="004F5C46">
        <w:rPr>
          <w:rFonts w:cstheme="minorHAnsi"/>
        </w:rPr>
        <w:t>Construct or expand up to 1,150 junior secondary schools to increase junior secondary enrolment in participating districts;</w:t>
      </w:r>
    </w:p>
    <w:p w14:paraId="187D3B96" w14:textId="74715D5F" w:rsidR="004F5C46" w:rsidRPr="004F5C46" w:rsidRDefault="004F5C46" w:rsidP="00945DC1">
      <w:pPr>
        <w:numPr>
          <w:ilvl w:val="0"/>
          <w:numId w:val="19"/>
        </w:numPr>
        <w:spacing w:after="0" w:line="240" w:lineRule="auto"/>
        <w:ind w:left="714" w:hanging="357"/>
        <w:rPr>
          <w:rFonts w:cstheme="minorHAnsi"/>
        </w:rPr>
      </w:pPr>
      <w:r w:rsidRPr="004F5C46">
        <w:rPr>
          <w:rFonts w:cstheme="minorHAnsi"/>
        </w:rPr>
        <w:t>Improve the quality of school and madrasah management by developing a professional development system which will be made available to all 293,000 of Indonesia's school principals, school supervisors and district education officials;</w:t>
      </w:r>
    </w:p>
    <w:p w14:paraId="64C2F9AB" w14:textId="0259957F" w:rsidR="004F5C46" w:rsidRPr="004F5C46" w:rsidRDefault="004F5C46" w:rsidP="00945DC1">
      <w:pPr>
        <w:numPr>
          <w:ilvl w:val="0"/>
          <w:numId w:val="19"/>
        </w:numPr>
        <w:spacing w:after="0" w:line="240" w:lineRule="auto"/>
        <w:ind w:left="714" w:hanging="357"/>
        <w:rPr>
          <w:rFonts w:cstheme="minorHAnsi"/>
        </w:rPr>
      </w:pPr>
      <w:r w:rsidRPr="004F5C46">
        <w:rPr>
          <w:rFonts w:cstheme="minorHAnsi"/>
        </w:rPr>
        <w:t>Strengthen the system for madrasah quality improvement and support up to 1,500 Islamic schools (madrasah) to improve their quality consistent with the National Education Standards;</w:t>
      </w:r>
    </w:p>
    <w:p w14:paraId="26F0F9AD" w14:textId="77777777" w:rsidR="004F5C46" w:rsidRPr="004F5C46" w:rsidRDefault="004F5C46" w:rsidP="00945DC1">
      <w:pPr>
        <w:numPr>
          <w:ilvl w:val="0"/>
          <w:numId w:val="19"/>
        </w:numPr>
        <w:spacing w:after="0" w:line="240" w:lineRule="auto"/>
        <w:ind w:left="714" w:hanging="357"/>
        <w:rPr>
          <w:rFonts w:cstheme="minorHAnsi"/>
        </w:rPr>
      </w:pPr>
      <w:r w:rsidRPr="004F5C46">
        <w:rPr>
          <w:rFonts w:cstheme="minorHAnsi"/>
        </w:rPr>
        <w:t>Work together with the European Union (EU) and the Asian Development Bank (ADB) to support relevant, high quality and timely research and analysis that strengthens education policy, planning and budgeting.</w:t>
      </w:r>
    </w:p>
    <w:p w14:paraId="7A4AF062" w14:textId="77777777" w:rsidR="004F5C46" w:rsidRPr="004F5C46" w:rsidRDefault="004F5C46" w:rsidP="004F5C46">
      <w:pPr>
        <w:spacing w:line="240" w:lineRule="auto"/>
        <w:rPr>
          <w:rFonts w:cstheme="minorHAnsi"/>
        </w:rPr>
      </w:pPr>
      <w:r w:rsidRPr="004F5C46">
        <w:rPr>
          <w:rFonts w:cstheme="minorHAnsi"/>
        </w:rPr>
        <w:t>The total value of the Education Partnership is up to $524 million, delivered over 5 years (2011</w:t>
      </w:r>
      <w:r w:rsidRPr="004F5C46">
        <w:rPr>
          <w:rFonts w:cstheme="minorHAnsi"/>
        </w:rPr>
        <w:noBreakHyphen/>
        <w:t xml:space="preserve">2016). </w:t>
      </w:r>
    </w:p>
    <w:p w14:paraId="27F4E367" w14:textId="77777777" w:rsidR="004F5C46" w:rsidRPr="00ED247E" w:rsidRDefault="004F5C46" w:rsidP="004F5C46">
      <w:pPr>
        <w:spacing w:line="240" w:lineRule="auto"/>
        <w:rPr>
          <w:rFonts w:cstheme="minorHAnsi"/>
          <w:b/>
        </w:rPr>
      </w:pPr>
      <w:r w:rsidRPr="00ED247E">
        <w:rPr>
          <w:rFonts w:cstheme="minorHAnsi"/>
          <w:b/>
        </w:rPr>
        <w:t>Aid Activity Summary</w:t>
      </w:r>
    </w:p>
    <w:tbl>
      <w:tblPr>
        <w:tblStyle w:val="Tablewithheader"/>
        <w:tblW w:w="0" w:type="auto"/>
        <w:tblLook w:val="01E0" w:firstRow="1" w:lastRow="1" w:firstColumn="1" w:lastColumn="1" w:noHBand="0" w:noVBand="0"/>
      </w:tblPr>
      <w:tblGrid>
        <w:gridCol w:w="2802"/>
        <w:gridCol w:w="1842"/>
        <w:gridCol w:w="2127"/>
        <w:gridCol w:w="2471"/>
      </w:tblGrid>
      <w:tr w:rsidR="004F5C46" w:rsidRPr="004F5C46" w14:paraId="182DFE40" w14:textId="77777777" w:rsidTr="00816576">
        <w:trPr>
          <w:cnfStyle w:val="100000000000" w:firstRow="1" w:lastRow="0" w:firstColumn="0" w:lastColumn="0" w:oddVBand="0" w:evenVBand="0" w:oddHBand="0" w:evenHBand="0" w:firstRowFirstColumn="0" w:firstRowLastColumn="0" w:lastRowFirstColumn="0" w:lastRowLastColumn="0"/>
        </w:trPr>
        <w:tc>
          <w:tcPr>
            <w:tcW w:w="2802" w:type="dxa"/>
            <w:vAlign w:val="center"/>
          </w:tcPr>
          <w:p w14:paraId="78C4AD5F" w14:textId="77777777" w:rsidR="004F5C46" w:rsidRPr="004F5C46" w:rsidRDefault="004F5C46" w:rsidP="004F5C46">
            <w:pPr>
              <w:spacing w:after="200"/>
              <w:jc w:val="left"/>
              <w:rPr>
                <w:rFonts w:asciiTheme="minorHAnsi" w:eastAsiaTheme="minorHAnsi" w:hAnsiTheme="minorHAnsi" w:cstheme="minorHAnsi"/>
                <w:sz w:val="22"/>
                <w:szCs w:val="22"/>
                <w:lang w:eastAsia="en-US"/>
              </w:rPr>
            </w:pPr>
            <w:r w:rsidRPr="004F5C46">
              <w:rPr>
                <w:rFonts w:asciiTheme="minorHAnsi" w:eastAsiaTheme="minorHAnsi" w:hAnsiTheme="minorHAnsi" w:cstheme="minorHAnsi"/>
                <w:sz w:val="22"/>
                <w:szCs w:val="22"/>
                <w:lang w:eastAsia="en-US"/>
              </w:rPr>
              <w:t>Aid Activity Name</w:t>
            </w:r>
          </w:p>
        </w:tc>
        <w:tc>
          <w:tcPr>
            <w:tcW w:w="6440" w:type="dxa"/>
            <w:gridSpan w:val="3"/>
            <w:vAlign w:val="center"/>
          </w:tcPr>
          <w:p w14:paraId="2C3C163D" w14:textId="77777777" w:rsidR="004F5C46" w:rsidRPr="004F5C46" w:rsidRDefault="004F5C46" w:rsidP="004F5C46">
            <w:pPr>
              <w:spacing w:after="200"/>
              <w:jc w:val="left"/>
              <w:rPr>
                <w:rFonts w:asciiTheme="minorHAnsi" w:eastAsiaTheme="minorHAnsi" w:hAnsiTheme="minorHAnsi" w:cstheme="minorHAnsi"/>
                <w:sz w:val="22"/>
                <w:szCs w:val="22"/>
                <w:lang w:eastAsia="en-US"/>
              </w:rPr>
            </w:pPr>
            <w:r w:rsidRPr="004F5C46">
              <w:rPr>
                <w:rFonts w:asciiTheme="minorHAnsi" w:eastAsiaTheme="minorHAnsi" w:hAnsiTheme="minorHAnsi" w:cstheme="minorHAnsi"/>
                <w:sz w:val="22"/>
                <w:szCs w:val="22"/>
                <w:lang w:eastAsia="en-US"/>
              </w:rPr>
              <w:t>Australia’s Education Partnership with Indonesia</w:t>
            </w:r>
          </w:p>
        </w:tc>
      </w:tr>
      <w:tr w:rsidR="004F5C46" w:rsidRPr="004F5C46" w14:paraId="52E48DAF" w14:textId="77777777" w:rsidTr="00816576">
        <w:trPr>
          <w:trHeight w:val="360"/>
        </w:trPr>
        <w:tc>
          <w:tcPr>
            <w:tcW w:w="2802" w:type="dxa"/>
          </w:tcPr>
          <w:p w14:paraId="377F99CB" w14:textId="77777777" w:rsidR="004F5C46" w:rsidRPr="004F5C46" w:rsidRDefault="004F5C46" w:rsidP="00ED247E">
            <w:pPr>
              <w:spacing w:after="120"/>
              <w:rPr>
                <w:rFonts w:asciiTheme="minorHAnsi" w:eastAsiaTheme="minorHAnsi" w:hAnsiTheme="minorHAnsi" w:cstheme="minorHAnsi"/>
                <w:sz w:val="22"/>
                <w:szCs w:val="22"/>
                <w:lang w:eastAsia="en-US"/>
              </w:rPr>
            </w:pPr>
            <w:r w:rsidRPr="004F5C46">
              <w:rPr>
                <w:rFonts w:asciiTheme="minorHAnsi" w:eastAsiaTheme="minorHAnsi" w:hAnsiTheme="minorHAnsi" w:cstheme="minorHAnsi"/>
                <w:sz w:val="22"/>
                <w:szCs w:val="22"/>
                <w:lang w:eastAsia="en-US"/>
              </w:rPr>
              <w:t>AidWorks initiative number</w:t>
            </w:r>
          </w:p>
        </w:tc>
        <w:tc>
          <w:tcPr>
            <w:tcW w:w="6440" w:type="dxa"/>
            <w:gridSpan w:val="3"/>
          </w:tcPr>
          <w:p w14:paraId="353BD198" w14:textId="77777777" w:rsidR="004F5C46" w:rsidRPr="004F5C46" w:rsidRDefault="004F5C46" w:rsidP="00ED247E">
            <w:pPr>
              <w:spacing w:after="120"/>
              <w:rPr>
                <w:rFonts w:asciiTheme="minorHAnsi" w:eastAsiaTheme="minorHAnsi" w:hAnsiTheme="minorHAnsi" w:cstheme="minorHAnsi"/>
                <w:sz w:val="22"/>
                <w:szCs w:val="22"/>
                <w:lang w:eastAsia="en-US"/>
              </w:rPr>
            </w:pPr>
            <w:r w:rsidRPr="004F5C46">
              <w:rPr>
                <w:rFonts w:asciiTheme="minorHAnsi" w:eastAsiaTheme="minorHAnsi" w:hAnsiTheme="minorHAnsi" w:cstheme="minorHAnsi"/>
                <w:sz w:val="22"/>
                <w:szCs w:val="22"/>
                <w:lang w:eastAsia="en-US"/>
              </w:rPr>
              <w:t>INJ648</w:t>
            </w:r>
          </w:p>
        </w:tc>
      </w:tr>
      <w:tr w:rsidR="004F5C46" w:rsidRPr="004F5C46" w14:paraId="66792E5B" w14:textId="77777777" w:rsidTr="00816576">
        <w:tc>
          <w:tcPr>
            <w:tcW w:w="2802" w:type="dxa"/>
          </w:tcPr>
          <w:p w14:paraId="251C47C5" w14:textId="77777777" w:rsidR="004F5C46" w:rsidRPr="004F5C46" w:rsidRDefault="004F5C46" w:rsidP="00ED247E">
            <w:pPr>
              <w:spacing w:after="120"/>
              <w:rPr>
                <w:rFonts w:asciiTheme="minorHAnsi" w:eastAsiaTheme="minorHAnsi" w:hAnsiTheme="minorHAnsi" w:cstheme="minorHAnsi"/>
                <w:sz w:val="22"/>
                <w:szCs w:val="22"/>
                <w:lang w:eastAsia="en-US"/>
              </w:rPr>
            </w:pPr>
            <w:r w:rsidRPr="004F5C46">
              <w:rPr>
                <w:rFonts w:asciiTheme="minorHAnsi" w:eastAsiaTheme="minorHAnsi" w:hAnsiTheme="minorHAnsi" w:cstheme="minorHAnsi"/>
                <w:sz w:val="22"/>
                <w:szCs w:val="22"/>
                <w:lang w:eastAsia="en-US"/>
              </w:rPr>
              <w:t>Commencement date</w:t>
            </w:r>
          </w:p>
        </w:tc>
        <w:tc>
          <w:tcPr>
            <w:tcW w:w="1842" w:type="dxa"/>
          </w:tcPr>
          <w:p w14:paraId="48FA1833" w14:textId="77777777" w:rsidR="004F5C46" w:rsidRPr="004F5C46" w:rsidRDefault="004F5C46" w:rsidP="00ED247E">
            <w:pPr>
              <w:spacing w:after="120"/>
              <w:rPr>
                <w:rFonts w:asciiTheme="minorHAnsi" w:eastAsiaTheme="minorHAnsi" w:hAnsiTheme="minorHAnsi" w:cstheme="minorHAnsi"/>
                <w:sz w:val="22"/>
                <w:szCs w:val="22"/>
                <w:lang w:eastAsia="en-US"/>
              </w:rPr>
            </w:pPr>
            <w:r w:rsidRPr="004F5C46">
              <w:rPr>
                <w:rFonts w:asciiTheme="minorHAnsi" w:eastAsiaTheme="minorHAnsi" w:hAnsiTheme="minorHAnsi" w:cstheme="minorHAnsi"/>
                <w:sz w:val="22"/>
                <w:szCs w:val="22"/>
                <w:lang w:eastAsia="en-US"/>
              </w:rPr>
              <w:t>5 November 2010</w:t>
            </w:r>
          </w:p>
        </w:tc>
        <w:tc>
          <w:tcPr>
            <w:tcW w:w="2127" w:type="dxa"/>
          </w:tcPr>
          <w:p w14:paraId="3D7F28E1" w14:textId="77777777" w:rsidR="004F5C46" w:rsidRPr="004F5C46" w:rsidRDefault="004F5C46" w:rsidP="00ED247E">
            <w:pPr>
              <w:spacing w:after="120"/>
              <w:rPr>
                <w:rFonts w:asciiTheme="minorHAnsi" w:eastAsiaTheme="minorHAnsi" w:hAnsiTheme="minorHAnsi" w:cstheme="minorHAnsi"/>
                <w:sz w:val="22"/>
                <w:szCs w:val="22"/>
                <w:lang w:eastAsia="en-US"/>
              </w:rPr>
            </w:pPr>
            <w:r w:rsidRPr="004F5C46">
              <w:rPr>
                <w:rFonts w:asciiTheme="minorHAnsi" w:eastAsiaTheme="minorHAnsi" w:hAnsiTheme="minorHAnsi" w:cstheme="minorHAnsi"/>
                <w:sz w:val="22"/>
                <w:szCs w:val="22"/>
                <w:lang w:eastAsia="en-US"/>
              </w:rPr>
              <w:t>Completion date</w:t>
            </w:r>
          </w:p>
        </w:tc>
        <w:tc>
          <w:tcPr>
            <w:tcW w:w="2471" w:type="dxa"/>
          </w:tcPr>
          <w:p w14:paraId="52501D19" w14:textId="77777777" w:rsidR="004F5C46" w:rsidRPr="004F5C46" w:rsidRDefault="004F5C46" w:rsidP="00ED247E">
            <w:pPr>
              <w:spacing w:after="120"/>
              <w:rPr>
                <w:rFonts w:asciiTheme="minorHAnsi" w:eastAsiaTheme="minorHAnsi" w:hAnsiTheme="minorHAnsi" w:cstheme="minorHAnsi"/>
                <w:sz w:val="22"/>
                <w:szCs w:val="22"/>
                <w:lang w:eastAsia="en-US"/>
              </w:rPr>
            </w:pPr>
            <w:r w:rsidRPr="004F5C46">
              <w:rPr>
                <w:rFonts w:asciiTheme="minorHAnsi" w:eastAsiaTheme="minorHAnsi" w:hAnsiTheme="minorHAnsi" w:cstheme="minorHAnsi"/>
                <w:sz w:val="22"/>
                <w:szCs w:val="22"/>
                <w:lang w:eastAsia="en-US"/>
              </w:rPr>
              <w:t>30 June 2016</w:t>
            </w:r>
          </w:p>
        </w:tc>
      </w:tr>
      <w:tr w:rsidR="004F5C46" w:rsidRPr="004F5C46" w14:paraId="220B46DF" w14:textId="77777777" w:rsidTr="00816576">
        <w:tc>
          <w:tcPr>
            <w:tcW w:w="2802" w:type="dxa"/>
          </w:tcPr>
          <w:p w14:paraId="51F456F0" w14:textId="77777777" w:rsidR="004F5C46" w:rsidRPr="004F5C46" w:rsidRDefault="004F5C46" w:rsidP="00ED247E">
            <w:pPr>
              <w:spacing w:after="120"/>
              <w:rPr>
                <w:rFonts w:asciiTheme="minorHAnsi" w:eastAsiaTheme="minorHAnsi" w:hAnsiTheme="minorHAnsi" w:cstheme="minorHAnsi"/>
                <w:sz w:val="22"/>
                <w:szCs w:val="22"/>
                <w:lang w:eastAsia="en-US"/>
              </w:rPr>
            </w:pPr>
            <w:r w:rsidRPr="004F5C46">
              <w:rPr>
                <w:rFonts w:asciiTheme="minorHAnsi" w:eastAsiaTheme="minorHAnsi" w:hAnsiTheme="minorHAnsi" w:cstheme="minorHAnsi"/>
                <w:sz w:val="22"/>
                <w:szCs w:val="22"/>
                <w:lang w:eastAsia="en-US"/>
              </w:rPr>
              <w:t>Total Australian $</w:t>
            </w:r>
          </w:p>
        </w:tc>
        <w:tc>
          <w:tcPr>
            <w:tcW w:w="6440" w:type="dxa"/>
            <w:gridSpan w:val="3"/>
          </w:tcPr>
          <w:p w14:paraId="25B81506" w14:textId="77777777" w:rsidR="004F5C46" w:rsidRPr="004F5C46" w:rsidRDefault="004F5C46" w:rsidP="00ED247E">
            <w:pPr>
              <w:spacing w:after="120"/>
              <w:rPr>
                <w:rFonts w:asciiTheme="minorHAnsi" w:eastAsiaTheme="minorHAnsi" w:hAnsiTheme="minorHAnsi" w:cstheme="minorHAnsi"/>
                <w:sz w:val="22"/>
                <w:szCs w:val="22"/>
                <w:lang w:eastAsia="en-US"/>
              </w:rPr>
            </w:pPr>
            <w:r w:rsidRPr="004F5C46">
              <w:rPr>
                <w:rFonts w:asciiTheme="minorHAnsi" w:eastAsiaTheme="minorHAnsi" w:hAnsiTheme="minorHAnsi" w:cstheme="minorHAnsi"/>
                <w:sz w:val="22"/>
                <w:szCs w:val="22"/>
                <w:lang w:eastAsia="en-US"/>
              </w:rPr>
              <w:t>AUD524 million (committed amount)</w:t>
            </w:r>
          </w:p>
        </w:tc>
      </w:tr>
      <w:tr w:rsidR="004F5C46" w:rsidRPr="004F5C46" w14:paraId="3898EA33" w14:textId="77777777" w:rsidTr="00816576">
        <w:tc>
          <w:tcPr>
            <w:tcW w:w="2802" w:type="dxa"/>
          </w:tcPr>
          <w:p w14:paraId="1181EB01" w14:textId="77777777" w:rsidR="004F5C46" w:rsidRPr="004F5C46" w:rsidRDefault="004F5C46" w:rsidP="00ED247E">
            <w:pPr>
              <w:spacing w:after="120"/>
              <w:rPr>
                <w:rFonts w:asciiTheme="minorHAnsi" w:eastAsiaTheme="minorHAnsi" w:hAnsiTheme="minorHAnsi" w:cstheme="minorHAnsi"/>
                <w:sz w:val="22"/>
                <w:szCs w:val="22"/>
                <w:lang w:eastAsia="en-US"/>
              </w:rPr>
            </w:pPr>
            <w:r w:rsidRPr="004F5C46">
              <w:rPr>
                <w:rFonts w:asciiTheme="minorHAnsi" w:eastAsiaTheme="minorHAnsi" w:hAnsiTheme="minorHAnsi" w:cstheme="minorHAnsi"/>
                <w:sz w:val="22"/>
                <w:szCs w:val="22"/>
                <w:lang w:eastAsia="en-US"/>
              </w:rPr>
              <w:t>Delivery organisation(s)</w:t>
            </w:r>
          </w:p>
        </w:tc>
        <w:tc>
          <w:tcPr>
            <w:tcW w:w="6440" w:type="dxa"/>
            <w:gridSpan w:val="3"/>
          </w:tcPr>
          <w:p w14:paraId="40213C49" w14:textId="77777777" w:rsidR="004F5C46" w:rsidRPr="004F5C46" w:rsidRDefault="004F5C46" w:rsidP="00ED247E">
            <w:pPr>
              <w:numPr>
                <w:ilvl w:val="0"/>
                <w:numId w:val="15"/>
              </w:numPr>
              <w:spacing w:after="120"/>
              <w:rPr>
                <w:rFonts w:asciiTheme="minorHAnsi" w:eastAsiaTheme="minorHAnsi" w:hAnsiTheme="minorHAnsi" w:cstheme="minorHAnsi"/>
                <w:sz w:val="22"/>
                <w:szCs w:val="22"/>
                <w:lang w:eastAsia="en-US"/>
              </w:rPr>
            </w:pPr>
            <w:r w:rsidRPr="004F5C46">
              <w:rPr>
                <w:rFonts w:asciiTheme="minorHAnsi" w:eastAsiaTheme="minorHAnsi" w:hAnsiTheme="minorHAnsi" w:cstheme="minorHAnsi"/>
                <w:sz w:val="22"/>
                <w:szCs w:val="22"/>
                <w:lang w:eastAsia="en-US"/>
              </w:rPr>
              <w:t>Cardno Emerging Markets (School System and Quality – SSQ)</w:t>
            </w:r>
          </w:p>
          <w:p w14:paraId="56129BD4" w14:textId="77777777" w:rsidR="004F5C46" w:rsidRPr="004F5C46" w:rsidRDefault="004F5C46" w:rsidP="00ED247E">
            <w:pPr>
              <w:numPr>
                <w:ilvl w:val="0"/>
                <w:numId w:val="16"/>
              </w:numPr>
              <w:spacing w:after="120"/>
              <w:rPr>
                <w:rFonts w:asciiTheme="minorHAnsi" w:eastAsiaTheme="minorHAnsi" w:hAnsiTheme="minorHAnsi" w:cstheme="minorHAnsi"/>
                <w:sz w:val="22"/>
                <w:szCs w:val="22"/>
                <w:lang w:eastAsia="en-US"/>
              </w:rPr>
            </w:pPr>
            <w:r w:rsidRPr="004F5C46">
              <w:rPr>
                <w:rFonts w:asciiTheme="minorHAnsi" w:eastAsiaTheme="minorHAnsi" w:hAnsiTheme="minorHAnsi" w:cstheme="minorHAnsi"/>
                <w:sz w:val="22"/>
                <w:szCs w:val="22"/>
                <w:lang w:eastAsia="en-US"/>
              </w:rPr>
              <w:t>GRM International (Performance Oversight and Monitoring – POM)</w:t>
            </w:r>
          </w:p>
          <w:p w14:paraId="22F0EFA8" w14:textId="77777777" w:rsidR="004F5C46" w:rsidRPr="004F5C46" w:rsidRDefault="004F5C46" w:rsidP="00ED247E">
            <w:pPr>
              <w:numPr>
                <w:ilvl w:val="0"/>
                <w:numId w:val="16"/>
              </w:numPr>
              <w:spacing w:after="120"/>
              <w:rPr>
                <w:rFonts w:asciiTheme="minorHAnsi" w:eastAsiaTheme="minorHAnsi" w:hAnsiTheme="minorHAnsi" w:cstheme="minorHAnsi"/>
                <w:sz w:val="22"/>
                <w:szCs w:val="22"/>
                <w:lang w:eastAsia="en-US"/>
              </w:rPr>
            </w:pPr>
            <w:r w:rsidRPr="004F5C46">
              <w:rPr>
                <w:rFonts w:asciiTheme="minorHAnsi" w:eastAsiaTheme="minorHAnsi" w:hAnsiTheme="minorHAnsi" w:cstheme="minorHAnsi"/>
                <w:sz w:val="22"/>
                <w:szCs w:val="22"/>
                <w:lang w:eastAsia="en-US"/>
              </w:rPr>
              <w:t xml:space="preserve">Asian Development Bank (Analytical and Capacity Development Partnership – ACDP) </w:t>
            </w:r>
          </w:p>
          <w:p w14:paraId="1026B921" w14:textId="77777777" w:rsidR="004F5C46" w:rsidRPr="004F5C46" w:rsidRDefault="004F5C46" w:rsidP="00ED247E">
            <w:pPr>
              <w:numPr>
                <w:ilvl w:val="0"/>
                <w:numId w:val="16"/>
              </w:numPr>
              <w:spacing w:after="120"/>
              <w:rPr>
                <w:rFonts w:asciiTheme="minorHAnsi" w:eastAsiaTheme="minorHAnsi" w:hAnsiTheme="minorHAnsi" w:cstheme="minorHAnsi"/>
                <w:sz w:val="22"/>
                <w:szCs w:val="22"/>
                <w:lang w:eastAsia="en-US"/>
              </w:rPr>
            </w:pPr>
            <w:r w:rsidRPr="004F5C46">
              <w:rPr>
                <w:rFonts w:asciiTheme="minorHAnsi" w:eastAsiaTheme="minorHAnsi" w:hAnsiTheme="minorHAnsi" w:cstheme="minorHAnsi"/>
                <w:sz w:val="22"/>
                <w:szCs w:val="22"/>
                <w:lang w:eastAsia="en-US"/>
              </w:rPr>
              <w:t>URS Pty. Ltd. (Education Partnership Outreach Services – EPOS)</w:t>
            </w:r>
          </w:p>
        </w:tc>
      </w:tr>
      <w:tr w:rsidR="004F5C46" w:rsidRPr="004F5C46" w14:paraId="1B127B87" w14:textId="77777777" w:rsidTr="00816576">
        <w:tc>
          <w:tcPr>
            <w:tcW w:w="2802" w:type="dxa"/>
          </w:tcPr>
          <w:p w14:paraId="5D5D7DBE" w14:textId="77777777" w:rsidR="004F5C46" w:rsidRPr="004F5C46" w:rsidRDefault="004F5C46" w:rsidP="00ED247E">
            <w:pPr>
              <w:spacing w:after="120"/>
              <w:rPr>
                <w:rFonts w:asciiTheme="minorHAnsi" w:eastAsiaTheme="minorHAnsi" w:hAnsiTheme="minorHAnsi" w:cstheme="minorHAnsi"/>
                <w:sz w:val="22"/>
                <w:szCs w:val="22"/>
                <w:lang w:eastAsia="en-US"/>
              </w:rPr>
            </w:pPr>
            <w:r w:rsidRPr="004F5C46">
              <w:rPr>
                <w:rFonts w:asciiTheme="minorHAnsi" w:eastAsiaTheme="minorHAnsi" w:hAnsiTheme="minorHAnsi" w:cstheme="minorHAnsi"/>
                <w:sz w:val="22"/>
                <w:szCs w:val="22"/>
                <w:lang w:eastAsia="en-US"/>
              </w:rPr>
              <w:t>Implementing Partner(s)</w:t>
            </w:r>
          </w:p>
        </w:tc>
        <w:tc>
          <w:tcPr>
            <w:tcW w:w="6440" w:type="dxa"/>
            <w:gridSpan w:val="3"/>
          </w:tcPr>
          <w:p w14:paraId="66ADCC58" w14:textId="77777777" w:rsidR="004F5C46" w:rsidRPr="004F5C46" w:rsidRDefault="004F5C46" w:rsidP="00ED247E">
            <w:pPr>
              <w:spacing w:after="120"/>
              <w:rPr>
                <w:rFonts w:asciiTheme="minorHAnsi" w:eastAsiaTheme="minorHAnsi" w:hAnsiTheme="minorHAnsi" w:cstheme="minorHAnsi"/>
                <w:sz w:val="22"/>
                <w:szCs w:val="22"/>
                <w:lang w:eastAsia="en-US"/>
              </w:rPr>
            </w:pPr>
            <w:r w:rsidRPr="004F5C46">
              <w:rPr>
                <w:rFonts w:asciiTheme="minorHAnsi" w:eastAsiaTheme="minorHAnsi" w:hAnsiTheme="minorHAnsi" w:cstheme="minorHAnsi"/>
                <w:sz w:val="22"/>
                <w:szCs w:val="22"/>
                <w:lang w:eastAsia="en-US"/>
              </w:rPr>
              <w:t>Government of Indonesia, specifically:</w:t>
            </w:r>
          </w:p>
          <w:p w14:paraId="34854282" w14:textId="77777777" w:rsidR="004F5C46" w:rsidRPr="004F5C46" w:rsidRDefault="004F5C46" w:rsidP="00ED247E">
            <w:pPr>
              <w:numPr>
                <w:ilvl w:val="0"/>
                <w:numId w:val="17"/>
              </w:numPr>
              <w:spacing w:after="120"/>
              <w:rPr>
                <w:rFonts w:asciiTheme="minorHAnsi" w:eastAsiaTheme="minorHAnsi" w:hAnsiTheme="minorHAnsi" w:cstheme="minorHAnsi"/>
                <w:sz w:val="22"/>
                <w:szCs w:val="22"/>
                <w:lang w:eastAsia="en-US"/>
              </w:rPr>
            </w:pPr>
            <w:r w:rsidRPr="004F5C46">
              <w:rPr>
                <w:rFonts w:asciiTheme="minorHAnsi" w:eastAsiaTheme="minorHAnsi" w:hAnsiTheme="minorHAnsi" w:cstheme="minorHAnsi"/>
                <w:sz w:val="22"/>
                <w:szCs w:val="22"/>
                <w:lang w:eastAsia="en-US"/>
              </w:rPr>
              <w:t xml:space="preserve">Ministry of Education and Culture (MoEC) </w:t>
            </w:r>
          </w:p>
          <w:p w14:paraId="77553656" w14:textId="77777777" w:rsidR="004F5C46" w:rsidRPr="004F5C46" w:rsidRDefault="004F5C46" w:rsidP="00ED247E">
            <w:pPr>
              <w:numPr>
                <w:ilvl w:val="0"/>
                <w:numId w:val="17"/>
              </w:numPr>
              <w:spacing w:after="120"/>
              <w:rPr>
                <w:rFonts w:asciiTheme="minorHAnsi" w:eastAsiaTheme="minorHAnsi" w:hAnsiTheme="minorHAnsi" w:cstheme="minorHAnsi"/>
                <w:sz w:val="22"/>
                <w:szCs w:val="22"/>
                <w:lang w:eastAsia="en-US"/>
              </w:rPr>
            </w:pPr>
            <w:r w:rsidRPr="004F5C46">
              <w:rPr>
                <w:rFonts w:asciiTheme="minorHAnsi" w:eastAsiaTheme="minorHAnsi" w:hAnsiTheme="minorHAnsi" w:cstheme="minorHAnsi"/>
                <w:sz w:val="22"/>
                <w:szCs w:val="22"/>
                <w:lang w:eastAsia="en-US"/>
              </w:rPr>
              <w:t>Ministry of Religious Affairs (MoRA)</w:t>
            </w:r>
          </w:p>
        </w:tc>
      </w:tr>
      <w:tr w:rsidR="004F5C46" w:rsidRPr="004F5C46" w14:paraId="571412CF" w14:textId="77777777" w:rsidTr="00816576">
        <w:tc>
          <w:tcPr>
            <w:tcW w:w="2802" w:type="dxa"/>
          </w:tcPr>
          <w:p w14:paraId="2F19AE4E" w14:textId="77777777" w:rsidR="004F5C46" w:rsidRPr="004F5C46" w:rsidRDefault="004F5C46" w:rsidP="00ED247E">
            <w:pPr>
              <w:spacing w:after="120"/>
              <w:rPr>
                <w:rFonts w:asciiTheme="minorHAnsi" w:eastAsiaTheme="minorHAnsi" w:hAnsiTheme="minorHAnsi" w:cstheme="minorHAnsi"/>
                <w:sz w:val="22"/>
                <w:szCs w:val="22"/>
                <w:lang w:eastAsia="en-US"/>
              </w:rPr>
            </w:pPr>
            <w:r w:rsidRPr="004F5C46">
              <w:rPr>
                <w:rFonts w:asciiTheme="minorHAnsi" w:eastAsiaTheme="minorHAnsi" w:hAnsiTheme="minorHAnsi" w:cstheme="minorHAnsi"/>
                <w:sz w:val="22"/>
                <w:szCs w:val="22"/>
                <w:lang w:eastAsia="en-US"/>
              </w:rPr>
              <w:t>Country/Region</w:t>
            </w:r>
          </w:p>
        </w:tc>
        <w:tc>
          <w:tcPr>
            <w:tcW w:w="6440" w:type="dxa"/>
            <w:gridSpan w:val="3"/>
          </w:tcPr>
          <w:p w14:paraId="0740AC06" w14:textId="77777777" w:rsidR="004F5C46" w:rsidRPr="004F5C46" w:rsidRDefault="004F5C46" w:rsidP="00ED247E">
            <w:pPr>
              <w:spacing w:after="120"/>
              <w:rPr>
                <w:rFonts w:asciiTheme="minorHAnsi" w:eastAsiaTheme="minorHAnsi" w:hAnsiTheme="minorHAnsi" w:cstheme="minorHAnsi"/>
                <w:sz w:val="22"/>
                <w:szCs w:val="22"/>
                <w:lang w:eastAsia="en-US"/>
              </w:rPr>
            </w:pPr>
            <w:r w:rsidRPr="004F5C46">
              <w:rPr>
                <w:rFonts w:asciiTheme="minorHAnsi" w:eastAsiaTheme="minorHAnsi" w:hAnsiTheme="minorHAnsi" w:cstheme="minorHAnsi"/>
                <w:sz w:val="22"/>
                <w:szCs w:val="22"/>
                <w:lang w:eastAsia="en-US"/>
              </w:rPr>
              <w:t>Indonesia, Asia</w:t>
            </w:r>
          </w:p>
        </w:tc>
      </w:tr>
      <w:tr w:rsidR="004F5C46" w:rsidRPr="004F5C46" w14:paraId="76A1002C" w14:textId="77777777" w:rsidTr="00816576">
        <w:tc>
          <w:tcPr>
            <w:tcW w:w="2802" w:type="dxa"/>
          </w:tcPr>
          <w:p w14:paraId="3822649E" w14:textId="77777777" w:rsidR="004F5C46" w:rsidRPr="004F5C46" w:rsidRDefault="004F5C46" w:rsidP="00ED247E">
            <w:pPr>
              <w:spacing w:after="120"/>
              <w:rPr>
                <w:rFonts w:asciiTheme="minorHAnsi" w:eastAsiaTheme="minorHAnsi" w:hAnsiTheme="minorHAnsi" w:cstheme="minorHAnsi"/>
                <w:sz w:val="22"/>
                <w:szCs w:val="22"/>
                <w:lang w:eastAsia="en-US"/>
              </w:rPr>
            </w:pPr>
            <w:r w:rsidRPr="004F5C46">
              <w:rPr>
                <w:rFonts w:asciiTheme="minorHAnsi" w:eastAsiaTheme="minorHAnsi" w:hAnsiTheme="minorHAnsi" w:cstheme="minorHAnsi"/>
                <w:sz w:val="22"/>
                <w:szCs w:val="22"/>
                <w:lang w:eastAsia="en-US"/>
              </w:rPr>
              <w:t>Primary Sector</w:t>
            </w:r>
          </w:p>
        </w:tc>
        <w:tc>
          <w:tcPr>
            <w:tcW w:w="6440" w:type="dxa"/>
            <w:gridSpan w:val="3"/>
          </w:tcPr>
          <w:p w14:paraId="1A7ADDF0" w14:textId="77777777" w:rsidR="004F5C46" w:rsidRPr="004F5C46" w:rsidRDefault="004F5C46" w:rsidP="00ED247E">
            <w:pPr>
              <w:spacing w:after="120"/>
              <w:rPr>
                <w:rFonts w:asciiTheme="minorHAnsi" w:eastAsiaTheme="minorHAnsi" w:hAnsiTheme="minorHAnsi" w:cstheme="minorHAnsi"/>
                <w:sz w:val="22"/>
                <w:szCs w:val="22"/>
                <w:lang w:eastAsia="en-US"/>
              </w:rPr>
            </w:pPr>
            <w:r w:rsidRPr="004F5C46">
              <w:rPr>
                <w:rFonts w:asciiTheme="minorHAnsi" w:eastAsiaTheme="minorHAnsi" w:hAnsiTheme="minorHAnsi" w:cstheme="minorHAnsi"/>
                <w:sz w:val="22"/>
                <w:szCs w:val="22"/>
                <w:lang w:eastAsia="en-US"/>
              </w:rPr>
              <w:t>Education (Basic)</w:t>
            </w:r>
          </w:p>
        </w:tc>
      </w:tr>
    </w:tbl>
    <w:p w14:paraId="19909CD6" w14:textId="77777777" w:rsidR="004F5C46" w:rsidRPr="004F5C46" w:rsidRDefault="004F5C46" w:rsidP="004F5C46">
      <w:pPr>
        <w:spacing w:line="240" w:lineRule="auto"/>
        <w:rPr>
          <w:rFonts w:cstheme="minorHAnsi"/>
        </w:rPr>
      </w:pPr>
    </w:p>
    <w:p w14:paraId="1E217335" w14:textId="77777777" w:rsidR="007013D4" w:rsidRDefault="007013D4" w:rsidP="007013D4">
      <w:pPr>
        <w:spacing w:line="240" w:lineRule="auto"/>
        <w:rPr>
          <w:rFonts w:cstheme="minorHAnsi"/>
          <w:lang w:val="en-GB"/>
        </w:rPr>
      </w:pPr>
    </w:p>
    <w:p w14:paraId="0A850D65" w14:textId="77777777" w:rsidR="00ED247E" w:rsidRDefault="00ED247E" w:rsidP="007013D4">
      <w:pPr>
        <w:spacing w:line="240" w:lineRule="auto"/>
        <w:rPr>
          <w:rFonts w:cstheme="minorHAnsi"/>
          <w:lang w:val="en-GB"/>
        </w:rPr>
      </w:pPr>
    </w:p>
    <w:p w14:paraId="43C83007" w14:textId="77777777" w:rsidR="00ED247E" w:rsidRDefault="00ED247E" w:rsidP="007013D4">
      <w:pPr>
        <w:spacing w:line="240" w:lineRule="auto"/>
        <w:rPr>
          <w:rFonts w:cstheme="minorHAnsi"/>
          <w:lang w:val="en-GB"/>
        </w:rPr>
        <w:sectPr w:rsidR="00ED247E" w:rsidSect="00483A59">
          <w:footerReference w:type="default" r:id="rId9"/>
          <w:pgSz w:w="11906" w:h="16838"/>
          <w:pgMar w:top="1134" w:right="1440" w:bottom="851" w:left="1440" w:header="708" w:footer="708" w:gutter="0"/>
          <w:cols w:space="708"/>
          <w:titlePg/>
          <w:docGrid w:linePitch="360"/>
        </w:sectPr>
      </w:pPr>
    </w:p>
    <w:p w14:paraId="117FE502" w14:textId="6032E991" w:rsidR="00ED247E" w:rsidRPr="00ED247E" w:rsidRDefault="00ED247E">
      <w:pPr>
        <w:rPr>
          <w:b/>
        </w:rPr>
      </w:pPr>
      <w:r w:rsidRPr="00ED247E">
        <w:rPr>
          <w:b/>
        </w:rPr>
        <w:lastRenderedPageBreak/>
        <w:t>Annex 2:  Response to APPR Recommendations</w:t>
      </w:r>
    </w:p>
    <w:tbl>
      <w:tblPr>
        <w:tblStyle w:val="TableGrid"/>
        <w:tblW w:w="0" w:type="auto"/>
        <w:tblLook w:val="04A0" w:firstRow="1" w:lastRow="0" w:firstColumn="1" w:lastColumn="0" w:noHBand="0" w:noVBand="1"/>
      </w:tblPr>
      <w:tblGrid>
        <w:gridCol w:w="5070"/>
        <w:gridCol w:w="4961"/>
        <w:gridCol w:w="4678"/>
      </w:tblGrid>
      <w:tr w:rsidR="00DF1936" w:rsidRPr="00EF51ED" w14:paraId="4A4C950E" w14:textId="77777777" w:rsidTr="00816576">
        <w:tc>
          <w:tcPr>
            <w:tcW w:w="14709" w:type="dxa"/>
            <w:gridSpan w:val="3"/>
          </w:tcPr>
          <w:p w14:paraId="228E5B2D" w14:textId="77777777" w:rsidR="00DF1936" w:rsidRPr="00ED247E" w:rsidRDefault="00DF1936" w:rsidP="00816576">
            <w:pPr>
              <w:spacing w:before="60" w:after="60"/>
              <w:jc w:val="both"/>
              <w:rPr>
                <w:rFonts w:cs="Times New Roman"/>
                <w:b/>
              </w:rPr>
            </w:pPr>
            <w:r w:rsidRPr="00ED247E">
              <w:rPr>
                <w:rFonts w:cs="Times New Roman"/>
                <w:b/>
              </w:rPr>
              <w:t xml:space="preserve">Component 1 – </w:t>
            </w:r>
            <w:r w:rsidRPr="00ED247E">
              <w:rPr>
                <w:rFonts w:cs="Times New Roman"/>
                <w:b/>
                <w:i/>
              </w:rPr>
              <w:t>School Construction</w:t>
            </w:r>
            <w:r w:rsidRPr="00ED247E">
              <w:rPr>
                <w:rFonts w:cs="Times New Roman"/>
                <w:b/>
              </w:rPr>
              <w:t xml:space="preserve"> (C1)</w:t>
            </w:r>
          </w:p>
        </w:tc>
      </w:tr>
      <w:tr w:rsidR="00DF1936" w:rsidRPr="00EF51ED" w14:paraId="5A246575" w14:textId="77777777" w:rsidTr="00816576">
        <w:tc>
          <w:tcPr>
            <w:tcW w:w="5070" w:type="dxa"/>
          </w:tcPr>
          <w:p w14:paraId="76FF0D67" w14:textId="77777777" w:rsidR="00DF1936" w:rsidRPr="00ED247E" w:rsidRDefault="00DF1936" w:rsidP="00816576">
            <w:pPr>
              <w:spacing w:before="60" w:after="60"/>
              <w:jc w:val="both"/>
              <w:rPr>
                <w:rFonts w:cs="Times New Roman"/>
                <w:b/>
              </w:rPr>
            </w:pPr>
            <w:r w:rsidRPr="00ED247E">
              <w:rPr>
                <w:rFonts w:cs="Times New Roman"/>
                <w:b/>
              </w:rPr>
              <w:t xml:space="preserve">Recommendation </w:t>
            </w:r>
          </w:p>
        </w:tc>
        <w:tc>
          <w:tcPr>
            <w:tcW w:w="4961" w:type="dxa"/>
          </w:tcPr>
          <w:p w14:paraId="31B22806" w14:textId="77777777" w:rsidR="00DF1936" w:rsidRPr="00ED247E" w:rsidRDefault="00DF1936" w:rsidP="00816576">
            <w:pPr>
              <w:spacing w:before="60" w:after="60"/>
              <w:jc w:val="both"/>
              <w:rPr>
                <w:rFonts w:cs="Times New Roman"/>
                <w:b/>
              </w:rPr>
            </w:pPr>
            <w:r w:rsidRPr="00ED247E">
              <w:rPr>
                <w:rFonts w:cs="Times New Roman"/>
                <w:b/>
              </w:rPr>
              <w:t xml:space="preserve">Management Response </w:t>
            </w:r>
          </w:p>
        </w:tc>
        <w:tc>
          <w:tcPr>
            <w:tcW w:w="4678" w:type="dxa"/>
          </w:tcPr>
          <w:p w14:paraId="1AB62E8C" w14:textId="77777777" w:rsidR="00DF1936" w:rsidRPr="00ED247E" w:rsidRDefault="00DF1936" w:rsidP="00816576">
            <w:pPr>
              <w:spacing w:before="60" w:after="60"/>
              <w:jc w:val="both"/>
              <w:rPr>
                <w:rFonts w:cs="Times New Roman"/>
                <w:b/>
              </w:rPr>
            </w:pPr>
            <w:r w:rsidRPr="00ED247E">
              <w:rPr>
                <w:rFonts w:cs="Times New Roman"/>
                <w:b/>
              </w:rPr>
              <w:t>Actions</w:t>
            </w:r>
          </w:p>
        </w:tc>
      </w:tr>
      <w:tr w:rsidR="00DF1936" w:rsidRPr="00EF51ED" w14:paraId="5130CC2A" w14:textId="77777777" w:rsidTr="00816576">
        <w:tc>
          <w:tcPr>
            <w:tcW w:w="5070" w:type="dxa"/>
            <w:shd w:val="clear" w:color="auto" w:fill="auto"/>
          </w:tcPr>
          <w:p w14:paraId="7AC506C1" w14:textId="2E7BC00D" w:rsidR="00DF1936" w:rsidRPr="00ED247E" w:rsidRDefault="00DF1936" w:rsidP="00816576">
            <w:pPr>
              <w:spacing w:before="60" w:after="60"/>
              <w:jc w:val="both"/>
              <w:rPr>
                <w:rFonts w:cs="Times New Roman"/>
                <w:lang w:val="en-GB"/>
              </w:rPr>
            </w:pPr>
            <w:r w:rsidRPr="00ED247E">
              <w:rPr>
                <w:rFonts w:cs="Times New Roman"/>
                <w:b/>
              </w:rPr>
              <w:t xml:space="preserve">1. </w:t>
            </w:r>
            <w:r w:rsidRPr="00ED247E">
              <w:rPr>
                <w:rFonts w:cs="Times New Roman"/>
                <w:lang w:val="en-GB"/>
              </w:rPr>
              <w:t xml:space="preserve">Institutional partners, with the support of SSQ, should identify which C1 systems and processes have the greatest potential to be sustained (adopted ‘as is’ or adapted to fit). </w:t>
            </w:r>
          </w:p>
        </w:tc>
        <w:tc>
          <w:tcPr>
            <w:tcW w:w="4961" w:type="dxa"/>
            <w:shd w:val="clear" w:color="auto" w:fill="auto"/>
          </w:tcPr>
          <w:p w14:paraId="73A11452" w14:textId="77777777" w:rsidR="00DF1936" w:rsidRPr="00ED247E" w:rsidRDefault="00DF1936" w:rsidP="00816576">
            <w:pPr>
              <w:spacing w:before="60" w:after="60"/>
              <w:jc w:val="both"/>
              <w:rPr>
                <w:rFonts w:cs="Times New Roman"/>
              </w:rPr>
            </w:pPr>
            <w:r w:rsidRPr="00ED247E">
              <w:rPr>
                <w:rFonts w:cs="Times New Roman"/>
                <w:b/>
              </w:rPr>
              <w:t>Agree</w:t>
            </w:r>
            <w:r w:rsidRPr="00ED247E">
              <w:rPr>
                <w:rFonts w:cs="Times New Roman"/>
              </w:rPr>
              <w:t xml:space="preserve"> </w:t>
            </w:r>
          </w:p>
        </w:tc>
        <w:tc>
          <w:tcPr>
            <w:tcW w:w="4678" w:type="dxa"/>
            <w:shd w:val="clear" w:color="auto" w:fill="auto"/>
          </w:tcPr>
          <w:p w14:paraId="05957186" w14:textId="7DC94C29" w:rsidR="00DF1936" w:rsidRPr="00ED247E" w:rsidRDefault="00C04C21" w:rsidP="00816576">
            <w:pPr>
              <w:spacing w:before="60" w:after="60"/>
              <w:jc w:val="both"/>
              <w:rPr>
                <w:rFonts w:cs="Times New Roman"/>
              </w:rPr>
            </w:pPr>
            <w:r w:rsidRPr="00ED247E">
              <w:rPr>
                <w:rFonts w:cs="Times New Roman"/>
              </w:rPr>
              <w:t>This will be covered by the sustainability strategy</w:t>
            </w:r>
            <w:r w:rsidR="00DF1936" w:rsidRPr="00ED247E">
              <w:rPr>
                <w:rFonts w:cs="Times New Roman"/>
                <w:lang w:val="en-GB"/>
              </w:rPr>
              <w:t>.</w:t>
            </w:r>
          </w:p>
        </w:tc>
      </w:tr>
      <w:tr w:rsidR="00DF1936" w:rsidRPr="00EF51ED" w14:paraId="32D6469E" w14:textId="77777777" w:rsidTr="00816576">
        <w:tc>
          <w:tcPr>
            <w:tcW w:w="5070" w:type="dxa"/>
            <w:shd w:val="clear" w:color="auto" w:fill="auto"/>
          </w:tcPr>
          <w:p w14:paraId="581540B9" w14:textId="77777777" w:rsidR="00DF1936" w:rsidRPr="00ED247E" w:rsidRDefault="00DF1936" w:rsidP="00816576">
            <w:pPr>
              <w:spacing w:before="60" w:after="60"/>
              <w:jc w:val="both"/>
              <w:rPr>
                <w:rFonts w:cs="Times New Roman"/>
              </w:rPr>
            </w:pPr>
            <w:r w:rsidRPr="00ED247E">
              <w:rPr>
                <w:rFonts w:cs="Times New Roman"/>
                <w:b/>
              </w:rPr>
              <w:t xml:space="preserve">2. </w:t>
            </w:r>
            <w:r w:rsidRPr="00ED247E">
              <w:rPr>
                <w:rFonts w:cs="Times New Roman"/>
                <w:lang w:val="en-GB"/>
              </w:rPr>
              <w:t>Institutional partners should consider the commissioning of supplementary analyses of the key success factors for sustainability, including appraisal of approaches to and lessons learned during the implementation of similar activities.</w:t>
            </w:r>
          </w:p>
        </w:tc>
        <w:tc>
          <w:tcPr>
            <w:tcW w:w="4961" w:type="dxa"/>
            <w:shd w:val="clear" w:color="auto" w:fill="auto"/>
          </w:tcPr>
          <w:p w14:paraId="4260CE67" w14:textId="77777777" w:rsidR="00DF1936" w:rsidRPr="00ED247E" w:rsidRDefault="00DF1936" w:rsidP="00816576">
            <w:pPr>
              <w:spacing w:before="60" w:after="60"/>
              <w:jc w:val="both"/>
              <w:rPr>
                <w:rFonts w:cs="Times New Roman"/>
                <w:b/>
              </w:rPr>
            </w:pPr>
            <w:r w:rsidRPr="00ED247E">
              <w:rPr>
                <w:rFonts w:cs="Times New Roman"/>
                <w:b/>
              </w:rPr>
              <w:t xml:space="preserve">Agree </w:t>
            </w:r>
          </w:p>
          <w:p w14:paraId="16DB0D0D" w14:textId="77777777" w:rsidR="00DF1936" w:rsidRPr="00ED247E" w:rsidRDefault="00DF1936" w:rsidP="00816576">
            <w:pPr>
              <w:spacing w:before="60" w:after="60"/>
              <w:jc w:val="both"/>
              <w:rPr>
                <w:rFonts w:cs="Times New Roman"/>
              </w:rPr>
            </w:pPr>
          </w:p>
        </w:tc>
        <w:tc>
          <w:tcPr>
            <w:tcW w:w="4678" w:type="dxa"/>
            <w:shd w:val="clear" w:color="auto" w:fill="auto"/>
          </w:tcPr>
          <w:p w14:paraId="6C907812" w14:textId="01289025" w:rsidR="00DF1936" w:rsidRPr="00ED247E" w:rsidRDefault="00C04C21" w:rsidP="00816576">
            <w:pPr>
              <w:spacing w:before="60" w:after="60"/>
              <w:jc w:val="both"/>
              <w:rPr>
                <w:rFonts w:cs="Times New Roman"/>
              </w:rPr>
            </w:pPr>
            <w:r w:rsidRPr="00ED247E">
              <w:rPr>
                <w:rFonts w:cs="Times New Roman"/>
              </w:rPr>
              <w:t>This will be covered by the sustainability strategy.</w:t>
            </w:r>
          </w:p>
          <w:p w14:paraId="7D5B4E42" w14:textId="77777777" w:rsidR="00DF1936" w:rsidRPr="00ED247E" w:rsidRDefault="00DF1936" w:rsidP="00816576">
            <w:pPr>
              <w:spacing w:before="60" w:after="60"/>
              <w:jc w:val="both"/>
              <w:rPr>
                <w:rFonts w:cs="Times New Roman"/>
              </w:rPr>
            </w:pPr>
            <w:r w:rsidRPr="00ED247E">
              <w:rPr>
                <w:rFonts w:cs="Times New Roman"/>
              </w:rPr>
              <w:t xml:space="preserve">  </w:t>
            </w:r>
          </w:p>
        </w:tc>
      </w:tr>
      <w:tr w:rsidR="00DF1936" w:rsidRPr="00EF51ED" w14:paraId="4EFA47B5" w14:textId="77777777" w:rsidTr="00816576">
        <w:tc>
          <w:tcPr>
            <w:tcW w:w="5070" w:type="dxa"/>
            <w:shd w:val="clear" w:color="auto" w:fill="auto"/>
          </w:tcPr>
          <w:p w14:paraId="615FF2FD" w14:textId="77777777" w:rsidR="00DF1936" w:rsidRPr="00ED247E" w:rsidRDefault="00DF1936" w:rsidP="00816576">
            <w:pPr>
              <w:spacing w:before="60" w:after="60"/>
              <w:jc w:val="both"/>
              <w:rPr>
                <w:rFonts w:cs="Times New Roman"/>
                <w:b/>
              </w:rPr>
            </w:pPr>
            <w:r w:rsidRPr="00ED247E">
              <w:rPr>
                <w:rFonts w:cs="Times New Roman"/>
                <w:b/>
              </w:rPr>
              <w:t>3.</w:t>
            </w:r>
            <w:r w:rsidRPr="00ED247E">
              <w:rPr>
                <w:rFonts w:cs="Times New Roman"/>
                <w:lang w:val="en-GB"/>
              </w:rPr>
              <w:t xml:space="preserve"> Accurate enrolment figures of all newly built schools should be systematically and comprehensively reported. </w:t>
            </w:r>
          </w:p>
        </w:tc>
        <w:tc>
          <w:tcPr>
            <w:tcW w:w="4961" w:type="dxa"/>
            <w:shd w:val="clear" w:color="auto" w:fill="auto"/>
          </w:tcPr>
          <w:p w14:paraId="38F9BAB6" w14:textId="77777777" w:rsidR="00DF1936" w:rsidRPr="00ED247E" w:rsidRDefault="00DF1936" w:rsidP="00816576">
            <w:r w:rsidRPr="00ED247E">
              <w:rPr>
                <w:rFonts w:cs="Times New Roman"/>
                <w:b/>
              </w:rPr>
              <w:t xml:space="preserve">Agree </w:t>
            </w:r>
          </w:p>
        </w:tc>
        <w:tc>
          <w:tcPr>
            <w:tcW w:w="4678" w:type="dxa"/>
            <w:shd w:val="clear" w:color="auto" w:fill="auto"/>
          </w:tcPr>
          <w:p w14:paraId="5F7CBA0C" w14:textId="77777777" w:rsidR="00DF1936" w:rsidRPr="00ED247E" w:rsidRDefault="00DF1936" w:rsidP="00816576">
            <w:pPr>
              <w:spacing w:before="60" w:after="60"/>
              <w:jc w:val="both"/>
              <w:rPr>
                <w:rFonts w:cs="Times New Roman"/>
              </w:rPr>
            </w:pPr>
            <w:r w:rsidRPr="00ED247E">
              <w:rPr>
                <w:rFonts w:cs="Times New Roman"/>
              </w:rPr>
              <w:t xml:space="preserve">POM will collect this information and report on it through the Annual Performance Reporting process. </w:t>
            </w:r>
          </w:p>
        </w:tc>
      </w:tr>
      <w:tr w:rsidR="00DF1936" w:rsidRPr="00EF51ED" w14:paraId="0B26DAB8" w14:textId="77777777" w:rsidTr="00816576">
        <w:tc>
          <w:tcPr>
            <w:tcW w:w="5070" w:type="dxa"/>
            <w:shd w:val="clear" w:color="auto" w:fill="auto"/>
          </w:tcPr>
          <w:p w14:paraId="729DD36D" w14:textId="77777777" w:rsidR="00DF1936" w:rsidRPr="00ED247E" w:rsidRDefault="00DF1936" w:rsidP="00816576">
            <w:pPr>
              <w:spacing w:before="60" w:after="60"/>
              <w:jc w:val="both"/>
              <w:rPr>
                <w:rFonts w:cs="Times New Roman"/>
                <w:lang w:val="en-GB"/>
              </w:rPr>
            </w:pPr>
            <w:r w:rsidRPr="00ED247E">
              <w:rPr>
                <w:rFonts w:cs="Times New Roman"/>
                <w:b/>
              </w:rPr>
              <w:t xml:space="preserve">4. </w:t>
            </w:r>
            <w:r w:rsidRPr="00ED247E">
              <w:rPr>
                <w:rFonts w:cs="Times New Roman"/>
                <w:lang w:val="en-GB"/>
              </w:rPr>
              <w:t xml:space="preserve">A survey instrument should be proposed in POM’s EOPO 1 Evaluation Study endline in 2015 to disaggregate between new enrolees and transferees. </w:t>
            </w:r>
          </w:p>
        </w:tc>
        <w:tc>
          <w:tcPr>
            <w:tcW w:w="4961" w:type="dxa"/>
            <w:shd w:val="clear" w:color="auto" w:fill="auto"/>
          </w:tcPr>
          <w:p w14:paraId="2BC4F349" w14:textId="77777777" w:rsidR="00DF1936" w:rsidRPr="00ED247E" w:rsidRDefault="00DF1936" w:rsidP="00816576">
            <w:r w:rsidRPr="00ED247E">
              <w:rPr>
                <w:rFonts w:cs="Times New Roman"/>
                <w:b/>
              </w:rPr>
              <w:t xml:space="preserve">Agree </w:t>
            </w:r>
          </w:p>
        </w:tc>
        <w:tc>
          <w:tcPr>
            <w:tcW w:w="4678" w:type="dxa"/>
            <w:shd w:val="clear" w:color="auto" w:fill="auto"/>
          </w:tcPr>
          <w:p w14:paraId="3DB60692" w14:textId="77777777" w:rsidR="00DF1936" w:rsidRPr="00ED247E" w:rsidRDefault="00DF1936" w:rsidP="00816576">
            <w:pPr>
              <w:spacing w:before="60" w:after="60"/>
              <w:jc w:val="both"/>
              <w:rPr>
                <w:rFonts w:cs="Times New Roman"/>
              </w:rPr>
            </w:pPr>
            <w:r w:rsidRPr="00ED247E">
              <w:rPr>
                <w:rFonts w:cs="Times New Roman"/>
              </w:rPr>
              <w:t>POM will include this survey instrument in Component 1 Evaluation Study endline in 2015.</w:t>
            </w:r>
          </w:p>
        </w:tc>
      </w:tr>
      <w:tr w:rsidR="00DF1936" w:rsidRPr="00EF51ED" w14:paraId="4A69D007" w14:textId="77777777" w:rsidTr="00816576">
        <w:tc>
          <w:tcPr>
            <w:tcW w:w="5070" w:type="dxa"/>
            <w:shd w:val="clear" w:color="auto" w:fill="auto"/>
          </w:tcPr>
          <w:p w14:paraId="0C325534" w14:textId="0E0DFFF0" w:rsidR="00DF1936" w:rsidRPr="00ED247E" w:rsidRDefault="00DF1936" w:rsidP="00816576">
            <w:pPr>
              <w:spacing w:before="60" w:after="60"/>
              <w:jc w:val="both"/>
              <w:rPr>
                <w:rFonts w:cs="Times New Roman"/>
                <w:lang w:val="en-GB"/>
              </w:rPr>
            </w:pPr>
            <w:r w:rsidRPr="00ED247E">
              <w:rPr>
                <w:rFonts w:cs="Times New Roman"/>
                <w:b/>
                <w:lang w:val="en-GB"/>
              </w:rPr>
              <w:t>5.</w:t>
            </w:r>
            <w:r w:rsidRPr="00ED247E">
              <w:rPr>
                <w:rFonts w:cs="Times New Roman"/>
                <w:lang w:val="en-GB"/>
              </w:rPr>
              <w:t xml:space="preserve"> The impact of NSIP and enhanced site selection process should be analysed and documented (possibly through an evaluation study)</w:t>
            </w:r>
          </w:p>
        </w:tc>
        <w:tc>
          <w:tcPr>
            <w:tcW w:w="4961" w:type="dxa"/>
            <w:shd w:val="clear" w:color="auto" w:fill="auto"/>
          </w:tcPr>
          <w:p w14:paraId="01FB59AD" w14:textId="77777777" w:rsidR="00DF1936" w:rsidRPr="00ED247E" w:rsidRDefault="00DF1936" w:rsidP="00816576">
            <w:pPr>
              <w:spacing w:before="60" w:after="60"/>
              <w:jc w:val="both"/>
              <w:rPr>
                <w:rFonts w:cs="Times New Roman"/>
                <w:b/>
              </w:rPr>
            </w:pPr>
            <w:r w:rsidRPr="00ED247E">
              <w:rPr>
                <w:rFonts w:cs="Times New Roman"/>
                <w:b/>
              </w:rPr>
              <w:t>Partially Agree</w:t>
            </w:r>
          </w:p>
        </w:tc>
        <w:tc>
          <w:tcPr>
            <w:tcW w:w="4678" w:type="dxa"/>
            <w:shd w:val="clear" w:color="auto" w:fill="auto"/>
          </w:tcPr>
          <w:p w14:paraId="39D563FE" w14:textId="70C343D4" w:rsidR="00DF1936" w:rsidRPr="00ED247E" w:rsidRDefault="00DF1936" w:rsidP="00816576">
            <w:pPr>
              <w:spacing w:before="60" w:after="60"/>
              <w:jc w:val="both"/>
              <w:rPr>
                <w:rFonts w:cs="Times New Roman"/>
              </w:rPr>
            </w:pPr>
            <w:r w:rsidRPr="00ED247E">
              <w:rPr>
                <w:rFonts w:cs="Times New Roman"/>
              </w:rPr>
              <w:t xml:space="preserve">Australia will work with POM, MoEC and SSQ to develop an approach to assess the impact of enhanced site selection processes. </w:t>
            </w:r>
          </w:p>
        </w:tc>
      </w:tr>
    </w:tbl>
    <w:p w14:paraId="3310703D" w14:textId="3C1F76E8" w:rsidR="00E14211" w:rsidRDefault="00E14211" w:rsidP="007013D4">
      <w:pPr>
        <w:spacing w:line="240" w:lineRule="auto"/>
        <w:rPr>
          <w:rFonts w:cstheme="minorHAnsi"/>
          <w:lang w:val="en-GB"/>
        </w:rPr>
      </w:pPr>
    </w:p>
    <w:p w14:paraId="1C373D30" w14:textId="77777777" w:rsidR="00ED247E" w:rsidRDefault="00ED247E" w:rsidP="007013D4">
      <w:pPr>
        <w:spacing w:line="240" w:lineRule="auto"/>
        <w:rPr>
          <w:rFonts w:cstheme="minorHAnsi"/>
          <w:lang w:val="en-GB"/>
        </w:rPr>
      </w:pPr>
    </w:p>
    <w:p w14:paraId="0E33284B" w14:textId="5B9D6E28" w:rsidR="00ED247E" w:rsidRDefault="00ED247E">
      <w:pPr>
        <w:rPr>
          <w:rFonts w:cstheme="minorHAnsi"/>
          <w:lang w:val="en-GB"/>
        </w:rPr>
      </w:pPr>
      <w:r>
        <w:rPr>
          <w:rFonts w:cstheme="minorHAnsi"/>
          <w:lang w:val="en-GB"/>
        </w:rPr>
        <w:br w:type="page"/>
      </w:r>
    </w:p>
    <w:p w14:paraId="4197D51D" w14:textId="77777777" w:rsidR="00ED247E" w:rsidRDefault="00ED247E" w:rsidP="007013D4">
      <w:pPr>
        <w:spacing w:line="240" w:lineRule="auto"/>
        <w:rPr>
          <w:rFonts w:cstheme="minorHAnsi"/>
          <w:lang w:val="en-GB"/>
        </w:rPr>
      </w:pPr>
    </w:p>
    <w:tbl>
      <w:tblPr>
        <w:tblStyle w:val="TableGrid"/>
        <w:tblW w:w="0" w:type="auto"/>
        <w:tblLook w:val="04A0" w:firstRow="1" w:lastRow="0" w:firstColumn="1" w:lastColumn="0" w:noHBand="0" w:noVBand="1"/>
      </w:tblPr>
      <w:tblGrid>
        <w:gridCol w:w="5070"/>
        <w:gridCol w:w="4961"/>
        <w:gridCol w:w="4678"/>
      </w:tblGrid>
      <w:tr w:rsidR="00DF1936" w14:paraId="0D96D897" w14:textId="77777777" w:rsidTr="00816576">
        <w:tc>
          <w:tcPr>
            <w:tcW w:w="14709" w:type="dxa"/>
            <w:gridSpan w:val="3"/>
          </w:tcPr>
          <w:p w14:paraId="414EF842" w14:textId="77777777" w:rsidR="00DF1936" w:rsidRPr="00ED247E" w:rsidRDefault="00DF1936" w:rsidP="00816576">
            <w:pPr>
              <w:spacing w:before="60" w:after="60"/>
              <w:jc w:val="both"/>
              <w:rPr>
                <w:rFonts w:cs="Times New Roman"/>
                <w:b/>
              </w:rPr>
            </w:pPr>
            <w:r w:rsidRPr="00ED247E">
              <w:rPr>
                <w:rFonts w:cs="Times New Roman"/>
                <w:b/>
              </w:rPr>
              <w:t xml:space="preserve">Component 2 – </w:t>
            </w:r>
            <w:r w:rsidRPr="00ED247E">
              <w:rPr>
                <w:rFonts w:cs="Times New Roman"/>
                <w:b/>
                <w:i/>
              </w:rPr>
              <w:t xml:space="preserve">Professional Development of Education Personnel </w:t>
            </w:r>
            <w:r w:rsidRPr="00ED247E">
              <w:rPr>
                <w:rFonts w:cs="Times New Roman"/>
                <w:b/>
              </w:rPr>
              <w:t>(C2)</w:t>
            </w:r>
          </w:p>
        </w:tc>
      </w:tr>
      <w:tr w:rsidR="00DF1936" w14:paraId="185F15FB" w14:textId="77777777" w:rsidTr="00816576">
        <w:tc>
          <w:tcPr>
            <w:tcW w:w="5070" w:type="dxa"/>
          </w:tcPr>
          <w:p w14:paraId="6EFFDFCF" w14:textId="77777777" w:rsidR="00DF1936" w:rsidRPr="00ED247E" w:rsidRDefault="00DF1936" w:rsidP="00816576">
            <w:pPr>
              <w:spacing w:before="60" w:after="60"/>
              <w:jc w:val="both"/>
              <w:rPr>
                <w:rFonts w:cs="Times New Roman"/>
                <w:b/>
              </w:rPr>
            </w:pPr>
            <w:r w:rsidRPr="00ED247E">
              <w:rPr>
                <w:rFonts w:cs="Times New Roman"/>
                <w:b/>
              </w:rPr>
              <w:t xml:space="preserve">Recommendation </w:t>
            </w:r>
          </w:p>
        </w:tc>
        <w:tc>
          <w:tcPr>
            <w:tcW w:w="4961" w:type="dxa"/>
          </w:tcPr>
          <w:p w14:paraId="693A08ED" w14:textId="77777777" w:rsidR="00DF1936" w:rsidRPr="00ED247E" w:rsidRDefault="00DF1936" w:rsidP="00816576">
            <w:pPr>
              <w:spacing w:before="60" w:after="60"/>
              <w:jc w:val="both"/>
              <w:rPr>
                <w:rFonts w:cs="Times New Roman"/>
                <w:b/>
              </w:rPr>
            </w:pPr>
            <w:r w:rsidRPr="00ED247E">
              <w:rPr>
                <w:rFonts w:cs="Times New Roman"/>
                <w:b/>
              </w:rPr>
              <w:t xml:space="preserve">Management Response </w:t>
            </w:r>
          </w:p>
        </w:tc>
        <w:tc>
          <w:tcPr>
            <w:tcW w:w="4678" w:type="dxa"/>
          </w:tcPr>
          <w:p w14:paraId="7275482F" w14:textId="77777777" w:rsidR="00DF1936" w:rsidRPr="00ED247E" w:rsidRDefault="00DF1936" w:rsidP="00816576">
            <w:pPr>
              <w:spacing w:before="60" w:after="60"/>
              <w:jc w:val="both"/>
              <w:rPr>
                <w:rFonts w:cs="Times New Roman"/>
                <w:b/>
              </w:rPr>
            </w:pPr>
            <w:r w:rsidRPr="00ED247E">
              <w:rPr>
                <w:rFonts w:cs="Times New Roman"/>
                <w:b/>
              </w:rPr>
              <w:t>Actions</w:t>
            </w:r>
          </w:p>
        </w:tc>
      </w:tr>
      <w:tr w:rsidR="00DF1936" w14:paraId="0B7852B3" w14:textId="77777777" w:rsidTr="00816576">
        <w:tc>
          <w:tcPr>
            <w:tcW w:w="5070" w:type="dxa"/>
            <w:shd w:val="clear" w:color="auto" w:fill="auto"/>
          </w:tcPr>
          <w:p w14:paraId="12DB0F09" w14:textId="77777777" w:rsidR="00DF1936" w:rsidRPr="00ED247E" w:rsidRDefault="00DF1936" w:rsidP="00816576">
            <w:pPr>
              <w:spacing w:before="60" w:after="60"/>
              <w:jc w:val="both"/>
              <w:rPr>
                <w:rFonts w:cs="Times New Roman"/>
                <w:b/>
              </w:rPr>
            </w:pPr>
            <w:r w:rsidRPr="00ED247E">
              <w:rPr>
                <w:rFonts w:cs="Times New Roman"/>
                <w:b/>
              </w:rPr>
              <w:t xml:space="preserve">6. </w:t>
            </w:r>
            <w:r w:rsidRPr="00ED247E">
              <w:rPr>
                <w:rFonts w:cs="Times New Roman"/>
              </w:rPr>
              <w:t>A long-term sustainability strategy that resolves issues of affordability, financing and institutional responsibilities and capabilities should be developed, maintained and implemented by June 2105</w:t>
            </w:r>
          </w:p>
        </w:tc>
        <w:tc>
          <w:tcPr>
            <w:tcW w:w="4961" w:type="dxa"/>
            <w:shd w:val="clear" w:color="auto" w:fill="auto"/>
          </w:tcPr>
          <w:p w14:paraId="78DC7F5E" w14:textId="77777777" w:rsidR="00DF1936" w:rsidRPr="00ED247E" w:rsidRDefault="00DF1936" w:rsidP="00816576">
            <w:pPr>
              <w:spacing w:before="60" w:after="60"/>
              <w:jc w:val="both"/>
              <w:rPr>
                <w:rFonts w:cs="Times New Roman"/>
                <w:b/>
              </w:rPr>
            </w:pPr>
            <w:r w:rsidRPr="00ED247E">
              <w:rPr>
                <w:rFonts w:cs="Times New Roman"/>
                <w:b/>
              </w:rPr>
              <w:t>Agree</w:t>
            </w:r>
          </w:p>
        </w:tc>
        <w:tc>
          <w:tcPr>
            <w:tcW w:w="4678" w:type="dxa"/>
            <w:shd w:val="clear" w:color="auto" w:fill="auto"/>
          </w:tcPr>
          <w:p w14:paraId="08DBCB7D" w14:textId="52B2570D" w:rsidR="00DF1936" w:rsidRPr="00ED247E" w:rsidRDefault="00C04C21" w:rsidP="00816576">
            <w:pPr>
              <w:spacing w:before="60" w:after="60"/>
              <w:jc w:val="both"/>
              <w:rPr>
                <w:rFonts w:cs="Times New Roman"/>
              </w:rPr>
            </w:pPr>
            <w:r w:rsidRPr="00ED247E">
              <w:rPr>
                <w:rFonts w:cs="Times New Roman"/>
              </w:rPr>
              <w:t>This will be covered by the sustainability strategy.</w:t>
            </w:r>
          </w:p>
          <w:p w14:paraId="4D2E7CD8" w14:textId="1EC27919" w:rsidR="00DF1936" w:rsidRPr="00ED247E" w:rsidRDefault="00DF1936" w:rsidP="00816576">
            <w:pPr>
              <w:spacing w:before="60" w:after="60"/>
              <w:jc w:val="both"/>
              <w:rPr>
                <w:rFonts w:cs="Times New Roman"/>
              </w:rPr>
            </w:pPr>
          </w:p>
        </w:tc>
      </w:tr>
      <w:tr w:rsidR="00DF1936" w14:paraId="77430790" w14:textId="77777777" w:rsidTr="00816576">
        <w:tc>
          <w:tcPr>
            <w:tcW w:w="5070" w:type="dxa"/>
            <w:shd w:val="clear" w:color="auto" w:fill="auto"/>
          </w:tcPr>
          <w:p w14:paraId="2209438B" w14:textId="77777777" w:rsidR="00DF1936" w:rsidRPr="00ED247E" w:rsidRDefault="00DF1936" w:rsidP="00816576">
            <w:pPr>
              <w:spacing w:before="60" w:after="60"/>
              <w:jc w:val="both"/>
              <w:rPr>
                <w:rFonts w:cs="Times New Roman"/>
                <w:b/>
              </w:rPr>
            </w:pPr>
            <w:r w:rsidRPr="00ED247E">
              <w:rPr>
                <w:rFonts w:cs="Times New Roman"/>
                <w:b/>
              </w:rPr>
              <w:t>7.</w:t>
            </w:r>
            <w:r w:rsidRPr="00ED247E">
              <w:rPr>
                <w:rFonts w:cs="Times New Roman"/>
              </w:rPr>
              <w:t xml:space="preserve"> </w:t>
            </w:r>
            <w:r w:rsidRPr="00ED247E">
              <w:rPr>
                <w:rFonts w:cs="Times New Roman"/>
              </w:rPr>
              <w:tab/>
              <w:t>GoI’s expectations for MoRA’s long-term involvement and role in ProDEP should be clarified, i.e. whether MoRA is expected to be able to implement and sustain ProDEP within its environment after the EP.</w:t>
            </w:r>
          </w:p>
        </w:tc>
        <w:tc>
          <w:tcPr>
            <w:tcW w:w="4961" w:type="dxa"/>
            <w:shd w:val="clear" w:color="auto" w:fill="auto"/>
          </w:tcPr>
          <w:p w14:paraId="5870ECE8" w14:textId="77777777" w:rsidR="00DF1936" w:rsidRPr="00ED247E" w:rsidRDefault="00DF1936" w:rsidP="00816576">
            <w:pPr>
              <w:spacing w:before="60" w:after="60"/>
              <w:jc w:val="both"/>
              <w:rPr>
                <w:rFonts w:cs="Times New Roman"/>
                <w:b/>
              </w:rPr>
            </w:pPr>
            <w:r w:rsidRPr="00ED247E">
              <w:rPr>
                <w:rFonts w:cs="Times New Roman"/>
                <w:b/>
              </w:rPr>
              <w:t>Agree</w:t>
            </w:r>
          </w:p>
        </w:tc>
        <w:tc>
          <w:tcPr>
            <w:tcW w:w="4678" w:type="dxa"/>
            <w:shd w:val="clear" w:color="auto" w:fill="auto"/>
          </w:tcPr>
          <w:p w14:paraId="60D21A2D" w14:textId="58414BC5" w:rsidR="00DF1936" w:rsidRPr="00ED247E" w:rsidRDefault="00C04C21" w:rsidP="00C04C21">
            <w:pPr>
              <w:spacing w:before="60" w:after="60"/>
              <w:jc w:val="both"/>
              <w:rPr>
                <w:rFonts w:cs="Times New Roman"/>
              </w:rPr>
            </w:pPr>
            <w:r w:rsidRPr="00ED247E">
              <w:rPr>
                <w:rFonts w:cs="Times New Roman"/>
              </w:rPr>
              <w:t>This will be clarified through the Grand Design process.</w:t>
            </w:r>
          </w:p>
        </w:tc>
      </w:tr>
      <w:tr w:rsidR="00DF1936" w14:paraId="076098E6" w14:textId="77777777" w:rsidTr="00816576">
        <w:tc>
          <w:tcPr>
            <w:tcW w:w="5070" w:type="dxa"/>
            <w:shd w:val="clear" w:color="auto" w:fill="auto"/>
          </w:tcPr>
          <w:p w14:paraId="618609A2" w14:textId="77777777" w:rsidR="00DF1936" w:rsidRPr="00ED247E" w:rsidRDefault="00DF1936" w:rsidP="00816576">
            <w:pPr>
              <w:spacing w:before="60" w:after="60"/>
              <w:jc w:val="both"/>
              <w:rPr>
                <w:rFonts w:cs="Times New Roman"/>
                <w:b/>
              </w:rPr>
            </w:pPr>
            <w:r w:rsidRPr="00ED247E">
              <w:rPr>
                <w:rFonts w:cs="Times New Roman"/>
                <w:b/>
              </w:rPr>
              <w:t>8.</w:t>
            </w:r>
            <w:r w:rsidRPr="00ED247E">
              <w:rPr>
                <w:rFonts w:cs="Times New Roman"/>
              </w:rPr>
              <w:t xml:space="preserve"> </w:t>
            </w:r>
            <w:r w:rsidRPr="00ED247E">
              <w:rPr>
                <w:rFonts w:cs="Times New Roman"/>
              </w:rPr>
              <w:tab/>
              <w:t>ProDEP should be ‘marketed’ as a cohesive, integrated package of professional development so as to guard against selection of individual modules or components</w:t>
            </w:r>
          </w:p>
        </w:tc>
        <w:tc>
          <w:tcPr>
            <w:tcW w:w="4961" w:type="dxa"/>
            <w:shd w:val="clear" w:color="auto" w:fill="auto"/>
          </w:tcPr>
          <w:p w14:paraId="6E2C8276" w14:textId="77777777" w:rsidR="00DF1936" w:rsidRPr="00ED247E" w:rsidRDefault="00DF1936" w:rsidP="00816576">
            <w:pPr>
              <w:spacing w:before="60" w:after="60"/>
              <w:jc w:val="both"/>
              <w:rPr>
                <w:rFonts w:cs="Times New Roman"/>
                <w:b/>
              </w:rPr>
            </w:pPr>
            <w:r w:rsidRPr="00ED247E">
              <w:rPr>
                <w:rFonts w:cs="Times New Roman"/>
                <w:b/>
              </w:rPr>
              <w:t xml:space="preserve">Agree </w:t>
            </w:r>
          </w:p>
        </w:tc>
        <w:tc>
          <w:tcPr>
            <w:tcW w:w="4678" w:type="dxa"/>
            <w:shd w:val="clear" w:color="auto" w:fill="auto"/>
          </w:tcPr>
          <w:p w14:paraId="3BD8CDEC" w14:textId="0E6168DE" w:rsidR="00DF1936" w:rsidRPr="00ED247E" w:rsidRDefault="00C04C21" w:rsidP="00816576">
            <w:pPr>
              <w:spacing w:before="60" w:after="60"/>
              <w:jc w:val="both"/>
              <w:rPr>
                <w:rFonts w:cs="Times New Roman"/>
              </w:rPr>
            </w:pPr>
            <w:r w:rsidRPr="00ED247E">
              <w:rPr>
                <w:rFonts w:cs="Times New Roman"/>
              </w:rPr>
              <w:t>An approach to marketing ProDEP will be articulated in the sustainability strategy</w:t>
            </w:r>
            <w:r w:rsidR="00DF1936" w:rsidRPr="00ED247E">
              <w:rPr>
                <w:rFonts w:cs="Times New Roman"/>
              </w:rPr>
              <w:t>.</w:t>
            </w:r>
          </w:p>
        </w:tc>
      </w:tr>
      <w:tr w:rsidR="00DF1936" w14:paraId="68355202" w14:textId="77777777" w:rsidTr="00816576">
        <w:tc>
          <w:tcPr>
            <w:tcW w:w="5070" w:type="dxa"/>
            <w:shd w:val="clear" w:color="auto" w:fill="auto"/>
          </w:tcPr>
          <w:p w14:paraId="1FD671F2" w14:textId="77777777" w:rsidR="00DF1936" w:rsidRPr="00ED247E" w:rsidRDefault="00DF1936" w:rsidP="00816576">
            <w:pPr>
              <w:spacing w:before="60" w:after="60"/>
              <w:jc w:val="both"/>
              <w:rPr>
                <w:rFonts w:cs="Times New Roman"/>
                <w:b/>
              </w:rPr>
            </w:pPr>
            <w:r w:rsidRPr="00ED247E">
              <w:rPr>
                <w:rFonts w:cs="Times New Roman"/>
                <w:b/>
              </w:rPr>
              <w:t>9.</w:t>
            </w:r>
            <w:r w:rsidRPr="00ED247E">
              <w:rPr>
                <w:rFonts w:cs="Times New Roman"/>
              </w:rPr>
              <w:t xml:space="preserve"> </w:t>
            </w:r>
            <w:r w:rsidRPr="00ED247E">
              <w:rPr>
                <w:rFonts w:cs="Times New Roman"/>
              </w:rPr>
              <w:tab/>
              <w:t>Tailored UoLs that take adequate account of the variety of settings in which principals operate should be provided</w:t>
            </w:r>
          </w:p>
        </w:tc>
        <w:tc>
          <w:tcPr>
            <w:tcW w:w="4961" w:type="dxa"/>
            <w:shd w:val="clear" w:color="auto" w:fill="auto"/>
          </w:tcPr>
          <w:p w14:paraId="00DE01D9" w14:textId="77777777" w:rsidR="00DF1936" w:rsidRPr="00ED247E" w:rsidRDefault="00DF1936" w:rsidP="00816576">
            <w:pPr>
              <w:spacing w:before="60" w:after="60"/>
              <w:jc w:val="both"/>
              <w:rPr>
                <w:rFonts w:cs="Times New Roman"/>
                <w:b/>
              </w:rPr>
            </w:pPr>
            <w:r w:rsidRPr="00ED247E">
              <w:rPr>
                <w:rFonts w:cs="Times New Roman"/>
                <w:b/>
              </w:rPr>
              <w:t>Partially agree</w:t>
            </w:r>
          </w:p>
        </w:tc>
        <w:tc>
          <w:tcPr>
            <w:tcW w:w="4678" w:type="dxa"/>
            <w:shd w:val="clear" w:color="auto" w:fill="auto"/>
          </w:tcPr>
          <w:p w14:paraId="2C3AD620" w14:textId="55BF8C99" w:rsidR="00DF1936" w:rsidRPr="00ED247E" w:rsidRDefault="00DF1936" w:rsidP="00816576">
            <w:pPr>
              <w:spacing w:before="60" w:after="60"/>
              <w:jc w:val="both"/>
              <w:rPr>
                <w:i/>
              </w:rPr>
            </w:pPr>
            <w:r w:rsidRPr="00ED247E">
              <w:rPr>
                <w:rFonts w:cs="Times New Roman"/>
              </w:rPr>
              <w:t>Australia, through SSQ</w:t>
            </w:r>
            <w:r w:rsidR="00DD798A" w:rsidRPr="00ED247E">
              <w:rPr>
                <w:rFonts w:cs="Times New Roman"/>
              </w:rPr>
              <w:t>,</w:t>
            </w:r>
            <w:r w:rsidRPr="00ED247E">
              <w:rPr>
                <w:rFonts w:cs="Times New Roman"/>
              </w:rPr>
              <w:t xml:space="preserve"> will look at how to improve the delivery of the training so the sample is more contextualised and better accounts for the different levels of support required. </w:t>
            </w:r>
          </w:p>
        </w:tc>
      </w:tr>
      <w:tr w:rsidR="00DF1936" w14:paraId="6D6F8D1F" w14:textId="77777777" w:rsidTr="00816576">
        <w:tc>
          <w:tcPr>
            <w:tcW w:w="5070" w:type="dxa"/>
            <w:shd w:val="clear" w:color="auto" w:fill="auto"/>
          </w:tcPr>
          <w:p w14:paraId="6097F309" w14:textId="77777777" w:rsidR="00DF1936" w:rsidRPr="00ED247E" w:rsidRDefault="00DF1936" w:rsidP="00816576">
            <w:pPr>
              <w:spacing w:before="60" w:after="60"/>
              <w:jc w:val="both"/>
              <w:rPr>
                <w:rFonts w:cs="Times New Roman"/>
                <w:b/>
              </w:rPr>
            </w:pPr>
            <w:r w:rsidRPr="00ED247E">
              <w:rPr>
                <w:rFonts w:cs="Times New Roman"/>
                <w:b/>
              </w:rPr>
              <w:t>10.</w:t>
            </w:r>
            <w:r w:rsidRPr="00ED247E">
              <w:rPr>
                <w:rFonts w:cs="Times New Roman"/>
              </w:rPr>
              <w:t xml:space="preserve"> To increase impact, small schools/madrasah in rural areas should be prioritised during the selection of supervisors and principals (schools)</w:t>
            </w:r>
          </w:p>
        </w:tc>
        <w:tc>
          <w:tcPr>
            <w:tcW w:w="4961" w:type="dxa"/>
            <w:shd w:val="clear" w:color="auto" w:fill="auto"/>
          </w:tcPr>
          <w:p w14:paraId="40539815" w14:textId="067A7BD0" w:rsidR="00DF1936" w:rsidRPr="00ED247E" w:rsidRDefault="00615726" w:rsidP="00816576">
            <w:pPr>
              <w:spacing w:before="60" w:after="60"/>
              <w:jc w:val="both"/>
              <w:rPr>
                <w:rFonts w:cs="Times New Roman"/>
                <w:b/>
              </w:rPr>
            </w:pPr>
            <w:r w:rsidRPr="00ED247E">
              <w:rPr>
                <w:rFonts w:cs="Times New Roman"/>
                <w:b/>
              </w:rPr>
              <w:t>A</w:t>
            </w:r>
            <w:r w:rsidR="00DF1936" w:rsidRPr="00ED247E">
              <w:rPr>
                <w:rFonts w:cs="Times New Roman"/>
                <w:b/>
              </w:rPr>
              <w:t>gree</w:t>
            </w:r>
          </w:p>
        </w:tc>
        <w:tc>
          <w:tcPr>
            <w:tcW w:w="4678" w:type="dxa"/>
            <w:shd w:val="clear" w:color="auto" w:fill="auto"/>
          </w:tcPr>
          <w:p w14:paraId="61FE221D" w14:textId="4FC4A29C" w:rsidR="00DF1936" w:rsidRPr="00ED247E" w:rsidRDefault="00DF1936" w:rsidP="002914EC">
            <w:pPr>
              <w:spacing w:before="60" w:after="60"/>
              <w:jc w:val="both"/>
              <w:rPr>
                <w:rFonts w:cs="Times New Roman"/>
              </w:rPr>
            </w:pPr>
            <w:r w:rsidRPr="00ED247E">
              <w:rPr>
                <w:rFonts w:cs="Times New Roman"/>
              </w:rPr>
              <w:t xml:space="preserve">Australia will encourage </w:t>
            </w:r>
            <w:r w:rsidR="002914EC" w:rsidRPr="00ED247E">
              <w:rPr>
                <w:rFonts w:cs="Times New Roman"/>
              </w:rPr>
              <w:t>District Governments</w:t>
            </w:r>
            <w:r w:rsidRPr="00ED247E">
              <w:rPr>
                <w:rFonts w:cs="Times New Roman"/>
              </w:rPr>
              <w:t xml:space="preserve"> to prioritise those educational personnel who are most in need of support.</w:t>
            </w:r>
          </w:p>
        </w:tc>
      </w:tr>
      <w:tr w:rsidR="00DF1936" w14:paraId="3DC18F5E" w14:textId="77777777" w:rsidTr="00816576">
        <w:trPr>
          <w:trHeight w:val="70"/>
        </w:trPr>
        <w:tc>
          <w:tcPr>
            <w:tcW w:w="5070" w:type="dxa"/>
            <w:shd w:val="clear" w:color="auto" w:fill="auto"/>
          </w:tcPr>
          <w:p w14:paraId="6B85CF40" w14:textId="77777777" w:rsidR="00DF1936" w:rsidRPr="00ED247E" w:rsidRDefault="00DF1936" w:rsidP="00816576">
            <w:pPr>
              <w:spacing w:before="60" w:after="60"/>
              <w:jc w:val="both"/>
              <w:rPr>
                <w:rFonts w:cs="Times New Roman"/>
                <w:b/>
              </w:rPr>
            </w:pPr>
            <w:r w:rsidRPr="00ED247E">
              <w:rPr>
                <w:rFonts w:cs="Times New Roman"/>
                <w:b/>
              </w:rPr>
              <w:t>11.</w:t>
            </w:r>
            <w:r w:rsidRPr="00ED247E">
              <w:rPr>
                <w:rFonts w:cs="Times New Roman"/>
              </w:rPr>
              <w:t xml:space="preserve"> Responsibility for the design, delivery modalities and quality assurance functions for ProDEP should be transitioned from C2 to an appropriate entity appointed by Badan</w:t>
            </w:r>
          </w:p>
        </w:tc>
        <w:tc>
          <w:tcPr>
            <w:tcW w:w="4961" w:type="dxa"/>
            <w:shd w:val="clear" w:color="auto" w:fill="auto"/>
          </w:tcPr>
          <w:p w14:paraId="076CC729" w14:textId="77777777" w:rsidR="00DF1936" w:rsidRPr="00ED247E" w:rsidRDefault="00DF1936" w:rsidP="00816576">
            <w:pPr>
              <w:spacing w:before="60" w:after="60"/>
              <w:jc w:val="both"/>
              <w:rPr>
                <w:rFonts w:cs="Times New Roman"/>
                <w:b/>
              </w:rPr>
            </w:pPr>
            <w:r w:rsidRPr="00ED247E">
              <w:rPr>
                <w:rFonts w:cs="Times New Roman"/>
                <w:b/>
              </w:rPr>
              <w:t>Agree</w:t>
            </w:r>
          </w:p>
        </w:tc>
        <w:tc>
          <w:tcPr>
            <w:tcW w:w="4678" w:type="dxa"/>
            <w:shd w:val="clear" w:color="auto" w:fill="auto"/>
          </w:tcPr>
          <w:p w14:paraId="243C70D6" w14:textId="5E95A697" w:rsidR="00DF1936" w:rsidRPr="00ED247E" w:rsidRDefault="00C04C21" w:rsidP="00816576">
            <w:pPr>
              <w:spacing w:before="60" w:after="60"/>
              <w:jc w:val="both"/>
              <w:rPr>
                <w:rFonts w:cs="Times New Roman"/>
              </w:rPr>
            </w:pPr>
            <w:r w:rsidRPr="00ED247E">
              <w:rPr>
                <w:rFonts w:cs="Times New Roman"/>
              </w:rPr>
              <w:t>Australia through SSQ will transition responsibility for these systems as part of the sustainability strategy.</w:t>
            </w:r>
          </w:p>
        </w:tc>
      </w:tr>
      <w:tr w:rsidR="00DF1936" w14:paraId="33D3205F" w14:textId="77777777" w:rsidTr="00816576">
        <w:tc>
          <w:tcPr>
            <w:tcW w:w="14709" w:type="dxa"/>
            <w:gridSpan w:val="3"/>
          </w:tcPr>
          <w:p w14:paraId="59E15051" w14:textId="77777777" w:rsidR="00DF1936" w:rsidRPr="00ED247E" w:rsidRDefault="00DF1936" w:rsidP="00816576">
            <w:pPr>
              <w:spacing w:before="60" w:after="60"/>
              <w:jc w:val="both"/>
              <w:rPr>
                <w:rFonts w:cs="Times New Roman"/>
                <w:b/>
              </w:rPr>
            </w:pPr>
            <w:r w:rsidRPr="00ED247E">
              <w:rPr>
                <w:rFonts w:cs="Times New Roman"/>
                <w:b/>
              </w:rPr>
              <w:lastRenderedPageBreak/>
              <w:t xml:space="preserve">Component 3 – </w:t>
            </w:r>
            <w:r w:rsidRPr="00ED247E">
              <w:rPr>
                <w:rFonts w:cs="Times New Roman"/>
                <w:b/>
                <w:i/>
              </w:rPr>
              <w:t xml:space="preserve">Support for Madrasah Accreditation </w:t>
            </w:r>
            <w:r w:rsidRPr="00ED247E">
              <w:rPr>
                <w:rFonts w:cs="Times New Roman"/>
                <w:b/>
              </w:rPr>
              <w:t xml:space="preserve">(C3)  </w:t>
            </w:r>
          </w:p>
        </w:tc>
      </w:tr>
      <w:tr w:rsidR="00DF1936" w14:paraId="1EAF064F" w14:textId="77777777" w:rsidTr="00816576">
        <w:tc>
          <w:tcPr>
            <w:tcW w:w="5070" w:type="dxa"/>
          </w:tcPr>
          <w:p w14:paraId="458DBA66" w14:textId="77777777" w:rsidR="00DF1936" w:rsidRPr="00ED247E" w:rsidRDefault="00DF1936" w:rsidP="00816576">
            <w:pPr>
              <w:spacing w:before="60" w:after="60"/>
              <w:jc w:val="both"/>
              <w:rPr>
                <w:rFonts w:cs="Times New Roman"/>
                <w:b/>
              </w:rPr>
            </w:pPr>
            <w:r w:rsidRPr="00ED247E">
              <w:rPr>
                <w:rFonts w:cs="Times New Roman"/>
                <w:b/>
              </w:rPr>
              <w:t xml:space="preserve">Recommendation </w:t>
            </w:r>
          </w:p>
        </w:tc>
        <w:tc>
          <w:tcPr>
            <w:tcW w:w="4961" w:type="dxa"/>
          </w:tcPr>
          <w:p w14:paraId="6934A562" w14:textId="77777777" w:rsidR="00DF1936" w:rsidRPr="00ED247E" w:rsidRDefault="00DF1936" w:rsidP="00816576">
            <w:pPr>
              <w:spacing w:before="60" w:after="60"/>
              <w:jc w:val="both"/>
              <w:rPr>
                <w:rFonts w:cs="Times New Roman"/>
                <w:b/>
              </w:rPr>
            </w:pPr>
            <w:r w:rsidRPr="00ED247E">
              <w:rPr>
                <w:rFonts w:cs="Times New Roman"/>
                <w:b/>
              </w:rPr>
              <w:t xml:space="preserve">Management Response </w:t>
            </w:r>
          </w:p>
        </w:tc>
        <w:tc>
          <w:tcPr>
            <w:tcW w:w="4678" w:type="dxa"/>
          </w:tcPr>
          <w:p w14:paraId="23B981A3" w14:textId="77777777" w:rsidR="00DF1936" w:rsidRPr="00ED247E" w:rsidRDefault="00DF1936" w:rsidP="00816576">
            <w:pPr>
              <w:spacing w:before="60" w:after="60"/>
              <w:jc w:val="both"/>
              <w:rPr>
                <w:rFonts w:cs="Times New Roman"/>
                <w:b/>
              </w:rPr>
            </w:pPr>
            <w:r w:rsidRPr="00ED247E">
              <w:rPr>
                <w:rFonts w:cs="Times New Roman"/>
                <w:b/>
              </w:rPr>
              <w:t>Actions</w:t>
            </w:r>
          </w:p>
        </w:tc>
      </w:tr>
      <w:tr w:rsidR="00DF1936" w14:paraId="7C50F04A" w14:textId="77777777" w:rsidTr="00816576">
        <w:tc>
          <w:tcPr>
            <w:tcW w:w="5070" w:type="dxa"/>
            <w:shd w:val="clear" w:color="auto" w:fill="auto"/>
          </w:tcPr>
          <w:p w14:paraId="3B91D21A" w14:textId="77777777" w:rsidR="00DF1936" w:rsidRPr="00ED247E" w:rsidRDefault="00DF1936" w:rsidP="00816576">
            <w:pPr>
              <w:spacing w:before="60" w:after="60"/>
              <w:jc w:val="both"/>
              <w:rPr>
                <w:rFonts w:cs="Times New Roman"/>
                <w:b/>
              </w:rPr>
            </w:pPr>
            <w:r w:rsidRPr="00ED247E">
              <w:rPr>
                <w:rFonts w:cs="Times New Roman"/>
                <w:b/>
              </w:rPr>
              <w:t>12.</w:t>
            </w:r>
            <w:r w:rsidRPr="00ED247E">
              <w:rPr>
                <w:rFonts w:cs="Times New Roman"/>
              </w:rPr>
              <w:t xml:space="preserve"> Priority should be given to assisting MoRA in the immediate development of a comprehensive ‘Grand Design’ or ‘Road Map’ that will guide future efforts to continuously improve the quality of madrasah</w:t>
            </w:r>
          </w:p>
        </w:tc>
        <w:tc>
          <w:tcPr>
            <w:tcW w:w="4961" w:type="dxa"/>
            <w:shd w:val="clear" w:color="auto" w:fill="auto"/>
          </w:tcPr>
          <w:p w14:paraId="6435FB45" w14:textId="77777777" w:rsidR="00DF1936" w:rsidRPr="00ED247E" w:rsidRDefault="00DF1936" w:rsidP="00816576">
            <w:pPr>
              <w:spacing w:before="60" w:after="60"/>
              <w:jc w:val="both"/>
              <w:rPr>
                <w:rFonts w:cs="Times New Roman"/>
                <w:b/>
              </w:rPr>
            </w:pPr>
            <w:r w:rsidRPr="00ED247E">
              <w:rPr>
                <w:rFonts w:cs="Times New Roman"/>
                <w:b/>
              </w:rPr>
              <w:t>Agree</w:t>
            </w:r>
          </w:p>
        </w:tc>
        <w:tc>
          <w:tcPr>
            <w:tcW w:w="4678" w:type="dxa"/>
            <w:shd w:val="clear" w:color="auto" w:fill="auto"/>
          </w:tcPr>
          <w:p w14:paraId="05F57F61" w14:textId="421E588F" w:rsidR="00DF1936" w:rsidRPr="00ED247E" w:rsidRDefault="00C04C21" w:rsidP="00816576">
            <w:pPr>
              <w:spacing w:before="60" w:after="60"/>
              <w:jc w:val="both"/>
              <w:rPr>
                <w:rFonts w:cs="Times New Roman"/>
              </w:rPr>
            </w:pPr>
            <w:r w:rsidRPr="00ED247E">
              <w:rPr>
                <w:rFonts w:cs="Times New Roman"/>
              </w:rPr>
              <w:t>Australia is supporting the Grand Design process</w:t>
            </w:r>
            <w:r w:rsidR="00DF1936" w:rsidRPr="00ED247E">
              <w:rPr>
                <w:rFonts w:cs="Times New Roman"/>
              </w:rPr>
              <w:t>.</w:t>
            </w:r>
          </w:p>
          <w:p w14:paraId="362462A3" w14:textId="77777777" w:rsidR="00DF1936" w:rsidRPr="00ED247E" w:rsidRDefault="00DF1936" w:rsidP="00816576">
            <w:pPr>
              <w:spacing w:before="60" w:after="60"/>
              <w:jc w:val="both"/>
              <w:rPr>
                <w:rFonts w:cs="Times New Roman"/>
              </w:rPr>
            </w:pPr>
          </w:p>
          <w:p w14:paraId="2CE8DC1C" w14:textId="77777777" w:rsidR="00DF1936" w:rsidRPr="00ED247E" w:rsidRDefault="00DF1936" w:rsidP="00816576">
            <w:pPr>
              <w:spacing w:before="60" w:after="60"/>
              <w:jc w:val="both"/>
              <w:rPr>
                <w:rFonts w:cs="Times New Roman"/>
              </w:rPr>
            </w:pPr>
          </w:p>
        </w:tc>
      </w:tr>
      <w:tr w:rsidR="00DF1936" w14:paraId="3FA7C108" w14:textId="77777777" w:rsidTr="00816576">
        <w:tc>
          <w:tcPr>
            <w:tcW w:w="5070" w:type="dxa"/>
            <w:shd w:val="clear" w:color="auto" w:fill="auto"/>
          </w:tcPr>
          <w:p w14:paraId="481F4A15" w14:textId="77777777" w:rsidR="00DF1936" w:rsidRPr="00ED247E" w:rsidRDefault="00DF1936" w:rsidP="00816576">
            <w:pPr>
              <w:spacing w:before="60" w:after="60"/>
              <w:jc w:val="both"/>
              <w:rPr>
                <w:rFonts w:cs="Times New Roman"/>
                <w:b/>
              </w:rPr>
            </w:pPr>
            <w:r w:rsidRPr="00ED247E">
              <w:rPr>
                <w:rFonts w:cs="Times New Roman"/>
                <w:b/>
              </w:rPr>
              <w:t>13.</w:t>
            </w:r>
            <w:r w:rsidRPr="00ED247E">
              <w:rPr>
                <w:rFonts w:cs="Times New Roman"/>
              </w:rPr>
              <w:t xml:space="preserve"> Lessons from the implementation of C3 – specifically those which contribute to a better understanding of the processes and systems required to improve quality – should be collated, analysed and presented for discussion and consideration as part of the ‘Grand Design’</w:t>
            </w:r>
          </w:p>
        </w:tc>
        <w:tc>
          <w:tcPr>
            <w:tcW w:w="4961" w:type="dxa"/>
            <w:shd w:val="clear" w:color="auto" w:fill="auto"/>
          </w:tcPr>
          <w:p w14:paraId="7369E390" w14:textId="77777777" w:rsidR="00DF1936" w:rsidRPr="00ED247E" w:rsidRDefault="00DF1936" w:rsidP="00816576">
            <w:pPr>
              <w:spacing w:before="60" w:after="60"/>
              <w:jc w:val="both"/>
              <w:rPr>
                <w:rFonts w:cs="Times New Roman"/>
                <w:b/>
              </w:rPr>
            </w:pPr>
            <w:r w:rsidRPr="00ED247E">
              <w:rPr>
                <w:rFonts w:cs="Times New Roman"/>
                <w:b/>
              </w:rPr>
              <w:t>Agree</w:t>
            </w:r>
          </w:p>
        </w:tc>
        <w:tc>
          <w:tcPr>
            <w:tcW w:w="4678" w:type="dxa"/>
            <w:shd w:val="clear" w:color="auto" w:fill="auto"/>
          </w:tcPr>
          <w:p w14:paraId="404C06A5" w14:textId="0068F65A" w:rsidR="00DF1936" w:rsidRPr="00ED247E" w:rsidRDefault="00DF1936" w:rsidP="00DD798A">
            <w:pPr>
              <w:spacing w:before="60" w:after="60"/>
              <w:jc w:val="both"/>
              <w:rPr>
                <w:rFonts w:cs="Times New Roman"/>
              </w:rPr>
            </w:pPr>
            <w:r w:rsidRPr="00ED247E">
              <w:rPr>
                <w:rFonts w:cs="Times New Roman"/>
              </w:rPr>
              <w:t xml:space="preserve">The Grand Design team will prepare a background paper which captures the lessons learnt to inform the Road Map document. </w:t>
            </w:r>
          </w:p>
        </w:tc>
      </w:tr>
      <w:tr w:rsidR="00DF1936" w14:paraId="31F8914A" w14:textId="77777777" w:rsidTr="00816576">
        <w:tc>
          <w:tcPr>
            <w:tcW w:w="5070" w:type="dxa"/>
            <w:shd w:val="clear" w:color="auto" w:fill="auto"/>
          </w:tcPr>
          <w:p w14:paraId="21A528A0" w14:textId="78D7988B" w:rsidR="00DF1936" w:rsidRPr="00ED247E" w:rsidRDefault="00DF1936" w:rsidP="00ED247E">
            <w:pPr>
              <w:spacing w:before="60" w:after="60"/>
              <w:jc w:val="both"/>
              <w:rPr>
                <w:rFonts w:cs="Times New Roman"/>
                <w:b/>
              </w:rPr>
            </w:pPr>
            <w:r w:rsidRPr="00ED247E">
              <w:rPr>
                <w:rFonts w:cs="Times New Roman"/>
                <w:b/>
              </w:rPr>
              <w:t>14.</w:t>
            </w:r>
            <w:r w:rsidRPr="00ED247E">
              <w:rPr>
                <w:rFonts w:cs="Times New Roman"/>
              </w:rPr>
              <w:t xml:space="preserve"> Priority initiatives identified by the ‘Grand Design’ should be supported with appropriate specialized technical assistance and adequate resources from C3 </w:t>
            </w:r>
          </w:p>
        </w:tc>
        <w:tc>
          <w:tcPr>
            <w:tcW w:w="4961" w:type="dxa"/>
            <w:shd w:val="clear" w:color="auto" w:fill="auto"/>
          </w:tcPr>
          <w:p w14:paraId="581437FF" w14:textId="77777777" w:rsidR="00DF1936" w:rsidRPr="00ED247E" w:rsidRDefault="00DF1936" w:rsidP="00816576">
            <w:pPr>
              <w:spacing w:before="60" w:after="60"/>
              <w:jc w:val="both"/>
              <w:rPr>
                <w:rFonts w:cs="Times New Roman"/>
                <w:b/>
              </w:rPr>
            </w:pPr>
            <w:r w:rsidRPr="00ED247E">
              <w:rPr>
                <w:rFonts w:cs="Times New Roman"/>
                <w:b/>
              </w:rPr>
              <w:t>Partially agree</w:t>
            </w:r>
          </w:p>
        </w:tc>
        <w:tc>
          <w:tcPr>
            <w:tcW w:w="4678" w:type="dxa"/>
            <w:shd w:val="clear" w:color="auto" w:fill="auto"/>
          </w:tcPr>
          <w:p w14:paraId="1AB5227B" w14:textId="4680E50A" w:rsidR="00DF1936" w:rsidRPr="00ED247E" w:rsidRDefault="00DF1936" w:rsidP="00C04C21">
            <w:pPr>
              <w:spacing w:before="60" w:after="60"/>
              <w:jc w:val="both"/>
              <w:rPr>
                <w:rFonts w:cs="Times New Roman"/>
              </w:rPr>
            </w:pPr>
            <w:r w:rsidRPr="00ED247E">
              <w:rPr>
                <w:rFonts w:cs="Times New Roman"/>
              </w:rPr>
              <w:t xml:space="preserve">Australia </w:t>
            </w:r>
            <w:r w:rsidR="00C04C21" w:rsidRPr="00ED247E">
              <w:rPr>
                <w:rFonts w:cs="Times New Roman"/>
              </w:rPr>
              <w:t>will consider the outcomes of the Grand Design process as part of planning future support</w:t>
            </w:r>
            <w:r w:rsidRPr="00ED247E">
              <w:rPr>
                <w:rFonts w:cs="Times New Roman"/>
              </w:rPr>
              <w:t xml:space="preserve">. </w:t>
            </w:r>
          </w:p>
        </w:tc>
      </w:tr>
      <w:tr w:rsidR="00DF1936" w:rsidRPr="002200EB" w14:paraId="24F3693B" w14:textId="77777777" w:rsidTr="00816576">
        <w:tc>
          <w:tcPr>
            <w:tcW w:w="5070" w:type="dxa"/>
            <w:shd w:val="clear" w:color="auto" w:fill="auto"/>
          </w:tcPr>
          <w:p w14:paraId="27EA9E19" w14:textId="77777777" w:rsidR="00DF1936" w:rsidRPr="00ED247E" w:rsidRDefault="00DF1936" w:rsidP="00816576">
            <w:pPr>
              <w:spacing w:before="60" w:after="60"/>
              <w:jc w:val="both"/>
              <w:rPr>
                <w:rFonts w:cs="Times New Roman"/>
                <w:b/>
              </w:rPr>
            </w:pPr>
            <w:r w:rsidRPr="00ED247E">
              <w:rPr>
                <w:rFonts w:cs="Times New Roman"/>
                <w:b/>
              </w:rPr>
              <w:t>15.</w:t>
            </w:r>
            <w:r w:rsidRPr="00ED247E">
              <w:rPr>
                <w:rFonts w:cs="Times New Roman"/>
              </w:rPr>
              <w:t xml:space="preserve"> An analysis of the appropriate levels of Block Grant funding required to meet accreditation standards and to improve the quality of education services provided should be conducted and this should take due account of different types and circumstances of madrasah</w:t>
            </w:r>
          </w:p>
        </w:tc>
        <w:tc>
          <w:tcPr>
            <w:tcW w:w="4961" w:type="dxa"/>
            <w:shd w:val="clear" w:color="auto" w:fill="auto"/>
          </w:tcPr>
          <w:p w14:paraId="6EBFF33B" w14:textId="77777777" w:rsidR="00DF1936" w:rsidRPr="00ED247E" w:rsidRDefault="00DF1936" w:rsidP="00816576">
            <w:pPr>
              <w:spacing w:before="60" w:after="60"/>
              <w:jc w:val="both"/>
              <w:rPr>
                <w:rFonts w:cs="Times New Roman"/>
                <w:b/>
              </w:rPr>
            </w:pPr>
            <w:r w:rsidRPr="00ED247E">
              <w:rPr>
                <w:rFonts w:cs="Times New Roman"/>
                <w:b/>
              </w:rPr>
              <w:t>Agree</w:t>
            </w:r>
          </w:p>
        </w:tc>
        <w:tc>
          <w:tcPr>
            <w:tcW w:w="4678" w:type="dxa"/>
            <w:shd w:val="clear" w:color="auto" w:fill="auto"/>
          </w:tcPr>
          <w:p w14:paraId="54E30995" w14:textId="581FD30C" w:rsidR="00DF1936" w:rsidRPr="00ED247E" w:rsidRDefault="00DF1936" w:rsidP="002914EC">
            <w:pPr>
              <w:spacing w:before="60" w:after="60"/>
              <w:jc w:val="both"/>
              <w:rPr>
                <w:rFonts w:cs="Times New Roman"/>
              </w:rPr>
            </w:pPr>
            <w:r w:rsidRPr="00ED247E">
              <w:rPr>
                <w:rFonts w:cs="Times New Roman"/>
              </w:rPr>
              <w:t xml:space="preserve">SSQ has completed and provided this analysis to MoRA to inform their 2015 replication plan. </w:t>
            </w:r>
          </w:p>
        </w:tc>
      </w:tr>
      <w:tr w:rsidR="00DF1936" w:rsidRPr="002200EB" w14:paraId="7BA99532" w14:textId="77777777" w:rsidTr="00816576">
        <w:tc>
          <w:tcPr>
            <w:tcW w:w="5070" w:type="dxa"/>
            <w:shd w:val="clear" w:color="auto" w:fill="auto"/>
          </w:tcPr>
          <w:p w14:paraId="2918B694" w14:textId="77777777" w:rsidR="00DF1936" w:rsidRPr="00ED247E" w:rsidRDefault="00DF1936" w:rsidP="00816576">
            <w:pPr>
              <w:spacing w:before="60" w:after="60"/>
              <w:jc w:val="both"/>
              <w:rPr>
                <w:rFonts w:cs="Times New Roman"/>
                <w:b/>
              </w:rPr>
            </w:pPr>
            <w:r w:rsidRPr="00ED247E">
              <w:rPr>
                <w:rFonts w:cs="Times New Roman"/>
                <w:b/>
              </w:rPr>
              <w:t>16.</w:t>
            </w:r>
            <w:r w:rsidRPr="00ED247E">
              <w:rPr>
                <w:rFonts w:cs="Times New Roman"/>
              </w:rPr>
              <w:t xml:space="preserve"> Introduce Leadership and Community Engagement training and negotiate better engagement with ProDEP training programs</w:t>
            </w:r>
          </w:p>
        </w:tc>
        <w:tc>
          <w:tcPr>
            <w:tcW w:w="4961" w:type="dxa"/>
            <w:shd w:val="clear" w:color="auto" w:fill="auto"/>
          </w:tcPr>
          <w:p w14:paraId="342123CF" w14:textId="42E85151" w:rsidR="00DF1936" w:rsidRPr="00ED247E" w:rsidRDefault="00615726" w:rsidP="00816576">
            <w:pPr>
              <w:spacing w:before="60" w:after="60"/>
              <w:jc w:val="both"/>
              <w:rPr>
                <w:rFonts w:cs="Times New Roman"/>
                <w:b/>
              </w:rPr>
            </w:pPr>
            <w:r w:rsidRPr="00ED247E">
              <w:rPr>
                <w:rFonts w:cs="Times New Roman"/>
                <w:b/>
              </w:rPr>
              <w:t>A</w:t>
            </w:r>
            <w:r w:rsidR="00802599" w:rsidRPr="00ED247E">
              <w:rPr>
                <w:rFonts w:cs="Times New Roman"/>
                <w:b/>
              </w:rPr>
              <w:t>gree</w:t>
            </w:r>
          </w:p>
        </w:tc>
        <w:tc>
          <w:tcPr>
            <w:tcW w:w="4678" w:type="dxa"/>
            <w:shd w:val="clear" w:color="auto" w:fill="auto"/>
          </w:tcPr>
          <w:p w14:paraId="76678015" w14:textId="3B6C3111" w:rsidR="00DF1936" w:rsidRPr="00ED247E" w:rsidRDefault="00802599" w:rsidP="002914EC">
            <w:pPr>
              <w:spacing w:before="60" w:after="60"/>
              <w:jc w:val="both"/>
              <w:rPr>
                <w:rFonts w:cs="Times New Roman"/>
              </w:rPr>
            </w:pPr>
            <w:r w:rsidRPr="00ED247E">
              <w:rPr>
                <w:rFonts w:cs="Times New Roman"/>
              </w:rPr>
              <w:t xml:space="preserve">Through the ProDEP system, Principals will receive leadership training. </w:t>
            </w:r>
          </w:p>
        </w:tc>
      </w:tr>
      <w:tr w:rsidR="00DF1936" w:rsidRPr="002200EB" w14:paraId="26C55AC5" w14:textId="77777777" w:rsidTr="00816576">
        <w:tc>
          <w:tcPr>
            <w:tcW w:w="5070" w:type="dxa"/>
            <w:shd w:val="clear" w:color="auto" w:fill="auto"/>
          </w:tcPr>
          <w:p w14:paraId="33CD8AD6" w14:textId="77777777" w:rsidR="00DF1936" w:rsidRPr="00ED247E" w:rsidRDefault="00DF1936" w:rsidP="00816576">
            <w:pPr>
              <w:spacing w:before="60" w:after="60"/>
              <w:jc w:val="both"/>
              <w:rPr>
                <w:rFonts w:cs="Times New Roman"/>
                <w:b/>
              </w:rPr>
            </w:pPr>
            <w:r w:rsidRPr="00ED247E">
              <w:rPr>
                <w:rFonts w:cs="Times New Roman"/>
                <w:b/>
              </w:rPr>
              <w:t>17.</w:t>
            </w:r>
            <w:r w:rsidRPr="00ED247E">
              <w:rPr>
                <w:rFonts w:cs="Times New Roman"/>
              </w:rPr>
              <w:t xml:space="preserve"> Ensure rigorous selection, professional development (including linking with ProDEP) and monitoring of mentors (and supervisors) and work to build a cadre of educational professionals for improving madrasah education quality</w:t>
            </w:r>
          </w:p>
        </w:tc>
        <w:tc>
          <w:tcPr>
            <w:tcW w:w="4961" w:type="dxa"/>
            <w:shd w:val="clear" w:color="auto" w:fill="auto"/>
          </w:tcPr>
          <w:p w14:paraId="6F540E54" w14:textId="77777777" w:rsidR="00DF1936" w:rsidRPr="00ED247E" w:rsidRDefault="00DF1936" w:rsidP="00816576">
            <w:pPr>
              <w:spacing w:before="60" w:after="60"/>
              <w:jc w:val="both"/>
              <w:rPr>
                <w:rFonts w:cs="Times New Roman"/>
                <w:b/>
              </w:rPr>
            </w:pPr>
            <w:r w:rsidRPr="00ED247E">
              <w:rPr>
                <w:rFonts w:cs="Times New Roman"/>
                <w:b/>
              </w:rPr>
              <w:t>Agree</w:t>
            </w:r>
          </w:p>
        </w:tc>
        <w:tc>
          <w:tcPr>
            <w:tcW w:w="4678" w:type="dxa"/>
            <w:shd w:val="clear" w:color="auto" w:fill="auto"/>
          </w:tcPr>
          <w:p w14:paraId="06B69D83" w14:textId="2D968065" w:rsidR="00DF1936" w:rsidRPr="00ED247E" w:rsidRDefault="002914EC" w:rsidP="002914EC">
            <w:pPr>
              <w:spacing w:before="60" w:after="60"/>
              <w:jc w:val="both"/>
              <w:rPr>
                <w:rFonts w:cs="Times New Roman"/>
              </w:rPr>
            </w:pPr>
            <w:r w:rsidRPr="00ED247E">
              <w:rPr>
                <w:rFonts w:cs="Times New Roman"/>
              </w:rPr>
              <w:t xml:space="preserve">Australia will support the training of supervisors </w:t>
            </w:r>
            <w:r w:rsidR="00DF1936" w:rsidRPr="00ED247E">
              <w:rPr>
                <w:rFonts w:cs="Times New Roman"/>
              </w:rPr>
              <w:t>through ProDEP and through the Road Map process, Australia will continue to dialogue with MoRA about their plan to further develop the capacity of their supervisors.</w:t>
            </w:r>
          </w:p>
        </w:tc>
      </w:tr>
      <w:tr w:rsidR="00DF1936" w14:paraId="12EC500F" w14:textId="77777777" w:rsidTr="00816576">
        <w:tc>
          <w:tcPr>
            <w:tcW w:w="14709" w:type="dxa"/>
            <w:gridSpan w:val="3"/>
          </w:tcPr>
          <w:p w14:paraId="40DDAAC0" w14:textId="77777777" w:rsidR="00DF1936" w:rsidRPr="00ED247E" w:rsidRDefault="00DF1936" w:rsidP="00816576">
            <w:pPr>
              <w:spacing w:before="60" w:after="60"/>
              <w:jc w:val="both"/>
              <w:rPr>
                <w:rFonts w:cs="Times New Roman"/>
                <w:b/>
              </w:rPr>
            </w:pPr>
            <w:r w:rsidRPr="00ED247E">
              <w:rPr>
                <w:rFonts w:cs="Times New Roman"/>
                <w:b/>
              </w:rPr>
              <w:lastRenderedPageBreak/>
              <w:t xml:space="preserve">Component 4 – </w:t>
            </w:r>
            <w:r w:rsidRPr="00ED247E">
              <w:rPr>
                <w:rFonts w:cs="Times New Roman"/>
                <w:b/>
                <w:i/>
              </w:rPr>
              <w:t xml:space="preserve">Analytical and Capacity Development Partnership </w:t>
            </w:r>
            <w:r w:rsidRPr="00ED247E">
              <w:rPr>
                <w:rFonts w:cs="Times New Roman"/>
                <w:b/>
              </w:rPr>
              <w:t>(C4)</w:t>
            </w:r>
          </w:p>
        </w:tc>
      </w:tr>
      <w:tr w:rsidR="00DF1936" w14:paraId="45EEDFA1" w14:textId="77777777" w:rsidTr="00816576">
        <w:tc>
          <w:tcPr>
            <w:tcW w:w="5070" w:type="dxa"/>
          </w:tcPr>
          <w:p w14:paraId="0EC80DCB" w14:textId="77777777" w:rsidR="00DF1936" w:rsidRPr="00ED247E" w:rsidRDefault="00DF1936" w:rsidP="00816576">
            <w:pPr>
              <w:spacing w:before="60" w:after="60"/>
              <w:jc w:val="both"/>
              <w:rPr>
                <w:rFonts w:cs="Times New Roman"/>
                <w:b/>
              </w:rPr>
            </w:pPr>
            <w:r w:rsidRPr="00ED247E">
              <w:rPr>
                <w:rFonts w:cs="Times New Roman"/>
                <w:b/>
              </w:rPr>
              <w:t xml:space="preserve">Recommendation </w:t>
            </w:r>
          </w:p>
        </w:tc>
        <w:tc>
          <w:tcPr>
            <w:tcW w:w="4961" w:type="dxa"/>
          </w:tcPr>
          <w:p w14:paraId="2BC5DD05" w14:textId="77777777" w:rsidR="00DF1936" w:rsidRPr="00ED247E" w:rsidRDefault="00DF1936" w:rsidP="00816576">
            <w:pPr>
              <w:spacing w:before="60" w:after="60"/>
              <w:jc w:val="both"/>
              <w:rPr>
                <w:rFonts w:cs="Times New Roman"/>
                <w:b/>
              </w:rPr>
            </w:pPr>
            <w:r w:rsidRPr="00ED247E">
              <w:rPr>
                <w:rFonts w:cs="Times New Roman"/>
                <w:b/>
              </w:rPr>
              <w:t xml:space="preserve">Management Response </w:t>
            </w:r>
          </w:p>
        </w:tc>
        <w:tc>
          <w:tcPr>
            <w:tcW w:w="4678" w:type="dxa"/>
          </w:tcPr>
          <w:p w14:paraId="60BCCC1A" w14:textId="77777777" w:rsidR="00DF1936" w:rsidRPr="00ED247E" w:rsidRDefault="00DF1936" w:rsidP="00816576">
            <w:pPr>
              <w:spacing w:before="60" w:after="60"/>
              <w:jc w:val="both"/>
              <w:rPr>
                <w:rFonts w:cs="Times New Roman"/>
                <w:b/>
              </w:rPr>
            </w:pPr>
            <w:r w:rsidRPr="00ED247E">
              <w:rPr>
                <w:rFonts w:cs="Times New Roman"/>
                <w:b/>
              </w:rPr>
              <w:t>Actions</w:t>
            </w:r>
          </w:p>
        </w:tc>
      </w:tr>
      <w:tr w:rsidR="00DF1936" w14:paraId="6E96260C" w14:textId="77777777" w:rsidTr="00816576">
        <w:tc>
          <w:tcPr>
            <w:tcW w:w="5070" w:type="dxa"/>
          </w:tcPr>
          <w:p w14:paraId="780609B0" w14:textId="77777777" w:rsidR="00DF1936" w:rsidRPr="00ED247E" w:rsidRDefault="00DF1936" w:rsidP="00816576">
            <w:pPr>
              <w:spacing w:before="60" w:after="60"/>
              <w:jc w:val="both"/>
              <w:rPr>
                <w:rFonts w:cs="Times New Roman"/>
                <w:b/>
              </w:rPr>
            </w:pPr>
            <w:r w:rsidRPr="00ED247E">
              <w:rPr>
                <w:rFonts w:cs="Times New Roman"/>
                <w:b/>
              </w:rPr>
              <w:t>18</w:t>
            </w:r>
            <w:r w:rsidRPr="00ED247E">
              <w:rPr>
                <w:rFonts w:cs="Times New Roman"/>
              </w:rPr>
              <w:t>. The ADB TA Report and ACDP M&amp;E Strategy should be reviewed and updated to include suitable success metrics</w:t>
            </w:r>
            <w:r w:rsidRPr="00ED247E">
              <w:rPr>
                <w:rFonts w:cs="Times New Roman"/>
                <w:b/>
              </w:rPr>
              <w:t xml:space="preserve"> </w:t>
            </w:r>
          </w:p>
        </w:tc>
        <w:tc>
          <w:tcPr>
            <w:tcW w:w="4961" w:type="dxa"/>
          </w:tcPr>
          <w:p w14:paraId="1AAE9BDA" w14:textId="77777777" w:rsidR="00DF1936" w:rsidRPr="00ED247E" w:rsidRDefault="00DF1936" w:rsidP="00816576">
            <w:pPr>
              <w:spacing w:before="60" w:after="60"/>
              <w:jc w:val="both"/>
              <w:rPr>
                <w:rFonts w:cs="Times New Roman"/>
                <w:b/>
              </w:rPr>
            </w:pPr>
            <w:r w:rsidRPr="00ED247E">
              <w:rPr>
                <w:rFonts w:cs="Times New Roman"/>
                <w:b/>
              </w:rPr>
              <w:t>Partially Agree</w:t>
            </w:r>
          </w:p>
          <w:p w14:paraId="379DB7DD" w14:textId="77777777" w:rsidR="00DF1936" w:rsidRPr="00ED247E" w:rsidRDefault="00DF1936" w:rsidP="00816576">
            <w:pPr>
              <w:spacing w:before="60" w:after="60"/>
              <w:jc w:val="both"/>
              <w:rPr>
                <w:rFonts w:cs="Times New Roman"/>
                <w:b/>
              </w:rPr>
            </w:pPr>
          </w:p>
        </w:tc>
        <w:tc>
          <w:tcPr>
            <w:tcW w:w="4678" w:type="dxa"/>
          </w:tcPr>
          <w:p w14:paraId="38A35F92" w14:textId="018FB63B" w:rsidR="00DF1936" w:rsidRPr="00ED247E" w:rsidRDefault="00DF1936" w:rsidP="002914EC">
            <w:pPr>
              <w:spacing w:before="60" w:after="60"/>
              <w:jc w:val="both"/>
              <w:rPr>
                <w:rFonts w:cs="Times New Roman"/>
                <w:b/>
              </w:rPr>
            </w:pPr>
            <w:r w:rsidRPr="00ED247E">
              <w:rPr>
                <w:rFonts w:cs="Times New Roman"/>
              </w:rPr>
              <w:t>Australia will request ACDP to update the M&amp;E Strategy with suitable measures of success</w:t>
            </w:r>
            <w:r w:rsidR="00615726" w:rsidRPr="00ED247E">
              <w:rPr>
                <w:rFonts w:cs="Times New Roman"/>
              </w:rPr>
              <w:t xml:space="preserve"> but not the ADB TA Report</w:t>
            </w:r>
            <w:r w:rsidRPr="00ED247E">
              <w:rPr>
                <w:rFonts w:cs="Times New Roman"/>
              </w:rPr>
              <w:t>.</w:t>
            </w:r>
          </w:p>
        </w:tc>
      </w:tr>
      <w:tr w:rsidR="00DF1936" w14:paraId="019B245D" w14:textId="77777777" w:rsidTr="00816576">
        <w:tc>
          <w:tcPr>
            <w:tcW w:w="5070" w:type="dxa"/>
            <w:shd w:val="clear" w:color="auto" w:fill="auto"/>
          </w:tcPr>
          <w:p w14:paraId="29E1B64E" w14:textId="76AA031E" w:rsidR="00DF1936" w:rsidRPr="00ED247E" w:rsidRDefault="00DF1936" w:rsidP="00816576">
            <w:pPr>
              <w:spacing w:before="60" w:after="60"/>
              <w:jc w:val="both"/>
              <w:rPr>
                <w:rFonts w:cs="Times New Roman"/>
              </w:rPr>
            </w:pPr>
            <w:r w:rsidRPr="00ED247E">
              <w:rPr>
                <w:rFonts w:cs="Times New Roman"/>
                <w:b/>
              </w:rPr>
              <w:t>19.</w:t>
            </w:r>
            <w:r w:rsidRPr="00ED247E">
              <w:rPr>
                <w:rFonts w:cs="Times New Roman"/>
              </w:rPr>
              <w:t xml:space="preserve"> The portfolio of investments should be managed more strategically such that the Secretariat looks beyond output-level deliverables to the pursuit of the agreed outcomes, for example by maximising the potential of its ‘back catalogue’ of concluded activities and by exploiting the synergies between activities.</w:t>
            </w:r>
          </w:p>
        </w:tc>
        <w:tc>
          <w:tcPr>
            <w:tcW w:w="4961" w:type="dxa"/>
            <w:shd w:val="clear" w:color="auto" w:fill="auto"/>
          </w:tcPr>
          <w:p w14:paraId="531B9884" w14:textId="77777777" w:rsidR="00DF1936" w:rsidRPr="00ED247E" w:rsidRDefault="00DF1936" w:rsidP="00816576">
            <w:pPr>
              <w:spacing w:before="60" w:after="60"/>
              <w:jc w:val="both"/>
              <w:rPr>
                <w:rFonts w:cs="Times New Roman"/>
                <w:b/>
              </w:rPr>
            </w:pPr>
            <w:r w:rsidRPr="00ED247E">
              <w:rPr>
                <w:rFonts w:cs="Times New Roman"/>
                <w:b/>
              </w:rPr>
              <w:t>Agree</w:t>
            </w:r>
          </w:p>
        </w:tc>
        <w:tc>
          <w:tcPr>
            <w:tcW w:w="4678" w:type="dxa"/>
            <w:shd w:val="clear" w:color="auto" w:fill="auto"/>
          </w:tcPr>
          <w:p w14:paraId="3D911338" w14:textId="10D5D71C" w:rsidR="00DF1936" w:rsidRPr="00ED247E" w:rsidRDefault="00666423" w:rsidP="00816576">
            <w:pPr>
              <w:spacing w:before="60" w:after="60"/>
              <w:jc w:val="both"/>
              <w:rPr>
                <w:rFonts w:cs="Times New Roman"/>
              </w:rPr>
            </w:pPr>
            <w:r w:rsidRPr="00ED247E">
              <w:rPr>
                <w:rFonts w:cs="Times New Roman"/>
              </w:rPr>
              <w:t>Australia will work with ACDP partners and the ACDP secretariat to improve the management of ACDP activities.</w:t>
            </w:r>
            <w:r w:rsidR="00DF1936" w:rsidRPr="00ED247E">
              <w:rPr>
                <w:rFonts w:cs="Times New Roman"/>
              </w:rPr>
              <w:t xml:space="preserve"> </w:t>
            </w:r>
          </w:p>
        </w:tc>
      </w:tr>
      <w:tr w:rsidR="00DF1936" w14:paraId="37180490" w14:textId="77777777" w:rsidTr="00816576">
        <w:tc>
          <w:tcPr>
            <w:tcW w:w="5070" w:type="dxa"/>
            <w:shd w:val="clear" w:color="auto" w:fill="auto"/>
          </w:tcPr>
          <w:p w14:paraId="0F22E4FC" w14:textId="793A3BD1" w:rsidR="00DF1936" w:rsidRPr="00ED247E" w:rsidRDefault="00DF1936" w:rsidP="00AB2826">
            <w:pPr>
              <w:spacing w:before="60" w:after="60"/>
              <w:jc w:val="both"/>
              <w:rPr>
                <w:rFonts w:cs="Times New Roman"/>
              </w:rPr>
            </w:pPr>
            <w:r w:rsidRPr="00ED247E">
              <w:rPr>
                <w:rFonts w:cs="Times New Roman"/>
                <w:b/>
              </w:rPr>
              <w:t>20.</w:t>
            </w:r>
            <w:r w:rsidRPr="00ED247E">
              <w:rPr>
                <w:rFonts w:cs="Times New Roman"/>
              </w:rPr>
              <w:t xml:space="preserve"> The ACDP Secretariat should invest in full-time, dedicated M&amp;E resources so as to improve results tracking and reporting, and to facilitate learning, continuous improvement and strategic management of its portfolio.</w:t>
            </w:r>
          </w:p>
        </w:tc>
        <w:tc>
          <w:tcPr>
            <w:tcW w:w="4961" w:type="dxa"/>
            <w:shd w:val="clear" w:color="auto" w:fill="auto"/>
          </w:tcPr>
          <w:p w14:paraId="48B746C0" w14:textId="77777777" w:rsidR="00DF1936" w:rsidRPr="00ED247E" w:rsidRDefault="00DF1936" w:rsidP="00816576">
            <w:pPr>
              <w:spacing w:before="60" w:after="60"/>
              <w:jc w:val="both"/>
              <w:rPr>
                <w:rFonts w:cs="Times New Roman"/>
                <w:b/>
              </w:rPr>
            </w:pPr>
            <w:r w:rsidRPr="00ED247E">
              <w:rPr>
                <w:rFonts w:cs="Times New Roman"/>
                <w:b/>
              </w:rPr>
              <w:t>Agree</w:t>
            </w:r>
          </w:p>
        </w:tc>
        <w:tc>
          <w:tcPr>
            <w:tcW w:w="4678" w:type="dxa"/>
            <w:shd w:val="clear" w:color="auto" w:fill="auto"/>
          </w:tcPr>
          <w:p w14:paraId="56528729" w14:textId="77777777" w:rsidR="00DF1936" w:rsidRPr="00ED247E" w:rsidRDefault="00DF1936" w:rsidP="00816576">
            <w:pPr>
              <w:spacing w:before="60" w:after="60"/>
              <w:jc w:val="both"/>
              <w:rPr>
                <w:rFonts w:cs="Times New Roman"/>
              </w:rPr>
            </w:pPr>
            <w:r w:rsidRPr="00ED247E">
              <w:rPr>
                <w:rFonts w:cs="Times New Roman"/>
              </w:rPr>
              <w:t xml:space="preserve">A full time M&amp;E Specialist is being recruited and is expected to be mobilised in March 2015. </w:t>
            </w:r>
          </w:p>
        </w:tc>
      </w:tr>
      <w:tr w:rsidR="00DF1936" w14:paraId="63142480" w14:textId="77777777" w:rsidTr="00816576">
        <w:tc>
          <w:tcPr>
            <w:tcW w:w="5070" w:type="dxa"/>
            <w:shd w:val="clear" w:color="auto" w:fill="auto"/>
          </w:tcPr>
          <w:p w14:paraId="2F73EBE5" w14:textId="154E16AF" w:rsidR="00DF1936" w:rsidRPr="00ED247E" w:rsidRDefault="00DF1936" w:rsidP="00816576">
            <w:pPr>
              <w:ind w:left="459" w:hanging="448"/>
              <w:rPr>
                <w:rFonts w:eastAsia="Times New Roman" w:cs="Times New Roman"/>
              </w:rPr>
            </w:pPr>
            <w:r w:rsidRPr="00ED247E">
              <w:rPr>
                <w:rFonts w:eastAsia="Times New Roman" w:cs="Times New Roman"/>
                <w:b/>
              </w:rPr>
              <w:t>21</w:t>
            </w:r>
            <w:r w:rsidR="00E07381" w:rsidRPr="00ED247E">
              <w:rPr>
                <w:rFonts w:eastAsia="Times New Roman" w:cs="Times New Roman"/>
              </w:rPr>
              <w:t>.</w:t>
            </w:r>
            <w:r w:rsidRPr="00ED247E">
              <w:rPr>
                <w:rFonts w:eastAsia="Times New Roman" w:cs="Times New Roman"/>
              </w:rPr>
              <w:t xml:space="preserve"> Institutional partners should, as part of the negotiations concerning the proposed budget-neutral extension of ACDP, reach a shared understanding or agreement about:</w:t>
            </w:r>
          </w:p>
          <w:p w14:paraId="0D2D7308" w14:textId="77777777" w:rsidR="00DF1936" w:rsidRPr="00ED247E" w:rsidRDefault="00DF1936" w:rsidP="00816576">
            <w:pPr>
              <w:numPr>
                <w:ilvl w:val="0"/>
                <w:numId w:val="27"/>
              </w:numPr>
              <w:ind w:hanging="252"/>
              <w:contextualSpacing/>
              <w:rPr>
                <w:rFonts w:eastAsia="Times New Roman" w:cs="Times New Roman"/>
              </w:rPr>
            </w:pPr>
            <w:r w:rsidRPr="00ED247E">
              <w:rPr>
                <w:rFonts w:eastAsia="Times New Roman" w:cs="Times New Roman"/>
              </w:rPr>
              <w:t xml:space="preserve">the nature of any intended institutional legacy; </w:t>
            </w:r>
          </w:p>
          <w:p w14:paraId="23A2AE48" w14:textId="77777777" w:rsidR="00DF1936" w:rsidRPr="00ED247E" w:rsidRDefault="00DF1936" w:rsidP="00816576">
            <w:pPr>
              <w:numPr>
                <w:ilvl w:val="0"/>
                <w:numId w:val="27"/>
              </w:numPr>
              <w:ind w:hanging="252"/>
              <w:contextualSpacing/>
              <w:rPr>
                <w:rFonts w:eastAsia="Times New Roman" w:cs="Times New Roman"/>
              </w:rPr>
            </w:pPr>
            <w:r w:rsidRPr="00ED247E">
              <w:rPr>
                <w:rFonts w:eastAsia="Times New Roman" w:cs="Times New Roman"/>
              </w:rPr>
              <w:t xml:space="preserve">whether ACDP’s current institutional home is the most appropriate to attain that legacy; </w:t>
            </w:r>
          </w:p>
          <w:p w14:paraId="3304D8B9" w14:textId="77777777" w:rsidR="00DF1936" w:rsidRPr="00ED247E" w:rsidRDefault="00DF1936" w:rsidP="00816576">
            <w:pPr>
              <w:numPr>
                <w:ilvl w:val="0"/>
                <w:numId w:val="27"/>
              </w:numPr>
              <w:ind w:hanging="252"/>
              <w:contextualSpacing/>
              <w:rPr>
                <w:rFonts w:eastAsia="Times New Roman" w:cs="Times New Roman"/>
              </w:rPr>
            </w:pPr>
            <w:r w:rsidRPr="00ED247E">
              <w:rPr>
                <w:rFonts w:eastAsia="Times New Roman" w:cs="Times New Roman"/>
              </w:rPr>
              <w:t>what supporting measures are required by GoI to pursue any intended institutional legacy; and</w:t>
            </w:r>
          </w:p>
          <w:p w14:paraId="5BFAFF81" w14:textId="77777777" w:rsidR="00DF1936" w:rsidRPr="00ED247E" w:rsidRDefault="00DF1936" w:rsidP="00816576">
            <w:pPr>
              <w:numPr>
                <w:ilvl w:val="0"/>
                <w:numId w:val="27"/>
              </w:numPr>
              <w:ind w:hanging="252"/>
              <w:contextualSpacing/>
              <w:rPr>
                <w:lang w:val="en-GB"/>
              </w:rPr>
            </w:pPr>
            <w:r w:rsidRPr="00ED247E">
              <w:rPr>
                <w:rFonts w:eastAsia="Times New Roman" w:cs="Times New Roman"/>
              </w:rPr>
              <w:t>what is expected of ACDP to build the necessary foundations for that legacy</w:t>
            </w:r>
          </w:p>
        </w:tc>
        <w:tc>
          <w:tcPr>
            <w:tcW w:w="4961" w:type="dxa"/>
            <w:shd w:val="clear" w:color="auto" w:fill="auto"/>
          </w:tcPr>
          <w:p w14:paraId="4728F0F3" w14:textId="77777777" w:rsidR="00DF1936" w:rsidRPr="00ED247E" w:rsidRDefault="00DF1936" w:rsidP="00816576">
            <w:pPr>
              <w:spacing w:before="60" w:after="60"/>
              <w:jc w:val="both"/>
              <w:rPr>
                <w:rFonts w:cs="Times New Roman"/>
                <w:b/>
              </w:rPr>
            </w:pPr>
            <w:r w:rsidRPr="00ED247E">
              <w:rPr>
                <w:rFonts w:cs="Times New Roman"/>
                <w:b/>
              </w:rPr>
              <w:t>Agree</w:t>
            </w:r>
          </w:p>
          <w:p w14:paraId="08B06223" w14:textId="77777777" w:rsidR="00DF1936" w:rsidRPr="00ED247E" w:rsidRDefault="00DF1936" w:rsidP="00816576">
            <w:pPr>
              <w:spacing w:before="60" w:after="60"/>
              <w:jc w:val="both"/>
              <w:rPr>
                <w:rFonts w:cs="Times New Roman"/>
                <w:b/>
                <w:i/>
              </w:rPr>
            </w:pPr>
          </w:p>
        </w:tc>
        <w:tc>
          <w:tcPr>
            <w:tcW w:w="4678" w:type="dxa"/>
            <w:shd w:val="clear" w:color="auto" w:fill="auto"/>
          </w:tcPr>
          <w:p w14:paraId="6185BF98" w14:textId="02845A32" w:rsidR="00DF1936" w:rsidRPr="00ED247E" w:rsidRDefault="00DF1936" w:rsidP="002C530C">
            <w:pPr>
              <w:spacing w:before="60" w:after="60"/>
              <w:jc w:val="both"/>
              <w:rPr>
                <w:rFonts w:cs="Times New Roman"/>
              </w:rPr>
            </w:pPr>
            <w:r w:rsidRPr="00ED247E">
              <w:rPr>
                <w:rFonts w:cs="Times New Roman"/>
              </w:rPr>
              <w:t xml:space="preserve">At the ATOG meeting on 3 March 2015, Australia </w:t>
            </w:r>
            <w:r w:rsidR="002C530C" w:rsidRPr="00ED247E">
              <w:rPr>
                <w:rFonts w:cs="Times New Roman"/>
              </w:rPr>
              <w:t>proposed</w:t>
            </w:r>
            <w:r w:rsidRPr="00ED247E">
              <w:rPr>
                <w:rFonts w:cs="Times New Roman"/>
              </w:rPr>
              <w:t xml:space="preserve"> to the ACDP partners that the ACDP develop and implement a sustainability strategy that considers these issues.</w:t>
            </w:r>
            <w:r w:rsidR="002C530C" w:rsidRPr="00ED247E">
              <w:rPr>
                <w:rFonts w:cs="Times New Roman"/>
              </w:rPr>
              <w:t xml:space="preserve"> </w:t>
            </w:r>
            <w:r w:rsidR="00C950AB" w:rsidRPr="00ED247E">
              <w:rPr>
                <w:rFonts w:cs="Times New Roman"/>
              </w:rPr>
              <w:t>Australia’s support to ACDP will finish at the end of 2015.</w:t>
            </w:r>
          </w:p>
        </w:tc>
      </w:tr>
    </w:tbl>
    <w:p w14:paraId="0CD2C209" w14:textId="77777777" w:rsidR="00DF1936" w:rsidRDefault="00DF1936" w:rsidP="007013D4">
      <w:pPr>
        <w:spacing w:line="240" w:lineRule="auto"/>
        <w:rPr>
          <w:rFonts w:cstheme="minorHAnsi"/>
          <w:lang w:val="en-GB"/>
        </w:rPr>
      </w:pPr>
    </w:p>
    <w:tbl>
      <w:tblPr>
        <w:tblStyle w:val="TableGrid"/>
        <w:tblW w:w="0" w:type="auto"/>
        <w:tblLook w:val="04A0" w:firstRow="1" w:lastRow="0" w:firstColumn="1" w:lastColumn="0" w:noHBand="0" w:noVBand="1"/>
      </w:tblPr>
      <w:tblGrid>
        <w:gridCol w:w="5070"/>
        <w:gridCol w:w="4961"/>
        <w:gridCol w:w="4678"/>
      </w:tblGrid>
      <w:tr w:rsidR="00DF1936" w14:paraId="6FFE41A5" w14:textId="77777777" w:rsidTr="00816576">
        <w:tc>
          <w:tcPr>
            <w:tcW w:w="14709" w:type="dxa"/>
            <w:gridSpan w:val="3"/>
          </w:tcPr>
          <w:p w14:paraId="70D329FA" w14:textId="77777777" w:rsidR="00DF1936" w:rsidRPr="00ED247E" w:rsidRDefault="00DF1936" w:rsidP="00816576">
            <w:pPr>
              <w:spacing w:before="60" w:after="60"/>
              <w:jc w:val="both"/>
              <w:rPr>
                <w:rFonts w:cs="Times New Roman"/>
                <w:b/>
              </w:rPr>
            </w:pPr>
            <w:r w:rsidRPr="00ED247E">
              <w:rPr>
                <w:rFonts w:cs="Times New Roman"/>
                <w:b/>
              </w:rPr>
              <w:lastRenderedPageBreak/>
              <w:t>Management and governance of the EP</w:t>
            </w:r>
          </w:p>
        </w:tc>
      </w:tr>
      <w:tr w:rsidR="00DF1936" w14:paraId="4E2E71CD" w14:textId="77777777" w:rsidTr="00816576">
        <w:tc>
          <w:tcPr>
            <w:tcW w:w="5070" w:type="dxa"/>
          </w:tcPr>
          <w:p w14:paraId="08295174" w14:textId="77777777" w:rsidR="00DF1936" w:rsidRPr="00ED247E" w:rsidRDefault="00DF1936" w:rsidP="00816576">
            <w:pPr>
              <w:spacing w:before="60" w:after="60"/>
              <w:jc w:val="both"/>
              <w:rPr>
                <w:rFonts w:cs="Times New Roman"/>
                <w:b/>
              </w:rPr>
            </w:pPr>
            <w:r w:rsidRPr="00ED247E">
              <w:rPr>
                <w:rFonts w:cs="Times New Roman"/>
                <w:b/>
              </w:rPr>
              <w:t xml:space="preserve">Recommendation </w:t>
            </w:r>
          </w:p>
        </w:tc>
        <w:tc>
          <w:tcPr>
            <w:tcW w:w="4961" w:type="dxa"/>
          </w:tcPr>
          <w:p w14:paraId="34268205" w14:textId="77777777" w:rsidR="00DF1936" w:rsidRPr="00ED247E" w:rsidRDefault="00DF1936" w:rsidP="00816576">
            <w:pPr>
              <w:spacing w:before="60" w:after="60"/>
              <w:jc w:val="both"/>
              <w:rPr>
                <w:rFonts w:cs="Times New Roman"/>
                <w:b/>
              </w:rPr>
            </w:pPr>
            <w:r w:rsidRPr="00ED247E">
              <w:rPr>
                <w:rFonts w:cs="Times New Roman"/>
                <w:b/>
              </w:rPr>
              <w:t xml:space="preserve">Management Response </w:t>
            </w:r>
          </w:p>
        </w:tc>
        <w:tc>
          <w:tcPr>
            <w:tcW w:w="4678" w:type="dxa"/>
          </w:tcPr>
          <w:p w14:paraId="4456BA1B" w14:textId="77777777" w:rsidR="00DF1936" w:rsidRPr="00ED247E" w:rsidRDefault="00DF1936" w:rsidP="00816576">
            <w:pPr>
              <w:spacing w:before="60" w:after="60"/>
              <w:jc w:val="both"/>
              <w:rPr>
                <w:rFonts w:cs="Times New Roman"/>
                <w:b/>
              </w:rPr>
            </w:pPr>
            <w:r w:rsidRPr="00ED247E">
              <w:rPr>
                <w:rFonts w:cs="Times New Roman"/>
                <w:b/>
              </w:rPr>
              <w:t>Actions</w:t>
            </w:r>
          </w:p>
        </w:tc>
      </w:tr>
      <w:tr w:rsidR="00DF1936" w14:paraId="5B830F26" w14:textId="77777777" w:rsidTr="00816576">
        <w:tc>
          <w:tcPr>
            <w:tcW w:w="5070" w:type="dxa"/>
            <w:shd w:val="clear" w:color="auto" w:fill="auto"/>
          </w:tcPr>
          <w:p w14:paraId="79262870" w14:textId="255D3B76" w:rsidR="00DF1936" w:rsidRPr="00ED247E" w:rsidRDefault="00E07381" w:rsidP="00816576">
            <w:pPr>
              <w:spacing w:before="60" w:after="60"/>
              <w:jc w:val="both"/>
              <w:rPr>
                <w:rFonts w:cs="Times New Roman"/>
                <w:b/>
              </w:rPr>
            </w:pPr>
            <w:r w:rsidRPr="00ED247E">
              <w:rPr>
                <w:rFonts w:cs="Times New Roman"/>
                <w:b/>
              </w:rPr>
              <w:t>22.</w:t>
            </w:r>
            <w:r w:rsidR="00DF1936" w:rsidRPr="00ED247E">
              <w:rPr>
                <w:rFonts w:cs="Times New Roman"/>
              </w:rPr>
              <w:t xml:space="preserve"> EP managers should identify and agree upon key strategies for the realisation of EP EOPOs and ensure that EP workplans align with key strategies</w:t>
            </w:r>
          </w:p>
        </w:tc>
        <w:tc>
          <w:tcPr>
            <w:tcW w:w="4961" w:type="dxa"/>
            <w:shd w:val="clear" w:color="auto" w:fill="auto"/>
          </w:tcPr>
          <w:p w14:paraId="47EA3EFB" w14:textId="77777777" w:rsidR="00DF1936" w:rsidRPr="00ED247E" w:rsidRDefault="00DF1936" w:rsidP="00816576">
            <w:pPr>
              <w:spacing w:before="60" w:after="60"/>
              <w:jc w:val="both"/>
              <w:rPr>
                <w:rFonts w:cs="Times New Roman"/>
                <w:b/>
              </w:rPr>
            </w:pPr>
            <w:r w:rsidRPr="00ED247E">
              <w:rPr>
                <w:rFonts w:cs="Times New Roman"/>
                <w:b/>
              </w:rPr>
              <w:t>Agree</w:t>
            </w:r>
          </w:p>
          <w:p w14:paraId="007F0B6A" w14:textId="77777777" w:rsidR="00DF1936" w:rsidRPr="00ED247E" w:rsidRDefault="00DF1936" w:rsidP="00816576">
            <w:pPr>
              <w:spacing w:before="60" w:after="60"/>
              <w:jc w:val="both"/>
              <w:rPr>
                <w:rFonts w:cs="Times New Roman"/>
                <w:b/>
              </w:rPr>
            </w:pPr>
          </w:p>
          <w:p w14:paraId="24E58806" w14:textId="5C4D2C6B" w:rsidR="00DF1936" w:rsidRPr="00ED247E" w:rsidRDefault="00DF1936" w:rsidP="00816576">
            <w:pPr>
              <w:spacing w:before="60" w:after="60"/>
              <w:jc w:val="both"/>
              <w:rPr>
                <w:rFonts w:cs="Times New Roman"/>
                <w:b/>
              </w:rPr>
            </w:pPr>
          </w:p>
        </w:tc>
        <w:tc>
          <w:tcPr>
            <w:tcW w:w="4678" w:type="dxa"/>
            <w:shd w:val="clear" w:color="auto" w:fill="auto"/>
          </w:tcPr>
          <w:p w14:paraId="14A00F99" w14:textId="117154D8" w:rsidR="00DF1936" w:rsidRPr="00ED247E" w:rsidRDefault="00DF1936" w:rsidP="00ED247E">
            <w:pPr>
              <w:spacing w:before="60" w:after="60"/>
              <w:jc w:val="both"/>
              <w:rPr>
                <w:rFonts w:cs="Times New Roman"/>
                <w:highlight w:val="yellow"/>
              </w:rPr>
            </w:pPr>
            <w:r w:rsidRPr="00ED247E">
              <w:rPr>
                <w:rFonts w:cs="Times New Roman"/>
              </w:rPr>
              <w:t xml:space="preserve">Through regular dialogue and formal governance mechanisms </w:t>
            </w:r>
            <w:r w:rsidR="00E07381" w:rsidRPr="00ED247E">
              <w:rPr>
                <w:rFonts w:cs="Times New Roman"/>
              </w:rPr>
              <w:t>Australia</w:t>
            </w:r>
            <w:r w:rsidRPr="00ED247E">
              <w:rPr>
                <w:rFonts w:cs="Times New Roman"/>
              </w:rPr>
              <w:t xml:space="preserve"> will continue to work closely with MoEC, MoRA and other stakeholders to keep a clear line of sight on the aspirations of the EP.</w:t>
            </w:r>
          </w:p>
        </w:tc>
      </w:tr>
      <w:tr w:rsidR="00DF1936" w14:paraId="7BEDE15D" w14:textId="77777777" w:rsidTr="00816576">
        <w:tc>
          <w:tcPr>
            <w:tcW w:w="5070" w:type="dxa"/>
            <w:shd w:val="clear" w:color="auto" w:fill="auto"/>
          </w:tcPr>
          <w:p w14:paraId="051EA020" w14:textId="0A6D785E" w:rsidR="00DF1936" w:rsidRPr="00ED247E" w:rsidRDefault="00E07381" w:rsidP="00816576">
            <w:pPr>
              <w:rPr>
                <w:rFonts w:cs="Times New Roman"/>
              </w:rPr>
            </w:pPr>
            <w:r w:rsidRPr="00ED247E">
              <w:rPr>
                <w:rFonts w:cs="Times New Roman"/>
                <w:b/>
              </w:rPr>
              <w:t>23.</w:t>
            </w:r>
            <w:r w:rsidR="00DF1936" w:rsidRPr="00ED247E">
              <w:rPr>
                <w:rFonts w:cs="Times New Roman"/>
              </w:rPr>
              <w:t xml:space="preserve"> A formal mechanism to identify, review and share lessons learned from the implementation of the EP should be established and then applied to the new AIP priorities and programs</w:t>
            </w:r>
            <w:r w:rsidRPr="00ED247E">
              <w:rPr>
                <w:rFonts w:cs="Times New Roman"/>
              </w:rPr>
              <w:t>.</w:t>
            </w:r>
          </w:p>
        </w:tc>
        <w:tc>
          <w:tcPr>
            <w:tcW w:w="4961" w:type="dxa"/>
            <w:shd w:val="clear" w:color="auto" w:fill="auto"/>
          </w:tcPr>
          <w:p w14:paraId="02F1AB6E" w14:textId="2E3E16A6" w:rsidR="00DF1936" w:rsidRPr="00ED247E" w:rsidRDefault="00E07381" w:rsidP="00816576">
            <w:pPr>
              <w:spacing w:before="60" w:after="60"/>
              <w:jc w:val="both"/>
              <w:rPr>
                <w:rFonts w:cs="Times New Roman"/>
                <w:b/>
              </w:rPr>
            </w:pPr>
            <w:r w:rsidRPr="00ED247E">
              <w:rPr>
                <w:rFonts w:cs="Times New Roman"/>
                <w:b/>
              </w:rPr>
              <w:t>Agree</w:t>
            </w:r>
          </w:p>
          <w:p w14:paraId="0C4A54D9" w14:textId="468DE174" w:rsidR="00DF1936" w:rsidRPr="00ED247E" w:rsidRDefault="00DF1936" w:rsidP="00816576">
            <w:pPr>
              <w:spacing w:before="60" w:after="60"/>
              <w:jc w:val="both"/>
              <w:rPr>
                <w:rFonts w:cs="Times New Roman"/>
              </w:rPr>
            </w:pPr>
          </w:p>
        </w:tc>
        <w:tc>
          <w:tcPr>
            <w:tcW w:w="4678" w:type="dxa"/>
            <w:shd w:val="clear" w:color="auto" w:fill="auto"/>
          </w:tcPr>
          <w:p w14:paraId="64A72972" w14:textId="2AF815EA" w:rsidR="00DF1936" w:rsidRPr="00ED247E" w:rsidRDefault="00E07381" w:rsidP="00816576">
            <w:pPr>
              <w:spacing w:before="60" w:after="60"/>
              <w:jc w:val="both"/>
              <w:rPr>
                <w:rFonts w:cs="Times New Roman"/>
                <w:highlight w:val="yellow"/>
              </w:rPr>
            </w:pPr>
            <w:r w:rsidRPr="00ED247E">
              <w:rPr>
                <w:rFonts w:cs="Times New Roman"/>
              </w:rPr>
              <w:t>Australia will work with POM to ensure lessons learnt are captured and shared.</w:t>
            </w:r>
          </w:p>
        </w:tc>
      </w:tr>
      <w:tr w:rsidR="00DF1936" w14:paraId="5F97EB5A" w14:textId="77777777" w:rsidTr="00816576">
        <w:tc>
          <w:tcPr>
            <w:tcW w:w="5070" w:type="dxa"/>
            <w:shd w:val="clear" w:color="auto" w:fill="auto"/>
          </w:tcPr>
          <w:p w14:paraId="7511A7E6" w14:textId="22E42BE8" w:rsidR="00DF1936" w:rsidRPr="00ED247E" w:rsidRDefault="00E07381" w:rsidP="00E07381">
            <w:pPr>
              <w:spacing w:before="60" w:after="60"/>
              <w:jc w:val="both"/>
              <w:rPr>
                <w:rFonts w:cs="Times New Roman"/>
                <w:b/>
              </w:rPr>
            </w:pPr>
            <w:r w:rsidRPr="00ED247E">
              <w:rPr>
                <w:rFonts w:cs="Times New Roman"/>
                <w:b/>
              </w:rPr>
              <w:t>24.</w:t>
            </w:r>
            <w:r w:rsidR="00DF1936" w:rsidRPr="00ED247E">
              <w:rPr>
                <w:rFonts w:cs="Times New Roman"/>
              </w:rPr>
              <w:t xml:space="preserve"> EP managers should identify and maximise cross-component synergies through stronger EP portfolio management</w:t>
            </w:r>
          </w:p>
        </w:tc>
        <w:tc>
          <w:tcPr>
            <w:tcW w:w="4961" w:type="dxa"/>
            <w:shd w:val="clear" w:color="auto" w:fill="auto"/>
          </w:tcPr>
          <w:p w14:paraId="3BDD313C" w14:textId="66AB6846" w:rsidR="00DF1936" w:rsidRPr="00ED247E" w:rsidRDefault="00802025" w:rsidP="00816576">
            <w:pPr>
              <w:spacing w:before="60" w:after="60"/>
              <w:jc w:val="both"/>
              <w:rPr>
                <w:rFonts w:cs="Times New Roman"/>
                <w:b/>
              </w:rPr>
            </w:pPr>
            <w:r w:rsidRPr="00ED247E">
              <w:rPr>
                <w:rFonts w:cs="Times New Roman"/>
                <w:b/>
              </w:rPr>
              <w:t>Agree</w:t>
            </w:r>
          </w:p>
        </w:tc>
        <w:tc>
          <w:tcPr>
            <w:tcW w:w="4678" w:type="dxa"/>
            <w:shd w:val="clear" w:color="auto" w:fill="auto"/>
          </w:tcPr>
          <w:p w14:paraId="0C7AD707" w14:textId="58CC22F0" w:rsidR="00DF1936" w:rsidRPr="00ED247E" w:rsidRDefault="00802025" w:rsidP="00816576">
            <w:pPr>
              <w:spacing w:before="60" w:after="60"/>
              <w:jc w:val="both"/>
              <w:rPr>
                <w:rFonts w:cs="Times New Roman"/>
              </w:rPr>
            </w:pPr>
            <w:r w:rsidRPr="00ED247E">
              <w:rPr>
                <w:rFonts w:cs="Times New Roman"/>
              </w:rPr>
              <w:t>Australia will continue to encourage engagement across the components of the EP to maximise the benefits and chance of sustainability.</w:t>
            </w:r>
          </w:p>
        </w:tc>
      </w:tr>
      <w:tr w:rsidR="00DF1936" w14:paraId="3683AA3A" w14:textId="77777777" w:rsidTr="00816576">
        <w:tc>
          <w:tcPr>
            <w:tcW w:w="5070" w:type="dxa"/>
            <w:shd w:val="clear" w:color="auto" w:fill="auto"/>
          </w:tcPr>
          <w:p w14:paraId="2B445E3D" w14:textId="3BC1C769" w:rsidR="00DF1936" w:rsidRPr="00ED247E" w:rsidRDefault="00110777" w:rsidP="00110777">
            <w:pPr>
              <w:rPr>
                <w:rFonts w:cs="Times New Roman"/>
              </w:rPr>
            </w:pPr>
            <w:r w:rsidRPr="00ED247E">
              <w:rPr>
                <w:rFonts w:cs="Times New Roman"/>
                <w:b/>
              </w:rPr>
              <w:t>25.</w:t>
            </w:r>
            <w:r w:rsidR="00DF1936" w:rsidRPr="00ED247E">
              <w:rPr>
                <w:rFonts w:cs="Times New Roman"/>
              </w:rPr>
              <w:t xml:space="preserve"> Institutional partners, with the support of implementing partners, should define a clear strategy that explains how the EP translates DFAT’s and GoI’s policies on equity and equality into action</w:t>
            </w:r>
          </w:p>
        </w:tc>
        <w:tc>
          <w:tcPr>
            <w:tcW w:w="4961" w:type="dxa"/>
            <w:shd w:val="clear" w:color="auto" w:fill="auto"/>
          </w:tcPr>
          <w:p w14:paraId="78E01D67" w14:textId="68FC9980" w:rsidR="00DF1936" w:rsidRPr="00ED247E" w:rsidRDefault="00615726" w:rsidP="00816576">
            <w:pPr>
              <w:spacing w:before="60" w:after="60"/>
              <w:jc w:val="both"/>
              <w:rPr>
                <w:rFonts w:cs="Times New Roman"/>
                <w:b/>
              </w:rPr>
            </w:pPr>
            <w:r w:rsidRPr="00ED247E">
              <w:rPr>
                <w:rFonts w:cs="Times New Roman"/>
                <w:b/>
              </w:rPr>
              <w:t>A</w:t>
            </w:r>
            <w:r w:rsidR="00110777" w:rsidRPr="00ED247E">
              <w:rPr>
                <w:rFonts w:cs="Times New Roman"/>
                <w:b/>
              </w:rPr>
              <w:t>gree</w:t>
            </w:r>
          </w:p>
        </w:tc>
        <w:tc>
          <w:tcPr>
            <w:tcW w:w="4678" w:type="dxa"/>
            <w:shd w:val="clear" w:color="auto" w:fill="auto"/>
          </w:tcPr>
          <w:p w14:paraId="58725DC1" w14:textId="0C3D320E" w:rsidR="00DF1936" w:rsidRPr="00ED247E" w:rsidRDefault="008B4140" w:rsidP="00134281">
            <w:pPr>
              <w:spacing w:before="60" w:after="60"/>
              <w:jc w:val="both"/>
              <w:rPr>
                <w:rFonts w:cs="Times New Roman"/>
              </w:rPr>
            </w:pPr>
            <w:r w:rsidRPr="00ED247E">
              <w:rPr>
                <w:rFonts w:cs="Times New Roman"/>
              </w:rPr>
              <w:t xml:space="preserve">The EP </w:t>
            </w:r>
            <w:r w:rsidR="00134281" w:rsidRPr="00ED247E">
              <w:rPr>
                <w:rFonts w:cs="Times New Roman"/>
              </w:rPr>
              <w:t xml:space="preserve">will develop a strategy which </w:t>
            </w:r>
            <w:r w:rsidRPr="00ED247E">
              <w:rPr>
                <w:rFonts w:cs="Times New Roman"/>
              </w:rPr>
              <w:t>will focus on promoting gender equality and inclusive</w:t>
            </w:r>
            <w:r w:rsidR="00134281" w:rsidRPr="00ED247E">
              <w:rPr>
                <w:rFonts w:cs="Times New Roman"/>
              </w:rPr>
              <w:t xml:space="preserve"> education in its final period.</w:t>
            </w:r>
          </w:p>
        </w:tc>
      </w:tr>
      <w:tr w:rsidR="00DF1936" w14:paraId="3E0F3B14" w14:textId="77777777" w:rsidTr="00816576">
        <w:tc>
          <w:tcPr>
            <w:tcW w:w="5070" w:type="dxa"/>
            <w:shd w:val="clear" w:color="auto" w:fill="auto"/>
          </w:tcPr>
          <w:p w14:paraId="35754A29" w14:textId="73E6360E" w:rsidR="00DF1936" w:rsidRPr="00ED247E" w:rsidRDefault="00F31685" w:rsidP="00AB30F2">
            <w:pPr>
              <w:rPr>
                <w:rFonts w:cs="Times New Roman"/>
              </w:rPr>
            </w:pPr>
            <w:r w:rsidRPr="00ED247E">
              <w:rPr>
                <w:rFonts w:cs="Times New Roman"/>
                <w:b/>
              </w:rPr>
              <w:t>26.</w:t>
            </w:r>
            <w:r w:rsidR="00DF1936" w:rsidRPr="00ED247E">
              <w:rPr>
                <w:rFonts w:cs="Times New Roman"/>
              </w:rPr>
              <w:t xml:space="preserve"> Institutional partners, with the support of implementing partners where appropriate, should identify relevant social inclusion indicators, milestones and targets for incorporation into the Performance Milestone Framework</w:t>
            </w:r>
          </w:p>
        </w:tc>
        <w:tc>
          <w:tcPr>
            <w:tcW w:w="4961" w:type="dxa"/>
            <w:shd w:val="clear" w:color="auto" w:fill="auto"/>
          </w:tcPr>
          <w:p w14:paraId="6FAAE899" w14:textId="73D4E483" w:rsidR="00DF1936" w:rsidRPr="00ED247E" w:rsidRDefault="003833C9" w:rsidP="00816576">
            <w:pPr>
              <w:spacing w:before="60" w:after="60"/>
              <w:jc w:val="both"/>
              <w:rPr>
                <w:rFonts w:cs="Times New Roman"/>
                <w:b/>
              </w:rPr>
            </w:pPr>
            <w:r w:rsidRPr="00ED247E">
              <w:rPr>
                <w:rFonts w:cs="Times New Roman"/>
                <w:b/>
              </w:rPr>
              <w:t>Agree</w:t>
            </w:r>
          </w:p>
        </w:tc>
        <w:tc>
          <w:tcPr>
            <w:tcW w:w="4678" w:type="dxa"/>
            <w:shd w:val="clear" w:color="auto" w:fill="auto"/>
          </w:tcPr>
          <w:p w14:paraId="0AAA3065" w14:textId="25602132" w:rsidR="00DF1936" w:rsidRPr="00ED247E" w:rsidRDefault="003833C9" w:rsidP="00AB30F2">
            <w:pPr>
              <w:spacing w:before="60" w:after="60"/>
              <w:jc w:val="both"/>
              <w:rPr>
                <w:rFonts w:cs="Times New Roman"/>
              </w:rPr>
            </w:pPr>
            <w:r w:rsidRPr="00ED247E">
              <w:rPr>
                <w:rFonts w:cs="Times New Roman"/>
              </w:rPr>
              <w:t>As part of the work to define activities to promote inclusive education</w:t>
            </w:r>
            <w:r w:rsidR="00AB30F2" w:rsidRPr="00ED247E">
              <w:rPr>
                <w:rFonts w:cs="Times New Roman"/>
              </w:rPr>
              <w:t>, the Education Partnership management team will define performance indicators for the Performance Milestone Framework.</w:t>
            </w:r>
            <w:r w:rsidRPr="00ED247E">
              <w:rPr>
                <w:rFonts w:cs="Times New Roman"/>
              </w:rPr>
              <w:t xml:space="preserve"> </w:t>
            </w:r>
          </w:p>
        </w:tc>
      </w:tr>
      <w:tr w:rsidR="00DF1936" w14:paraId="34AE9B88" w14:textId="77777777" w:rsidTr="00816576">
        <w:tc>
          <w:tcPr>
            <w:tcW w:w="5070" w:type="dxa"/>
            <w:shd w:val="clear" w:color="auto" w:fill="auto"/>
          </w:tcPr>
          <w:p w14:paraId="695A446E" w14:textId="20D753BC" w:rsidR="00DF1936" w:rsidRPr="00ED247E" w:rsidRDefault="00AB30F2" w:rsidP="00816576">
            <w:pPr>
              <w:rPr>
                <w:rFonts w:cs="Times New Roman"/>
              </w:rPr>
            </w:pPr>
            <w:r w:rsidRPr="00ED247E">
              <w:rPr>
                <w:rFonts w:cs="Times New Roman"/>
                <w:b/>
              </w:rPr>
              <w:t>27.</w:t>
            </w:r>
            <w:r w:rsidR="00DF1936" w:rsidRPr="00ED247E">
              <w:rPr>
                <w:rFonts w:cs="Times New Roman"/>
              </w:rPr>
              <w:t xml:space="preserve"> EP managers should develop an action plan identifying adjustments required to the EP to </w:t>
            </w:r>
          </w:p>
          <w:p w14:paraId="6C9DD46E" w14:textId="22BB95DF" w:rsidR="00DF1936" w:rsidRPr="00ED247E" w:rsidRDefault="00DF1936" w:rsidP="00ED247E">
            <w:pPr>
              <w:rPr>
                <w:rFonts w:cs="Times New Roman"/>
                <w:b/>
                <w:lang w:val="en-GB"/>
              </w:rPr>
            </w:pPr>
            <w:r w:rsidRPr="00ED247E">
              <w:rPr>
                <w:rFonts w:cs="Times New Roman"/>
              </w:rPr>
              <w:t>respond to the development principles articulated withi</w:t>
            </w:r>
            <w:r w:rsidR="00ED247E">
              <w:rPr>
                <w:rFonts w:cs="Times New Roman"/>
              </w:rPr>
              <w:t>n Australia’s “new aid paradigm”</w:t>
            </w:r>
          </w:p>
        </w:tc>
        <w:tc>
          <w:tcPr>
            <w:tcW w:w="4961" w:type="dxa"/>
            <w:shd w:val="clear" w:color="auto" w:fill="auto"/>
          </w:tcPr>
          <w:p w14:paraId="7DEB6230" w14:textId="0E05C2C7" w:rsidR="00DF1936" w:rsidRPr="00ED247E" w:rsidRDefault="00CD60FD" w:rsidP="00816576">
            <w:pPr>
              <w:spacing w:before="60" w:after="60"/>
              <w:jc w:val="both"/>
              <w:rPr>
                <w:rFonts w:cs="Times New Roman"/>
                <w:b/>
              </w:rPr>
            </w:pPr>
            <w:r w:rsidRPr="00ED247E">
              <w:rPr>
                <w:rFonts w:cs="Times New Roman"/>
                <w:b/>
              </w:rPr>
              <w:t>Agree</w:t>
            </w:r>
          </w:p>
        </w:tc>
        <w:tc>
          <w:tcPr>
            <w:tcW w:w="4678" w:type="dxa"/>
            <w:shd w:val="clear" w:color="auto" w:fill="auto"/>
          </w:tcPr>
          <w:p w14:paraId="4A22D0BC" w14:textId="00D4D7D8" w:rsidR="00DF1936" w:rsidRPr="00ED247E" w:rsidRDefault="00CD60FD" w:rsidP="00DD798A">
            <w:pPr>
              <w:spacing w:before="60" w:after="60"/>
              <w:jc w:val="both"/>
              <w:rPr>
                <w:rFonts w:cs="Times New Roman"/>
              </w:rPr>
            </w:pPr>
            <w:r w:rsidRPr="00ED247E">
              <w:rPr>
                <w:rFonts w:cs="Times New Roman"/>
              </w:rPr>
              <w:t xml:space="preserve">The Education Partnership is developing a sustainability and transition plan which will </w:t>
            </w:r>
            <w:r w:rsidR="00DD798A" w:rsidRPr="00ED247E">
              <w:rPr>
                <w:rFonts w:cs="Times New Roman"/>
              </w:rPr>
              <w:t>guide the</w:t>
            </w:r>
            <w:r w:rsidRPr="00ED247E">
              <w:rPr>
                <w:rFonts w:cs="Times New Roman"/>
              </w:rPr>
              <w:t xml:space="preserve"> forward agenda as articulated in the Aid Investment Plan.</w:t>
            </w:r>
          </w:p>
        </w:tc>
      </w:tr>
      <w:tr w:rsidR="00DF1936" w14:paraId="557FEDBD" w14:textId="77777777" w:rsidTr="00816576">
        <w:tc>
          <w:tcPr>
            <w:tcW w:w="5070" w:type="dxa"/>
            <w:shd w:val="clear" w:color="auto" w:fill="auto"/>
          </w:tcPr>
          <w:p w14:paraId="133110E3" w14:textId="5CA144EC" w:rsidR="00DF1936" w:rsidRPr="00ED247E" w:rsidRDefault="00CD60FD" w:rsidP="00816576">
            <w:pPr>
              <w:rPr>
                <w:rFonts w:cs="Times New Roman"/>
                <w:lang w:val="en-GB"/>
              </w:rPr>
            </w:pPr>
            <w:r w:rsidRPr="00ED247E">
              <w:rPr>
                <w:rFonts w:cs="Times New Roman"/>
                <w:b/>
              </w:rPr>
              <w:t>28.</w:t>
            </w:r>
            <w:r w:rsidR="00DF1936" w:rsidRPr="00ED247E">
              <w:rPr>
                <w:rFonts w:cs="Times New Roman"/>
              </w:rPr>
              <w:t xml:space="preserve"> As part of the above, agreement on a utilitarian VFM framework should be reached early in 2015</w:t>
            </w:r>
          </w:p>
          <w:p w14:paraId="5C6188D7" w14:textId="77777777" w:rsidR="00DF1936" w:rsidRPr="00ED247E" w:rsidRDefault="00DF1936" w:rsidP="00816576">
            <w:pPr>
              <w:rPr>
                <w:rFonts w:cs="Times New Roman"/>
                <w:b/>
              </w:rPr>
            </w:pPr>
          </w:p>
        </w:tc>
        <w:tc>
          <w:tcPr>
            <w:tcW w:w="4961" w:type="dxa"/>
            <w:shd w:val="clear" w:color="auto" w:fill="auto"/>
          </w:tcPr>
          <w:p w14:paraId="24CB78AC" w14:textId="1B2437AF" w:rsidR="00DF1936" w:rsidRPr="00ED247E" w:rsidRDefault="00CD60FD" w:rsidP="00816576">
            <w:pPr>
              <w:spacing w:before="60" w:after="60"/>
              <w:jc w:val="both"/>
              <w:rPr>
                <w:rFonts w:cs="Times New Roman"/>
                <w:b/>
              </w:rPr>
            </w:pPr>
            <w:r w:rsidRPr="00ED247E">
              <w:rPr>
                <w:rFonts w:cs="Times New Roman"/>
                <w:b/>
              </w:rPr>
              <w:t>Agree</w:t>
            </w:r>
            <w:r w:rsidR="00DF1936" w:rsidRPr="00ED247E">
              <w:rPr>
                <w:rFonts w:cs="Times New Roman"/>
                <w:b/>
              </w:rPr>
              <w:t xml:space="preserve"> </w:t>
            </w:r>
          </w:p>
        </w:tc>
        <w:tc>
          <w:tcPr>
            <w:tcW w:w="4678" w:type="dxa"/>
            <w:shd w:val="clear" w:color="auto" w:fill="auto"/>
          </w:tcPr>
          <w:p w14:paraId="2CE12CC9" w14:textId="50705490" w:rsidR="00DF1936" w:rsidRPr="00ED247E" w:rsidRDefault="00CD60FD" w:rsidP="00816576">
            <w:pPr>
              <w:spacing w:before="60" w:after="60"/>
              <w:jc w:val="both"/>
              <w:rPr>
                <w:rFonts w:cs="Times New Roman"/>
              </w:rPr>
            </w:pPr>
            <w:r w:rsidRPr="00ED247E">
              <w:rPr>
                <w:rFonts w:cs="Times New Roman"/>
              </w:rPr>
              <w:t>A value for money assessment of the EP wi</w:t>
            </w:r>
            <w:r w:rsidR="00DD798A" w:rsidRPr="00ED247E">
              <w:rPr>
                <w:rFonts w:cs="Times New Roman"/>
              </w:rPr>
              <w:t xml:space="preserve">ll be conducted in late 2015. A </w:t>
            </w:r>
            <w:r w:rsidRPr="00ED247E">
              <w:rPr>
                <w:rFonts w:cs="Times New Roman"/>
              </w:rPr>
              <w:t>terms of reference for this assessment are being developed.</w:t>
            </w:r>
          </w:p>
        </w:tc>
      </w:tr>
    </w:tbl>
    <w:p w14:paraId="16C92D20" w14:textId="77777777" w:rsidR="00DF1936" w:rsidRPr="007013D4" w:rsidRDefault="00DF1936" w:rsidP="00ED247E">
      <w:pPr>
        <w:spacing w:line="240" w:lineRule="auto"/>
        <w:rPr>
          <w:rFonts w:cstheme="minorHAnsi"/>
          <w:lang w:val="en-GB"/>
        </w:rPr>
      </w:pPr>
    </w:p>
    <w:sectPr w:rsidR="00DF1936" w:rsidRPr="007013D4" w:rsidSect="007013D4">
      <w:pgSz w:w="16838" w:h="11906" w:orient="landscape"/>
      <w:pgMar w:top="1440" w:right="1134" w:bottom="1440"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7CEC0A" w14:textId="77777777" w:rsidR="00945DC1" w:rsidRDefault="00945DC1" w:rsidP="00E31C06">
      <w:pPr>
        <w:spacing w:after="0" w:line="240" w:lineRule="auto"/>
      </w:pPr>
      <w:r>
        <w:separator/>
      </w:r>
    </w:p>
  </w:endnote>
  <w:endnote w:type="continuationSeparator" w:id="0">
    <w:p w14:paraId="122E4195" w14:textId="77777777" w:rsidR="00945DC1" w:rsidRDefault="00945DC1" w:rsidP="00E31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0171398"/>
      <w:docPartObj>
        <w:docPartGallery w:val="Page Numbers (Bottom of Page)"/>
        <w:docPartUnique/>
      </w:docPartObj>
    </w:sdtPr>
    <w:sdtEndPr>
      <w:rPr>
        <w:noProof/>
      </w:rPr>
    </w:sdtEndPr>
    <w:sdtContent>
      <w:p w14:paraId="619C2577" w14:textId="77777777" w:rsidR="00945DC1" w:rsidRDefault="00945DC1">
        <w:pPr>
          <w:pStyle w:val="Footer"/>
          <w:jc w:val="right"/>
        </w:pPr>
        <w:r>
          <w:fldChar w:fldCharType="begin"/>
        </w:r>
        <w:r>
          <w:instrText xml:space="preserve"> PAGE   \* MERGEFORMAT </w:instrText>
        </w:r>
        <w:r>
          <w:fldChar w:fldCharType="separate"/>
        </w:r>
        <w:r w:rsidR="008F5E9A">
          <w:rPr>
            <w:noProof/>
          </w:rPr>
          <w:t>2</w:t>
        </w:r>
        <w:r>
          <w:rPr>
            <w:noProof/>
          </w:rPr>
          <w:fldChar w:fldCharType="end"/>
        </w:r>
      </w:p>
    </w:sdtContent>
  </w:sdt>
  <w:p w14:paraId="3E562205" w14:textId="77777777" w:rsidR="00945DC1" w:rsidRDefault="00945D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D5DBC0" w14:textId="77777777" w:rsidR="00945DC1" w:rsidRDefault="00945DC1" w:rsidP="00E31C06">
      <w:pPr>
        <w:spacing w:after="0" w:line="240" w:lineRule="auto"/>
      </w:pPr>
      <w:r>
        <w:separator/>
      </w:r>
    </w:p>
  </w:footnote>
  <w:footnote w:type="continuationSeparator" w:id="0">
    <w:p w14:paraId="7B4E9EB2" w14:textId="77777777" w:rsidR="00945DC1" w:rsidRDefault="00945DC1" w:rsidP="00E31C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74819"/>
    <w:multiLevelType w:val="hybridMultilevel"/>
    <w:tmpl w:val="5F3631A8"/>
    <w:lvl w:ilvl="0" w:tplc="EB3C19B4">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E80AEB"/>
    <w:multiLevelType w:val="hybridMultilevel"/>
    <w:tmpl w:val="5D6EB1A0"/>
    <w:lvl w:ilvl="0" w:tplc="9B62AEC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47447F"/>
    <w:multiLevelType w:val="hybridMultilevel"/>
    <w:tmpl w:val="EB9E8BB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9582F1E"/>
    <w:multiLevelType w:val="hybridMultilevel"/>
    <w:tmpl w:val="7C7049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B851BE0"/>
    <w:multiLevelType w:val="hybridMultilevel"/>
    <w:tmpl w:val="3A74E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E96D60"/>
    <w:multiLevelType w:val="hybridMultilevel"/>
    <w:tmpl w:val="A4F6F0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0341C1"/>
    <w:multiLevelType w:val="hybridMultilevel"/>
    <w:tmpl w:val="A964EF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3D50F1D"/>
    <w:multiLevelType w:val="hybridMultilevel"/>
    <w:tmpl w:val="3B7419D2"/>
    <w:lvl w:ilvl="0" w:tplc="BEEC108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F6F2E38"/>
    <w:multiLevelType w:val="hybridMultilevel"/>
    <w:tmpl w:val="87648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1834D1"/>
    <w:multiLevelType w:val="hybridMultilevel"/>
    <w:tmpl w:val="3B7419D2"/>
    <w:lvl w:ilvl="0" w:tplc="BEEC108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304119E"/>
    <w:multiLevelType w:val="hybridMultilevel"/>
    <w:tmpl w:val="3BE6435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nsid w:val="27496892"/>
    <w:multiLevelType w:val="hybridMultilevel"/>
    <w:tmpl w:val="8FDC6FE4"/>
    <w:lvl w:ilvl="0" w:tplc="F7D2DA9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7A81434"/>
    <w:multiLevelType w:val="hybridMultilevel"/>
    <w:tmpl w:val="6A40853A"/>
    <w:lvl w:ilvl="0" w:tplc="669495FA">
      <w:start w:val="1"/>
      <w:numFmt w:val="decimal"/>
      <w:pStyle w:val="SCCR"/>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3C26043A">
      <w:numFmt w:val="bullet"/>
      <w:lvlText w:val="–"/>
      <w:lvlJc w:val="left"/>
      <w:pPr>
        <w:ind w:left="1980" w:hanging="360"/>
      </w:pPr>
      <w:rPr>
        <w:rFonts w:ascii="Arial" w:eastAsia="Times New Roman" w:hAnsi="Arial" w:hint="default"/>
      </w:rPr>
    </w:lvl>
    <w:lvl w:ilvl="3" w:tplc="2FFACECE">
      <w:start w:val="1"/>
      <w:numFmt w:val="lowerRoman"/>
      <w:lvlText w:val="(%4)"/>
      <w:lvlJc w:val="left"/>
      <w:pPr>
        <w:tabs>
          <w:tab w:val="num" w:pos="2880"/>
        </w:tabs>
        <w:ind w:left="2880" w:hanging="720"/>
      </w:pPr>
      <w:rPr>
        <w:rFonts w:cs="Times New Roman" w:hint="default"/>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4">
    <w:nsid w:val="2CFD1B75"/>
    <w:multiLevelType w:val="hybridMultilevel"/>
    <w:tmpl w:val="3B7419D2"/>
    <w:lvl w:ilvl="0" w:tplc="BEEC108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1B65EC6"/>
    <w:multiLevelType w:val="hybridMultilevel"/>
    <w:tmpl w:val="147887E4"/>
    <w:lvl w:ilvl="0" w:tplc="7DAC981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44E407D"/>
    <w:multiLevelType w:val="hybridMultilevel"/>
    <w:tmpl w:val="6B2032C8"/>
    <w:lvl w:ilvl="0" w:tplc="EB3C19B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4F6C73"/>
    <w:multiLevelType w:val="hybridMultilevel"/>
    <w:tmpl w:val="7C4287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96927B1"/>
    <w:multiLevelType w:val="hybridMultilevel"/>
    <w:tmpl w:val="E3E2D162"/>
    <w:lvl w:ilvl="0" w:tplc="DE8E80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B2A72D8"/>
    <w:multiLevelType w:val="hybridMultilevel"/>
    <w:tmpl w:val="51DA73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17F79A2"/>
    <w:multiLevelType w:val="hybridMultilevel"/>
    <w:tmpl w:val="27344A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1EC4121"/>
    <w:multiLevelType w:val="hybridMultilevel"/>
    <w:tmpl w:val="97F649E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nsid w:val="491B5251"/>
    <w:multiLevelType w:val="hybridMultilevel"/>
    <w:tmpl w:val="5A4C88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9A13194"/>
    <w:multiLevelType w:val="hybridMultilevel"/>
    <w:tmpl w:val="4A1A20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9FB4847"/>
    <w:multiLevelType w:val="hybridMultilevel"/>
    <w:tmpl w:val="6BA4FE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CBE1E94"/>
    <w:multiLevelType w:val="hybridMultilevel"/>
    <w:tmpl w:val="A4EA3814"/>
    <w:lvl w:ilvl="0" w:tplc="0C090001">
      <w:start w:val="1"/>
      <w:numFmt w:val="bullet"/>
      <w:lvlText w:val=""/>
      <w:lvlJc w:val="left"/>
      <w:pPr>
        <w:ind w:left="819" w:hanging="360"/>
      </w:pPr>
      <w:rPr>
        <w:rFonts w:ascii="Symbol" w:hAnsi="Symbol" w:hint="default"/>
      </w:rPr>
    </w:lvl>
    <w:lvl w:ilvl="1" w:tplc="0C090003" w:tentative="1">
      <w:start w:val="1"/>
      <w:numFmt w:val="bullet"/>
      <w:lvlText w:val="o"/>
      <w:lvlJc w:val="left"/>
      <w:pPr>
        <w:ind w:left="1539" w:hanging="360"/>
      </w:pPr>
      <w:rPr>
        <w:rFonts w:ascii="Courier New" w:hAnsi="Courier New" w:cs="Courier New" w:hint="default"/>
      </w:rPr>
    </w:lvl>
    <w:lvl w:ilvl="2" w:tplc="0C090005" w:tentative="1">
      <w:start w:val="1"/>
      <w:numFmt w:val="bullet"/>
      <w:lvlText w:val=""/>
      <w:lvlJc w:val="left"/>
      <w:pPr>
        <w:ind w:left="2259" w:hanging="360"/>
      </w:pPr>
      <w:rPr>
        <w:rFonts w:ascii="Wingdings" w:hAnsi="Wingdings" w:hint="default"/>
      </w:rPr>
    </w:lvl>
    <w:lvl w:ilvl="3" w:tplc="0C090001" w:tentative="1">
      <w:start w:val="1"/>
      <w:numFmt w:val="bullet"/>
      <w:lvlText w:val=""/>
      <w:lvlJc w:val="left"/>
      <w:pPr>
        <w:ind w:left="2979" w:hanging="360"/>
      </w:pPr>
      <w:rPr>
        <w:rFonts w:ascii="Symbol" w:hAnsi="Symbol" w:hint="default"/>
      </w:rPr>
    </w:lvl>
    <w:lvl w:ilvl="4" w:tplc="0C090003" w:tentative="1">
      <w:start w:val="1"/>
      <w:numFmt w:val="bullet"/>
      <w:lvlText w:val="o"/>
      <w:lvlJc w:val="left"/>
      <w:pPr>
        <w:ind w:left="3699" w:hanging="360"/>
      </w:pPr>
      <w:rPr>
        <w:rFonts w:ascii="Courier New" w:hAnsi="Courier New" w:cs="Courier New" w:hint="default"/>
      </w:rPr>
    </w:lvl>
    <w:lvl w:ilvl="5" w:tplc="0C090005" w:tentative="1">
      <w:start w:val="1"/>
      <w:numFmt w:val="bullet"/>
      <w:lvlText w:val=""/>
      <w:lvlJc w:val="left"/>
      <w:pPr>
        <w:ind w:left="4419" w:hanging="360"/>
      </w:pPr>
      <w:rPr>
        <w:rFonts w:ascii="Wingdings" w:hAnsi="Wingdings" w:hint="default"/>
      </w:rPr>
    </w:lvl>
    <w:lvl w:ilvl="6" w:tplc="0C090001" w:tentative="1">
      <w:start w:val="1"/>
      <w:numFmt w:val="bullet"/>
      <w:lvlText w:val=""/>
      <w:lvlJc w:val="left"/>
      <w:pPr>
        <w:ind w:left="5139" w:hanging="360"/>
      </w:pPr>
      <w:rPr>
        <w:rFonts w:ascii="Symbol" w:hAnsi="Symbol" w:hint="default"/>
      </w:rPr>
    </w:lvl>
    <w:lvl w:ilvl="7" w:tplc="0C090003" w:tentative="1">
      <w:start w:val="1"/>
      <w:numFmt w:val="bullet"/>
      <w:lvlText w:val="o"/>
      <w:lvlJc w:val="left"/>
      <w:pPr>
        <w:ind w:left="5859" w:hanging="360"/>
      </w:pPr>
      <w:rPr>
        <w:rFonts w:ascii="Courier New" w:hAnsi="Courier New" w:cs="Courier New" w:hint="default"/>
      </w:rPr>
    </w:lvl>
    <w:lvl w:ilvl="8" w:tplc="0C090005" w:tentative="1">
      <w:start w:val="1"/>
      <w:numFmt w:val="bullet"/>
      <w:lvlText w:val=""/>
      <w:lvlJc w:val="left"/>
      <w:pPr>
        <w:ind w:left="6579" w:hanging="360"/>
      </w:pPr>
      <w:rPr>
        <w:rFonts w:ascii="Wingdings" w:hAnsi="Wingdings" w:hint="default"/>
      </w:rPr>
    </w:lvl>
  </w:abstractNum>
  <w:abstractNum w:abstractNumId="26">
    <w:nsid w:val="5DAC6C7F"/>
    <w:multiLevelType w:val="hybridMultilevel"/>
    <w:tmpl w:val="3C726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ED42E18"/>
    <w:multiLevelType w:val="hybridMultilevel"/>
    <w:tmpl w:val="91CCAC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1275909"/>
    <w:multiLevelType w:val="hybridMultilevel"/>
    <w:tmpl w:val="D89EE0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3A32EC2"/>
    <w:multiLevelType w:val="hybridMultilevel"/>
    <w:tmpl w:val="E71E08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3BB550C"/>
    <w:multiLevelType w:val="hybridMultilevel"/>
    <w:tmpl w:val="0F9C30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48C2990"/>
    <w:multiLevelType w:val="hybridMultilevel"/>
    <w:tmpl w:val="84367AB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65C9168B"/>
    <w:multiLevelType w:val="hybridMultilevel"/>
    <w:tmpl w:val="1FA21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7AC0E3D"/>
    <w:multiLevelType w:val="hybridMultilevel"/>
    <w:tmpl w:val="B224C1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1F7522B"/>
    <w:multiLevelType w:val="hybridMultilevel"/>
    <w:tmpl w:val="E6AAC1A0"/>
    <w:lvl w:ilvl="0" w:tplc="08090019">
      <w:start w:val="1"/>
      <w:numFmt w:val="lowerLetter"/>
      <w:lvlText w:val="%1."/>
      <w:lvlJc w:val="left"/>
      <w:pPr>
        <w:ind w:left="216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nsid w:val="7A2E13E1"/>
    <w:multiLevelType w:val="hybridMultilevel"/>
    <w:tmpl w:val="A140AB4A"/>
    <w:lvl w:ilvl="0" w:tplc="FFFFFFFF">
      <w:numFmt w:val="bullet"/>
      <w:lvlText w:val=""/>
      <w:lvlJc w:val="left"/>
      <w:pPr>
        <w:tabs>
          <w:tab w:val="num" w:pos="360"/>
        </w:tabs>
        <w:ind w:left="360" w:hanging="360"/>
      </w:pPr>
      <w:rPr>
        <w:rFonts w:ascii="Symbol" w:eastAsia="Times New Roman" w:hAnsi="Symbol" w:hint="default"/>
        <w:color w:val="auto"/>
        <w:sz w:val="24"/>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6">
    <w:nsid w:val="7A8D57A9"/>
    <w:multiLevelType w:val="hybridMultilevel"/>
    <w:tmpl w:val="3FCCC858"/>
    <w:lvl w:ilvl="0" w:tplc="EB3C19B4">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B8D2974"/>
    <w:multiLevelType w:val="hybridMultilevel"/>
    <w:tmpl w:val="24A64620"/>
    <w:lvl w:ilvl="0" w:tplc="9B62AE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CDC674A"/>
    <w:multiLevelType w:val="hybridMultilevel"/>
    <w:tmpl w:val="80524D3A"/>
    <w:lvl w:ilvl="0" w:tplc="D4F8D31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5"/>
  </w:num>
  <w:num w:numId="5">
    <w:abstractNumId w:val="5"/>
  </w:num>
  <w:num w:numId="6">
    <w:abstractNumId w:val="0"/>
  </w:num>
  <w:num w:numId="7">
    <w:abstractNumId w:val="31"/>
  </w:num>
  <w:num w:numId="8">
    <w:abstractNumId w:val="38"/>
  </w:num>
  <w:num w:numId="9">
    <w:abstractNumId w:val="16"/>
  </w:num>
  <w:num w:numId="10">
    <w:abstractNumId w:val="27"/>
  </w:num>
  <w:num w:numId="11">
    <w:abstractNumId w:val="36"/>
  </w:num>
  <w:num w:numId="12">
    <w:abstractNumId w:val="33"/>
  </w:num>
  <w:num w:numId="13">
    <w:abstractNumId w:val="35"/>
  </w:num>
  <w:num w:numId="14">
    <w:abstractNumId w:val="6"/>
  </w:num>
  <w:num w:numId="15">
    <w:abstractNumId w:val="26"/>
  </w:num>
  <w:num w:numId="16">
    <w:abstractNumId w:val="8"/>
  </w:num>
  <w:num w:numId="17">
    <w:abstractNumId w:val="32"/>
  </w:num>
  <w:num w:numId="18">
    <w:abstractNumId w:val="24"/>
  </w:num>
  <w:num w:numId="19">
    <w:abstractNumId w:val="29"/>
  </w:num>
  <w:num w:numId="20">
    <w:abstractNumId w:val="37"/>
  </w:num>
  <w:num w:numId="21">
    <w:abstractNumId w:val="14"/>
  </w:num>
  <w:num w:numId="22">
    <w:abstractNumId w:val="9"/>
  </w:num>
  <w:num w:numId="23">
    <w:abstractNumId w:val="1"/>
  </w:num>
  <w:num w:numId="24">
    <w:abstractNumId w:val="21"/>
  </w:num>
  <w:num w:numId="25">
    <w:abstractNumId w:val="18"/>
  </w:num>
  <w:num w:numId="26">
    <w:abstractNumId w:val="7"/>
  </w:num>
  <w:num w:numId="27">
    <w:abstractNumId w:val="25"/>
  </w:num>
  <w:num w:numId="28">
    <w:abstractNumId w:val="34"/>
  </w:num>
  <w:num w:numId="29">
    <w:abstractNumId w:val="4"/>
  </w:num>
  <w:num w:numId="30">
    <w:abstractNumId w:val="22"/>
  </w:num>
  <w:num w:numId="31">
    <w:abstractNumId w:val="23"/>
  </w:num>
  <w:num w:numId="32">
    <w:abstractNumId w:val="19"/>
  </w:num>
  <w:num w:numId="33">
    <w:abstractNumId w:val="17"/>
  </w:num>
  <w:num w:numId="34">
    <w:abstractNumId w:val="3"/>
  </w:num>
  <w:num w:numId="35">
    <w:abstractNumId w:val="28"/>
  </w:num>
  <w:num w:numId="36">
    <w:abstractNumId w:val="20"/>
  </w:num>
  <w:num w:numId="37">
    <w:abstractNumId w:val="2"/>
  </w:num>
  <w:num w:numId="38">
    <w:abstractNumId w:val="10"/>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774"/>
    <w:rsid w:val="00003721"/>
    <w:rsid w:val="000046FF"/>
    <w:rsid w:val="000110CD"/>
    <w:rsid w:val="00012C8D"/>
    <w:rsid w:val="00022F9A"/>
    <w:rsid w:val="00024FC2"/>
    <w:rsid w:val="00032576"/>
    <w:rsid w:val="00034A50"/>
    <w:rsid w:val="00043CE0"/>
    <w:rsid w:val="00053263"/>
    <w:rsid w:val="00054AF2"/>
    <w:rsid w:val="00054B75"/>
    <w:rsid w:val="00057D38"/>
    <w:rsid w:val="000612B9"/>
    <w:rsid w:val="0006465A"/>
    <w:rsid w:val="000705AB"/>
    <w:rsid w:val="00077A25"/>
    <w:rsid w:val="00077BDE"/>
    <w:rsid w:val="0008617E"/>
    <w:rsid w:val="000919C5"/>
    <w:rsid w:val="000A0B1E"/>
    <w:rsid w:val="000B21CD"/>
    <w:rsid w:val="000B35C4"/>
    <w:rsid w:val="000C158C"/>
    <w:rsid w:val="000C6FC6"/>
    <w:rsid w:val="000D2966"/>
    <w:rsid w:val="000E2D8E"/>
    <w:rsid w:val="000E4021"/>
    <w:rsid w:val="000E4944"/>
    <w:rsid w:val="000E576E"/>
    <w:rsid w:val="000E6D57"/>
    <w:rsid w:val="000F0FCF"/>
    <w:rsid w:val="000F1ED1"/>
    <w:rsid w:val="000F66FC"/>
    <w:rsid w:val="00103FD1"/>
    <w:rsid w:val="00110777"/>
    <w:rsid w:val="00113E55"/>
    <w:rsid w:val="00120DAF"/>
    <w:rsid w:val="001247A7"/>
    <w:rsid w:val="001279FA"/>
    <w:rsid w:val="00134281"/>
    <w:rsid w:val="00137A8D"/>
    <w:rsid w:val="0015224C"/>
    <w:rsid w:val="0015231E"/>
    <w:rsid w:val="00153E19"/>
    <w:rsid w:val="001545CB"/>
    <w:rsid w:val="001570DA"/>
    <w:rsid w:val="00162A47"/>
    <w:rsid w:val="00174CF3"/>
    <w:rsid w:val="001754CD"/>
    <w:rsid w:val="00181016"/>
    <w:rsid w:val="00190015"/>
    <w:rsid w:val="00190A3E"/>
    <w:rsid w:val="001A0341"/>
    <w:rsid w:val="001A1524"/>
    <w:rsid w:val="001A1D96"/>
    <w:rsid w:val="001A4021"/>
    <w:rsid w:val="001A5DE7"/>
    <w:rsid w:val="001B07A5"/>
    <w:rsid w:val="001B4A64"/>
    <w:rsid w:val="001C0FB7"/>
    <w:rsid w:val="001C111C"/>
    <w:rsid w:val="001C509E"/>
    <w:rsid w:val="001C63B4"/>
    <w:rsid w:val="001C6837"/>
    <w:rsid w:val="001C7AF7"/>
    <w:rsid w:val="001D1469"/>
    <w:rsid w:val="001D3C94"/>
    <w:rsid w:val="001E04F1"/>
    <w:rsid w:val="001E7059"/>
    <w:rsid w:val="001F618A"/>
    <w:rsid w:val="001F6C60"/>
    <w:rsid w:val="00206431"/>
    <w:rsid w:val="00212DB5"/>
    <w:rsid w:val="0021477E"/>
    <w:rsid w:val="00217901"/>
    <w:rsid w:val="002200EB"/>
    <w:rsid w:val="002217A0"/>
    <w:rsid w:val="00225F8D"/>
    <w:rsid w:val="002345B7"/>
    <w:rsid w:val="00235318"/>
    <w:rsid w:val="00236499"/>
    <w:rsid w:val="00240D74"/>
    <w:rsid w:val="002427CD"/>
    <w:rsid w:val="00252BD8"/>
    <w:rsid w:val="00252D55"/>
    <w:rsid w:val="002546E4"/>
    <w:rsid w:val="0025473E"/>
    <w:rsid w:val="00257DAF"/>
    <w:rsid w:val="00265593"/>
    <w:rsid w:val="00265826"/>
    <w:rsid w:val="002678DF"/>
    <w:rsid w:val="00270922"/>
    <w:rsid w:val="002842D0"/>
    <w:rsid w:val="00290C57"/>
    <w:rsid w:val="002914EC"/>
    <w:rsid w:val="00297CE4"/>
    <w:rsid w:val="002B0474"/>
    <w:rsid w:val="002B262D"/>
    <w:rsid w:val="002C5209"/>
    <w:rsid w:val="002C530C"/>
    <w:rsid w:val="002D05E0"/>
    <w:rsid w:val="002D0E19"/>
    <w:rsid w:val="002F11E2"/>
    <w:rsid w:val="002F190B"/>
    <w:rsid w:val="002F1C98"/>
    <w:rsid w:val="002F4598"/>
    <w:rsid w:val="002F6225"/>
    <w:rsid w:val="002F7E58"/>
    <w:rsid w:val="00302F39"/>
    <w:rsid w:val="0031542A"/>
    <w:rsid w:val="00315A09"/>
    <w:rsid w:val="0031791F"/>
    <w:rsid w:val="003204FC"/>
    <w:rsid w:val="00325FB9"/>
    <w:rsid w:val="00330F2C"/>
    <w:rsid w:val="00336C2B"/>
    <w:rsid w:val="003403B7"/>
    <w:rsid w:val="00340741"/>
    <w:rsid w:val="0034776F"/>
    <w:rsid w:val="00350745"/>
    <w:rsid w:val="00354138"/>
    <w:rsid w:val="00354D2B"/>
    <w:rsid w:val="00355CF9"/>
    <w:rsid w:val="00364205"/>
    <w:rsid w:val="003651DC"/>
    <w:rsid w:val="0037590B"/>
    <w:rsid w:val="00380CF7"/>
    <w:rsid w:val="00382575"/>
    <w:rsid w:val="003833C9"/>
    <w:rsid w:val="0039369F"/>
    <w:rsid w:val="003947B1"/>
    <w:rsid w:val="00394E9E"/>
    <w:rsid w:val="003A5B9A"/>
    <w:rsid w:val="003A66D8"/>
    <w:rsid w:val="003A76B4"/>
    <w:rsid w:val="003B05D3"/>
    <w:rsid w:val="003D60D1"/>
    <w:rsid w:val="003D7186"/>
    <w:rsid w:val="003E3E88"/>
    <w:rsid w:val="003F0719"/>
    <w:rsid w:val="003F2977"/>
    <w:rsid w:val="003F30CC"/>
    <w:rsid w:val="003F467C"/>
    <w:rsid w:val="003F4ADA"/>
    <w:rsid w:val="003F7D85"/>
    <w:rsid w:val="00400B18"/>
    <w:rsid w:val="00404AD8"/>
    <w:rsid w:val="004062CF"/>
    <w:rsid w:val="004156C8"/>
    <w:rsid w:val="00415CCC"/>
    <w:rsid w:val="00425BF7"/>
    <w:rsid w:val="00427397"/>
    <w:rsid w:val="00435224"/>
    <w:rsid w:val="00437C39"/>
    <w:rsid w:val="00447433"/>
    <w:rsid w:val="00454D0F"/>
    <w:rsid w:val="00457B81"/>
    <w:rsid w:val="00462D2A"/>
    <w:rsid w:val="004642DC"/>
    <w:rsid w:val="00470F07"/>
    <w:rsid w:val="00482A1A"/>
    <w:rsid w:val="00483A59"/>
    <w:rsid w:val="00486412"/>
    <w:rsid w:val="00486FF8"/>
    <w:rsid w:val="004A44D9"/>
    <w:rsid w:val="004A57D6"/>
    <w:rsid w:val="004B2A38"/>
    <w:rsid w:val="004C0713"/>
    <w:rsid w:val="004C1F8D"/>
    <w:rsid w:val="004C204C"/>
    <w:rsid w:val="004C211A"/>
    <w:rsid w:val="004F3B9B"/>
    <w:rsid w:val="004F5C46"/>
    <w:rsid w:val="004F607A"/>
    <w:rsid w:val="004F6BC7"/>
    <w:rsid w:val="00501815"/>
    <w:rsid w:val="00502264"/>
    <w:rsid w:val="005026EE"/>
    <w:rsid w:val="0050378A"/>
    <w:rsid w:val="00516074"/>
    <w:rsid w:val="00535D4F"/>
    <w:rsid w:val="005421C1"/>
    <w:rsid w:val="005619E6"/>
    <w:rsid w:val="0056259F"/>
    <w:rsid w:val="005650C5"/>
    <w:rsid w:val="00567C32"/>
    <w:rsid w:val="00580846"/>
    <w:rsid w:val="005832B0"/>
    <w:rsid w:val="00584112"/>
    <w:rsid w:val="00590152"/>
    <w:rsid w:val="00592402"/>
    <w:rsid w:val="005A01BE"/>
    <w:rsid w:val="005A6CB7"/>
    <w:rsid w:val="005B6B35"/>
    <w:rsid w:val="005C3204"/>
    <w:rsid w:val="005C7465"/>
    <w:rsid w:val="005D3CAB"/>
    <w:rsid w:val="005E0C33"/>
    <w:rsid w:val="005E4E86"/>
    <w:rsid w:val="005E6F41"/>
    <w:rsid w:val="005E736F"/>
    <w:rsid w:val="005F0968"/>
    <w:rsid w:val="005F77B7"/>
    <w:rsid w:val="005F7A66"/>
    <w:rsid w:val="006000C8"/>
    <w:rsid w:val="00605D35"/>
    <w:rsid w:val="00612780"/>
    <w:rsid w:val="006129A6"/>
    <w:rsid w:val="00612DB1"/>
    <w:rsid w:val="00615726"/>
    <w:rsid w:val="006203D1"/>
    <w:rsid w:val="00621FBF"/>
    <w:rsid w:val="0062759C"/>
    <w:rsid w:val="00650AFB"/>
    <w:rsid w:val="00651316"/>
    <w:rsid w:val="0065418E"/>
    <w:rsid w:val="00661302"/>
    <w:rsid w:val="00663CAA"/>
    <w:rsid w:val="00666423"/>
    <w:rsid w:val="00666987"/>
    <w:rsid w:val="006715ED"/>
    <w:rsid w:val="00680F36"/>
    <w:rsid w:val="006820CE"/>
    <w:rsid w:val="00692348"/>
    <w:rsid w:val="006B2D4D"/>
    <w:rsid w:val="006B4946"/>
    <w:rsid w:val="006D67F0"/>
    <w:rsid w:val="006F3519"/>
    <w:rsid w:val="006F45E4"/>
    <w:rsid w:val="006F520F"/>
    <w:rsid w:val="006F5AB4"/>
    <w:rsid w:val="006F6306"/>
    <w:rsid w:val="006F763B"/>
    <w:rsid w:val="007012F2"/>
    <w:rsid w:val="007013D4"/>
    <w:rsid w:val="00725887"/>
    <w:rsid w:val="00730358"/>
    <w:rsid w:val="00732691"/>
    <w:rsid w:val="00734A1D"/>
    <w:rsid w:val="00745D6C"/>
    <w:rsid w:val="00746D1D"/>
    <w:rsid w:val="00751C4F"/>
    <w:rsid w:val="00755D46"/>
    <w:rsid w:val="00767A40"/>
    <w:rsid w:val="00770A02"/>
    <w:rsid w:val="00774D48"/>
    <w:rsid w:val="00780E67"/>
    <w:rsid w:val="0078178D"/>
    <w:rsid w:val="00783CC7"/>
    <w:rsid w:val="00785A8C"/>
    <w:rsid w:val="007A0214"/>
    <w:rsid w:val="007A10D4"/>
    <w:rsid w:val="007A5BE4"/>
    <w:rsid w:val="007A65C0"/>
    <w:rsid w:val="007A6D40"/>
    <w:rsid w:val="007B2256"/>
    <w:rsid w:val="007C1667"/>
    <w:rsid w:val="007C51C3"/>
    <w:rsid w:val="007D1E80"/>
    <w:rsid w:val="007E06BF"/>
    <w:rsid w:val="007E0868"/>
    <w:rsid w:val="007E454F"/>
    <w:rsid w:val="007E5D76"/>
    <w:rsid w:val="0080184F"/>
    <w:rsid w:val="00802025"/>
    <w:rsid w:val="00802599"/>
    <w:rsid w:val="00803961"/>
    <w:rsid w:val="008057D7"/>
    <w:rsid w:val="0080778F"/>
    <w:rsid w:val="00810E48"/>
    <w:rsid w:val="00816576"/>
    <w:rsid w:val="008223BE"/>
    <w:rsid w:val="008229F3"/>
    <w:rsid w:val="00825CF0"/>
    <w:rsid w:val="0083339C"/>
    <w:rsid w:val="008353E7"/>
    <w:rsid w:val="0083621C"/>
    <w:rsid w:val="008370D0"/>
    <w:rsid w:val="008403CB"/>
    <w:rsid w:val="00842720"/>
    <w:rsid w:val="008573E4"/>
    <w:rsid w:val="00863042"/>
    <w:rsid w:val="00874B77"/>
    <w:rsid w:val="008754A6"/>
    <w:rsid w:val="00876BBB"/>
    <w:rsid w:val="008813EA"/>
    <w:rsid w:val="00890CF0"/>
    <w:rsid w:val="00894FCF"/>
    <w:rsid w:val="008B185C"/>
    <w:rsid w:val="008B4140"/>
    <w:rsid w:val="008B73E8"/>
    <w:rsid w:val="008C11E4"/>
    <w:rsid w:val="008C302B"/>
    <w:rsid w:val="008C46F1"/>
    <w:rsid w:val="008C5C27"/>
    <w:rsid w:val="008C733B"/>
    <w:rsid w:val="008D1A91"/>
    <w:rsid w:val="008D66E3"/>
    <w:rsid w:val="008E7338"/>
    <w:rsid w:val="008F5E9A"/>
    <w:rsid w:val="008F60EA"/>
    <w:rsid w:val="00902D4B"/>
    <w:rsid w:val="00913585"/>
    <w:rsid w:val="00914E83"/>
    <w:rsid w:val="00920284"/>
    <w:rsid w:val="009274DB"/>
    <w:rsid w:val="00927833"/>
    <w:rsid w:val="00945DC1"/>
    <w:rsid w:val="00945FBF"/>
    <w:rsid w:val="00947C7E"/>
    <w:rsid w:val="00956C13"/>
    <w:rsid w:val="009602F9"/>
    <w:rsid w:val="00963A0F"/>
    <w:rsid w:val="00963D5E"/>
    <w:rsid w:val="00974DDA"/>
    <w:rsid w:val="0098046F"/>
    <w:rsid w:val="00981B45"/>
    <w:rsid w:val="00994026"/>
    <w:rsid w:val="009941BA"/>
    <w:rsid w:val="00996A10"/>
    <w:rsid w:val="0099736A"/>
    <w:rsid w:val="009A2EF0"/>
    <w:rsid w:val="009B4362"/>
    <w:rsid w:val="009B65D3"/>
    <w:rsid w:val="009C3BC1"/>
    <w:rsid w:val="009C7866"/>
    <w:rsid w:val="009D0643"/>
    <w:rsid w:val="009D0CC8"/>
    <w:rsid w:val="009D293E"/>
    <w:rsid w:val="009D51E6"/>
    <w:rsid w:val="009D66CE"/>
    <w:rsid w:val="009E1EEE"/>
    <w:rsid w:val="009E7A52"/>
    <w:rsid w:val="009E7B52"/>
    <w:rsid w:val="009F0C1E"/>
    <w:rsid w:val="009F31AD"/>
    <w:rsid w:val="009F7A1E"/>
    <w:rsid w:val="00A00164"/>
    <w:rsid w:val="00A00D78"/>
    <w:rsid w:val="00A04871"/>
    <w:rsid w:val="00A05483"/>
    <w:rsid w:val="00A07D4A"/>
    <w:rsid w:val="00A10B53"/>
    <w:rsid w:val="00A1758C"/>
    <w:rsid w:val="00A17951"/>
    <w:rsid w:val="00A22E16"/>
    <w:rsid w:val="00A27022"/>
    <w:rsid w:val="00A27469"/>
    <w:rsid w:val="00A27D1B"/>
    <w:rsid w:val="00A34306"/>
    <w:rsid w:val="00A370A6"/>
    <w:rsid w:val="00A50A0D"/>
    <w:rsid w:val="00A50FCE"/>
    <w:rsid w:val="00A61A6C"/>
    <w:rsid w:val="00A62A41"/>
    <w:rsid w:val="00A6389A"/>
    <w:rsid w:val="00A668C0"/>
    <w:rsid w:val="00A7022E"/>
    <w:rsid w:val="00A71114"/>
    <w:rsid w:val="00A71A1B"/>
    <w:rsid w:val="00A77D1E"/>
    <w:rsid w:val="00A870B5"/>
    <w:rsid w:val="00A95A98"/>
    <w:rsid w:val="00AA1F0D"/>
    <w:rsid w:val="00AB2826"/>
    <w:rsid w:val="00AB30F2"/>
    <w:rsid w:val="00AB58AA"/>
    <w:rsid w:val="00AC0C26"/>
    <w:rsid w:val="00AC214A"/>
    <w:rsid w:val="00AC2818"/>
    <w:rsid w:val="00AD2679"/>
    <w:rsid w:val="00AD62B4"/>
    <w:rsid w:val="00AD67AE"/>
    <w:rsid w:val="00AE395C"/>
    <w:rsid w:val="00AE3E2C"/>
    <w:rsid w:val="00B07DA1"/>
    <w:rsid w:val="00B153B9"/>
    <w:rsid w:val="00B24B6D"/>
    <w:rsid w:val="00B32886"/>
    <w:rsid w:val="00B33C3A"/>
    <w:rsid w:val="00B33EF4"/>
    <w:rsid w:val="00B353F4"/>
    <w:rsid w:val="00B47213"/>
    <w:rsid w:val="00B47F4D"/>
    <w:rsid w:val="00B47FF4"/>
    <w:rsid w:val="00B55DB1"/>
    <w:rsid w:val="00B649EC"/>
    <w:rsid w:val="00B67B5D"/>
    <w:rsid w:val="00B72B5B"/>
    <w:rsid w:val="00B76BC5"/>
    <w:rsid w:val="00B76EE1"/>
    <w:rsid w:val="00B778F6"/>
    <w:rsid w:val="00B77B79"/>
    <w:rsid w:val="00B82459"/>
    <w:rsid w:val="00B82BCE"/>
    <w:rsid w:val="00B832ED"/>
    <w:rsid w:val="00B8450E"/>
    <w:rsid w:val="00B85774"/>
    <w:rsid w:val="00BB2D6E"/>
    <w:rsid w:val="00BC14D5"/>
    <w:rsid w:val="00BC364A"/>
    <w:rsid w:val="00BD215F"/>
    <w:rsid w:val="00BD2348"/>
    <w:rsid w:val="00BF000D"/>
    <w:rsid w:val="00BF39F9"/>
    <w:rsid w:val="00C00DAD"/>
    <w:rsid w:val="00C04C21"/>
    <w:rsid w:val="00C162BE"/>
    <w:rsid w:val="00C255B8"/>
    <w:rsid w:val="00C260E9"/>
    <w:rsid w:val="00C31004"/>
    <w:rsid w:val="00C328C1"/>
    <w:rsid w:val="00C42DB0"/>
    <w:rsid w:val="00C4535F"/>
    <w:rsid w:val="00C541A8"/>
    <w:rsid w:val="00C57F17"/>
    <w:rsid w:val="00C64C13"/>
    <w:rsid w:val="00C92837"/>
    <w:rsid w:val="00C94583"/>
    <w:rsid w:val="00C950AB"/>
    <w:rsid w:val="00CA011D"/>
    <w:rsid w:val="00CA2664"/>
    <w:rsid w:val="00CB1187"/>
    <w:rsid w:val="00CB3A6A"/>
    <w:rsid w:val="00CB6740"/>
    <w:rsid w:val="00CC2E79"/>
    <w:rsid w:val="00CC53E2"/>
    <w:rsid w:val="00CC79D7"/>
    <w:rsid w:val="00CD49C6"/>
    <w:rsid w:val="00CD60FD"/>
    <w:rsid w:val="00CD7626"/>
    <w:rsid w:val="00CE6885"/>
    <w:rsid w:val="00CF28E4"/>
    <w:rsid w:val="00CF5183"/>
    <w:rsid w:val="00D04443"/>
    <w:rsid w:val="00D16943"/>
    <w:rsid w:val="00D22B20"/>
    <w:rsid w:val="00D23516"/>
    <w:rsid w:val="00D33FD8"/>
    <w:rsid w:val="00D349F8"/>
    <w:rsid w:val="00D41450"/>
    <w:rsid w:val="00D50B2F"/>
    <w:rsid w:val="00D51547"/>
    <w:rsid w:val="00D545A7"/>
    <w:rsid w:val="00D565B0"/>
    <w:rsid w:val="00D62806"/>
    <w:rsid w:val="00D819EC"/>
    <w:rsid w:val="00D86987"/>
    <w:rsid w:val="00D86EC9"/>
    <w:rsid w:val="00D87D84"/>
    <w:rsid w:val="00D87FAB"/>
    <w:rsid w:val="00D93585"/>
    <w:rsid w:val="00D93E8D"/>
    <w:rsid w:val="00D94A74"/>
    <w:rsid w:val="00D96FC5"/>
    <w:rsid w:val="00DA006D"/>
    <w:rsid w:val="00DA1CC5"/>
    <w:rsid w:val="00DB4C6A"/>
    <w:rsid w:val="00DD3DB3"/>
    <w:rsid w:val="00DD4B59"/>
    <w:rsid w:val="00DD6E85"/>
    <w:rsid w:val="00DD7661"/>
    <w:rsid w:val="00DD78A5"/>
    <w:rsid w:val="00DD798A"/>
    <w:rsid w:val="00DF1936"/>
    <w:rsid w:val="00DF5235"/>
    <w:rsid w:val="00E007D8"/>
    <w:rsid w:val="00E07381"/>
    <w:rsid w:val="00E12188"/>
    <w:rsid w:val="00E14211"/>
    <w:rsid w:val="00E177B8"/>
    <w:rsid w:val="00E214A5"/>
    <w:rsid w:val="00E2310E"/>
    <w:rsid w:val="00E259D6"/>
    <w:rsid w:val="00E26867"/>
    <w:rsid w:val="00E30572"/>
    <w:rsid w:val="00E31C06"/>
    <w:rsid w:val="00E33698"/>
    <w:rsid w:val="00E3657B"/>
    <w:rsid w:val="00E36C29"/>
    <w:rsid w:val="00E631C9"/>
    <w:rsid w:val="00E72074"/>
    <w:rsid w:val="00E72789"/>
    <w:rsid w:val="00E7305E"/>
    <w:rsid w:val="00E811A9"/>
    <w:rsid w:val="00E8165A"/>
    <w:rsid w:val="00E8261C"/>
    <w:rsid w:val="00E87C94"/>
    <w:rsid w:val="00E910C3"/>
    <w:rsid w:val="00E92F6F"/>
    <w:rsid w:val="00E94A36"/>
    <w:rsid w:val="00EA2BE1"/>
    <w:rsid w:val="00EA49F8"/>
    <w:rsid w:val="00EA682D"/>
    <w:rsid w:val="00EA7826"/>
    <w:rsid w:val="00EB3E1A"/>
    <w:rsid w:val="00EB6F50"/>
    <w:rsid w:val="00EC03B4"/>
    <w:rsid w:val="00EC3CE1"/>
    <w:rsid w:val="00EC65AB"/>
    <w:rsid w:val="00EC7CC0"/>
    <w:rsid w:val="00ED21A8"/>
    <w:rsid w:val="00ED247E"/>
    <w:rsid w:val="00EF51ED"/>
    <w:rsid w:val="00EF64D0"/>
    <w:rsid w:val="00F01E4E"/>
    <w:rsid w:val="00F11DC7"/>
    <w:rsid w:val="00F125ED"/>
    <w:rsid w:val="00F21EDA"/>
    <w:rsid w:val="00F24A84"/>
    <w:rsid w:val="00F26662"/>
    <w:rsid w:val="00F305BE"/>
    <w:rsid w:val="00F31685"/>
    <w:rsid w:val="00F35A3E"/>
    <w:rsid w:val="00F42BE4"/>
    <w:rsid w:val="00F477BB"/>
    <w:rsid w:val="00F53251"/>
    <w:rsid w:val="00F54F1C"/>
    <w:rsid w:val="00F559B8"/>
    <w:rsid w:val="00F56B1C"/>
    <w:rsid w:val="00F60A73"/>
    <w:rsid w:val="00F62212"/>
    <w:rsid w:val="00F62BC5"/>
    <w:rsid w:val="00F872D7"/>
    <w:rsid w:val="00F91CFC"/>
    <w:rsid w:val="00F97384"/>
    <w:rsid w:val="00FA6B76"/>
    <w:rsid w:val="00FB2F80"/>
    <w:rsid w:val="00FB2FE3"/>
    <w:rsid w:val="00FB35DE"/>
    <w:rsid w:val="00FC7845"/>
    <w:rsid w:val="00FD2B3E"/>
    <w:rsid w:val="00FD5949"/>
    <w:rsid w:val="00FD5A55"/>
    <w:rsid w:val="00FD5BD2"/>
    <w:rsid w:val="00FE1D37"/>
    <w:rsid w:val="00FE2659"/>
    <w:rsid w:val="00FF42AA"/>
    <w:rsid w:val="00FF6D6E"/>
    <w:rsid w:val="00FF775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C3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73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8C733B"/>
    <w:pPr>
      <w:keepLines w:val="0"/>
      <w:spacing w:before="240" w:after="60" w:line="240" w:lineRule="auto"/>
      <w:outlineLvl w:val="1"/>
    </w:pPr>
    <w:rPr>
      <w:rFonts w:ascii="Arial" w:eastAsia="Times New Roman" w:hAnsi="Arial" w:cs="Arial"/>
      <w:bCs w:val="0"/>
      <w:iCs/>
      <w:color w:val="auto"/>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76BC5"/>
    <w:pPr>
      <w:ind w:left="720"/>
      <w:contextualSpacing/>
    </w:pPr>
  </w:style>
  <w:style w:type="paragraph" w:customStyle="1" w:styleId="POMNormal">
    <w:name w:val="POM Normal"/>
    <w:basedOn w:val="Normal"/>
    <w:link w:val="POMNormalChar"/>
    <w:qFormat/>
    <w:rsid w:val="00DD3DB3"/>
    <w:pPr>
      <w:spacing w:after="240"/>
      <w:jc w:val="both"/>
    </w:pPr>
    <w:rPr>
      <w:rFonts w:ascii="Calibri" w:eastAsia="Calibri" w:hAnsi="Calibri" w:cs="Times New Roman"/>
      <w:szCs w:val="24"/>
      <w:lang w:val="en-GB" w:eastAsia="en-AU"/>
    </w:rPr>
  </w:style>
  <w:style w:type="character" w:customStyle="1" w:styleId="POMNormalChar">
    <w:name w:val="POM Normal Char"/>
    <w:basedOn w:val="DefaultParagraphFont"/>
    <w:link w:val="POMNormal"/>
    <w:rsid w:val="00DD3DB3"/>
    <w:rPr>
      <w:rFonts w:ascii="Calibri" w:eastAsia="Calibri" w:hAnsi="Calibri" w:cs="Times New Roman"/>
      <w:szCs w:val="24"/>
      <w:lang w:val="en-GB" w:eastAsia="en-AU"/>
    </w:rPr>
  </w:style>
  <w:style w:type="paragraph" w:customStyle="1" w:styleId="Table-normal-text">
    <w:name w:val="Table-normal-text"/>
    <w:basedOn w:val="Normal"/>
    <w:uiPriority w:val="99"/>
    <w:rsid w:val="008C733B"/>
    <w:pPr>
      <w:spacing w:before="60" w:after="0" w:line="240" w:lineRule="auto"/>
    </w:pPr>
    <w:rPr>
      <w:rFonts w:ascii="Arial" w:eastAsia="Times New Roman" w:hAnsi="Arial" w:cs="Times New Roman"/>
      <w:sz w:val="20"/>
      <w:szCs w:val="24"/>
    </w:rPr>
  </w:style>
  <w:style w:type="character" w:customStyle="1" w:styleId="Heading2Char">
    <w:name w:val="Heading 2 Char"/>
    <w:basedOn w:val="DefaultParagraphFont"/>
    <w:link w:val="Heading2"/>
    <w:rsid w:val="008C733B"/>
    <w:rPr>
      <w:rFonts w:ascii="Arial" w:eastAsia="Times New Roman" w:hAnsi="Arial" w:cs="Arial"/>
      <w:b/>
      <w:iCs/>
      <w:sz w:val="24"/>
      <w:lang w:eastAsia="en-AU"/>
    </w:rPr>
  </w:style>
  <w:style w:type="paragraph" w:customStyle="1" w:styleId="DocName">
    <w:name w:val="DocName"/>
    <w:basedOn w:val="Normal"/>
    <w:link w:val="DocNameChar"/>
    <w:rsid w:val="008C733B"/>
    <w:pPr>
      <w:spacing w:after="0" w:line="240" w:lineRule="auto"/>
      <w:jc w:val="center"/>
    </w:pPr>
    <w:rPr>
      <w:rFonts w:ascii="Arial" w:eastAsia="Times New Roman" w:hAnsi="Arial" w:cs="Times New Roman"/>
      <w:b/>
      <w:bCs/>
      <w:sz w:val="28"/>
      <w:szCs w:val="24"/>
    </w:rPr>
  </w:style>
  <w:style w:type="character" w:customStyle="1" w:styleId="DocNameChar">
    <w:name w:val="DocName Char"/>
    <w:link w:val="DocName"/>
    <w:rsid w:val="008C733B"/>
    <w:rPr>
      <w:rFonts w:ascii="Arial" w:eastAsia="Times New Roman" w:hAnsi="Arial" w:cs="Times New Roman"/>
      <w:b/>
      <w:bCs/>
      <w:sz w:val="28"/>
      <w:szCs w:val="24"/>
    </w:rPr>
  </w:style>
  <w:style w:type="character" w:customStyle="1" w:styleId="Heading1Char">
    <w:name w:val="Heading 1 Char"/>
    <w:basedOn w:val="DefaultParagraphFont"/>
    <w:link w:val="Heading1"/>
    <w:uiPriority w:val="9"/>
    <w:rsid w:val="008C733B"/>
    <w:rPr>
      <w:rFonts w:asciiTheme="majorHAnsi" w:eastAsiaTheme="majorEastAsia" w:hAnsiTheme="majorHAnsi" w:cstheme="majorBidi"/>
      <w:b/>
      <w:bCs/>
      <w:color w:val="365F91" w:themeColor="accent1" w:themeShade="BF"/>
      <w:sz w:val="28"/>
      <w:szCs w:val="28"/>
    </w:rPr>
  </w:style>
  <w:style w:type="paragraph" w:customStyle="1" w:styleId="POMRecommendation">
    <w:name w:val="POM Recommendation"/>
    <w:basedOn w:val="Normal"/>
    <w:link w:val="POMRecommendationChar"/>
    <w:qFormat/>
    <w:rsid w:val="00E31C06"/>
    <w:pPr>
      <w:spacing w:before="120" w:after="120" w:line="280" w:lineRule="exact"/>
    </w:pPr>
    <w:rPr>
      <w:rFonts w:ascii="Calibri" w:eastAsia="Times New Roman" w:hAnsi="Calibri" w:cs="Times New Roman"/>
      <w:b/>
      <w:i/>
      <w:sz w:val="24"/>
      <w:szCs w:val="24"/>
      <w:lang w:val="en-US"/>
    </w:rPr>
  </w:style>
  <w:style w:type="character" w:customStyle="1" w:styleId="POMRecommendationChar">
    <w:name w:val="POM Recommendation Char"/>
    <w:basedOn w:val="DefaultParagraphFont"/>
    <w:link w:val="POMRecommendation"/>
    <w:rsid w:val="00E31C06"/>
    <w:rPr>
      <w:rFonts w:ascii="Calibri" w:eastAsia="Times New Roman" w:hAnsi="Calibri" w:cs="Times New Roman"/>
      <w:b/>
      <w:i/>
      <w:sz w:val="24"/>
      <w:szCs w:val="24"/>
      <w:lang w:val="en-US"/>
    </w:rPr>
  </w:style>
  <w:style w:type="character" w:styleId="Hyperlink">
    <w:name w:val="Hyperlink"/>
    <w:uiPriority w:val="99"/>
    <w:rsid w:val="00E31C06"/>
    <w:rPr>
      <w:color w:val="0000FF"/>
      <w:u w:val="single"/>
    </w:rPr>
  </w:style>
  <w:style w:type="paragraph" w:styleId="FootnoteText">
    <w:name w:val="footnote text"/>
    <w:basedOn w:val="Normal"/>
    <w:link w:val="FootnoteTextChar"/>
    <w:unhideWhenUsed/>
    <w:rsid w:val="00E31C06"/>
    <w:pPr>
      <w:spacing w:after="0" w:line="240" w:lineRule="auto"/>
    </w:pPr>
    <w:rPr>
      <w:rFonts w:ascii="Calibri" w:eastAsia="Calibri" w:hAnsi="Calibri" w:cs="Times New Roman"/>
      <w:sz w:val="20"/>
      <w:szCs w:val="20"/>
      <w:lang w:val="en-GB"/>
    </w:rPr>
  </w:style>
  <w:style w:type="character" w:customStyle="1" w:styleId="FootnoteTextChar">
    <w:name w:val="Footnote Text Char"/>
    <w:basedOn w:val="DefaultParagraphFont"/>
    <w:link w:val="FootnoteText"/>
    <w:rsid w:val="00E31C06"/>
    <w:rPr>
      <w:rFonts w:ascii="Calibri" w:eastAsia="Calibri" w:hAnsi="Calibri" w:cs="Times New Roman"/>
      <w:sz w:val="20"/>
      <w:szCs w:val="20"/>
      <w:lang w:val="en-GB"/>
    </w:rPr>
  </w:style>
  <w:style w:type="character" w:styleId="FootnoteReference">
    <w:name w:val="footnote reference"/>
    <w:uiPriority w:val="99"/>
    <w:unhideWhenUsed/>
    <w:rsid w:val="00E31C06"/>
    <w:rPr>
      <w:vertAlign w:val="superscript"/>
    </w:rPr>
  </w:style>
  <w:style w:type="paragraph" w:customStyle="1" w:styleId="List-bullet-1">
    <w:name w:val="List-bullet-1"/>
    <w:basedOn w:val="Normal"/>
    <w:link w:val="List-bullet-1Char"/>
    <w:uiPriority w:val="99"/>
    <w:rsid w:val="001D1469"/>
    <w:pPr>
      <w:numPr>
        <w:numId w:val="2"/>
      </w:numPr>
      <w:spacing w:before="120" w:after="0" w:line="240" w:lineRule="auto"/>
    </w:pPr>
    <w:rPr>
      <w:rFonts w:ascii="Arial" w:eastAsia="Times New Roman" w:hAnsi="Arial" w:cs="Arial"/>
      <w:sz w:val="20"/>
    </w:rPr>
  </w:style>
  <w:style w:type="paragraph" w:customStyle="1" w:styleId="SCCR">
    <w:name w:val="SCCR"/>
    <w:basedOn w:val="BodyText"/>
    <w:link w:val="SCCRChar"/>
    <w:uiPriority w:val="99"/>
    <w:rsid w:val="001D1469"/>
    <w:pPr>
      <w:numPr>
        <w:numId w:val="3"/>
      </w:numPr>
      <w:spacing w:after="0" w:line="240" w:lineRule="auto"/>
      <w:jc w:val="both"/>
    </w:pPr>
    <w:rPr>
      <w:rFonts w:ascii="Arial" w:eastAsia="Times New Roman" w:hAnsi="Arial" w:cs="Arial"/>
      <w:lang w:val="en-US"/>
    </w:rPr>
  </w:style>
  <w:style w:type="character" w:customStyle="1" w:styleId="SCCRChar">
    <w:name w:val="SCCR Char"/>
    <w:basedOn w:val="DefaultParagraphFont"/>
    <w:link w:val="SCCR"/>
    <w:uiPriority w:val="99"/>
    <w:locked/>
    <w:rsid w:val="001D1469"/>
    <w:rPr>
      <w:rFonts w:ascii="Arial" w:eastAsia="Times New Roman" w:hAnsi="Arial" w:cs="Arial"/>
      <w:lang w:val="en-US"/>
    </w:rPr>
  </w:style>
  <w:style w:type="character" w:customStyle="1" w:styleId="List-bullet-1Char">
    <w:name w:val="List-bullet-1 Char"/>
    <w:basedOn w:val="DefaultParagraphFont"/>
    <w:link w:val="List-bullet-1"/>
    <w:uiPriority w:val="99"/>
    <w:locked/>
    <w:rsid w:val="001D1469"/>
    <w:rPr>
      <w:rFonts w:ascii="Arial" w:eastAsia="Times New Roman" w:hAnsi="Arial" w:cs="Arial"/>
      <w:sz w:val="20"/>
    </w:rPr>
  </w:style>
  <w:style w:type="paragraph" w:styleId="BodyText">
    <w:name w:val="Body Text"/>
    <w:basedOn w:val="Normal"/>
    <w:link w:val="BodyTextChar"/>
    <w:uiPriority w:val="99"/>
    <w:semiHidden/>
    <w:unhideWhenUsed/>
    <w:rsid w:val="001D1469"/>
    <w:pPr>
      <w:spacing w:after="120"/>
    </w:pPr>
  </w:style>
  <w:style w:type="character" w:customStyle="1" w:styleId="BodyTextChar">
    <w:name w:val="Body Text Char"/>
    <w:basedOn w:val="DefaultParagraphFont"/>
    <w:link w:val="BodyText"/>
    <w:uiPriority w:val="99"/>
    <w:semiHidden/>
    <w:rsid w:val="001D1469"/>
  </w:style>
  <w:style w:type="character" w:styleId="CommentReference">
    <w:name w:val="annotation reference"/>
    <w:basedOn w:val="DefaultParagraphFont"/>
    <w:uiPriority w:val="99"/>
    <w:semiHidden/>
    <w:unhideWhenUsed/>
    <w:rsid w:val="009274DB"/>
    <w:rPr>
      <w:sz w:val="16"/>
      <w:szCs w:val="16"/>
    </w:rPr>
  </w:style>
  <w:style w:type="paragraph" w:styleId="CommentText">
    <w:name w:val="annotation text"/>
    <w:basedOn w:val="Normal"/>
    <w:link w:val="CommentTextChar"/>
    <w:uiPriority w:val="99"/>
    <w:unhideWhenUsed/>
    <w:rsid w:val="009274DB"/>
    <w:pPr>
      <w:spacing w:line="240" w:lineRule="auto"/>
    </w:pPr>
    <w:rPr>
      <w:sz w:val="20"/>
      <w:szCs w:val="20"/>
    </w:rPr>
  </w:style>
  <w:style w:type="character" w:customStyle="1" w:styleId="CommentTextChar">
    <w:name w:val="Comment Text Char"/>
    <w:basedOn w:val="DefaultParagraphFont"/>
    <w:link w:val="CommentText"/>
    <w:uiPriority w:val="99"/>
    <w:rsid w:val="009274DB"/>
    <w:rPr>
      <w:sz w:val="20"/>
      <w:szCs w:val="20"/>
    </w:rPr>
  </w:style>
  <w:style w:type="paragraph" w:styleId="BalloonText">
    <w:name w:val="Balloon Text"/>
    <w:basedOn w:val="Normal"/>
    <w:link w:val="BalloonTextChar"/>
    <w:uiPriority w:val="99"/>
    <w:semiHidden/>
    <w:unhideWhenUsed/>
    <w:rsid w:val="00927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4DB"/>
    <w:rPr>
      <w:rFonts w:ascii="Tahoma" w:hAnsi="Tahoma" w:cs="Tahoma"/>
      <w:sz w:val="16"/>
      <w:szCs w:val="16"/>
    </w:rPr>
  </w:style>
  <w:style w:type="table" w:customStyle="1" w:styleId="Tablewithheader">
    <w:name w:val="Table with header"/>
    <w:basedOn w:val="TableNormal"/>
    <w:uiPriority w:val="99"/>
    <w:rsid w:val="00F11DC7"/>
    <w:pPr>
      <w:spacing w:after="0" w:line="240" w:lineRule="auto"/>
    </w:pPr>
    <w:rPr>
      <w:rFonts w:ascii="Arial" w:eastAsia="Times New Roman" w:hAnsi="Arial" w:cs="Times New Roman"/>
      <w:sz w:val="20"/>
      <w:szCs w:val="20"/>
      <w:lang w:eastAsia="en-AU"/>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blStylePr w:type="firstRow">
      <w:pPr>
        <w:jc w:val="center"/>
      </w:pPr>
      <w:rPr>
        <w:rFonts w:ascii="Arial" w:hAnsi="Arial" w:cs="Times New Roman"/>
        <w:b/>
        <w:sz w:val="20"/>
      </w:rPr>
      <w:tblPr/>
      <w:trPr>
        <w:tblHeader/>
      </w:trPr>
      <w:tcPr>
        <w:shd w:val="clear" w:color="auto" w:fill="E0E0E0"/>
      </w:tcPr>
    </w:tblStylePr>
  </w:style>
  <w:style w:type="paragraph" w:styleId="CommentSubject">
    <w:name w:val="annotation subject"/>
    <w:basedOn w:val="CommentText"/>
    <w:next w:val="CommentText"/>
    <w:link w:val="CommentSubjectChar"/>
    <w:uiPriority w:val="99"/>
    <w:semiHidden/>
    <w:unhideWhenUsed/>
    <w:rsid w:val="00BC14D5"/>
    <w:rPr>
      <w:b/>
      <w:bCs/>
    </w:rPr>
  </w:style>
  <w:style w:type="character" w:customStyle="1" w:styleId="CommentSubjectChar">
    <w:name w:val="Comment Subject Char"/>
    <w:basedOn w:val="CommentTextChar"/>
    <w:link w:val="CommentSubject"/>
    <w:uiPriority w:val="99"/>
    <w:semiHidden/>
    <w:rsid w:val="00BC14D5"/>
    <w:rPr>
      <w:b/>
      <w:bCs/>
      <w:sz w:val="20"/>
      <w:szCs w:val="20"/>
    </w:rPr>
  </w:style>
  <w:style w:type="table" w:styleId="TableGrid">
    <w:name w:val="Table Grid"/>
    <w:basedOn w:val="TableNormal"/>
    <w:uiPriority w:val="59"/>
    <w:rsid w:val="00561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07D4A"/>
    <w:pPr>
      <w:spacing w:after="0" w:line="240" w:lineRule="auto"/>
    </w:pPr>
  </w:style>
  <w:style w:type="character" w:customStyle="1" w:styleId="ListParagraphChar">
    <w:name w:val="List Paragraph Char"/>
    <w:link w:val="ListParagraph"/>
    <w:uiPriority w:val="34"/>
    <w:locked/>
    <w:rsid w:val="0034776F"/>
  </w:style>
  <w:style w:type="paragraph" w:styleId="Header">
    <w:name w:val="header"/>
    <w:basedOn w:val="Normal"/>
    <w:link w:val="HeaderChar"/>
    <w:uiPriority w:val="99"/>
    <w:unhideWhenUsed/>
    <w:rsid w:val="00483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A59"/>
  </w:style>
  <w:style w:type="paragraph" w:styleId="Footer">
    <w:name w:val="footer"/>
    <w:basedOn w:val="Normal"/>
    <w:link w:val="FooterChar"/>
    <w:uiPriority w:val="99"/>
    <w:unhideWhenUsed/>
    <w:rsid w:val="00483A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A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C73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8C733B"/>
    <w:pPr>
      <w:keepLines w:val="0"/>
      <w:spacing w:before="240" w:after="60" w:line="240" w:lineRule="auto"/>
      <w:outlineLvl w:val="1"/>
    </w:pPr>
    <w:rPr>
      <w:rFonts w:ascii="Arial" w:eastAsia="Times New Roman" w:hAnsi="Arial" w:cs="Arial"/>
      <w:bCs w:val="0"/>
      <w:iCs/>
      <w:color w:val="auto"/>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76BC5"/>
    <w:pPr>
      <w:ind w:left="720"/>
      <w:contextualSpacing/>
    </w:pPr>
  </w:style>
  <w:style w:type="paragraph" w:customStyle="1" w:styleId="POMNormal">
    <w:name w:val="POM Normal"/>
    <w:basedOn w:val="Normal"/>
    <w:link w:val="POMNormalChar"/>
    <w:qFormat/>
    <w:rsid w:val="00DD3DB3"/>
    <w:pPr>
      <w:spacing w:after="240"/>
      <w:jc w:val="both"/>
    </w:pPr>
    <w:rPr>
      <w:rFonts w:ascii="Calibri" w:eastAsia="Calibri" w:hAnsi="Calibri" w:cs="Times New Roman"/>
      <w:szCs w:val="24"/>
      <w:lang w:val="en-GB" w:eastAsia="en-AU"/>
    </w:rPr>
  </w:style>
  <w:style w:type="character" w:customStyle="1" w:styleId="POMNormalChar">
    <w:name w:val="POM Normal Char"/>
    <w:basedOn w:val="DefaultParagraphFont"/>
    <w:link w:val="POMNormal"/>
    <w:rsid w:val="00DD3DB3"/>
    <w:rPr>
      <w:rFonts w:ascii="Calibri" w:eastAsia="Calibri" w:hAnsi="Calibri" w:cs="Times New Roman"/>
      <w:szCs w:val="24"/>
      <w:lang w:val="en-GB" w:eastAsia="en-AU"/>
    </w:rPr>
  </w:style>
  <w:style w:type="paragraph" w:customStyle="1" w:styleId="Table-normal-text">
    <w:name w:val="Table-normal-text"/>
    <w:basedOn w:val="Normal"/>
    <w:uiPriority w:val="99"/>
    <w:rsid w:val="008C733B"/>
    <w:pPr>
      <w:spacing w:before="60" w:after="0" w:line="240" w:lineRule="auto"/>
    </w:pPr>
    <w:rPr>
      <w:rFonts w:ascii="Arial" w:eastAsia="Times New Roman" w:hAnsi="Arial" w:cs="Times New Roman"/>
      <w:sz w:val="20"/>
      <w:szCs w:val="24"/>
    </w:rPr>
  </w:style>
  <w:style w:type="character" w:customStyle="1" w:styleId="Heading2Char">
    <w:name w:val="Heading 2 Char"/>
    <w:basedOn w:val="DefaultParagraphFont"/>
    <w:link w:val="Heading2"/>
    <w:rsid w:val="008C733B"/>
    <w:rPr>
      <w:rFonts w:ascii="Arial" w:eastAsia="Times New Roman" w:hAnsi="Arial" w:cs="Arial"/>
      <w:b/>
      <w:iCs/>
      <w:sz w:val="24"/>
      <w:lang w:eastAsia="en-AU"/>
    </w:rPr>
  </w:style>
  <w:style w:type="paragraph" w:customStyle="1" w:styleId="DocName">
    <w:name w:val="DocName"/>
    <w:basedOn w:val="Normal"/>
    <w:link w:val="DocNameChar"/>
    <w:rsid w:val="008C733B"/>
    <w:pPr>
      <w:spacing w:after="0" w:line="240" w:lineRule="auto"/>
      <w:jc w:val="center"/>
    </w:pPr>
    <w:rPr>
      <w:rFonts w:ascii="Arial" w:eastAsia="Times New Roman" w:hAnsi="Arial" w:cs="Times New Roman"/>
      <w:b/>
      <w:bCs/>
      <w:sz w:val="28"/>
      <w:szCs w:val="24"/>
    </w:rPr>
  </w:style>
  <w:style w:type="character" w:customStyle="1" w:styleId="DocNameChar">
    <w:name w:val="DocName Char"/>
    <w:link w:val="DocName"/>
    <w:rsid w:val="008C733B"/>
    <w:rPr>
      <w:rFonts w:ascii="Arial" w:eastAsia="Times New Roman" w:hAnsi="Arial" w:cs="Times New Roman"/>
      <w:b/>
      <w:bCs/>
      <w:sz w:val="28"/>
      <w:szCs w:val="24"/>
    </w:rPr>
  </w:style>
  <w:style w:type="character" w:customStyle="1" w:styleId="Heading1Char">
    <w:name w:val="Heading 1 Char"/>
    <w:basedOn w:val="DefaultParagraphFont"/>
    <w:link w:val="Heading1"/>
    <w:uiPriority w:val="9"/>
    <w:rsid w:val="008C733B"/>
    <w:rPr>
      <w:rFonts w:asciiTheme="majorHAnsi" w:eastAsiaTheme="majorEastAsia" w:hAnsiTheme="majorHAnsi" w:cstheme="majorBidi"/>
      <w:b/>
      <w:bCs/>
      <w:color w:val="365F91" w:themeColor="accent1" w:themeShade="BF"/>
      <w:sz w:val="28"/>
      <w:szCs w:val="28"/>
    </w:rPr>
  </w:style>
  <w:style w:type="paragraph" w:customStyle="1" w:styleId="POMRecommendation">
    <w:name w:val="POM Recommendation"/>
    <w:basedOn w:val="Normal"/>
    <w:link w:val="POMRecommendationChar"/>
    <w:qFormat/>
    <w:rsid w:val="00E31C06"/>
    <w:pPr>
      <w:spacing w:before="120" w:after="120" w:line="280" w:lineRule="exact"/>
    </w:pPr>
    <w:rPr>
      <w:rFonts w:ascii="Calibri" w:eastAsia="Times New Roman" w:hAnsi="Calibri" w:cs="Times New Roman"/>
      <w:b/>
      <w:i/>
      <w:sz w:val="24"/>
      <w:szCs w:val="24"/>
      <w:lang w:val="en-US"/>
    </w:rPr>
  </w:style>
  <w:style w:type="character" w:customStyle="1" w:styleId="POMRecommendationChar">
    <w:name w:val="POM Recommendation Char"/>
    <w:basedOn w:val="DefaultParagraphFont"/>
    <w:link w:val="POMRecommendation"/>
    <w:rsid w:val="00E31C06"/>
    <w:rPr>
      <w:rFonts w:ascii="Calibri" w:eastAsia="Times New Roman" w:hAnsi="Calibri" w:cs="Times New Roman"/>
      <w:b/>
      <w:i/>
      <w:sz w:val="24"/>
      <w:szCs w:val="24"/>
      <w:lang w:val="en-US"/>
    </w:rPr>
  </w:style>
  <w:style w:type="character" w:styleId="Hyperlink">
    <w:name w:val="Hyperlink"/>
    <w:uiPriority w:val="99"/>
    <w:rsid w:val="00E31C06"/>
    <w:rPr>
      <w:color w:val="0000FF"/>
      <w:u w:val="single"/>
    </w:rPr>
  </w:style>
  <w:style w:type="paragraph" w:styleId="FootnoteText">
    <w:name w:val="footnote text"/>
    <w:basedOn w:val="Normal"/>
    <w:link w:val="FootnoteTextChar"/>
    <w:unhideWhenUsed/>
    <w:rsid w:val="00E31C06"/>
    <w:pPr>
      <w:spacing w:after="0" w:line="240" w:lineRule="auto"/>
    </w:pPr>
    <w:rPr>
      <w:rFonts w:ascii="Calibri" w:eastAsia="Calibri" w:hAnsi="Calibri" w:cs="Times New Roman"/>
      <w:sz w:val="20"/>
      <w:szCs w:val="20"/>
      <w:lang w:val="en-GB"/>
    </w:rPr>
  </w:style>
  <w:style w:type="character" w:customStyle="1" w:styleId="FootnoteTextChar">
    <w:name w:val="Footnote Text Char"/>
    <w:basedOn w:val="DefaultParagraphFont"/>
    <w:link w:val="FootnoteText"/>
    <w:rsid w:val="00E31C06"/>
    <w:rPr>
      <w:rFonts w:ascii="Calibri" w:eastAsia="Calibri" w:hAnsi="Calibri" w:cs="Times New Roman"/>
      <w:sz w:val="20"/>
      <w:szCs w:val="20"/>
      <w:lang w:val="en-GB"/>
    </w:rPr>
  </w:style>
  <w:style w:type="character" w:styleId="FootnoteReference">
    <w:name w:val="footnote reference"/>
    <w:uiPriority w:val="99"/>
    <w:unhideWhenUsed/>
    <w:rsid w:val="00E31C06"/>
    <w:rPr>
      <w:vertAlign w:val="superscript"/>
    </w:rPr>
  </w:style>
  <w:style w:type="paragraph" w:customStyle="1" w:styleId="List-bullet-1">
    <w:name w:val="List-bullet-1"/>
    <w:basedOn w:val="Normal"/>
    <w:link w:val="List-bullet-1Char"/>
    <w:uiPriority w:val="99"/>
    <w:rsid w:val="001D1469"/>
    <w:pPr>
      <w:numPr>
        <w:numId w:val="2"/>
      </w:numPr>
      <w:spacing w:before="120" w:after="0" w:line="240" w:lineRule="auto"/>
    </w:pPr>
    <w:rPr>
      <w:rFonts w:ascii="Arial" w:eastAsia="Times New Roman" w:hAnsi="Arial" w:cs="Arial"/>
      <w:sz w:val="20"/>
    </w:rPr>
  </w:style>
  <w:style w:type="paragraph" w:customStyle="1" w:styleId="SCCR">
    <w:name w:val="SCCR"/>
    <w:basedOn w:val="BodyText"/>
    <w:link w:val="SCCRChar"/>
    <w:uiPriority w:val="99"/>
    <w:rsid w:val="001D1469"/>
    <w:pPr>
      <w:numPr>
        <w:numId w:val="3"/>
      </w:numPr>
      <w:spacing w:after="0" w:line="240" w:lineRule="auto"/>
      <w:jc w:val="both"/>
    </w:pPr>
    <w:rPr>
      <w:rFonts w:ascii="Arial" w:eastAsia="Times New Roman" w:hAnsi="Arial" w:cs="Arial"/>
      <w:lang w:val="en-US"/>
    </w:rPr>
  </w:style>
  <w:style w:type="character" w:customStyle="1" w:styleId="SCCRChar">
    <w:name w:val="SCCR Char"/>
    <w:basedOn w:val="DefaultParagraphFont"/>
    <w:link w:val="SCCR"/>
    <w:uiPriority w:val="99"/>
    <w:locked/>
    <w:rsid w:val="001D1469"/>
    <w:rPr>
      <w:rFonts w:ascii="Arial" w:eastAsia="Times New Roman" w:hAnsi="Arial" w:cs="Arial"/>
      <w:lang w:val="en-US"/>
    </w:rPr>
  </w:style>
  <w:style w:type="character" w:customStyle="1" w:styleId="List-bullet-1Char">
    <w:name w:val="List-bullet-1 Char"/>
    <w:basedOn w:val="DefaultParagraphFont"/>
    <w:link w:val="List-bullet-1"/>
    <w:uiPriority w:val="99"/>
    <w:locked/>
    <w:rsid w:val="001D1469"/>
    <w:rPr>
      <w:rFonts w:ascii="Arial" w:eastAsia="Times New Roman" w:hAnsi="Arial" w:cs="Arial"/>
      <w:sz w:val="20"/>
    </w:rPr>
  </w:style>
  <w:style w:type="paragraph" w:styleId="BodyText">
    <w:name w:val="Body Text"/>
    <w:basedOn w:val="Normal"/>
    <w:link w:val="BodyTextChar"/>
    <w:uiPriority w:val="99"/>
    <w:semiHidden/>
    <w:unhideWhenUsed/>
    <w:rsid w:val="001D1469"/>
    <w:pPr>
      <w:spacing w:after="120"/>
    </w:pPr>
  </w:style>
  <w:style w:type="character" w:customStyle="1" w:styleId="BodyTextChar">
    <w:name w:val="Body Text Char"/>
    <w:basedOn w:val="DefaultParagraphFont"/>
    <w:link w:val="BodyText"/>
    <w:uiPriority w:val="99"/>
    <w:semiHidden/>
    <w:rsid w:val="001D1469"/>
  </w:style>
  <w:style w:type="character" w:styleId="CommentReference">
    <w:name w:val="annotation reference"/>
    <w:basedOn w:val="DefaultParagraphFont"/>
    <w:uiPriority w:val="99"/>
    <w:semiHidden/>
    <w:unhideWhenUsed/>
    <w:rsid w:val="009274DB"/>
    <w:rPr>
      <w:sz w:val="16"/>
      <w:szCs w:val="16"/>
    </w:rPr>
  </w:style>
  <w:style w:type="paragraph" w:styleId="CommentText">
    <w:name w:val="annotation text"/>
    <w:basedOn w:val="Normal"/>
    <w:link w:val="CommentTextChar"/>
    <w:uiPriority w:val="99"/>
    <w:unhideWhenUsed/>
    <w:rsid w:val="009274DB"/>
    <w:pPr>
      <w:spacing w:line="240" w:lineRule="auto"/>
    </w:pPr>
    <w:rPr>
      <w:sz w:val="20"/>
      <w:szCs w:val="20"/>
    </w:rPr>
  </w:style>
  <w:style w:type="character" w:customStyle="1" w:styleId="CommentTextChar">
    <w:name w:val="Comment Text Char"/>
    <w:basedOn w:val="DefaultParagraphFont"/>
    <w:link w:val="CommentText"/>
    <w:uiPriority w:val="99"/>
    <w:rsid w:val="009274DB"/>
    <w:rPr>
      <w:sz w:val="20"/>
      <w:szCs w:val="20"/>
    </w:rPr>
  </w:style>
  <w:style w:type="paragraph" w:styleId="BalloonText">
    <w:name w:val="Balloon Text"/>
    <w:basedOn w:val="Normal"/>
    <w:link w:val="BalloonTextChar"/>
    <w:uiPriority w:val="99"/>
    <w:semiHidden/>
    <w:unhideWhenUsed/>
    <w:rsid w:val="00927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4DB"/>
    <w:rPr>
      <w:rFonts w:ascii="Tahoma" w:hAnsi="Tahoma" w:cs="Tahoma"/>
      <w:sz w:val="16"/>
      <w:szCs w:val="16"/>
    </w:rPr>
  </w:style>
  <w:style w:type="table" w:customStyle="1" w:styleId="Tablewithheader">
    <w:name w:val="Table with header"/>
    <w:basedOn w:val="TableNormal"/>
    <w:uiPriority w:val="99"/>
    <w:rsid w:val="00F11DC7"/>
    <w:pPr>
      <w:spacing w:after="0" w:line="240" w:lineRule="auto"/>
    </w:pPr>
    <w:rPr>
      <w:rFonts w:ascii="Arial" w:eastAsia="Times New Roman" w:hAnsi="Arial" w:cs="Times New Roman"/>
      <w:sz w:val="20"/>
      <w:szCs w:val="20"/>
      <w:lang w:eastAsia="en-AU"/>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blStylePr w:type="firstRow">
      <w:pPr>
        <w:jc w:val="center"/>
      </w:pPr>
      <w:rPr>
        <w:rFonts w:ascii="Arial" w:hAnsi="Arial" w:cs="Times New Roman"/>
        <w:b/>
        <w:sz w:val="20"/>
      </w:rPr>
      <w:tblPr/>
      <w:trPr>
        <w:tblHeader/>
      </w:trPr>
      <w:tcPr>
        <w:shd w:val="clear" w:color="auto" w:fill="E0E0E0"/>
      </w:tcPr>
    </w:tblStylePr>
  </w:style>
  <w:style w:type="paragraph" w:styleId="CommentSubject">
    <w:name w:val="annotation subject"/>
    <w:basedOn w:val="CommentText"/>
    <w:next w:val="CommentText"/>
    <w:link w:val="CommentSubjectChar"/>
    <w:uiPriority w:val="99"/>
    <w:semiHidden/>
    <w:unhideWhenUsed/>
    <w:rsid w:val="00BC14D5"/>
    <w:rPr>
      <w:b/>
      <w:bCs/>
    </w:rPr>
  </w:style>
  <w:style w:type="character" w:customStyle="1" w:styleId="CommentSubjectChar">
    <w:name w:val="Comment Subject Char"/>
    <w:basedOn w:val="CommentTextChar"/>
    <w:link w:val="CommentSubject"/>
    <w:uiPriority w:val="99"/>
    <w:semiHidden/>
    <w:rsid w:val="00BC14D5"/>
    <w:rPr>
      <w:b/>
      <w:bCs/>
      <w:sz w:val="20"/>
      <w:szCs w:val="20"/>
    </w:rPr>
  </w:style>
  <w:style w:type="table" w:styleId="TableGrid">
    <w:name w:val="Table Grid"/>
    <w:basedOn w:val="TableNormal"/>
    <w:uiPriority w:val="59"/>
    <w:rsid w:val="00561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07D4A"/>
    <w:pPr>
      <w:spacing w:after="0" w:line="240" w:lineRule="auto"/>
    </w:pPr>
  </w:style>
  <w:style w:type="character" w:customStyle="1" w:styleId="ListParagraphChar">
    <w:name w:val="List Paragraph Char"/>
    <w:link w:val="ListParagraph"/>
    <w:uiPriority w:val="34"/>
    <w:locked/>
    <w:rsid w:val="0034776F"/>
  </w:style>
  <w:style w:type="paragraph" w:styleId="Header">
    <w:name w:val="header"/>
    <w:basedOn w:val="Normal"/>
    <w:link w:val="HeaderChar"/>
    <w:uiPriority w:val="99"/>
    <w:unhideWhenUsed/>
    <w:rsid w:val="00483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A59"/>
  </w:style>
  <w:style w:type="paragraph" w:styleId="Footer">
    <w:name w:val="footer"/>
    <w:basedOn w:val="Normal"/>
    <w:link w:val="FooterChar"/>
    <w:uiPriority w:val="99"/>
    <w:unhideWhenUsed/>
    <w:rsid w:val="00483A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85CAEE-D2B2-4335-92B4-409835A8E8F4}"/>
</file>

<file path=customXml/itemProps2.xml><?xml version="1.0" encoding="utf-8"?>
<ds:datastoreItem xmlns:ds="http://schemas.openxmlformats.org/officeDocument/2006/customXml" ds:itemID="{652B193F-543A-4516-9251-FEBAEBF115F4}"/>
</file>

<file path=customXml/itemProps3.xml><?xml version="1.0" encoding="utf-8"?>
<ds:datastoreItem xmlns:ds="http://schemas.openxmlformats.org/officeDocument/2006/customXml" ds:itemID="{63658CB6-08D5-41DA-8740-AC2921AD66E2}"/>
</file>

<file path=customXml/itemProps4.xml><?xml version="1.0" encoding="utf-8"?>
<ds:datastoreItem xmlns:ds="http://schemas.openxmlformats.org/officeDocument/2006/customXml" ds:itemID="{327AC03B-B4FC-425B-B971-760DEBBAEA39}"/>
</file>

<file path=docProps/app.xml><?xml version="1.0" encoding="utf-8"?>
<Properties xmlns="http://schemas.openxmlformats.org/officeDocument/2006/extended-properties" xmlns:vt="http://schemas.openxmlformats.org/officeDocument/2006/docPropsVTypes">
  <Template>E2959B6F</Template>
  <TotalTime>1</TotalTime>
  <Pages>12</Pages>
  <Words>4269</Words>
  <Characters>24252</Characters>
  <Application>Microsoft Office Word</Application>
  <DocSecurity>0</DocSecurity>
  <Lines>526</Lines>
  <Paragraphs>182</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28456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Ilsa Meidina</dc:creator>
  <cp:lastModifiedBy>Court, Jason</cp:lastModifiedBy>
  <cp:revision>2</cp:revision>
  <cp:lastPrinted>2015-04-09T01:34:00Z</cp:lastPrinted>
  <dcterms:created xsi:type="dcterms:W3CDTF">2015-08-06T00:54:00Z</dcterms:created>
  <dcterms:modified xsi:type="dcterms:W3CDTF">2015-08-06T00:54:00Z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-1348858173</vt:i4>
  </property>
  <property fmtid="{D5CDD505-2E9C-101B-9397-08002B2CF9AE}" pid="3" name="ContentTypeId">
    <vt:lpwstr>0x01010050F19AC2165D2E47A5E6B7F563E4CF00</vt:lpwstr>
  </property>
  <property fmtid="{D5CDD505-2E9C-101B-9397-08002B2CF9AE}" pid="4" name="Order">
    <vt:r8>961100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