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C8" w:rsidRPr="00CB10AD" w:rsidRDefault="00645CC8" w:rsidP="00854A82">
      <w:pPr>
        <w:rPr>
          <w:lang w:val="en-AU"/>
        </w:rPr>
      </w:pPr>
      <w:bookmarkStart w:id="0" w:name="_GoBack"/>
      <w:bookmarkEnd w:id="0"/>
      <w:r w:rsidRPr="00CB10AD">
        <w:rPr>
          <w:noProof/>
          <w:lang w:val="en-AU" w:eastAsia="en-AU"/>
        </w:rPr>
        <w:drawing>
          <wp:anchor distT="0" distB="0" distL="114300" distR="114300" simplePos="0" relativeHeight="251664384" behindDoc="0" locked="0" layoutInCell="1" allowOverlap="1" wp14:anchorId="154FFD26" wp14:editId="38AF5553">
            <wp:simplePos x="0" y="0"/>
            <wp:positionH relativeFrom="column">
              <wp:posOffset>-940435</wp:posOffset>
            </wp:positionH>
            <wp:positionV relativeFrom="paragraph">
              <wp:posOffset>-912165</wp:posOffset>
            </wp:positionV>
            <wp:extent cx="7754587" cy="2529444"/>
            <wp:effectExtent l="0" t="0" r="0" b="0"/>
            <wp:wrapNone/>
            <wp:docPr id="2618" name="Picture 9"/>
            <wp:cNvGraphicFramePr/>
            <a:graphic xmlns:a="http://schemas.openxmlformats.org/drawingml/2006/main">
              <a:graphicData uri="http://schemas.openxmlformats.org/drawingml/2006/picture">
                <pic:pic xmlns:pic="http://schemas.openxmlformats.org/drawingml/2006/picture">
                  <pic:nvPicPr>
                    <pic:cNvPr id="2618" name="Picture 9"/>
                    <pic:cNvPicPr/>
                  </pic:nvPicPr>
                  <pic:blipFill>
                    <a:blip r:embed="rId9">
                      <a:extLst>
                        <a:ext uri="{28A0092B-C50C-407E-A947-70E740481C1C}">
                          <a14:useLocalDpi xmlns:a14="http://schemas.microsoft.com/office/drawing/2010/main" val="0"/>
                        </a:ext>
                      </a:extLst>
                    </a:blip>
                    <a:srcRect r="3587"/>
                    <a:stretch>
                      <a:fillRect/>
                    </a:stretch>
                  </pic:blipFill>
                  <pic:spPr bwMode="auto">
                    <a:xfrm>
                      <a:off x="0" y="0"/>
                      <a:ext cx="7754587" cy="252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noProof/>
          <w:lang w:val="en-AU" w:eastAsia="en-AU"/>
        </w:rPr>
        <w:drawing>
          <wp:anchor distT="0" distB="0" distL="114300" distR="114300" simplePos="0" relativeHeight="251665408" behindDoc="0" locked="1" layoutInCell="0" allowOverlap="1" wp14:anchorId="396925AC" wp14:editId="11D70D21">
            <wp:simplePos x="0" y="0"/>
            <wp:positionH relativeFrom="column">
              <wp:posOffset>816610</wp:posOffset>
            </wp:positionH>
            <wp:positionV relativeFrom="page">
              <wp:posOffset>471805</wp:posOffset>
            </wp:positionV>
            <wp:extent cx="2790825" cy="619125"/>
            <wp:effectExtent l="0" t="0" r="9525" b="9525"/>
            <wp:wrapNone/>
            <wp:docPr id="2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Logo EP - EN white.emf"/>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87"/>
                    <a:stretch/>
                  </pic:blipFill>
                  <pic:spPr bwMode="auto">
                    <a:xfrm>
                      <a:off x="0" y="0"/>
                      <a:ext cx="279082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0AD">
        <w:rPr>
          <w:noProof/>
          <w:lang w:val="en-AU" w:eastAsia="en-AU"/>
        </w:rPr>
        <w:drawing>
          <wp:anchor distT="0" distB="0" distL="114300" distR="114300" simplePos="0" relativeHeight="251666432" behindDoc="0" locked="0" layoutInCell="1" allowOverlap="1" wp14:anchorId="021F7612" wp14:editId="0C01442B">
            <wp:simplePos x="0" y="0"/>
            <wp:positionH relativeFrom="column">
              <wp:posOffset>-402590</wp:posOffset>
            </wp:positionH>
            <wp:positionV relativeFrom="paragraph">
              <wp:posOffset>-365125</wp:posOffset>
            </wp:positionV>
            <wp:extent cx="1146175" cy="514350"/>
            <wp:effectExtent l="0" t="0" r="0" b="0"/>
            <wp:wrapNone/>
            <wp:docPr id="50" name="Picture 50" descr="C:\Users\IDVIS_~1\AppData\Local\Temp\Rar$DRa0.381\Australian Aid Identifier whit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VIS_~1\AppData\Local\Temp\Rar$DRa0.381\Australian Aid Identifier white 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r w:rsidRPr="00CB10AD">
        <w:rPr>
          <w:noProof/>
          <w:lang w:val="en-AU" w:eastAsia="en-AU"/>
        </w:rPr>
        <w:drawing>
          <wp:anchor distT="0" distB="0" distL="114300" distR="114300" simplePos="0" relativeHeight="251667456" behindDoc="1" locked="0" layoutInCell="1" allowOverlap="1" wp14:anchorId="27A0DEDF" wp14:editId="6192D2CA">
            <wp:simplePos x="0" y="0"/>
            <wp:positionH relativeFrom="column">
              <wp:posOffset>-131674</wp:posOffset>
            </wp:positionH>
            <wp:positionV relativeFrom="paragraph">
              <wp:posOffset>85218</wp:posOffset>
            </wp:positionV>
            <wp:extent cx="5727802" cy="2611526"/>
            <wp:effectExtent l="57150" t="57150" r="120650" b="113030"/>
            <wp:wrapNone/>
            <wp:docPr id="5" name="Picture 5" descr="C:\Users\idvis_000\AppData\Local\Microsoft\Windows\INetCache\Content.Word\A classroom at a newly constructed school in Sang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vis_000\AppData\Local\Microsoft\Windows\INetCache\Content.Word\A classroom at a newly constructed school in Sangihe.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pic:blipFill>
                  <pic:spPr bwMode="auto">
                    <a:xfrm>
                      <a:off x="0" y="0"/>
                      <a:ext cx="5734685" cy="2614664"/>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r w:rsidRPr="00CB10AD">
        <w:rPr>
          <w:noProof/>
          <w:lang w:val="en-AU" w:eastAsia="en-AU"/>
        </w:rPr>
        <w:drawing>
          <wp:anchor distT="0" distB="0" distL="114300" distR="114300" simplePos="0" relativeHeight="251668480" behindDoc="1" locked="0" layoutInCell="1" allowOverlap="1" wp14:anchorId="58AD6C68" wp14:editId="1024ABEC">
            <wp:simplePos x="0" y="0"/>
            <wp:positionH relativeFrom="column">
              <wp:posOffset>-131445</wp:posOffset>
            </wp:positionH>
            <wp:positionV relativeFrom="paragraph">
              <wp:posOffset>19050</wp:posOffset>
            </wp:positionV>
            <wp:extent cx="5720080" cy="2238375"/>
            <wp:effectExtent l="57150" t="57150" r="109220" b="123825"/>
            <wp:wrapNone/>
            <wp:docPr id="8" name="Picture 8" descr="C:\Users\idvis_000\AppData\Local\Microsoft\Windows\INetCache\Content.Word\2013-07-23 0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vis_000\AppData\Local\Microsoft\Windows\INetCache\Content.Word\2013-07-23 08.06.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720080" cy="22383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pPr>
    </w:p>
    <w:tbl>
      <w:tblPr>
        <w:tblpPr w:leftFromText="187" w:rightFromText="187" w:vertAnchor="text" w:horzAnchor="margin" w:tblpY="1"/>
        <w:tblOverlap w:val="never"/>
        <w:tblW w:w="5000" w:type="pct"/>
        <w:tblLook w:val="04A0" w:firstRow="1" w:lastRow="0" w:firstColumn="1" w:lastColumn="0" w:noHBand="0" w:noVBand="1"/>
      </w:tblPr>
      <w:tblGrid>
        <w:gridCol w:w="9245"/>
      </w:tblGrid>
      <w:tr w:rsidR="00645CC8" w:rsidRPr="00CB10AD" w:rsidTr="00645CC8">
        <w:trPr>
          <w:trHeight w:val="360"/>
        </w:trPr>
        <w:tc>
          <w:tcPr>
            <w:tcW w:w="5000" w:type="pct"/>
          </w:tcPr>
          <w:p w:rsidR="00645CC8" w:rsidRPr="00CB10AD" w:rsidRDefault="00E5319C" w:rsidP="00E5319C">
            <w:pPr>
              <w:pStyle w:val="NoSpacing"/>
              <w:rPr>
                <w:rFonts w:asciiTheme="minorHAnsi" w:eastAsiaTheme="majorEastAsia" w:hAnsiTheme="minorHAnsi" w:cstheme="minorHAnsi"/>
                <w:caps/>
                <w:color w:val="68BAD6"/>
                <w:lang w:val="en-AU"/>
              </w:rPr>
            </w:pPr>
            <w:r w:rsidRPr="00CB10AD">
              <w:rPr>
                <w:rFonts w:asciiTheme="minorHAnsi" w:eastAsiaTheme="majorEastAsia" w:hAnsiTheme="minorHAnsi" w:cstheme="minorHAnsi"/>
                <w:caps/>
                <w:color w:val="68BAD6"/>
                <w:sz w:val="32"/>
                <w:lang w:val="en-AU"/>
              </w:rPr>
              <w:t>FINAL</w:t>
            </w:r>
            <w:r w:rsidR="001409A2" w:rsidRPr="00CB10AD">
              <w:rPr>
                <w:rFonts w:asciiTheme="minorHAnsi" w:eastAsiaTheme="majorEastAsia" w:hAnsiTheme="minorHAnsi" w:cstheme="minorHAnsi"/>
                <w:caps/>
                <w:color w:val="68BAD6"/>
                <w:sz w:val="32"/>
                <w:lang w:val="en-AU"/>
              </w:rPr>
              <w:t xml:space="preserve"> </w:t>
            </w:r>
            <w:r w:rsidR="00645CC8" w:rsidRPr="00CB10AD">
              <w:rPr>
                <w:rFonts w:asciiTheme="minorHAnsi" w:eastAsiaTheme="majorEastAsia" w:hAnsiTheme="minorHAnsi" w:cstheme="minorHAnsi"/>
                <w:caps/>
                <w:color w:val="68BAD6"/>
                <w:sz w:val="32"/>
                <w:lang w:val="en-AU"/>
              </w:rPr>
              <w:t>REPORT</w:t>
            </w:r>
          </w:p>
        </w:tc>
      </w:tr>
      <w:tr w:rsidR="00645CC8" w:rsidRPr="00CB10AD" w:rsidTr="00645CC8">
        <w:trPr>
          <w:trHeight w:val="777"/>
        </w:trPr>
        <w:tc>
          <w:tcPr>
            <w:tcW w:w="5000" w:type="pct"/>
            <w:vAlign w:val="center"/>
          </w:tcPr>
          <w:p w:rsidR="00645CC8" w:rsidRPr="00CB10AD" w:rsidRDefault="00045CAA" w:rsidP="00045CAA">
            <w:pPr>
              <w:pStyle w:val="NoSpacing"/>
              <w:rPr>
                <w:rFonts w:asciiTheme="minorHAnsi" w:eastAsiaTheme="majorEastAsia" w:hAnsiTheme="minorHAnsi" w:cstheme="minorHAnsi"/>
                <w:color w:val="595959" w:themeColor="text1" w:themeTint="A6"/>
                <w:sz w:val="56"/>
                <w:szCs w:val="60"/>
                <w:lang w:val="en-AU"/>
              </w:rPr>
            </w:pPr>
            <w:r w:rsidRPr="00CB10AD">
              <w:rPr>
                <w:rFonts w:asciiTheme="minorHAnsi" w:eastAsiaTheme="majorEastAsia" w:hAnsiTheme="minorHAnsi" w:cstheme="minorHAnsi"/>
                <w:color w:val="595959" w:themeColor="text1" w:themeTint="A6"/>
                <w:sz w:val="56"/>
                <w:szCs w:val="60"/>
                <w:lang w:val="en-AU"/>
              </w:rPr>
              <w:t xml:space="preserve">Annual </w:t>
            </w:r>
            <w:r w:rsidR="0017073C" w:rsidRPr="00CB10AD">
              <w:rPr>
                <w:rFonts w:asciiTheme="minorHAnsi" w:eastAsiaTheme="majorEastAsia" w:hAnsiTheme="minorHAnsi" w:cstheme="minorHAnsi"/>
                <w:color w:val="595959" w:themeColor="text1" w:themeTint="A6"/>
                <w:sz w:val="56"/>
                <w:szCs w:val="60"/>
                <w:lang w:val="en-AU"/>
              </w:rPr>
              <w:t>Partnership Performance</w:t>
            </w:r>
            <w:r w:rsidRPr="00CB10AD">
              <w:rPr>
                <w:rFonts w:asciiTheme="minorHAnsi" w:eastAsiaTheme="majorEastAsia" w:hAnsiTheme="minorHAnsi" w:cstheme="minorHAnsi"/>
                <w:color w:val="595959" w:themeColor="text1" w:themeTint="A6"/>
                <w:sz w:val="56"/>
                <w:szCs w:val="60"/>
                <w:lang w:val="en-AU"/>
              </w:rPr>
              <w:t xml:space="preserve"> Report 2013</w:t>
            </w:r>
          </w:p>
          <w:p w:rsidR="001409A2" w:rsidRPr="00CB10AD" w:rsidRDefault="001409A2" w:rsidP="00045CAA">
            <w:pPr>
              <w:pStyle w:val="NoSpacing"/>
              <w:rPr>
                <w:rFonts w:asciiTheme="minorHAnsi" w:eastAsiaTheme="majorEastAsia" w:hAnsiTheme="minorHAnsi" w:cstheme="minorHAnsi"/>
                <w:color w:val="595959" w:themeColor="text1" w:themeTint="A6"/>
                <w:sz w:val="32"/>
                <w:szCs w:val="32"/>
                <w:lang w:val="en-AU"/>
              </w:rPr>
            </w:pPr>
          </w:p>
        </w:tc>
      </w:tr>
      <w:tr w:rsidR="00645CC8" w:rsidRPr="00CB10AD" w:rsidTr="00645CC8">
        <w:trPr>
          <w:trHeight w:val="525"/>
          <w:hidden/>
        </w:trPr>
        <w:tc>
          <w:tcPr>
            <w:tcW w:w="5000" w:type="pct"/>
            <w:vAlign w:val="center"/>
          </w:tcPr>
          <w:p w:rsidR="00045CAA" w:rsidRPr="00CB10AD" w:rsidRDefault="00045CAA" w:rsidP="00045CAA">
            <w:pPr>
              <w:pStyle w:val="NoSpacing"/>
              <w:rPr>
                <w:rFonts w:asciiTheme="minorHAnsi" w:eastAsiaTheme="majorEastAsia" w:hAnsiTheme="minorHAnsi" w:cstheme="minorHAnsi"/>
                <w:vanish/>
                <w:color w:val="595959" w:themeColor="text1" w:themeTint="A6"/>
                <w:sz w:val="40"/>
                <w:szCs w:val="44"/>
                <w:lang w:val="en-AU"/>
              </w:rPr>
            </w:pPr>
            <w:r w:rsidRPr="00CB10AD">
              <w:rPr>
                <w:rFonts w:asciiTheme="minorHAnsi" w:eastAsiaTheme="majorEastAsia" w:hAnsiTheme="minorHAnsi" w:cstheme="minorHAnsi"/>
                <w:vanish/>
                <w:color w:val="595959" w:themeColor="text1" w:themeTint="A6"/>
                <w:sz w:val="40"/>
                <w:szCs w:val="44"/>
                <w:lang w:val="en-AU"/>
              </w:rPr>
              <w:t>Draft Report</w:t>
            </w:r>
          </w:p>
          <w:p w:rsidR="00645CC8" w:rsidRPr="00CB10AD" w:rsidRDefault="00045CAA" w:rsidP="00045CAA">
            <w:pPr>
              <w:pStyle w:val="NoSpacing"/>
              <w:rPr>
                <w:rFonts w:asciiTheme="minorHAnsi" w:eastAsiaTheme="majorEastAsia" w:hAnsiTheme="minorHAnsi" w:cstheme="minorHAnsi"/>
                <w:color w:val="595959" w:themeColor="text1" w:themeTint="A6"/>
                <w:sz w:val="40"/>
                <w:szCs w:val="44"/>
                <w:lang w:val="en-AU"/>
              </w:rPr>
            </w:pPr>
            <w:r w:rsidRPr="00CB10AD">
              <w:rPr>
                <w:rFonts w:asciiTheme="minorHAnsi" w:eastAsiaTheme="majorEastAsia" w:hAnsiTheme="minorHAnsi" w:cstheme="minorHAnsi"/>
                <w:vanish/>
                <w:color w:val="FF0000"/>
                <w:sz w:val="32"/>
                <w:szCs w:val="44"/>
                <w:lang w:val="en-AU"/>
              </w:rPr>
              <w:t>For DFAT – Australian Aid only</w:t>
            </w:r>
          </w:p>
        </w:tc>
      </w:tr>
      <w:tr w:rsidR="00645CC8" w:rsidRPr="00CB10AD" w:rsidTr="00645CC8">
        <w:trPr>
          <w:trHeight w:val="525"/>
          <w:hidden/>
        </w:trPr>
        <w:tc>
          <w:tcPr>
            <w:tcW w:w="5000" w:type="pct"/>
            <w:vAlign w:val="center"/>
          </w:tcPr>
          <w:p w:rsidR="00645CC8" w:rsidRPr="00CB10AD" w:rsidRDefault="00645CC8" w:rsidP="00645CC8">
            <w:pPr>
              <w:pStyle w:val="NoSpacing"/>
              <w:rPr>
                <w:rFonts w:asciiTheme="minorHAnsi" w:eastAsiaTheme="majorEastAsia" w:hAnsiTheme="minorHAnsi" w:cstheme="minorHAnsi"/>
                <w:b/>
                <w:vanish/>
                <w:color w:val="595959" w:themeColor="text1" w:themeTint="A6"/>
                <w:sz w:val="40"/>
                <w:szCs w:val="44"/>
                <w:lang w:val="en-AU"/>
              </w:rPr>
            </w:pPr>
          </w:p>
        </w:tc>
      </w:tr>
    </w:tbl>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645CC8">
      <w:pPr>
        <w:jc w:val="right"/>
        <w:rPr>
          <w:color w:val="68BAD6"/>
          <w:sz w:val="24"/>
          <w:lang w:val="en-AU"/>
        </w:rPr>
      </w:pPr>
      <w:r w:rsidRPr="00CB10AD">
        <w:rPr>
          <w:rFonts w:asciiTheme="minorHAnsi" w:hAnsiTheme="minorHAnsi" w:cstheme="minorHAnsi"/>
          <w:b/>
          <w:noProof/>
          <w:color w:val="595959" w:themeColor="text1" w:themeTint="A6"/>
          <w:sz w:val="24"/>
          <w:lang w:val="en-AU" w:eastAsia="en-AU"/>
        </w:rPr>
        <w:drawing>
          <wp:anchor distT="0" distB="0" distL="114300" distR="114300" simplePos="0" relativeHeight="251670528" behindDoc="0" locked="1" layoutInCell="0" allowOverlap="1" wp14:anchorId="69E443EA" wp14:editId="750E5746">
            <wp:simplePos x="0" y="0"/>
            <wp:positionH relativeFrom="column">
              <wp:posOffset>-592455</wp:posOffset>
            </wp:positionH>
            <wp:positionV relativeFrom="page">
              <wp:posOffset>10134600</wp:posOffset>
            </wp:positionV>
            <wp:extent cx="7086600" cy="401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color w:val="68BAD6"/>
          <w:sz w:val="24"/>
          <w:szCs w:val="24"/>
          <w:lang w:val="en-AU"/>
        </w:rPr>
        <w:t xml:space="preserve">Australian Aid—managed by GRM International on behalf of </w:t>
      </w:r>
      <w:r w:rsidR="00A74031">
        <w:rPr>
          <w:color w:val="68BAD6"/>
          <w:sz w:val="24"/>
          <w:szCs w:val="24"/>
          <w:lang w:val="en-AU"/>
        </w:rPr>
        <w:t xml:space="preserve">the </w:t>
      </w:r>
      <w:r w:rsidRPr="00CB10AD">
        <w:rPr>
          <w:color w:val="68BAD6"/>
          <w:sz w:val="24"/>
          <w:szCs w:val="24"/>
          <w:lang w:val="en-AU"/>
        </w:rPr>
        <w:t>Australian Government</w:t>
      </w:r>
    </w:p>
    <w:p w:rsidR="00645CC8" w:rsidRPr="00CB10AD" w:rsidRDefault="00645CC8" w:rsidP="00854A82">
      <w:pPr>
        <w:rPr>
          <w:lang w:val="en-AU"/>
        </w:rPr>
      </w:pPr>
    </w:p>
    <w:p w:rsidR="00645CC8" w:rsidRPr="00CB10AD" w:rsidRDefault="00645CC8" w:rsidP="00854A82">
      <w:pPr>
        <w:rPr>
          <w:lang w:val="en-AU"/>
        </w:rPr>
      </w:pPr>
    </w:p>
    <w:p w:rsidR="00645CC8" w:rsidRPr="00CB10AD" w:rsidRDefault="00645CC8" w:rsidP="00854A82">
      <w:pPr>
        <w:rPr>
          <w:lang w:val="en-AU"/>
        </w:rPr>
        <w:sectPr w:rsidR="00645CC8" w:rsidRPr="00CB10AD" w:rsidSect="00457B56">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Restart w:val="eachSect"/>
          </w:endnotePr>
          <w:type w:val="oddPage"/>
          <w:pgSz w:w="11909" w:h="16834" w:code="9"/>
          <w:pgMar w:top="1440" w:right="1440" w:bottom="1440" w:left="1440" w:header="432" w:footer="720" w:gutter="0"/>
          <w:cols w:space="720"/>
          <w:docGrid w:linePitch="360"/>
        </w:sectPr>
      </w:pPr>
    </w:p>
    <w:p w:rsidR="00645CC8" w:rsidRPr="00CB10AD" w:rsidRDefault="00645CC8" w:rsidP="0024509E">
      <w:pPr>
        <w:pStyle w:val="Heading1"/>
        <w:numPr>
          <w:ilvl w:val="0"/>
          <w:numId w:val="0"/>
        </w:numPr>
        <w:spacing w:line="276" w:lineRule="auto"/>
        <w:rPr>
          <w:b/>
          <w:lang w:val="en-AU"/>
        </w:rPr>
      </w:pPr>
      <w:bookmarkStart w:id="1" w:name="_Toc388253129"/>
      <w:r w:rsidRPr="00CB10AD">
        <w:rPr>
          <w:b/>
          <w:lang w:val="en-AU"/>
        </w:rPr>
        <w:lastRenderedPageBreak/>
        <w:t>TABLE OF CONTENTS</w:t>
      </w:r>
      <w:bookmarkEnd w:id="1"/>
      <w:r w:rsidRPr="00CB10AD">
        <w:rPr>
          <w:b/>
          <w:lang w:val="en-AU"/>
        </w:rPr>
        <w:tab/>
      </w:r>
    </w:p>
    <w:p w:rsidR="00645CC8" w:rsidRPr="00CB10AD" w:rsidRDefault="00645CC8" w:rsidP="0024509E">
      <w:pPr>
        <w:spacing w:line="276" w:lineRule="auto"/>
        <w:rPr>
          <w:b/>
          <w:lang w:val="en-AU"/>
        </w:rPr>
      </w:pPr>
    </w:p>
    <w:p w:rsidR="00196F93" w:rsidRPr="00196F93" w:rsidRDefault="00645CC8">
      <w:pPr>
        <w:pStyle w:val="TOC1"/>
        <w:rPr>
          <w:rFonts w:asciiTheme="minorHAnsi" w:eastAsiaTheme="minorEastAsia" w:hAnsiTheme="minorHAnsi" w:cstheme="minorBidi"/>
          <w:bCs w:val="0"/>
          <w:caps w:val="0"/>
          <w:color w:val="auto"/>
          <w:kern w:val="0"/>
          <w:sz w:val="24"/>
          <w:lang w:val="en-GB" w:eastAsia="en-GB"/>
        </w:rPr>
      </w:pPr>
      <w:r w:rsidRPr="00196F93">
        <w:rPr>
          <w:rFonts w:asciiTheme="minorHAnsi" w:eastAsiaTheme="majorEastAsia" w:hAnsiTheme="minorHAnsi" w:cs="Arial"/>
          <w:b/>
          <w:noProof w:val="0"/>
          <w:color w:val="365F91" w:themeColor="accent1" w:themeShade="BF"/>
          <w:sz w:val="24"/>
        </w:rPr>
        <w:fldChar w:fldCharType="begin"/>
      </w:r>
      <w:r w:rsidRPr="00196F93">
        <w:rPr>
          <w:rFonts w:asciiTheme="minorHAnsi" w:eastAsiaTheme="majorEastAsia" w:hAnsiTheme="minorHAnsi" w:cs="Arial"/>
          <w:b/>
          <w:noProof w:val="0"/>
          <w:color w:val="365F91" w:themeColor="accent1" w:themeShade="BF"/>
          <w:sz w:val="24"/>
        </w:rPr>
        <w:instrText xml:space="preserve"> TOC \o "1-1" \h \z \u </w:instrText>
      </w:r>
      <w:r w:rsidRPr="00196F93">
        <w:rPr>
          <w:rFonts w:asciiTheme="minorHAnsi" w:eastAsiaTheme="majorEastAsia" w:hAnsiTheme="minorHAnsi" w:cs="Arial"/>
          <w:b/>
          <w:noProof w:val="0"/>
          <w:color w:val="365F91" w:themeColor="accent1" w:themeShade="BF"/>
          <w:sz w:val="24"/>
        </w:rPr>
        <w:fldChar w:fldCharType="separate"/>
      </w:r>
      <w:hyperlink w:anchor="_Toc388253129" w:history="1">
        <w:r w:rsidR="00196F93" w:rsidRPr="00196F93">
          <w:rPr>
            <w:rStyle w:val="Hyperlink"/>
            <w:rFonts w:asciiTheme="minorHAnsi" w:hAnsiTheme="minorHAnsi"/>
            <w:b/>
            <w:sz w:val="24"/>
          </w:rPr>
          <w:t>TABLE OF CONTENTS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_Toc388253129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iii</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0" w:history="1">
        <w:r w:rsidR="00196F93" w:rsidRPr="00196F93">
          <w:rPr>
            <w:rStyle w:val="Hyperlink"/>
            <w:rFonts w:asciiTheme="minorHAnsi" w:hAnsiTheme="minorHAnsi"/>
            <w:b/>
            <w:sz w:val="24"/>
          </w:rPr>
          <w:t>LIST OF TABLES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_Toc388253130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iv</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1" w:history="1">
        <w:r w:rsidR="00196F93" w:rsidRPr="00196F93">
          <w:rPr>
            <w:rStyle w:val="Hyperlink"/>
            <w:rFonts w:asciiTheme="minorHAnsi" w:hAnsiTheme="minorHAnsi"/>
            <w:b/>
            <w:sz w:val="24"/>
          </w:rPr>
          <w:t>LIST OF FIGURES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_Toc388253131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iv</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2" w:history="1">
        <w:r w:rsidR="00196F93" w:rsidRPr="00196F93">
          <w:rPr>
            <w:rStyle w:val="Hyperlink"/>
            <w:rFonts w:asciiTheme="minorHAnsi" w:hAnsiTheme="minorHAnsi"/>
            <w:b/>
            <w:sz w:val="24"/>
          </w:rPr>
          <w:t>ABBREVIATIONS AND ACRONYMS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_Toc388253132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v</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3" w:history="1">
        <w:r w:rsidR="00196F93" w:rsidRPr="00196F93">
          <w:rPr>
            <w:rStyle w:val="Hyperlink"/>
            <w:rFonts w:asciiTheme="minorHAnsi" w:hAnsiTheme="minorHAnsi"/>
            <w:b/>
            <w:sz w:val="24"/>
          </w:rPr>
          <w:t>ACKNOWLEDGEMENTS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_Toc388253133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viii</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4" w:history="1">
        <w:r w:rsidR="00196F93" w:rsidRPr="00196F93">
          <w:rPr>
            <w:rStyle w:val="Hyperlink"/>
            <w:rFonts w:asciiTheme="minorHAnsi" w:hAnsiTheme="minorHAnsi"/>
            <w:b/>
            <w:sz w:val="24"/>
          </w:rPr>
          <w:t>EXECUTIVE SUMMARY</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_Toc388253134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ix</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5" w:history="1">
        <w:r w:rsidR="00196F93" w:rsidRPr="00196F93">
          <w:rPr>
            <w:rStyle w:val="Hyperlink"/>
            <w:rFonts w:asciiTheme="minorHAnsi" w:hAnsiTheme="minorHAnsi"/>
            <w:b/>
            <w:sz w:val="24"/>
          </w:rPr>
          <w:t>1</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Introduction</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_Toc388253135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1</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6" w:history="1">
        <w:r w:rsidR="00196F93" w:rsidRPr="00196F93">
          <w:rPr>
            <w:rStyle w:val="Hyperlink"/>
            <w:rFonts w:asciiTheme="minorHAnsi" w:hAnsiTheme="minorHAnsi"/>
            <w:b/>
            <w:sz w:val="24"/>
          </w:rPr>
          <w:t>2</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Component 1: School Construction</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_Toc388253136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7</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7" w:history="1">
        <w:r w:rsidR="00196F93" w:rsidRPr="00196F93">
          <w:rPr>
            <w:rStyle w:val="Hyperlink"/>
            <w:rFonts w:asciiTheme="minorHAnsi" w:hAnsiTheme="minorHAnsi"/>
            <w:b/>
            <w:sz w:val="24"/>
          </w:rPr>
          <w:t>3</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Component 2: School and District Management</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_Toc388253137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17</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8" w:history="1">
        <w:r w:rsidR="00196F93" w:rsidRPr="00196F93">
          <w:rPr>
            <w:rStyle w:val="Hyperlink"/>
            <w:rFonts w:asciiTheme="minorHAnsi" w:hAnsiTheme="minorHAnsi"/>
            <w:b/>
            <w:sz w:val="24"/>
          </w:rPr>
          <w:t>4</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Component 3: Islamic School Accreditation</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_Toc388253138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25</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39" w:history="1">
        <w:r w:rsidR="00196F93" w:rsidRPr="00196F93">
          <w:rPr>
            <w:rStyle w:val="Hyperlink"/>
            <w:rFonts w:asciiTheme="minorHAnsi" w:hAnsiTheme="minorHAnsi"/>
            <w:b/>
            <w:sz w:val="24"/>
          </w:rPr>
          <w:t>5</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Component 4: Analytical and Capacity Development Partnership</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_Toc388253139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33</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0" w:history="1">
        <w:r w:rsidR="00196F93" w:rsidRPr="00196F93">
          <w:rPr>
            <w:rStyle w:val="Hyperlink"/>
            <w:rFonts w:asciiTheme="minorHAnsi" w:hAnsiTheme="minorHAnsi"/>
            <w:b/>
            <w:sz w:val="24"/>
          </w:rPr>
          <w:t>6</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Beneficiaries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_Toc388253140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42</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1" w:history="1">
        <w:r w:rsidR="00196F93" w:rsidRPr="00196F93">
          <w:rPr>
            <w:rStyle w:val="Hyperlink"/>
            <w:rFonts w:asciiTheme="minorHAnsi" w:hAnsiTheme="minorHAnsi"/>
            <w:b/>
            <w:sz w:val="24"/>
          </w:rPr>
          <w:t>7</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Management and Governance</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_Toc388253141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46</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2" w:history="1">
        <w:r w:rsidR="00196F93" w:rsidRPr="00196F93">
          <w:rPr>
            <w:rStyle w:val="Hyperlink"/>
            <w:rFonts w:asciiTheme="minorHAnsi" w:hAnsiTheme="minorHAnsi"/>
            <w:b/>
            <w:sz w:val="24"/>
          </w:rPr>
          <w:t>8</w:t>
        </w:r>
        <w:r w:rsidR="00196F93" w:rsidRPr="00196F93">
          <w:rPr>
            <w:rFonts w:asciiTheme="minorHAnsi" w:eastAsiaTheme="minorEastAsia" w:hAnsiTheme="minorHAnsi" w:cstheme="minorBidi"/>
            <w:bCs w:val="0"/>
            <w:caps w:val="0"/>
            <w:color w:val="auto"/>
            <w:kern w:val="0"/>
            <w:sz w:val="24"/>
            <w:lang w:val="en-GB" w:eastAsia="en-GB"/>
          </w:rPr>
          <w:tab/>
        </w:r>
        <w:r w:rsidR="00196F93" w:rsidRPr="00196F93">
          <w:rPr>
            <w:rStyle w:val="Hyperlink"/>
            <w:rFonts w:asciiTheme="minorHAnsi" w:hAnsiTheme="minorHAnsi"/>
            <w:b/>
            <w:sz w:val="24"/>
          </w:rPr>
          <w:t>Conclusions</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_Toc388253142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55</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3" w:history="1">
        <w:r w:rsidR="00196F93" w:rsidRPr="00196F93">
          <w:rPr>
            <w:rStyle w:val="Hyperlink"/>
            <w:rFonts w:asciiTheme="minorHAnsi" w:hAnsiTheme="minorHAnsi"/>
            <w:sz w:val="24"/>
          </w:rPr>
          <w:t>Annex I – EP Logic Architecture</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_Toc388253143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60</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4" w:history="1">
        <w:r w:rsidR="00196F93" w:rsidRPr="00196F93">
          <w:rPr>
            <w:rStyle w:val="Hyperlink"/>
            <w:rFonts w:asciiTheme="minorHAnsi" w:hAnsiTheme="minorHAnsi"/>
            <w:sz w:val="24"/>
          </w:rPr>
          <w:t>Annex II – Interpretation of DAC Criteria</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_Toc388253144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61</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5" w:history="1">
        <w:r w:rsidR="00196F93" w:rsidRPr="00196F93">
          <w:rPr>
            <w:rStyle w:val="Hyperlink"/>
            <w:rFonts w:asciiTheme="minorHAnsi" w:hAnsiTheme="minorHAnsi"/>
            <w:sz w:val="24"/>
          </w:rPr>
          <w:t xml:space="preserve">Annex III </w:t>
        </w:r>
        <w:r w:rsidR="00814744">
          <w:rPr>
            <w:rStyle w:val="Hyperlink"/>
            <w:rFonts w:asciiTheme="minorHAnsi" w:hAnsiTheme="minorHAnsi"/>
            <w:sz w:val="24"/>
          </w:rPr>
          <w:t>-</w:t>
        </w:r>
        <w:r w:rsidR="00196F93" w:rsidRPr="00196F93">
          <w:rPr>
            <w:rStyle w:val="Hyperlink"/>
            <w:rFonts w:asciiTheme="minorHAnsi" w:hAnsiTheme="minorHAnsi"/>
            <w:sz w:val="24"/>
          </w:rPr>
          <w:t xml:space="preserve"> APPR Rating Scale (based on DFAT QRS [QAI and ICR])</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_Toc388253145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62</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6" w:history="1">
        <w:r w:rsidR="00196F93" w:rsidRPr="00196F93">
          <w:rPr>
            <w:rStyle w:val="Hyperlink"/>
            <w:rFonts w:asciiTheme="minorHAnsi" w:hAnsiTheme="minorHAnsi"/>
            <w:sz w:val="24"/>
          </w:rPr>
          <w:t>Annex IV – List of Key Documents and Secondary Sources Reviewed</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_Toc388253146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63</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7" w:history="1">
        <w:r w:rsidR="00196F93" w:rsidRPr="00196F93">
          <w:rPr>
            <w:rStyle w:val="Hyperlink"/>
            <w:rFonts w:asciiTheme="minorHAnsi" w:hAnsiTheme="minorHAnsi"/>
            <w:sz w:val="24"/>
          </w:rPr>
          <w:t>Annex V – EP Analytical Framework 2013</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_Toc388253147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65</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8" w:history="1">
        <w:r w:rsidR="00196F93" w:rsidRPr="00196F93">
          <w:rPr>
            <w:rStyle w:val="Hyperlink"/>
            <w:rFonts w:asciiTheme="minorHAnsi" w:hAnsiTheme="minorHAnsi"/>
            <w:sz w:val="24"/>
          </w:rPr>
          <w:t>Annex V</w:t>
        </w:r>
        <w:r w:rsidR="00814744">
          <w:rPr>
            <w:rStyle w:val="Hyperlink"/>
            <w:rFonts w:asciiTheme="minorHAnsi" w:hAnsiTheme="minorHAnsi"/>
            <w:sz w:val="24"/>
          </w:rPr>
          <w:t>I</w:t>
        </w:r>
        <w:r w:rsidR="00196F93" w:rsidRPr="00196F93">
          <w:rPr>
            <w:rStyle w:val="Hyperlink"/>
            <w:rFonts w:asciiTheme="minorHAnsi" w:hAnsiTheme="minorHAnsi"/>
            <w:sz w:val="24"/>
          </w:rPr>
          <w:t xml:space="preserve"> – List of Key Persons Consulted</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_Toc388253148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70</w:t>
        </w:r>
        <w:r w:rsidR="00196F93" w:rsidRPr="00196F93">
          <w:rPr>
            <w:rFonts w:asciiTheme="minorHAnsi" w:hAnsiTheme="minorHAnsi"/>
            <w:webHidden/>
            <w:sz w:val="24"/>
          </w:rPr>
          <w:fldChar w:fldCharType="end"/>
        </w:r>
      </w:hyperlink>
    </w:p>
    <w:p w:rsidR="00196F93" w:rsidRPr="00196F93" w:rsidRDefault="00661633">
      <w:pPr>
        <w:pStyle w:val="TOC1"/>
        <w:rPr>
          <w:rFonts w:asciiTheme="minorHAnsi" w:eastAsiaTheme="minorEastAsia" w:hAnsiTheme="minorHAnsi" w:cstheme="minorBidi"/>
          <w:bCs w:val="0"/>
          <w:caps w:val="0"/>
          <w:color w:val="auto"/>
          <w:kern w:val="0"/>
          <w:sz w:val="24"/>
          <w:lang w:val="en-GB" w:eastAsia="en-GB"/>
        </w:rPr>
      </w:pPr>
      <w:hyperlink w:anchor="_Toc388253149" w:history="1">
        <w:r w:rsidR="00196F93" w:rsidRPr="00196F93">
          <w:rPr>
            <w:rStyle w:val="Hyperlink"/>
            <w:rFonts w:asciiTheme="minorHAnsi" w:hAnsiTheme="minorHAnsi"/>
            <w:sz w:val="24"/>
          </w:rPr>
          <w:t>Annex V</w:t>
        </w:r>
        <w:r w:rsidR="00814744">
          <w:rPr>
            <w:rStyle w:val="Hyperlink"/>
            <w:rFonts w:asciiTheme="minorHAnsi" w:hAnsiTheme="minorHAnsi"/>
            <w:sz w:val="24"/>
          </w:rPr>
          <w:t>II</w:t>
        </w:r>
        <w:r w:rsidR="00196F93" w:rsidRPr="00196F93">
          <w:rPr>
            <w:rStyle w:val="Hyperlink"/>
            <w:rFonts w:asciiTheme="minorHAnsi" w:hAnsiTheme="minorHAnsi"/>
            <w:sz w:val="24"/>
          </w:rPr>
          <w:t xml:space="preserve"> – ECBP M&amp;E Standards Standard 3: Initiative Progress Reporting</w:t>
        </w:r>
        <w:r w:rsidR="00196F93" w:rsidRPr="00196F93">
          <w:rPr>
            <w:rFonts w:asciiTheme="minorHAnsi" w:hAnsiTheme="minorHAnsi"/>
            <w:webHidden/>
            <w:sz w:val="24"/>
          </w:rPr>
          <w:tab/>
        </w:r>
        <w:r w:rsidR="00196F93" w:rsidRPr="00196F93">
          <w:rPr>
            <w:rFonts w:asciiTheme="minorHAnsi" w:hAnsiTheme="minorHAnsi"/>
            <w:webHidden/>
            <w:sz w:val="24"/>
          </w:rPr>
          <w:fldChar w:fldCharType="begin"/>
        </w:r>
        <w:r w:rsidR="00196F93" w:rsidRPr="00196F93">
          <w:rPr>
            <w:rFonts w:asciiTheme="minorHAnsi" w:hAnsiTheme="minorHAnsi"/>
            <w:webHidden/>
            <w:sz w:val="24"/>
          </w:rPr>
          <w:instrText xml:space="preserve"> PAGEREF _Toc388253149 \h </w:instrText>
        </w:r>
        <w:r w:rsidR="00196F93" w:rsidRPr="00196F93">
          <w:rPr>
            <w:rFonts w:asciiTheme="minorHAnsi" w:hAnsiTheme="minorHAnsi"/>
            <w:webHidden/>
            <w:sz w:val="24"/>
          </w:rPr>
        </w:r>
        <w:r w:rsidR="00196F93" w:rsidRPr="00196F93">
          <w:rPr>
            <w:rFonts w:asciiTheme="minorHAnsi" w:hAnsiTheme="minorHAnsi"/>
            <w:webHidden/>
            <w:sz w:val="24"/>
          </w:rPr>
          <w:fldChar w:fldCharType="separate"/>
        </w:r>
        <w:r w:rsidR="00662AF4">
          <w:rPr>
            <w:rFonts w:asciiTheme="minorHAnsi" w:hAnsiTheme="minorHAnsi"/>
            <w:webHidden/>
            <w:sz w:val="24"/>
          </w:rPr>
          <w:t>72</w:t>
        </w:r>
        <w:r w:rsidR="00196F93" w:rsidRPr="00196F93">
          <w:rPr>
            <w:rFonts w:asciiTheme="minorHAnsi" w:hAnsiTheme="minorHAnsi"/>
            <w:webHidden/>
            <w:sz w:val="24"/>
          </w:rPr>
          <w:fldChar w:fldCharType="end"/>
        </w:r>
      </w:hyperlink>
    </w:p>
    <w:p w:rsidR="0022598A" w:rsidRPr="00CB10AD" w:rsidRDefault="00645CC8" w:rsidP="007269E9">
      <w:pPr>
        <w:spacing w:beforeLines="60" w:before="144" w:afterLines="60" w:after="144" w:line="480" w:lineRule="auto"/>
        <w:rPr>
          <w:lang w:val="en-AU"/>
        </w:rPr>
      </w:pPr>
      <w:r w:rsidRPr="00196F93">
        <w:rPr>
          <w:rFonts w:asciiTheme="minorHAnsi" w:eastAsiaTheme="majorEastAsia" w:hAnsiTheme="minorHAnsi" w:cs="Arial"/>
          <w:bCs/>
          <w:color w:val="365F91" w:themeColor="accent1" w:themeShade="BF"/>
          <w:sz w:val="24"/>
          <w:szCs w:val="24"/>
          <w:lang w:val="en-AU"/>
        </w:rPr>
        <w:fldChar w:fldCharType="end"/>
      </w:r>
    </w:p>
    <w:p w:rsidR="0022598A" w:rsidRPr="00CB10AD" w:rsidRDefault="0022598A" w:rsidP="00196F93">
      <w:pPr>
        <w:pStyle w:val="Heading1"/>
        <w:numPr>
          <w:ilvl w:val="0"/>
          <w:numId w:val="0"/>
        </w:numPr>
        <w:rPr>
          <w:b/>
          <w:color w:val="1F497D" w:themeColor="text2"/>
          <w:lang w:val="en-AU"/>
        </w:rPr>
      </w:pPr>
      <w:r w:rsidRPr="00CB10AD">
        <w:rPr>
          <w:lang w:val="en-AU"/>
        </w:rPr>
        <w:br w:type="page"/>
      </w:r>
      <w:bookmarkStart w:id="2" w:name="_Toc388253130"/>
      <w:r w:rsidRPr="00CB10AD">
        <w:rPr>
          <w:b/>
          <w:color w:val="1F497D" w:themeColor="text2"/>
          <w:lang w:val="en-AU"/>
        </w:rPr>
        <w:lastRenderedPageBreak/>
        <w:t>L</w:t>
      </w:r>
      <w:r w:rsidR="0043619B" w:rsidRPr="00CB10AD">
        <w:rPr>
          <w:b/>
          <w:color w:val="1F497D" w:themeColor="text2"/>
          <w:lang w:val="en-AU"/>
        </w:rPr>
        <w:t>IST OF TABLES</w:t>
      </w:r>
      <w:bookmarkEnd w:id="2"/>
    </w:p>
    <w:p w:rsidR="0022598A" w:rsidRPr="00CB10AD" w:rsidRDefault="0022598A" w:rsidP="00645CC8">
      <w:pPr>
        <w:rPr>
          <w:color w:val="1F497D" w:themeColor="text2"/>
          <w:lang w:val="en-AU"/>
        </w:rPr>
      </w:pPr>
    </w:p>
    <w:p w:rsidR="00FA2E23" w:rsidRPr="00CB10AD" w:rsidRDefault="0022598A"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r w:rsidRPr="00CB10AD">
        <w:rPr>
          <w:rFonts w:asciiTheme="minorHAnsi" w:hAnsiTheme="minorHAnsi"/>
          <w:color w:val="365F91" w:themeColor="accent1" w:themeShade="BF"/>
          <w:lang w:val="en-AU"/>
        </w:rPr>
        <w:fldChar w:fldCharType="begin"/>
      </w:r>
      <w:r w:rsidRPr="00CB10AD">
        <w:rPr>
          <w:rFonts w:asciiTheme="minorHAnsi" w:hAnsiTheme="minorHAnsi"/>
          <w:color w:val="365F91" w:themeColor="accent1" w:themeShade="BF"/>
          <w:lang w:val="en-AU"/>
        </w:rPr>
        <w:instrText xml:space="preserve"> TOC \h \z \c "Table" </w:instrText>
      </w:r>
      <w:r w:rsidRPr="00CB10AD">
        <w:rPr>
          <w:rFonts w:asciiTheme="minorHAnsi" w:hAnsiTheme="minorHAnsi"/>
          <w:color w:val="365F91" w:themeColor="accent1" w:themeShade="BF"/>
          <w:lang w:val="en-AU"/>
        </w:rPr>
        <w:fldChar w:fldCharType="separate"/>
      </w:r>
      <w:hyperlink w:anchor="_Toc379982269" w:history="1">
        <w:r w:rsidR="00FA2E23" w:rsidRPr="00CB10AD">
          <w:rPr>
            <w:rStyle w:val="Hyperlink"/>
            <w:rFonts w:asciiTheme="minorHAnsi" w:hAnsiTheme="minorHAnsi"/>
            <w:noProof/>
            <w:color w:val="365F91" w:themeColor="accent1" w:themeShade="BF"/>
            <w:lang w:val="en-AU"/>
          </w:rPr>
          <w:t>Table 1: Confirmed schools in Cycles 1 and 2</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_Toc379982269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11</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0" w:history="1">
        <w:r w:rsidR="00FA2E23" w:rsidRPr="00CB10AD">
          <w:rPr>
            <w:rStyle w:val="Hyperlink"/>
            <w:rFonts w:asciiTheme="minorHAnsi" w:hAnsiTheme="minorHAnsi"/>
            <w:noProof/>
            <w:color w:val="365F91" w:themeColor="accent1" w:themeShade="BF"/>
            <w:lang w:val="en-AU"/>
          </w:rPr>
          <w:t>Table 2: Component 1 scorecard</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_Toc379982270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15</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1" w:history="1">
        <w:r w:rsidR="00FA2E23" w:rsidRPr="00CB10AD">
          <w:rPr>
            <w:rStyle w:val="Hyperlink"/>
            <w:rFonts w:asciiTheme="minorHAnsi" w:hAnsiTheme="minorHAnsi"/>
            <w:noProof/>
            <w:color w:val="365F91" w:themeColor="accent1" w:themeShade="BF"/>
            <w:lang w:val="en-AU"/>
          </w:rPr>
          <w:t>Table 3: Component 1 key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_Toc379982271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16</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2" w:history="1">
        <w:r w:rsidR="00FA2E23" w:rsidRPr="00CB10AD">
          <w:rPr>
            <w:rStyle w:val="Hyperlink"/>
            <w:rFonts w:asciiTheme="minorHAnsi" w:hAnsiTheme="minorHAnsi"/>
            <w:noProof/>
            <w:color w:val="365F91" w:themeColor="accent1" w:themeShade="BF"/>
            <w:lang w:val="en-AU"/>
          </w:rPr>
          <w:t>Table 4: Persons trained by C2 (to end of November 2013)</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_Toc379982272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19</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3" w:history="1">
        <w:r w:rsidR="00FA2E23" w:rsidRPr="00CB10AD">
          <w:rPr>
            <w:rStyle w:val="Hyperlink"/>
            <w:rFonts w:asciiTheme="minorHAnsi" w:hAnsiTheme="minorHAnsi"/>
            <w:noProof/>
            <w:color w:val="365F91" w:themeColor="accent1" w:themeShade="BF"/>
            <w:lang w:val="en-AU"/>
          </w:rPr>
          <w:t>Table 5</w:t>
        </w:r>
        <w:r w:rsidR="00FA2E23" w:rsidRPr="00CB10AD">
          <w:rPr>
            <w:rStyle w:val="Hyperlink"/>
            <w:rFonts w:asciiTheme="minorHAnsi" w:hAnsiTheme="minorHAnsi"/>
            <w:bCs/>
            <w:noProof/>
            <w:color w:val="365F91" w:themeColor="accent1" w:themeShade="BF"/>
            <w:lang w:val="en-AU"/>
          </w:rPr>
          <w:t xml:space="preserve">: </w:t>
        </w:r>
        <w:r w:rsidR="00FA2E23" w:rsidRPr="00CB10AD">
          <w:rPr>
            <w:rStyle w:val="Hyperlink"/>
            <w:rFonts w:asciiTheme="minorHAnsi" w:hAnsiTheme="minorHAnsi"/>
            <w:bCs/>
            <w:iCs/>
            <w:noProof/>
            <w:color w:val="365F91" w:themeColor="accent1" w:themeShade="BF"/>
            <w:lang w:val="en-AU"/>
          </w:rPr>
          <w:t>Component 2 scorecard</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_Toc379982273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23</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4" w:history="1">
        <w:r w:rsidR="00FA2E23" w:rsidRPr="00CB10AD">
          <w:rPr>
            <w:rStyle w:val="Hyperlink"/>
            <w:rFonts w:asciiTheme="minorHAnsi" w:hAnsiTheme="minorHAnsi"/>
            <w:noProof/>
            <w:color w:val="365F91" w:themeColor="accent1" w:themeShade="BF"/>
            <w:lang w:val="en-AU"/>
          </w:rPr>
          <w:t>Table 6</w:t>
        </w:r>
        <w:r w:rsidR="00FA2E23" w:rsidRPr="00CB10AD">
          <w:rPr>
            <w:rStyle w:val="Hyperlink"/>
            <w:rFonts w:asciiTheme="minorHAnsi" w:hAnsiTheme="minorHAnsi"/>
            <w:bCs/>
            <w:noProof/>
            <w:color w:val="365F91" w:themeColor="accent1" w:themeShade="BF"/>
            <w:lang w:val="en-AU"/>
          </w:rPr>
          <w:t>: Component 2 k</w:t>
        </w:r>
        <w:r w:rsidR="00FA2E23" w:rsidRPr="00CB10AD">
          <w:rPr>
            <w:rStyle w:val="Hyperlink"/>
            <w:rFonts w:asciiTheme="minorHAnsi" w:hAnsiTheme="minorHAnsi"/>
            <w:bCs/>
            <w:iCs/>
            <w:noProof/>
            <w:color w:val="365F91" w:themeColor="accent1" w:themeShade="BF"/>
            <w:lang w:val="en-AU"/>
          </w:rPr>
          <w:t>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_Toc379982274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24</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5" w:history="1">
        <w:r w:rsidR="00FA2E23" w:rsidRPr="00CB10AD">
          <w:rPr>
            <w:rStyle w:val="Hyperlink"/>
            <w:rFonts w:asciiTheme="minorHAnsi" w:hAnsiTheme="minorHAnsi"/>
            <w:noProof/>
            <w:color w:val="365F91" w:themeColor="accent1" w:themeShade="BF"/>
            <w:lang w:val="en-AU"/>
          </w:rPr>
          <w:t>Table 7: C3 Phase 1 and Phase 2 support to Madrasah</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_Toc379982275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26</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6" w:history="1">
        <w:r w:rsidR="00FA2E23" w:rsidRPr="00CB10AD">
          <w:rPr>
            <w:rStyle w:val="Hyperlink"/>
            <w:rFonts w:asciiTheme="minorHAnsi" w:hAnsiTheme="minorHAnsi"/>
            <w:noProof/>
            <w:color w:val="365F91" w:themeColor="accent1" w:themeShade="BF"/>
            <w:lang w:val="en-AU"/>
          </w:rPr>
          <w:t>Table 8: Distribution of findings for C3 POM audits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_Toc379982276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28</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7" w:history="1">
        <w:r w:rsidR="00FA2E23" w:rsidRPr="00CB10AD">
          <w:rPr>
            <w:rStyle w:val="Hyperlink"/>
            <w:rFonts w:asciiTheme="minorHAnsi" w:hAnsiTheme="minorHAnsi"/>
            <w:noProof/>
            <w:color w:val="365F91" w:themeColor="accent1" w:themeShade="BF"/>
            <w:lang w:val="en-AU"/>
          </w:rPr>
          <w:t>Table 9</w:t>
        </w:r>
        <w:r w:rsidR="00FA2E23" w:rsidRPr="00CB10AD">
          <w:rPr>
            <w:rStyle w:val="Hyperlink"/>
            <w:rFonts w:asciiTheme="minorHAnsi" w:hAnsiTheme="minorHAnsi"/>
            <w:bCs/>
            <w:noProof/>
            <w:color w:val="365F91" w:themeColor="accent1" w:themeShade="BF"/>
            <w:lang w:val="en-AU"/>
          </w:rPr>
          <w:t xml:space="preserve">: </w:t>
        </w:r>
        <w:r w:rsidR="00FA2E23" w:rsidRPr="00CB10AD">
          <w:rPr>
            <w:rStyle w:val="Hyperlink"/>
            <w:rFonts w:asciiTheme="minorHAnsi" w:hAnsiTheme="minorHAnsi"/>
            <w:bCs/>
            <w:iCs/>
            <w:noProof/>
            <w:color w:val="365F91" w:themeColor="accent1" w:themeShade="BF"/>
            <w:lang w:val="en-AU"/>
          </w:rPr>
          <w:t>Component 3 scorecard</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_Toc379982277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31</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8" w:history="1">
        <w:r w:rsidR="00FA2E23" w:rsidRPr="00CB10AD">
          <w:rPr>
            <w:rStyle w:val="Hyperlink"/>
            <w:rFonts w:asciiTheme="minorHAnsi" w:hAnsiTheme="minorHAnsi"/>
            <w:noProof/>
            <w:color w:val="365F91" w:themeColor="accent1" w:themeShade="BF"/>
            <w:lang w:val="en-AU"/>
          </w:rPr>
          <w:t>Table 10</w:t>
        </w:r>
        <w:r w:rsidR="00FA2E23" w:rsidRPr="00CB10AD">
          <w:rPr>
            <w:rStyle w:val="Hyperlink"/>
            <w:rFonts w:asciiTheme="minorHAnsi" w:hAnsiTheme="minorHAnsi"/>
            <w:bCs/>
            <w:noProof/>
            <w:color w:val="365F91" w:themeColor="accent1" w:themeShade="BF"/>
            <w:lang w:val="en-AU"/>
          </w:rPr>
          <w:t>: Component 3 k</w:t>
        </w:r>
        <w:r w:rsidR="00FA2E23" w:rsidRPr="00CB10AD">
          <w:rPr>
            <w:rStyle w:val="Hyperlink"/>
            <w:rFonts w:asciiTheme="minorHAnsi" w:hAnsiTheme="minorHAnsi"/>
            <w:bCs/>
            <w:iCs/>
            <w:noProof/>
            <w:color w:val="365F91" w:themeColor="accent1" w:themeShade="BF"/>
            <w:lang w:val="en-AU"/>
          </w:rPr>
          <w:t>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_Toc379982278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32</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79" w:history="1">
        <w:r w:rsidR="00FA2E23" w:rsidRPr="00CB10AD">
          <w:rPr>
            <w:rStyle w:val="Hyperlink"/>
            <w:rFonts w:asciiTheme="minorHAnsi" w:hAnsiTheme="minorHAnsi"/>
            <w:noProof/>
            <w:color w:val="365F91" w:themeColor="accent1" w:themeShade="BF"/>
            <w:lang w:val="en-AU"/>
          </w:rPr>
          <w:t>Table 11: Progress against ACDP workplan (as at 30 November 2013)</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_Toc379982279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34</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80" w:history="1">
        <w:r w:rsidR="00FA2E23" w:rsidRPr="00CB10AD">
          <w:rPr>
            <w:rStyle w:val="Hyperlink"/>
            <w:rFonts w:asciiTheme="minorHAnsi" w:hAnsiTheme="minorHAnsi"/>
            <w:noProof/>
            <w:color w:val="365F91" w:themeColor="accent1" w:themeShade="BF"/>
            <w:lang w:val="en-AU"/>
          </w:rPr>
          <w:t>Table 12</w:t>
        </w:r>
        <w:r w:rsidR="00FA2E23" w:rsidRPr="00CB10AD">
          <w:rPr>
            <w:rStyle w:val="Hyperlink"/>
            <w:rFonts w:asciiTheme="minorHAnsi" w:hAnsiTheme="minorHAnsi"/>
            <w:bCs/>
            <w:noProof/>
            <w:color w:val="365F91" w:themeColor="accent1" w:themeShade="BF"/>
            <w:lang w:val="en-AU"/>
          </w:rPr>
          <w:t xml:space="preserve">: </w:t>
        </w:r>
        <w:r w:rsidR="00FA2E23" w:rsidRPr="00CB10AD">
          <w:rPr>
            <w:rStyle w:val="Hyperlink"/>
            <w:rFonts w:asciiTheme="minorHAnsi" w:hAnsiTheme="minorHAnsi"/>
            <w:bCs/>
            <w:iCs/>
            <w:noProof/>
            <w:color w:val="365F91" w:themeColor="accent1" w:themeShade="BF"/>
            <w:lang w:val="en-AU"/>
          </w:rPr>
          <w:t>Component 4 scorecard</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_Toc379982280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39</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81" w:history="1">
        <w:r w:rsidR="00FA2E23" w:rsidRPr="00CB10AD">
          <w:rPr>
            <w:rStyle w:val="Hyperlink"/>
            <w:rFonts w:asciiTheme="minorHAnsi" w:hAnsiTheme="minorHAnsi"/>
            <w:noProof/>
            <w:color w:val="365F91" w:themeColor="accent1" w:themeShade="BF"/>
            <w:lang w:val="en-AU"/>
          </w:rPr>
          <w:t>Table 13</w:t>
        </w:r>
        <w:r w:rsidR="00FA2E23" w:rsidRPr="00CB10AD">
          <w:rPr>
            <w:rStyle w:val="Hyperlink"/>
            <w:rFonts w:asciiTheme="minorHAnsi" w:hAnsiTheme="minorHAnsi"/>
            <w:bCs/>
            <w:noProof/>
            <w:color w:val="365F91" w:themeColor="accent1" w:themeShade="BF"/>
            <w:lang w:val="en-AU"/>
          </w:rPr>
          <w:t>: Component 4 key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_Toc379982281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40</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82" w:history="1">
        <w:r w:rsidR="00FA2E23" w:rsidRPr="00CB10AD">
          <w:rPr>
            <w:rStyle w:val="Hyperlink"/>
            <w:rFonts w:asciiTheme="minorHAnsi" w:hAnsiTheme="minorHAnsi"/>
            <w:noProof/>
            <w:color w:val="365F91" w:themeColor="accent1" w:themeShade="BF"/>
            <w:lang w:val="en-AU"/>
          </w:rPr>
          <w:t>Table 14</w:t>
        </w:r>
        <w:r w:rsidR="00FA2E23" w:rsidRPr="00CB10AD">
          <w:rPr>
            <w:rStyle w:val="Hyperlink"/>
            <w:rFonts w:asciiTheme="minorHAnsi" w:hAnsiTheme="minorHAnsi"/>
            <w:bCs/>
            <w:noProof/>
            <w:color w:val="365F91" w:themeColor="accent1" w:themeShade="BF"/>
            <w:lang w:val="en-AU"/>
          </w:rPr>
          <w:t>: Beneficiaries k</w:t>
        </w:r>
        <w:r w:rsidR="00FA2E23" w:rsidRPr="00CB10AD">
          <w:rPr>
            <w:rStyle w:val="Hyperlink"/>
            <w:rFonts w:asciiTheme="minorHAnsi" w:hAnsiTheme="minorHAnsi"/>
            <w:bCs/>
            <w:iCs/>
            <w:noProof/>
            <w:color w:val="365F91" w:themeColor="accent1" w:themeShade="BF"/>
            <w:lang w:val="en-AU"/>
          </w:rPr>
          <w:t>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_Toc379982282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45</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83" w:history="1">
        <w:r w:rsidR="00FA2E23" w:rsidRPr="00CB10AD">
          <w:rPr>
            <w:rStyle w:val="Hyperlink"/>
            <w:rFonts w:asciiTheme="minorHAnsi" w:hAnsiTheme="minorHAnsi"/>
            <w:noProof/>
            <w:color w:val="365F91" w:themeColor="accent1" w:themeShade="BF"/>
            <w:lang w:val="en-AU"/>
          </w:rPr>
          <w:t>Table 15</w:t>
        </w:r>
        <w:r w:rsidR="00FA2E23" w:rsidRPr="00CB10AD">
          <w:rPr>
            <w:rStyle w:val="Hyperlink"/>
            <w:rFonts w:asciiTheme="minorHAnsi" w:hAnsiTheme="minorHAnsi"/>
            <w:bCs/>
            <w:noProof/>
            <w:color w:val="365F91" w:themeColor="accent1" w:themeShade="BF"/>
            <w:lang w:val="en-AU"/>
          </w:rPr>
          <w:t>: Governance and management k</w:t>
        </w:r>
        <w:r w:rsidR="00FA2E23" w:rsidRPr="00CB10AD">
          <w:rPr>
            <w:rStyle w:val="Hyperlink"/>
            <w:rFonts w:asciiTheme="minorHAnsi" w:hAnsiTheme="minorHAnsi"/>
            <w:bCs/>
            <w:iCs/>
            <w:noProof/>
            <w:color w:val="365F91" w:themeColor="accent1" w:themeShade="BF"/>
            <w:lang w:val="en-AU"/>
          </w:rPr>
          <w:t>ey findings and recommendations</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_Toc379982283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51</w:t>
        </w:r>
        <w:r w:rsidR="00FA2E23" w:rsidRPr="00CB10AD">
          <w:rPr>
            <w:rFonts w:asciiTheme="minorHAnsi" w:hAnsiTheme="minorHAnsi"/>
            <w:noProof/>
            <w:webHidden/>
            <w:color w:val="365F91" w:themeColor="accent1" w:themeShade="BF"/>
            <w:lang w:val="en-AU"/>
          </w:rPr>
          <w:fldChar w:fldCharType="end"/>
        </w:r>
      </w:hyperlink>
    </w:p>
    <w:p w:rsidR="00FA2E23" w:rsidRPr="00CB10AD" w:rsidRDefault="00661633" w:rsidP="00FA2E23">
      <w:pPr>
        <w:pStyle w:val="TableofFigures"/>
        <w:tabs>
          <w:tab w:val="right" w:leader="dot" w:pos="9019"/>
        </w:tabs>
        <w:spacing w:beforeLines="60" w:before="144" w:afterLines="60" w:after="144"/>
        <w:rPr>
          <w:rFonts w:asciiTheme="minorHAnsi" w:eastAsiaTheme="minorEastAsia" w:hAnsiTheme="minorHAnsi" w:cstheme="minorBidi"/>
          <w:noProof/>
          <w:color w:val="365F91" w:themeColor="accent1" w:themeShade="BF"/>
          <w:lang w:val="en-AU" w:eastAsia="en-GB"/>
        </w:rPr>
      </w:pPr>
      <w:hyperlink w:anchor="_Toc379982284" w:history="1">
        <w:r w:rsidR="00FA2E23" w:rsidRPr="00CB10AD">
          <w:rPr>
            <w:rStyle w:val="Hyperlink"/>
            <w:rFonts w:asciiTheme="minorHAnsi" w:hAnsiTheme="minorHAnsi"/>
            <w:noProof/>
            <w:color w:val="365F91" w:themeColor="accent1" w:themeShade="BF"/>
            <w:lang w:val="en-AU"/>
          </w:rPr>
          <w:t xml:space="preserve">Table 16: </w:t>
        </w:r>
        <w:r w:rsidR="00FA2E23" w:rsidRPr="00CB10AD">
          <w:rPr>
            <w:rStyle w:val="Hyperlink"/>
            <w:rFonts w:asciiTheme="minorHAnsi" w:hAnsiTheme="minorHAnsi"/>
            <w:bCs/>
            <w:iCs/>
            <w:noProof/>
            <w:color w:val="365F91" w:themeColor="accent1" w:themeShade="BF"/>
            <w:lang w:val="en-AU"/>
          </w:rPr>
          <w:t>Combined scorecard</w:t>
        </w:r>
        <w:r w:rsidR="00FA2E23" w:rsidRPr="00CB10AD">
          <w:rPr>
            <w:rFonts w:asciiTheme="minorHAnsi" w:hAnsiTheme="minorHAnsi"/>
            <w:noProof/>
            <w:webHidden/>
            <w:color w:val="365F91" w:themeColor="accent1" w:themeShade="BF"/>
            <w:lang w:val="en-AU"/>
          </w:rPr>
          <w:tab/>
        </w:r>
        <w:r w:rsidR="00FA2E23" w:rsidRPr="00CB10AD">
          <w:rPr>
            <w:rFonts w:asciiTheme="minorHAnsi" w:hAnsiTheme="minorHAnsi"/>
            <w:noProof/>
            <w:webHidden/>
            <w:color w:val="365F91" w:themeColor="accent1" w:themeShade="BF"/>
            <w:lang w:val="en-AU"/>
          </w:rPr>
          <w:fldChar w:fldCharType="begin"/>
        </w:r>
        <w:r w:rsidR="00FA2E23" w:rsidRPr="00CB10AD">
          <w:rPr>
            <w:rFonts w:asciiTheme="minorHAnsi" w:hAnsiTheme="minorHAnsi"/>
            <w:noProof/>
            <w:webHidden/>
            <w:color w:val="365F91" w:themeColor="accent1" w:themeShade="BF"/>
            <w:lang w:val="en-AU"/>
          </w:rPr>
          <w:instrText xml:space="preserve"> PAGEREF _Toc379982284 \h </w:instrText>
        </w:r>
        <w:r w:rsidR="00FA2E23" w:rsidRPr="00CB10AD">
          <w:rPr>
            <w:rFonts w:asciiTheme="minorHAnsi" w:hAnsiTheme="minorHAnsi"/>
            <w:noProof/>
            <w:webHidden/>
            <w:color w:val="365F91" w:themeColor="accent1" w:themeShade="BF"/>
            <w:lang w:val="en-AU"/>
          </w:rPr>
        </w:r>
        <w:r w:rsidR="00FA2E23" w:rsidRPr="00CB10AD">
          <w:rPr>
            <w:rFonts w:asciiTheme="minorHAnsi" w:hAnsiTheme="minorHAnsi"/>
            <w:noProof/>
            <w:webHidden/>
            <w:color w:val="365F91" w:themeColor="accent1" w:themeShade="BF"/>
            <w:lang w:val="en-AU"/>
          </w:rPr>
          <w:fldChar w:fldCharType="separate"/>
        </w:r>
        <w:r w:rsidR="00662AF4">
          <w:rPr>
            <w:rFonts w:asciiTheme="minorHAnsi" w:hAnsiTheme="minorHAnsi"/>
            <w:noProof/>
            <w:webHidden/>
            <w:color w:val="365F91" w:themeColor="accent1" w:themeShade="BF"/>
            <w:lang w:val="en-AU"/>
          </w:rPr>
          <w:t>55</w:t>
        </w:r>
        <w:r w:rsidR="00FA2E23" w:rsidRPr="00CB10AD">
          <w:rPr>
            <w:rFonts w:asciiTheme="minorHAnsi" w:hAnsiTheme="minorHAnsi"/>
            <w:noProof/>
            <w:webHidden/>
            <w:color w:val="365F91" w:themeColor="accent1" w:themeShade="BF"/>
            <w:lang w:val="en-AU"/>
          </w:rPr>
          <w:fldChar w:fldCharType="end"/>
        </w:r>
      </w:hyperlink>
    </w:p>
    <w:p w:rsidR="0022598A" w:rsidRPr="00CB10AD" w:rsidRDefault="0022598A" w:rsidP="00FA2E23">
      <w:pPr>
        <w:spacing w:beforeLines="60" w:before="144" w:afterLines="60" w:after="144"/>
        <w:rPr>
          <w:color w:val="1F497D" w:themeColor="text2"/>
          <w:lang w:val="en-AU"/>
        </w:rPr>
      </w:pPr>
      <w:r w:rsidRPr="00CB10AD">
        <w:rPr>
          <w:rFonts w:asciiTheme="minorHAnsi" w:hAnsiTheme="minorHAnsi"/>
          <w:color w:val="365F91" w:themeColor="accent1" w:themeShade="BF"/>
          <w:lang w:val="en-AU"/>
        </w:rPr>
        <w:fldChar w:fldCharType="end"/>
      </w:r>
    </w:p>
    <w:p w:rsidR="0022598A" w:rsidRPr="00CB10AD" w:rsidRDefault="0022598A" w:rsidP="0022598A">
      <w:pPr>
        <w:spacing w:before="60" w:after="60"/>
        <w:rPr>
          <w:color w:val="1F497D" w:themeColor="text2"/>
          <w:lang w:val="en-AU"/>
        </w:rPr>
      </w:pPr>
    </w:p>
    <w:p w:rsidR="0022598A" w:rsidRPr="00CB10AD" w:rsidRDefault="0022598A" w:rsidP="0043619B">
      <w:pPr>
        <w:pStyle w:val="Heading1"/>
        <w:numPr>
          <w:ilvl w:val="0"/>
          <w:numId w:val="0"/>
        </w:numPr>
        <w:rPr>
          <w:b/>
          <w:color w:val="1F497D" w:themeColor="text2"/>
          <w:lang w:val="en-AU"/>
        </w:rPr>
      </w:pPr>
      <w:bookmarkStart w:id="3" w:name="_Toc388253131"/>
      <w:r w:rsidRPr="00CB10AD">
        <w:rPr>
          <w:b/>
          <w:color w:val="1F497D" w:themeColor="text2"/>
          <w:lang w:val="en-AU"/>
        </w:rPr>
        <w:t>L</w:t>
      </w:r>
      <w:r w:rsidR="0043619B" w:rsidRPr="00CB10AD">
        <w:rPr>
          <w:b/>
          <w:color w:val="1F497D" w:themeColor="text2"/>
          <w:lang w:val="en-AU"/>
        </w:rPr>
        <w:t>IST OF FIGURES</w:t>
      </w:r>
      <w:bookmarkEnd w:id="3"/>
    </w:p>
    <w:p w:rsidR="0022598A" w:rsidRPr="00CB10AD" w:rsidRDefault="0022598A" w:rsidP="0022598A">
      <w:pPr>
        <w:spacing w:before="60" w:after="60"/>
        <w:rPr>
          <w:color w:val="1F497D" w:themeColor="text2"/>
          <w:lang w:val="en-AU"/>
        </w:rPr>
      </w:pPr>
    </w:p>
    <w:p w:rsidR="00267556" w:rsidRPr="00CB10AD" w:rsidRDefault="0022598A" w:rsidP="0043619B">
      <w:pPr>
        <w:pStyle w:val="TableofFigures"/>
        <w:tabs>
          <w:tab w:val="right" w:leader="dot" w:pos="9019"/>
        </w:tabs>
        <w:spacing w:beforeLines="60" w:before="144" w:afterLines="60" w:after="144"/>
        <w:rPr>
          <w:rFonts w:asciiTheme="minorHAnsi" w:eastAsiaTheme="minorEastAsia" w:hAnsiTheme="minorHAnsi" w:cstheme="minorBidi"/>
          <w:noProof/>
          <w:color w:val="1F497D" w:themeColor="text2"/>
          <w:lang w:val="en-AU" w:eastAsia="en-GB"/>
        </w:rPr>
      </w:pPr>
      <w:r w:rsidRPr="00CB10AD">
        <w:rPr>
          <w:rFonts w:asciiTheme="minorHAnsi" w:hAnsiTheme="minorHAnsi"/>
          <w:color w:val="1F497D" w:themeColor="text2"/>
          <w:lang w:val="en-AU"/>
        </w:rPr>
        <w:fldChar w:fldCharType="begin"/>
      </w:r>
      <w:r w:rsidRPr="00CB10AD">
        <w:rPr>
          <w:rFonts w:asciiTheme="minorHAnsi" w:hAnsiTheme="minorHAnsi"/>
          <w:color w:val="1F497D" w:themeColor="text2"/>
          <w:lang w:val="en-AU"/>
        </w:rPr>
        <w:instrText xml:space="preserve"> TOC \h \z \c "Figure" </w:instrText>
      </w:r>
      <w:r w:rsidRPr="00CB10AD">
        <w:rPr>
          <w:rFonts w:asciiTheme="minorHAnsi" w:hAnsiTheme="minorHAnsi"/>
          <w:color w:val="1F497D" w:themeColor="text2"/>
          <w:lang w:val="en-AU"/>
        </w:rPr>
        <w:fldChar w:fldCharType="separate"/>
      </w:r>
      <w:hyperlink w:anchor="_Toc379884229" w:history="1">
        <w:r w:rsidR="00267556" w:rsidRPr="00CB10AD">
          <w:rPr>
            <w:rStyle w:val="Hyperlink"/>
            <w:rFonts w:asciiTheme="minorHAnsi" w:hAnsiTheme="minorHAnsi"/>
            <w:noProof/>
            <w:color w:val="1F497D" w:themeColor="text2"/>
            <w:lang w:val="en-AU"/>
          </w:rPr>
          <w:t>Figure 1: Schools construction in 2012-13 (Cycle 1</w:t>
        </w:r>
        <w:r w:rsidR="00196F93">
          <w:rPr>
            <w:rStyle w:val="Hyperlink"/>
            <w:rFonts w:asciiTheme="minorHAnsi" w:hAnsiTheme="minorHAnsi"/>
            <w:noProof/>
            <w:color w:val="1F497D" w:themeColor="text2"/>
            <w:lang w:val="en-AU"/>
          </w:rPr>
          <w:t xml:space="preserve"> and 2</w:t>
        </w:r>
        <w:r w:rsidR="00267556" w:rsidRPr="00CB10AD">
          <w:rPr>
            <w:rStyle w:val="Hyperlink"/>
            <w:rFonts w:asciiTheme="minorHAnsi" w:hAnsiTheme="minorHAnsi"/>
            <w:noProof/>
            <w:color w:val="1F497D" w:themeColor="text2"/>
            <w:lang w:val="en-AU"/>
          </w:rPr>
          <w:t>)</w:t>
        </w:r>
        <w:r w:rsidR="00267556" w:rsidRPr="00CB10AD">
          <w:rPr>
            <w:rFonts w:asciiTheme="minorHAnsi" w:hAnsiTheme="minorHAnsi"/>
            <w:noProof/>
            <w:webHidden/>
            <w:color w:val="1F497D" w:themeColor="text2"/>
            <w:lang w:val="en-AU"/>
          </w:rPr>
          <w:tab/>
        </w:r>
        <w:r w:rsidR="00267556" w:rsidRPr="00CB10AD">
          <w:rPr>
            <w:rFonts w:asciiTheme="minorHAnsi" w:hAnsiTheme="minorHAnsi"/>
            <w:noProof/>
            <w:webHidden/>
            <w:color w:val="1F497D" w:themeColor="text2"/>
            <w:lang w:val="en-AU"/>
          </w:rPr>
          <w:fldChar w:fldCharType="begin"/>
        </w:r>
        <w:r w:rsidR="00267556" w:rsidRPr="00CB10AD">
          <w:rPr>
            <w:rFonts w:asciiTheme="minorHAnsi" w:hAnsiTheme="minorHAnsi"/>
            <w:noProof/>
            <w:webHidden/>
            <w:color w:val="1F497D" w:themeColor="text2"/>
            <w:lang w:val="en-AU"/>
          </w:rPr>
          <w:instrText xml:space="preserve"> PAGEREF _Toc379884229 \h </w:instrText>
        </w:r>
        <w:r w:rsidR="00267556" w:rsidRPr="00CB10AD">
          <w:rPr>
            <w:rFonts w:asciiTheme="minorHAnsi" w:hAnsiTheme="minorHAnsi"/>
            <w:noProof/>
            <w:webHidden/>
            <w:color w:val="1F497D" w:themeColor="text2"/>
            <w:lang w:val="en-AU"/>
          </w:rPr>
        </w:r>
        <w:r w:rsidR="00267556" w:rsidRPr="00CB10AD">
          <w:rPr>
            <w:rFonts w:asciiTheme="minorHAnsi" w:hAnsiTheme="minorHAnsi"/>
            <w:noProof/>
            <w:webHidden/>
            <w:color w:val="1F497D" w:themeColor="text2"/>
            <w:lang w:val="en-AU"/>
          </w:rPr>
          <w:fldChar w:fldCharType="separate"/>
        </w:r>
        <w:r w:rsidR="00662AF4">
          <w:rPr>
            <w:rFonts w:asciiTheme="minorHAnsi" w:hAnsiTheme="minorHAnsi"/>
            <w:noProof/>
            <w:webHidden/>
            <w:color w:val="1F497D" w:themeColor="text2"/>
            <w:lang w:val="en-AU"/>
          </w:rPr>
          <w:t>9</w:t>
        </w:r>
        <w:r w:rsidR="00267556" w:rsidRPr="00CB10AD">
          <w:rPr>
            <w:rFonts w:asciiTheme="minorHAnsi" w:hAnsiTheme="minorHAnsi"/>
            <w:noProof/>
            <w:webHidden/>
            <w:color w:val="1F497D" w:themeColor="text2"/>
            <w:lang w:val="en-AU"/>
          </w:rPr>
          <w:fldChar w:fldCharType="end"/>
        </w:r>
      </w:hyperlink>
    </w:p>
    <w:p w:rsidR="00267556" w:rsidRPr="00CB10AD" w:rsidRDefault="00661633" w:rsidP="0043619B">
      <w:pPr>
        <w:pStyle w:val="TableofFigures"/>
        <w:tabs>
          <w:tab w:val="right" w:leader="dot" w:pos="9019"/>
        </w:tabs>
        <w:spacing w:beforeLines="60" w:before="144" w:afterLines="60" w:after="144"/>
        <w:rPr>
          <w:rFonts w:asciiTheme="minorHAnsi" w:eastAsiaTheme="minorEastAsia" w:hAnsiTheme="minorHAnsi" w:cstheme="minorBidi"/>
          <w:noProof/>
          <w:color w:val="1F497D" w:themeColor="text2"/>
          <w:lang w:val="en-AU" w:eastAsia="en-GB"/>
        </w:rPr>
      </w:pPr>
      <w:hyperlink w:anchor="_Toc379884230" w:history="1">
        <w:r w:rsidR="00267556" w:rsidRPr="00CB10AD">
          <w:rPr>
            <w:rStyle w:val="Hyperlink"/>
            <w:rFonts w:asciiTheme="minorHAnsi" w:hAnsiTheme="minorHAnsi"/>
            <w:noProof/>
            <w:color w:val="1F497D" w:themeColor="text2"/>
            <w:lang w:val="en-AU"/>
          </w:rPr>
          <w:t>Figure 2: Proportion of districts nationwide with low/high GER</w:t>
        </w:r>
        <w:r w:rsidR="00267556" w:rsidRPr="00CB10AD">
          <w:rPr>
            <w:rFonts w:asciiTheme="minorHAnsi" w:hAnsiTheme="minorHAnsi"/>
            <w:noProof/>
            <w:webHidden/>
            <w:color w:val="1F497D" w:themeColor="text2"/>
            <w:lang w:val="en-AU"/>
          </w:rPr>
          <w:tab/>
        </w:r>
        <w:r w:rsidR="00267556" w:rsidRPr="00CB10AD">
          <w:rPr>
            <w:rFonts w:asciiTheme="minorHAnsi" w:hAnsiTheme="minorHAnsi"/>
            <w:noProof/>
            <w:webHidden/>
            <w:color w:val="1F497D" w:themeColor="text2"/>
            <w:lang w:val="en-AU"/>
          </w:rPr>
          <w:fldChar w:fldCharType="begin"/>
        </w:r>
        <w:r w:rsidR="00267556" w:rsidRPr="00CB10AD">
          <w:rPr>
            <w:rFonts w:asciiTheme="minorHAnsi" w:hAnsiTheme="minorHAnsi"/>
            <w:noProof/>
            <w:webHidden/>
            <w:color w:val="1F497D" w:themeColor="text2"/>
            <w:lang w:val="en-AU"/>
          </w:rPr>
          <w:instrText xml:space="preserve"> PAGEREF _Toc379884230 \h </w:instrText>
        </w:r>
        <w:r w:rsidR="00267556" w:rsidRPr="00CB10AD">
          <w:rPr>
            <w:rFonts w:asciiTheme="minorHAnsi" w:hAnsiTheme="minorHAnsi"/>
            <w:noProof/>
            <w:webHidden/>
            <w:color w:val="1F497D" w:themeColor="text2"/>
            <w:lang w:val="en-AU"/>
          </w:rPr>
        </w:r>
        <w:r w:rsidR="00267556" w:rsidRPr="00CB10AD">
          <w:rPr>
            <w:rFonts w:asciiTheme="minorHAnsi" w:hAnsiTheme="minorHAnsi"/>
            <w:noProof/>
            <w:webHidden/>
            <w:color w:val="1F497D" w:themeColor="text2"/>
            <w:lang w:val="en-AU"/>
          </w:rPr>
          <w:fldChar w:fldCharType="separate"/>
        </w:r>
        <w:r w:rsidR="00662AF4">
          <w:rPr>
            <w:rFonts w:asciiTheme="minorHAnsi" w:hAnsiTheme="minorHAnsi"/>
            <w:noProof/>
            <w:webHidden/>
            <w:color w:val="1F497D" w:themeColor="text2"/>
            <w:lang w:val="en-AU"/>
          </w:rPr>
          <w:t>10</w:t>
        </w:r>
        <w:r w:rsidR="00267556" w:rsidRPr="00CB10AD">
          <w:rPr>
            <w:rFonts w:asciiTheme="minorHAnsi" w:hAnsiTheme="minorHAnsi"/>
            <w:noProof/>
            <w:webHidden/>
            <w:color w:val="1F497D" w:themeColor="text2"/>
            <w:lang w:val="en-AU"/>
          </w:rPr>
          <w:fldChar w:fldCharType="end"/>
        </w:r>
      </w:hyperlink>
    </w:p>
    <w:p w:rsidR="0022598A" w:rsidRPr="00CB10AD" w:rsidRDefault="0022598A" w:rsidP="0043619B">
      <w:pPr>
        <w:spacing w:beforeLines="60" w:before="144" w:afterLines="60" w:after="144"/>
        <w:rPr>
          <w:lang w:val="en-AU"/>
        </w:rPr>
      </w:pPr>
      <w:r w:rsidRPr="00CB10AD">
        <w:rPr>
          <w:rFonts w:asciiTheme="minorHAnsi" w:hAnsiTheme="minorHAnsi"/>
          <w:color w:val="1F497D" w:themeColor="text2"/>
          <w:lang w:val="en-AU"/>
        </w:rPr>
        <w:fldChar w:fldCharType="end"/>
      </w:r>
    </w:p>
    <w:p w:rsidR="0022598A" w:rsidRPr="00CB10AD" w:rsidRDefault="0022598A" w:rsidP="00645CC8">
      <w:pPr>
        <w:rPr>
          <w:lang w:val="en-AU"/>
        </w:rPr>
        <w:sectPr w:rsidR="0022598A" w:rsidRPr="00CB10AD" w:rsidSect="00045CAA">
          <w:headerReference w:type="default" r:id="rId22"/>
          <w:footerReference w:type="default" r:id="rId23"/>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p>
    <w:p w:rsidR="00645CC8" w:rsidRPr="00CB10AD" w:rsidRDefault="00045CAA" w:rsidP="00DF484F">
      <w:pPr>
        <w:pStyle w:val="Heading1"/>
        <w:numPr>
          <w:ilvl w:val="0"/>
          <w:numId w:val="0"/>
        </w:numPr>
        <w:rPr>
          <w:b/>
          <w:lang w:val="en-AU"/>
        </w:rPr>
      </w:pPr>
      <w:bookmarkStart w:id="4" w:name="_Toc388253132"/>
      <w:r w:rsidRPr="00CB10AD">
        <w:rPr>
          <w:b/>
          <w:lang w:val="en-AU"/>
        </w:rPr>
        <w:lastRenderedPageBreak/>
        <w:t>ABBREVIATIONS AND ACRONYMS</w:t>
      </w:r>
      <w:bookmarkEnd w:id="4"/>
    </w:p>
    <w:p w:rsidR="000360B1" w:rsidRDefault="000360B1" w:rsidP="000360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685"/>
        <w:gridCol w:w="4223"/>
      </w:tblGrid>
      <w:tr w:rsidR="000360B1" w:rsidRPr="00040659" w:rsidTr="00E04939">
        <w:trPr>
          <w:trHeight w:val="468"/>
          <w:tblHeader/>
        </w:trPr>
        <w:tc>
          <w:tcPr>
            <w:tcW w:w="110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360B1" w:rsidRPr="00040659" w:rsidRDefault="000360B1" w:rsidP="00E04939">
            <w:pPr>
              <w:spacing w:before="40" w:after="40"/>
              <w:jc w:val="center"/>
              <w:rPr>
                <w:rFonts w:asciiTheme="minorHAnsi" w:eastAsiaTheme="minorHAnsi" w:hAnsiTheme="minorHAnsi" w:cstheme="minorHAnsi"/>
                <w:color w:val="FFFFFF" w:themeColor="background1"/>
                <w:lang w:val="en-AU"/>
              </w:rPr>
            </w:pPr>
          </w:p>
        </w:tc>
        <w:tc>
          <w:tcPr>
            <w:tcW w:w="368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360B1" w:rsidRPr="00040659" w:rsidRDefault="000360B1" w:rsidP="00E04939">
            <w:pPr>
              <w:spacing w:before="40" w:after="40"/>
              <w:jc w:val="center"/>
              <w:rPr>
                <w:rFonts w:asciiTheme="minorHAnsi" w:eastAsiaTheme="minorHAnsi" w:hAnsiTheme="minorHAnsi" w:cstheme="minorHAnsi"/>
                <w:b/>
                <w:color w:val="FFFFFF" w:themeColor="background1"/>
                <w:lang w:val="en-AU"/>
              </w:rPr>
            </w:pPr>
            <w:r w:rsidRPr="00040659">
              <w:rPr>
                <w:rFonts w:asciiTheme="minorHAnsi" w:eastAsiaTheme="minorHAnsi" w:hAnsiTheme="minorHAnsi" w:cstheme="minorHAnsi"/>
                <w:b/>
                <w:color w:val="FFFFFF" w:themeColor="background1"/>
                <w:lang w:val="en-AU"/>
              </w:rPr>
              <w:t>English</w:t>
            </w:r>
          </w:p>
        </w:tc>
        <w:tc>
          <w:tcPr>
            <w:tcW w:w="422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360B1" w:rsidRPr="00040659" w:rsidRDefault="000360B1" w:rsidP="00E04939">
            <w:pPr>
              <w:spacing w:before="40" w:after="40"/>
              <w:jc w:val="center"/>
              <w:rPr>
                <w:rFonts w:asciiTheme="minorHAnsi" w:eastAsiaTheme="minorHAnsi" w:hAnsiTheme="minorHAnsi" w:cstheme="minorHAnsi"/>
                <w:b/>
                <w:color w:val="FFFFFF" w:themeColor="background1"/>
                <w:lang w:val="en-AU"/>
              </w:rPr>
            </w:pPr>
            <w:r w:rsidRPr="00040659">
              <w:rPr>
                <w:rFonts w:asciiTheme="minorHAnsi" w:eastAsiaTheme="minorHAnsi" w:hAnsiTheme="minorHAnsi" w:cstheme="minorHAnsi"/>
                <w:b/>
                <w:color w:val="FFFFFF" w:themeColor="background1"/>
                <w:lang w:val="en-AU"/>
              </w:rPr>
              <w:t>Indonesian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ACDP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Analytical and Capacity Development Partnership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Kemitraan </w:t>
            </w:r>
            <w:r>
              <w:rPr>
                <w:rFonts w:asciiTheme="minorHAnsi" w:eastAsiaTheme="majorEastAsia" w:hAnsiTheme="minorHAnsi" w:cstheme="majorBidi"/>
                <w:sz w:val="20"/>
                <w:lang w:val="en-AU"/>
              </w:rPr>
              <w:t xml:space="preserve">untuk </w:t>
            </w:r>
            <w:r w:rsidRPr="007E56E2">
              <w:rPr>
                <w:rFonts w:asciiTheme="minorHAnsi" w:eastAsiaTheme="majorEastAsia" w:hAnsiTheme="minorHAnsi" w:cstheme="majorBidi"/>
                <w:sz w:val="20"/>
                <w:lang w:val="en-AU"/>
              </w:rPr>
              <w:t xml:space="preserve">Pengembangan </w:t>
            </w:r>
            <w:r>
              <w:rPr>
                <w:rFonts w:asciiTheme="minorHAnsi" w:eastAsiaTheme="majorEastAsia" w:hAnsiTheme="minorHAnsi" w:cstheme="majorBidi"/>
                <w:sz w:val="20"/>
                <w:lang w:val="en-AU"/>
              </w:rPr>
              <w:t>Kapasitas dan Analisis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ADB</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Asian Development Bank</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Bank P</w:t>
            </w:r>
            <w:r>
              <w:rPr>
                <w:rFonts w:asciiTheme="minorHAnsi" w:eastAsiaTheme="majorEastAsia" w:hAnsiTheme="minorHAnsi" w:cstheme="majorBidi"/>
                <w:sz w:val="20"/>
                <w:lang w:val="en-AU"/>
              </w:rPr>
              <w:t>embangunan</w:t>
            </w:r>
            <w:r w:rsidRPr="007E56E2">
              <w:rPr>
                <w:rFonts w:asciiTheme="minorHAnsi" w:eastAsiaTheme="majorEastAsia" w:hAnsiTheme="minorHAnsi" w:cstheme="majorBidi"/>
                <w:sz w:val="20"/>
                <w:lang w:val="en-AU"/>
              </w:rPr>
              <w:t xml:space="preserve"> Asia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AIBEP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inorHAnsi" w:hAnsiTheme="minorHAnsi" w:cstheme="minorHAnsi"/>
                <w:sz w:val="20"/>
                <w:lang w:val="en-AU"/>
              </w:rPr>
            </w:pPr>
            <w:r w:rsidRPr="007E56E2">
              <w:rPr>
                <w:rFonts w:asciiTheme="minorHAnsi" w:eastAsiaTheme="minorHAnsi" w:hAnsiTheme="minorHAnsi" w:cstheme="minorHAnsi"/>
                <w:sz w:val="20"/>
                <w:lang w:val="en-AU"/>
              </w:rPr>
              <w:t>Australia Indonesia Basic Education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Program Pendidikan Dasar Australia - Indonesia</w:t>
            </w:r>
          </w:p>
        </w:tc>
      </w:tr>
      <w:tr w:rsidR="000360B1" w:rsidRPr="00C0236E"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APBN</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rPr>
            </w:pPr>
            <w:r w:rsidRPr="00FA235F">
              <w:rPr>
                <w:rFonts w:asciiTheme="minorHAnsi" w:hAnsiTheme="minorHAnsi"/>
                <w:sz w:val="20"/>
              </w:rPr>
              <w:t>National Budget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196F93" w:rsidRDefault="000360B1" w:rsidP="002424A1">
            <w:pPr>
              <w:spacing w:line="276" w:lineRule="auto"/>
              <w:rPr>
                <w:rFonts w:asciiTheme="minorHAnsi" w:hAnsiTheme="minorHAnsi" w:cstheme="majorBidi"/>
                <w:sz w:val="20"/>
                <w:lang w:val="fr-BE"/>
              </w:rPr>
            </w:pPr>
            <w:r w:rsidRPr="00196F93">
              <w:rPr>
                <w:rFonts w:asciiTheme="minorHAnsi" w:hAnsiTheme="minorHAnsi" w:cstheme="majorBidi"/>
                <w:sz w:val="20"/>
                <w:lang w:val="fr-BE"/>
              </w:rPr>
              <w:t>Anggaran Pendapatan dan Belanja Negara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APPR</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rPr>
            </w:pPr>
            <w:r>
              <w:rPr>
                <w:rFonts w:asciiTheme="minorHAnsi" w:hAnsiTheme="minorHAnsi"/>
                <w:sz w:val="20"/>
              </w:rPr>
              <w:t>Annual Partnership Performance Report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cstheme="majorBidi"/>
                <w:sz w:val="20"/>
              </w:rPr>
            </w:pPr>
            <w:r>
              <w:rPr>
                <w:rFonts w:asciiTheme="minorHAnsi" w:hAnsiTheme="minorHAnsi" w:cstheme="majorBidi"/>
                <w:sz w:val="20"/>
              </w:rPr>
              <w:t xml:space="preserve">Laporan Tahunan Kinerja Kemitraan </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AUD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rPr>
            </w:pPr>
            <w:r w:rsidRPr="00FA235F">
              <w:rPr>
                <w:rFonts w:asciiTheme="minorHAnsi" w:hAnsiTheme="minorHAnsi"/>
                <w:sz w:val="20"/>
              </w:rPr>
              <w:t>Australian Dollar</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eastAsiaTheme="majorEastAsia" w:hAnsiTheme="minorHAnsi" w:cstheme="majorBidi"/>
                <w:sz w:val="20"/>
              </w:rPr>
            </w:pPr>
            <w:r w:rsidRPr="0080471F">
              <w:rPr>
                <w:sz w:val="20"/>
              </w:rPr>
              <w:t>Dolar Australia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9D7001" w:rsidRDefault="000360B1" w:rsidP="002424A1">
            <w:pPr>
              <w:spacing w:line="276" w:lineRule="auto"/>
              <w:rPr>
                <w:rFonts w:asciiTheme="minorHAnsi" w:hAnsiTheme="minorHAnsi"/>
                <w:i/>
                <w:sz w:val="20"/>
                <w:lang w:val="en-AU"/>
              </w:rPr>
            </w:pPr>
            <w:r>
              <w:rPr>
                <w:rFonts w:asciiTheme="minorHAnsi" w:hAnsiTheme="minorHAnsi"/>
                <w:i/>
                <w:sz w:val="20"/>
                <w:lang w:val="en-AU"/>
              </w:rPr>
              <w:t>Balitbang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National Office for Research and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Badan Penelitian dan Pengembangan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BAN-S/</w:t>
            </w:r>
            <w:r w:rsidRPr="007E56E2">
              <w:rPr>
                <w:rFonts w:asciiTheme="minorHAnsi" w:hAnsiTheme="minorHAnsi"/>
                <w:sz w:val="20"/>
                <w:lang w:val="en-AU"/>
              </w:rPr>
              <w:t>M</w:t>
            </w:r>
          </w:p>
          <w:p w:rsidR="000360B1" w:rsidRPr="007E56E2" w:rsidRDefault="000360B1" w:rsidP="002424A1">
            <w:pPr>
              <w:spacing w:line="276" w:lineRule="auto"/>
              <w:rPr>
                <w:rFonts w:asciiTheme="minorHAnsi" w:hAnsiTheme="minorHAnsi"/>
                <w:sz w:val="20"/>
              </w:rPr>
            </w:pP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Board of National Accreditation – School/Madrasah</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Badan Akreditasi Nasional-Sekolah/Madrasah</w:t>
            </w:r>
          </w:p>
        </w:tc>
      </w:tr>
      <w:tr w:rsidR="000360B1" w:rsidRPr="008F110D"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25FE5" w:rsidRDefault="000360B1" w:rsidP="002424A1">
            <w:pPr>
              <w:spacing w:line="276" w:lineRule="auto"/>
              <w:rPr>
                <w:rFonts w:asciiTheme="minorHAnsi" w:hAnsiTheme="minorHAnsi"/>
                <w:i/>
                <w:sz w:val="20"/>
                <w:lang w:val="en-AU"/>
              </w:rPr>
            </w:pPr>
            <w:r w:rsidRPr="00725FE5">
              <w:rPr>
                <w:rFonts w:asciiTheme="minorHAnsi" w:hAnsiTheme="minorHAnsi"/>
                <w:i/>
                <w:sz w:val="20"/>
                <w:lang w:val="en-AU"/>
              </w:rPr>
              <w:t>Bappenas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Ministry of National Development Planning</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9D68C0"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Badan</w:t>
            </w:r>
            <w:r w:rsidRPr="009D68C0">
              <w:rPr>
                <w:rFonts w:asciiTheme="minorHAnsi" w:eastAsiaTheme="majorEastAsia" w:hAnsiTheme="minorHAnsi" w:cstheme="majorBidi"/>
                <w:sz w:val="20"/>
                <w:lang w:val="en-AU"/>
              </w:rPr>
              <w:t xml:space="preserve"> Perencanaan Pembangunan Nasional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BOS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School Operational </w:t>
            </w:r>
            <w:r>
              <w:rPr>
                <w:rFonts w:asciiTheme="minorHAnsi" w:hAnsiTheme="minorHAnsi"/>
                <w:sz w:val="20"/>
                <w:lang w:val="en-AU"/>
              </w:rPr>
              <w:t>Grants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Bantuan Operasional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BOS SM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Operational Grants for Secondary School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Bantuan Operasional Sekolah – Sekolah Menengah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BPU</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Common Learning Materials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Bahan Pembelajaran Umum</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BSM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 xml:space="preserve">Cash Transfer for Poor Students </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Bantuan Siswa Miskin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C1</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Component 1 of the Education Partnership: School Construction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Komponen 1 Kemitraan Pendidikan: Pembangunan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C2</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Component 2 of the Education Partnership: Capacity Building</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Komponen 2 Kemitraan Pendidikan:Pembangunan Kapasitas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lang w:val="en-AU"/>
              </w:rPr>
              <w:t>C3</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Component 3 of the Education Partnership: Madrasah Accreditation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Komponen 3 Kemitraan Pendidikan: Akreditasi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C4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Component 4 of the Education Partnership: ACDP</w:t>
            </w:r>
          </w:p>
        </w:tc>
        <w:tc>
          <w:tcPr>
            <w:tcW w:w="42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360B1"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Komponen 4 Kemitraan Pendidikan: ACDP</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CAT</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Core Advisory Team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Tim Penasehat Inti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CMC</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Construction Management Consultant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B0BF7" w:rsidRDefault="000360B1" w:rsidP="002424A1">
            <w:pPr>
              <w:spacing w:line="276" w:lineRule="auto"/>
              <w:rPr>
                <w:rFonts w:asciiTheme="minorHAnsi" w:eastAsiaTheme="majorEastAsia" w:hAnsiTheme="minorHAnsi" w:cstheme="majorBidi"/>
                <w:sz w:val="20"/>
                <w:highlight w:val="yellow"/>
                <w:lang w:val="en-AU"/>
              </w:rPr>
            </w:pPr>
            <w:r w:rsidRPr="00B20142">
              <w:rPr>
                <w:rFonts w:asciiTheme="minorHAnsi" w:eastAsiaTheme="majorEastAsia" w:hAnsiTheme="minorHAnsi" w:cstheme="majorBidi"/>
                <w:sz w:val="20"/>
                <w:lang w:val="en-AU"/>
              </w:rPr>
              <w:t>Konsultan Manajemen Pembangunan</w:t>
            </w:r>
            <w:r>
              <w:rPr>
                <w:rFonts w:asciiTheme="minorHAnsi" w:eastAsiaTheme="majorEastAsia" w:hAnsiTheme="minorHAnsi" w:cstheme="majorBidi"/>
                <w:sz w:val="20"/>
                <w:lang w:val="en-AU"/>
              </w:rPr>
              <w:t xml:space="preserve">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CPD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Continuous</w:t>
            </w:r>
            <w:r w:rsidRPr="007E56E2">
              <w:rPr>
                <w:rFonts w:asciiTheme="minorHAnsi" w:hAnsiTheme="minorHAnsi"/>
                <w:sz w:val="20"/>
                <w:lang w:val="en-AU"/>
              </w:rPr>
              <w:t xml:space="preserve"> Professional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Pengembangan Kep</w:t>
            </w:r>
            <w:r w:rsidRPr="007E56E2">
              <w:rPr>
                <w:rFonts w:asciiTheme="minorHAnsi" w:eastAsiaTheme="majorEastAsia" w:hAnsiTheme="minorHAnsi" w:cstheme="majorBidi"/>
                <w:sz w:val="20"/>
                <w:lang w:val="en-AU"/>
              </w:rPr>
              <w:t>rofesi</w:t>
            </w:r>
            <w:r>
              <w:rPr>
                <w:rFonts w:asciiTheme="minorHAnsi" w:eastAsiaTheme="majorEastAsia" w:hAnsiTheme="minorHAnsi" w:cstheme="majorBidi"/>
                <w:sz w:val="20"/>
                <w:lang w:val="en-AU"/>
              </w:rPr>
              <w:t>an</w:t>
            </w:r>
            <w:r w:rsidRPr="007E56E2">
              <w:rPr>
                <w:rFonts w:asciiTheme="minorHAnsi" w:eastAsiaTheme="majorEastAsia" w:hAnsiTheme="minorHAnsi" w:cstheme="majorBidi"/>
                <w:sz w:val="20"/>
                <w:lang w:val="en-AU"/>
              </w:rPr>
              <w:t xml:space="preserve"> Berkelanjutan</w:t>
            </w:r>
            <w:r>
              <w:rPr>
                <w:rFonts w:asciiTheme="minorHAnsi" w:eastAsiaTheme="majorEastAsia" w:hAnsiTheme="minorHAnsi" w:cstheme="majorBidi"/>
                <w:sz w:val="20"/>
                <w:lang w:val="en-AU"/>
              </w:rPr>
              <w:t xml:space="preserve"> Kepala Sekolah /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CRS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 xml:space="preserve">Construction Reporting System </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Sistem Pelaporan Pembangunan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rPr>
            </w:pPr>
            <w:r>
              <w:rPr>
                <w:rFonts w:asciiTheme="minorHAnsi" w:hAnsiTheme="minorHAnsi"/>
                <w:sz w:val="20"/>
              </w:rPr>
              <w:t xml:space="preserve">DAC </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rPr>
            </w:pPr>
            <w:r>
              <w:rPr>
                <w:rFonts w:asciiTheme="minorHAnsi" w:hAnsiTheme="minorHAnsi"/>
                <w:sz w:val="20"/>
              </w:rPr>
              <w:t>Development Assistance Committee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B0BF7" w:rsidRDefault="000360B1" w:rsidP="002424A1">
            <w:pPr>
              <w:spacing w:line="276" w:lineRule="auto"/>
              <w:rPr>
                <w:rFonts w:asciiTheme="minorHAnsi" w:eastAsiaTheme="majorEastAsia" w:hAnsiTheme="minorHAnsi" w:cstheme="majorBidi"/>
                <w:sz w:val="20"/>
                <w:highlight w:val="yellow"/>
                <w:lang w:val="en-AU"/>
              </w:rPr>
            </w:pPr>
            <w:r w:rsidRPr="00B20142">
              <w:rPr>
                <w:rFonts w:asciiTheme="minorHAnsi" w:eastAsiaTheme="majorEastAsia" w:hAnsiTheme="minorHAnsi" w:cstheme="majorBidi"/>
                <w:sz w:val="20"/>
                <w:lang w:val="en-AU"/>
              </w:rPr>
              <w:t xml:space="preserve">Komite </w:t>
            </w:r>
            <w:r>
              <w:rPr>
                <w:rFonts w:asciiTheme="minorHAnsi" w:eastAsiaTheme="majorEastAsia" w:hAnsiTheme="minorHAnsi" w:cstheme="majorBidi"/>
                <w:sz w:val="20"/>
                <w:lang w:val="en-AU"/>
              </w:rPr>
              <w:t>Bantuan Pembangunan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DAK</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Specific-Purpose Grant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Dana Alokasi Khusus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DEO</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District Education Official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 xml:space="preserve">Pejabat </w:t>
            </w:r>
            <w:r>
              <w:rPr>
                <w:rFonts w:asciiTheme="minorHAnsi" w:eastAsiaTheme="majorEastAsia" w:hAnsiTheme="minorHAnsi" w:cstheme="majorBidi"/>
                <w:sz w:val="20"/>
              </w:rPr>
              <w:t xml:space="preserve">Dinas </w:t>
            </w:r>
            <w:r w:rsidRPr="007E56E2">
              <w:rPr>
                <w:rFonts w:asciiTheme="minorHAnsi" w:eastAsiaTheme="majorEastAsia" w:hAnsiTheme="minorHAnsi" w:cstheme="majorBidi"/>
                <w:sz w:val="20"/>
              </w:rPr>
              <w:t>Pendidikan Tingkat Kabupaten</w:t>
            </w:r>
          </w:p>
        </w:tc>
      </w:tr>
      <w:tr w:rsidR="000360B1" w:rsidRPr="008F110D"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DFAT</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Department of Foreign Affairs and Trade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9D68C0" w:rsidRDefault="000360B1" w:rsidP="002424A1">
            <w:pPr>
              <w:spacing w:line="276" w:lineRule="auto"/>
              <w:rPr>
                <w:rFonts w:asciiTheme="minorHAnsi" w:eastAsiaTheme="majorEastAsia" w:hAnsiTheme="minorHAnsi" w:cstheme="majorBidi"/>
                <w:sz w:val="20"/>
              </w:rPr>
            </w:pPr>
            <w:r w:rsidRPr="009D68C0">
              <w:rPr>
                <w:rFonts w:asciiTheme="minorHAnsi" w:eastAsiaTheme="majorEastAsia" w:hAnsiTheme="minorHAnsi" w:cstheme="majorBidi"/>
                <w:sz w:val="20"/>
              </w:rPr>
              <w:t>Departemen Luar Negeri dan Perdagangan</w:t>
            </w:r>
            <w:r>
              <w:rPr>
                <w:rFonts w:asciiTheme="minorHAnsi" w:eastAsiaTheme="majorEastAsia" w:hAnsiTheme="minorHAnsi" w:cstheme="majorBidi"/>
                <w:sz w:val="20"/>
              </w:rPr>
              <w:t xml:space="preserve"> Australia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DIPA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Budget Implementation </w:t>
            </w:r>
            <w:r>
              <w:rPr>
                <w:rFonts w:asciiTheme="minorHAnsi" w:hAnsiTheme="minorHAnsi"/>
                <w:sz w:val="20"/>
                <w:lang w:val="en-AU"/>
              </w:rPr>
              <w:t>Registration Form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Daftar Isian Pelaksanaan Anggaran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EBR</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Evaluation Baseline Report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B0BF7" w:rsidRDefault="000360B1" w:rsidP="002424A1">
            <w:pPr>
              <w:spacing w:line="276" w:lineRule="auto"/>
              <w:rPr>
                <w:rFonts w:asciiTheme="minorHAnsi" w:eastAsiaTheme="majorEastAsia" w:hAnsiTheme="minorHAnsi" w:cstheme="majorBidi"/>
                <w:sz w:val="20"/>
                <w:highlight w:val="yellow"/>
                <w:lang w:val="en-AU"/>
              </w:rPr>
            </w:pPr>
            <w:r>
              <w:rPr>
                <w:rFonts w:asciiTheme="minorHAnsi" w:eastAsiaTheme="majorEastAsia" w:hAnsiTheme="minorHAnsi" w:cstheme="majorBidi"/>
                <w:sz w:val="20"/>
                <w:lang w:val="en-AU"/>
              </w:rPr>
              <w:t xml:space="preserve">Laporan Baseline Evaluasi </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ECBP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Evaluation Capacity Building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Peningkatan Kapasitas Evaluasi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EOCO</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End </w:t>
            </w:r>
            <w:r>
              <w:rPr>
                <w:rFonts w:asciiTheme="minorHAnsi" w:hAnsiTheme="minorHAnsi"/>
                <w:sz w:val="20"/>
                <w:lang w:val="en-AU"/>
              </w:rPr>
              <w:t>o</w:t>
            </w:r>
            <w:r w:rsidRPr="007E56E2">
              <w:rPr>
                <w:rFonts w:asciiTheme="minorHAnsi" w:hAnsiTheme="minorHAnsi"/>
                <w:sz w:val="20"/>
                <w:lang w:val="en-AU"/>
              </w:rPr>
              <w:t>f Component Outcome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Tujuan Akhir Komponen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EOPO</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End of </w:t>
            </w:r>
            <w:r>
              <w:rPr>
                <w:rFonts w:asciiTheme="minorHAnsi" w:hAnsiTheme="minorHAnsi"/>
                <w:sz w:val="20"/>
                <w:lang w:val="en-AU"/>
              </w:rPr>
              <w:t>Partnership</w:t>
            </w:r>
            <w:r w:rsidRPr="007E56E2">
              <w:rPr>
                <w:rFonts w:asciiTheme="minorHAnsi" w:hAnsiTheme="minorHAnsi"/>
                <w:sz w:val="20"/>
                <w:lang w:val="en-AU"/>
              </w:rPr>
              <w:t xml:space="preserve"> Outcome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Tujuan Akhir </w:t>
            </w:r>
            <w:r>
              <w:rPr>
                <w:rFonts w:asciiTheme="minorHAnsi" w:eastAsiaTheme="majorEastAsia" w:hAnsiTheme="minorHAnsi" w:cstheme="majorBidi"/>
                <w:sz w:val="20"/>
                <w:lang w:val="en-AU"/>
              </w:rPr>
              <w:t>Kemitraan/</w:t>
            </w:r>
            <w:r w:rsidRPr="007E56E2">
              <w:rPr>
                <w:rFonts w:asciiTheme="minorHAnsi" w:eastAsiaTheme="majorEastAsia" w:hAnsiTheme="minorHAnsi" w:cstheme="majorBidi"/>
                <w:sz w:val="20"/>
                <w:lang w:val="en-AU"/>
              </w:rPr>
              <w:t>Program</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lastRenderedPageBreak/>
              <w:t>EP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Australia’s Education Partnership with Indonesia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w:t>
            </w:r>
            <w:r>
              <w:rPr>
                <w:rFonts w:asciiTheme="minorHAnsi" w:eastAsiaTheme="majorEastAsia" w:hAnsiTheme="minorHAnsi" w:cstheme="majorBidi"/>
                <w:sz w:val="20"/>
                <w:lang w:val="en-AU"/>
              </w:rPr>
              <w:t>mitraan Pendidikan Australia-</w:t>
            </w:r>
            <w:r w:rsidRPr="007E56E2">
              <w:rPr>
                <w:rFonts w:asciiTheme="minorHAnsi" w:eastAsiaTheme="majorEastAsia" w:hAnsiTheme="minorHAnsi" w:cstheme="majorBidi"/>
                <w:sz w:val="20"/>
                <w:lang w:val="en-AU"/>
              </w:rPr>
              <w:t>Indonesia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EP-PMS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Education Partnership – Performance Management System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B2014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Sistem Manajemen Kinerja Kemitraan Pendidikan Australia-Indonesia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ESSP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Education Sector Support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Program Dukungan </w:t>
            </w:r>
            <w:r>
              <w:rPr>
                <w:rFonts w:asciiTheme="minorHAnsi" w:eastAsiaTheme="majorEastAsia" w:hAnsiTheme="minorHAnsi" w:cstheme="majorBidi"/>
                <w:sz w:val="20"/>
                <w:lang w:val="en-AU"/>
              </w:rPr>
              <w:t xml:space="preserve">untuk </w:t>
            </w:r>
            <w:r w:rsidRPr="007E56E2">
              <w:rPr>
                <w:rFonts w:asciiTheme="minorHAnsi" w:eastAsiaTheme="majorEastAsia" w:hAnsiTheme="minorHAnsi" w:cstheme="majorBidi"/>
                <w:sz w:val="20"/>
                <w:lang w:val="en-AU"/>
              </w:rPr>
              <w:t>Sektor Pendidikan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FM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Field Monitor</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B0BF7" w:rsidRDefault="000360B1" w:rsidP="002424A1">
            <w:pPr>
              <w:spacing w:line="276" w:lineRule="auto"/>
              <w:rPr>
                <w:rFonts w:asciiTheme="minorHAnsi" w:eastAsiaTheme="majorEastAsia" w:hAnsiTheme="minorHAnsi" w:cstheme="majorBidi"/>
                <w:sz w:val="20"/>
                <w:highlight w:val="yellow"/>
                <w:lang w:val="en-AU"/>
              </w:rPr>
            </w:pPr>
            <w:r w:rsidRPr="00A97126">
              <w:rPr>
                <w:rFonts w:asciiTheme="minorHAnsi" w:eastAsiaTheme="majorEastAsia" w:hAnsiTheme="minorHAnsi" w:cstheme="majorBidi"/>
                <w:sz w:val="20"/>
                <w:lang w:val="en-AU"/>
              </w:rPr>
              <w:t>Petugas Pemantau Lapangan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GA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Grant Agreement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467E0C" w:rsidRDefault="000360B1" w:rsidP="002424A1">
            <w:pPr>
              <w:spacing w:line="276" w:lineRule="auto"/>
              <w:rPr>
                <w:rFonts w:asciiTheme="minorHAnsi" w:eastAsiaTheme="majorEastAsia" w:hAnsiTheme="minorHAnsi" w:cstheme="majorBidi"/>
                <w:b/>
                <w:sz w:val="20"/>
                <w:highlight w:val="yellow"/>
                <w:lang w:val="en-AU"/>
              </w:rPr>
            </w:pPr>
            <w:r>
              <w:rPr>
                <w:rFonts w:asciiTheme="minorHAnsi" w:eastAsiaTheme="majorEastAsia" w:hAnsiTheme="minorHAnsi" w:cstheme="majorBidi"/>
                <w:sz w:val="20"/>
                <w:lang w:val="en-AU"/>
              </w:rPr>
              <w:t>Kesepakatan Hibah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GER</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Gross Enrolment Rate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Angka Partisipasi Kasar (APK)</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GoA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Government of Australia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Pemerintah Australia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w:t>
            </w:r>
            <w:r>
              <w:rPr>
                <w:rFonts w:asciiTheme="minorHAnsi" w:hAnsiTheme="minorHAnsi"/>
                <w:sz w:val="20"/>
                <w:lang w:val="en-AU"/>
              </w:rPr>
              <w:t>O</w:t>
            </w:r>
            <w:r w:rsidRPr="007E56E2">
              <w:rPr>
                <w:rFonts w:asciiTheme="minorHAnsi" w:hAnsiTheme="minorHAnsi"/>
                <w:sz w:val="20"/>
                <w:lang w:val="en-AU"/>
              </w:rPr>
              <w:t>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Governance Oversight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Kelompok Pengawasan </w:t>
            </w:r>
            <w:r>
              <w:rPr>
                <w:rFonts w:asciiTheme="minorHAnsi" w:eastAsiaTheme="majorEastAsia" w:hAnsiTheme="minorHAnsi" w:cstheme="majorBidi"/>
                <w:sz w:val="20"/>
                <w:lang w:val="en-AU"/>
              </w:rPr>
              <w:t>Tata Kelola Pemerintahan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GoI</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Government of Indonesia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Pemerintah </w:t>
            </w:r>
            <w:r>
              <w:rPr>
                <w:rFonts w:asciiTheme="minorHAnsi" w:eastAsiaTheme="majorEastAsia" w:hAnsiTheme="minorHAnsi" w:cstheme="majorBidi"/>
                <w:sz w:val="20"/>
                <w:lang w:val="en-AU"/>
              </w:rPr>
              <w:t>RI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HI-ECD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Holistic Integrated – Early Childhood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Pendekatan Menyeluruh dan Terpadu untuk Perkembangan Anak Usia Dini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ICR</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Independent Completion Reporting</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 xml:space="preserve">Laporan Independen Penyelesaian Program/ Kegiatan </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IDC</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Indefinite Delivery Contracts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Kontrak Pelaksanaan Tidak Tentu</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ITOG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Infrastructure Technical Oversight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Kelompok Pengawasan Teknis Infrastruktur</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JSE</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Junior Secondary Education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Pendidikan Sekolah Menengah Pertama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JTU</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Joint Technical Unit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E2C38"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Unit Teknis Gabungan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K2P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Knowledge to Policy</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Dasar Pengetahuan untuk Kebijakan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25FE5" w:rsidRDefault="000360B1" w:rsidP="002424A1">
            <w:pPr>
              <w:spacing w:line="276" w:lineRule="auto"/>
              <w:rPr>
                <w:rFonts w:asciiTheme="minorHAnsi" w:hAnsiTheme="minorHAnsi"/>
                <w:i/>
                <w:sz w:val="20"/>
                <w:lang w:val="en-AU"/>
              </w:rPr>
            </w:pPr>
            <w:r w:rsidRPr="00725FE5">
              <w:rPr>
                <w:rFonts w:asciiTheme="minorHAnsi" w:hAnsiTheme="minorHAnsi"/>
                <w:i/>
                <w:sz w:val="20"/>
                <w:lang w:val="en-AU"/>
              </w:rPr>
              <w:t>Kandep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District Office of MoRA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Kantor Departmen Agama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25FE5" w:rsidRDefault="000360B1" w:rsidP="002424A1">
            <w:pPr>
              <w:spacing w:line="276" w:lineRule="auto"/>
              <w:rPr>
                <w:rFonts w:asciiTheme="minorHAnsi" w:hAnsiTheme="minorHAnsi"/>
                <w:i/>
                <w:sz w:val="20"/>
                <w:lang w:val="en-AU"/>
              </w:rPr>
            </w:pPr>
            <w:r w:rsidRPr="00725FE5">
              <w:rPr>
                <w:rFonts w:asciiTheme="minorHAnsi" w:hAnsiTheme="minorHAnsi"/>
                <w:i/>
                <w:sz w:val="20"/>
                <w:lang w:val="en-AU"/>
              </w:rPr>
              <w:t>Kanwil</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Provincial Office of MoRA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Kantor Wilayah Departmen Agama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KKM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Madrasah Principal Working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Kelompok Kerja Kepala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rPr>
            </w:pPr>
            <w:r>
              <w:rPr>
                <w:rFonts w:asciiTheme="minorHAnsi" w:hAnsiTheme="minorHAnsi"/>
                <w:sz w:val="20"/>
              </w:rPr>
              <w:t>KPI</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rPr>
            </w:pPr>
            <w:r>
              <w:rPr>
                <w:rFonts w:asciiTheme="minorHAnsi" w:hAnsiTheme="minorHAnsi"/>
                <w:sz w:val="20"/>
              </w:rPr>
              <w:t>Key Performance Indicator</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 xml:space="preserve">Indikator Kinerja Utama </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M&amp;E</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Monitoring and Evaluation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Monitoring dan Evaluasi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MDC</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Madrasah Development Center</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Pusat Pengembangan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MI</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Islamic Elementary School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Madrasah Ibtidaiyah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MoEC</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Ministry of Education </w:t>
            </w:r>
            <w:r>
              <w:rPr>
                <w:rFonts w:asciiTheme="minorHAnsi" w:hAnsiTheme="minorHAnsi"/>
                <w:sz w:val="20"/>
                <w:lang w:val="en-AU"/>
              </w:rPr>
              <w:t>a</w:t>
            </w:r>
            <w:r w:rsidRPr="007E56E2">
              <w:rPr>
                <w:rFonts w:asciiTheme="minorHAnsi" w:hAnsiTheme="minorHAnsi"/>
                <w:sz w:val="20"/>
                <w:lang w:val="en-AU"/>
              </w:rPr>
              <w:t>nd Culture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Kementerian Pendidikan dan Kebudayaan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MoRA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rPr>
            </w:pPr>
            <w:r w:rsidRPr="00FA235F">
              <w:rPr>
                <w:rFonts w:asciiTheme="minorHAnsi" w:hAnsiTheme="minorHAnsi"/>
                <w:sz w:val="20"/>
              </w:rPr>
              <w:t>Ministry of Religious Affairs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01F57" w:rsidRDefault="000360B1" w:rsidP="002424A1">
            <w:pPr>
              <w:spacing w:line="276" w:lineRule="auto"/>
              <w:rPr>
                <w:rFonts w:asciiTheme="minorHAnsi" w:hAnsiTheme="minorHAnsi" w:cstheme="majorBidi"/>
                <w:sz w:val="20"/>
              </w:rPr>
            </w:pPr>
            <w:r w:rsidRPr="000D18B6">
              <w:rPr>
                <w:rFonts w:asciiTheme="minorHAnsi" w:hAnsiTheme="minorHAnsi" w:cstheme="majorBidi"/>
                <w:sz w:val="20"/>
              </w:rPr>
              <w:t>Kementerian</w:t>
            </w:r>
            <w:r w:rsidRPr="00701F57">
              <w:rPr>
                <w:rFonts w:asciiTheme="minorHAnsi" w:hAnsiTheme="minorHAnsi" w:cstheme="majorBidi"/>
                <w:sz w:val="20"/>
              </w:rPr>
              <w:t xml:space="preserve"> Agama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MToG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Madrasah Technical Oversight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01F57" w:rsidRDefault="000360B1" w:rsidP="002424A1">
            <w:pPr>
              <w:spacing w:line="276" w:lineRule="auto"/>
              <w:rPr>
                <w:rFonts w:asciiTheme="minorHAnsi" w:eastAsiaTheme="majorEastAsia" w:hAnsiTheme="minorHAnsi" w:cstheme="majorBidi"/>
                <w:sz w:val="20"/>
                <w:lang w:val="en-AU"/>
              </w:rPr>
            </w:pPr>
            <w:r w:rsidRPr="000D18B6">
              <w:rPr>
                <w:rFonts w:asciiTheme="minorHAnsi" w:eastAsiaTheme="majorEastAsia" w:hAnsiTheme="minorHAnsi" w:cstheme="majorBidi"/>
                <w:sz w:val="20"/>
                <w:lang w:val="en-AU"/>
              </w:rPr>
              <w:t>Kelompok Pengawasan Teknis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MTs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Islamic Junior Secondary School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Madrasah Tsanawiyah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NES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National Education Standard</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Standar Nasional Pendidikan</w:t>
            </w:r>
          </w:p>
        </w:tc>
      </w:tr>
      <w:tr w:rsidR="000360B1" w:rsidRPr="00C0236E"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OECD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Organization for Economic Co-operation and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196F93" w:rsidRDefault="000360B1" w:rsidP="002424A1">
            <w:pPr>
              <w:spacing w:line="276" w:lineRule="auto"/>
              <w:rPr>
                <w:rFonts w:asciiTheme="minorHAnsi" w:eastAsiaTheme="majorEastAsia" w:hAnsiTheme="minorHAnsi" w:cstheme="majorBidi"/>
                <w:sz w:val="20"/>
                <w:lang w:val="fr-BE"/>
              </w:rPr>
            </w:pPr>
            <w:r w:rsidRPr="00196F93">
              <w:rPr>
                <w:rFonts w:asciiTheme="minorHAnsi" w:eastAsiaTheme="majorEastAsia" w:hAnsiTheme="minorHAnsi" w:cstheme="majorBidi"/>
                <w:sz w:val="20"/>
                <w:lang w:val="fr-BE"/>
              </w:rPr>
              <w:t>Organisasi untuk Kerja Sama Ekonomi dan Pembangunan</w:t>
            </w:r>
          </w:p>
        </w:tc>
      </w:tr>
      <w:tr w:rsidR="000360B1" w:rsidRPr="008F110D"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OMT</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Operational Management Team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AC0047"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lang w:val="en-AU"/>
              </w:rPr>
              <w:t>Tim Manajemen Operasional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PAF</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Performance Assurance Framework</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Kerangka Penjaminan Kinerja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PD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Professional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cstheme="majorBidi"/>
                <w:sz w:val="20"/>
              </w:rPr>
            </w:pPr>
            <w:r w:rsidRPr="007E56E2">
              <w:rPr>
                <w:rFonts w:asciiTheme="minorHAnsi" w:hAnsiTheme="minorHAnsi" w:cstheme="majorBidi"/>
                <w:sz w:val="20"/>
              </w:rPr>
              <w:t xml:space="preserve">Pengembangan </w:t>
            </w:r>
            <w:r>
              <w:rPr>
                <w:rFonts w:asciiTheme="minorHAnsi" w:hAnsiTheme="minorHAnsi" w:cstheme="majorBidi"/>
                <w:sz w:val="20"/>
              </w:rPr>
              <w:t>Profesi</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PDSP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MOEC Centre for Education Data and Statistics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Pusat Data dan Statistik Pendidikan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25FE5" w:rsidRDefault="000360B1" w:rsidP="002424A1">
            <w:pPr>
              <w:spacing w:line="276" w:lineRule="auto"/>
              <w:rPr>
                <w:rFonts w:asciiTheme="minorHAnsi" w:hAnsiTheme="minorHAnsi"/>
                <w:i/>
                <w:sz w:val="20"/>
                <w:lang w:val="en-AU"/>
              </w:rPr>
            </w:pPr>
            <w:r w:rsidRPr="00725FE5">
              <w:rPr>
                <w:rFonts w:asciiTheme="minorHAnsi" w:hAnsiTheme="minorHAnsi"/>
                <w:i/>
                <w:sz w:val="20"/>
                <w:lang w:val="en-AU"/>
              </w:rPr>
              <w:t>Penma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 xml:space="preserve">MORA </w:t>
            </w:r>
            <w:r w:rsidRPr="007E56E2">
              <w:rPr>
                <w:rFonts w:asciiTheme="minorHAnsi" w:hAnsiTheme="minorHAnsi"/>
                <w:sz w:val="20"/>
                <w:lang w:val="en-AU"/>
              </w:rPr>
              <w:t xml:space="preserve">Directorate of </w:t>
            </w:r>
            <w:r>
              <w:rPr>
                <w:rFonts w:asciiTheme="minorHAnsi" w:hAnsiTheme="minorHAnsi"/>
                <w:sz w:val="20"/>
                <w:lang w:val="en-AU"/>
              </w:rPr>
              <w:t>M</w:t>
            </w:r>
            <w:r w:rsidRPr="007E56E2">
              <w:rPr>
                <w:rFonts w:asciiTheme="minorHAnsi" w:hAnsiTheme="minorHAnsi"/>
                <w:sz w:val="20"/>
                <w:lang w:val="en-AU"/>
              </w:rPr>
              <w:t xml:space="preserve">adrasah </w:t>
            </w:r>
            <w:r>
              <w:rPr>
                <w:rFonts w:asciiTheme="minorHAnsi" w:hAnsiTheme="minorHAnsi"/>
                <w:sz w:val="20"/>
                <w:lang w:val="en-AU"/>
              </w:rPr>
              <w:t>E</w:t>
            </w:r>
            <w:r w:rsidRPr="007E56E2">
              <w:rPr>
                <w:rFonts w:asciiTheme="minorHAnsi" w:hAnsiTheme="minorHAnsi"/>
                <w:sz w:val="20"/>
                <w:lang w:val="en-AU"/>
              </w:rPr>
              <w:t>ducation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Direktorat Pendidikan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PISA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Program for International Student Assessment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rPr>
              <w:t xml:space="preserve">Program </w:t>
            </w:r>
            <w:r>
              <w:rPr>
                <w:rFonts w:asciiTheme="minorHAnsi" w:eastAsiaTheme="majorEastAsia" w:hAnsiTheme="minorHAnsi" w:cstheme="majorBidi"/>
                <w:sz w:val="20"/>
              </w:rPr>
              <w:t>Penilaian</w:t>
            </w:r>
            <w:r w:rsidRPr="007E56E2">
              <w:rPr>
                <w:rFonts w:asciiTheme="minorHAnsi" w:eastAsiaTheme="majorEastAsia" w:hAnsiTheme="minorHAnsi" w:cstheme="majorBidi"/>
                <w:sz w:val="20"/>
              </w:rPr>
              <w:t xml:space="preserve"> Siswa </w:t>
            </w:r>
            <w:r>
              <w:rPr>
                <w:rFonts w:asciiTheme="minorHAnsi" w:eastAsiaTheme="majorEastAsia" w:hAnsiTheme="minorHAnsi" w:cstheme="majorBidi"/>
                <w:sz w:val="20"/>
              </w:rPr>
              <w:t>tingkat Internasional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lastRenderedPageBreak/>
              <w:t>PKB KS/M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Continuing Professional Development for School/ Madrasah Principals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Pengembangan Keprofesionalan Berkelanjutan bagi Kepala Sekolah/ Madrasah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PMF</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Performance Milestone Framework</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Kerangka Capaian Kinerja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PMU</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Twelve Years Universal Education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hAnsiTheme="minorHAnsi"/>
                <w:sz w:val="20"/>
              </w:rPr>
              <w:t>Pendidikan Menengah Universal</w:t>
            </w:r>
            <w:r>
              <w:rPr>
                <w:rFonts w:asciiTheme="minorHAnsi" w:hAnsiTheme="minorHAnsi"/>
                <w:sz w:val="20"/>
              </w:rPr>
              <w:t xml:space="preserve"> 12 Tahun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POM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Performance Oversight and Monitoring</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Monitoring dan Pengawasan Kinerja</w:t>
            </w:r>
            <w:r>
              <w:rPr>
                <w:rFonts w:asciiTheme="minorHAnsi" w:eastAsiaTheme="majorEastAsia" w:hAnsiTheme="minorHAnsi" w:cstheme="majorBidi"/>
                <w:sz w:val="20"/>
                <w:lang w:val="en-AU"/>
              </w:rPr>
              <w:t xml:space="preserve"> Kemitraan Pendidikan Australia-Indonesia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PPCKS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Pr>
                <w:rFonts w:asciiTheme="minorHAnsi" w:eastAsiaTheme="majorEastAsia" w:hAnsiTheme="minorHAnsi" w:cstheme="majorBidi"/>
                <w:sz w:val="20"/>
                <w:lang w:val="en-AU"/>
              </w:rPr>
              <w:t xml:space="preserve">Principal Preparation Program </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Penyiapan Calon Kepala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PPKPPD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Pr>
                <w:rFonts w:asciiTheme="minorHAnsi" w:eastAsiaTheme="majorEastAsia" w:hAnsiTheme="minorHAnsi" w:cstheme="majorBidi"/>
                <w:sz w:val="20"/>
                <w:lang w:val="en-AU"/>
              </w:rPr>
              <w:t>Local Government Educational Capacity Building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Pengembangan Kapasitas Pendidikan Pemerintah Daerah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PPKSPS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Pr>
                <w:rFonts w:asciiTheme="minorHAnsi" w:eastAsiaTheme="majorEastAsia" w:hAnsiTheme="minorHAnsi" w:cstheme="majorBidi"/>
                <w:sz w:val="20"/>
                <w:lang w:val="en-AU"/>
              </w:rPr>
              <w:t>Supervisor Professional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Pendampingan Kepala Sekolah oleh Pengawas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PPP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Principals Preparation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lang w:val="en-AU"/>
              </w:rPr>
            </w:pPr>
            <w:r w:rsidRPr="00FA235F">
              <w:rPr>
                <w:rFonts w:asciiTheme="minorHAnsi" w:eastAsiaTheme="majorEastAsia" w:hAnsiTheme="minorHAnsi" w:cstheme="majorBidi"/>
                <w:sz w:val="20"/>
                <w:lang w:val="en-AU"/>
              </w:rPr>
              <w:t>Program Pe</w:t>
            </w:r>
            <w:r>
              <w:rPr>
                <w:rFonts w:asciiTheme="minorHAnsi" w:eastAsiaTheme="majorEastAsia" w:hAnsiTheme="minorHAnsi" w:cstheme="majorBidi"/>
                <w:sz w:val="20"/>
                <w:lang w:val="en-AU"/>
              </w:rPr>
              <w:t>nyiapan</w:t>
            </w:r>
            <w:r w:rsidRPr="00FA235F">
              <w:rPr>
                <w:rFonts w:asciiTheme="minorHAnsi" w:eastAsiaTheme="majorEastAsia" w:hAnsiTheme="minorHAnsi" w:cstheme="majorBidi"/>
                <w:sz w:val="20"/>
                <w:lang w:val="en-AU"/>
              </w:rPr>
              <w:t xml:space="preserve"> </w:t>
            </w:r>
            <w:r>
              <w:rPr>
                <w:rFonts w:asciiTheme="minorHAnsi" w:eastAsiaTheme="majorEastAsia" w:hAnsiTheme="minorHAnsi" w:cstheme="majorBidi"/>
                <w:sz w:val="20"/>
                <w:lang w:val="en-AU"/>
              </w:rPr>
              <w:t xml:space="preserve">Calon </w:t>
            </w:r>
            <w:r w:rsidRPr="00FA235F">
              <w:rPr>
                <w:rFonts w:asciiTheme="minorHAnsi" w:eastAsiaTheme="majorEastAsia" w:hAnsiTheme="minorHAnsi" w:cstheme="majorBidi"/>
                <w:sz w:val="20"/>
                <w:lang w:val="en-AU"/>
              </w:rPr>
              <w:t>Kepala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ED2DDA">
              <w:rPr>
                <w:rFonts w:asciiTheme="minorHAnsi" w:hAnsiTheme="minorHAnsi"/>
                <w:i/>
                <w:sz w:val="20"/>
                <w:lang w:val="en-AU"/>
              </w:rPr>
              <w:t>Pusbangtendik</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 xml:space="preserve">Centre </w:t>
            </w:r>
            <w:r>
              <w:rPr>
                <w:rFonts w:asciiTheme="minorHAnsi" w:hAnsiTheme="minorHAnsi"/>
                <w:sz w:val="20"/>
                <w:lang w:val="en-AU"/>
              </w:rPr>
              <w:t>for the Development of Education Personnel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lang w:val="en-AU"/>
              </w:rPr>
            </w:pPr>
            <w:r w:rsidRPr="00FA235F">
              <w:rPr>
                <w:rFonts w:asciiTheme="minorHAnsi" w:eastAsiaTheme="majorEastAsia" w:hAnsiTheme="minorHAnsi" w:cstheme="majorBidi"/>
                <w:sz w:val="20"/>
                <w:lang w:val="en-AU"/>
              </w:rPr>
              <w:t>Pusat Pengembangan Tenaga Kependidikan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QAI</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Quality at Implementation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Kualitas pada Pelaksanaan</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QRS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Quality Reporting System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Sistem Pelaporan Berkualitas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25FE5" w:rsidRDefault="000360B1" w:rsidP="002424A1">
            <w:pPr>
              <w:spacing w:line="276" w:lineRule="auto"/>
              <w:rPr>
                <w:rFonts w:asciiTheme="minorHAnsi" w:hAnsiTheme="minorHAnsi"/>
                <w:i/>
                <w:sz w:val="20"/>
                <w:lang w:val="en-AU"/>
              </w:rPr>
            </w:pPr>
            <w:r w:rsidRPr="00725FE5">
              <w:rPr>
                <w:rFonts w:asciiTheme="minorHAnsi" w:hAnsiTheme="minorHAnsi"/>
                <w:i/>
                <w:sz w:val="20"/>
                <w:lang w:val="en-AU"/>
              </w:rPr>
              <w:t>Renstra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Strategic Planning</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Rencana </w:t>
            </w:r>
            <w:r>
              <w:rPr>
                <w:rFonts w:asciiTheme="minorHAnsi" w:eastAsiaTheme="majorEastAsia" w:hAnsiTheme="minorHAnsi" w:cstheme="majorBidi"/>
                <w:sz w:val="20"/>
                <w:lang w:val="en-AU"/>
              </w:rPr>
              <w:t>S</w:t>
            </w:r>
            <w:r w:rsidRPr="007E56E2">
              <w:rPr>
                <w:rFonts w:asciiTheme="minorHAnsi" w:eastAsiaTheme="majorEastAsia" w:hAnsiTheme="minorHAnsi" w:cstheme="majorBidi"/>
                <w:sz w:val="20"/>
                <w:lang w:val="en-AU"/>
              </w:rPr>
              <w:t>trategis</w:t>
            </w:r>
          </w:p>
        </w:tc>
      </w:tr>
      <w:tr w:rsidR="000360B1" w:rsidRPr="00C0236E"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RPJMN</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lang w:val="en-AU"/>
              </w:rPr>
              <w:t>National Medium-</w:t>
            </w:r>
            <w:r w:rsidRPr="007E56E2">
              <w:rPr>
                <w:rFonts w:asciiTheme="minorHAnsi" w:hAnsiTheme="minorHAnsi"/>
                <w:sz w:val="20"/>
                <w:lang w:val="en-AU"/>
              </w:rPr>
              <w:t>Term Development Plan </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196F93" w:rsidRDefault="000360B1" w:rsidP="002424A1">
            <w:pPr>
              <w:spacing w:line="276" w:lineRule="auto"/>
              <w:rPr>
                <w:rFonts w:asciiTheme="minorHAnsi" w:hAnsiTheme="minorHAnsi" w:cstheme="majorBidi"/>
                <w:sz w:val="20"/>
                <w:lang w:val="fr-BE"/>
              </w:rPr>
            </w:pPr>
            <w:r w:rsidRPr="00196F93">
              <w:rPr>
                <w:rFonts w:asciiTheme="minorHAnsi" w:hAnsiTheme="minorHAnsi" w:cstheme="majorBidi"/>
                <w:sz w:val="20"/>
                <w:lang w:val="fr-BE"/>
              </w:rPr>
              <w:t>Rencana Pembangunan Jangka Menengah Nasional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SATAP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Sekolah Satu Atap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hAnsiTheme="minorHAnsi" w:cstheme="majorBidi"/>
                <w:sz w:val="20"/>
              </w:rPr>
            </w:pPr>
            <w:r w:rsidRPr="000D18B6">
              <w:rPr>
                <w:rFonts w:asciiTheme="minorHAnsi" w:hAnsiTheme="minorHAnsi" w:cstheme="majorBidi"/>
                <w:sz w:val="20"/>
              </w:rPr>
              <w:t>One Roof School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SBM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School Based Management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eastAsiaTheme="majorEastAsia" w:hAnsiTheme="minorHAnsi" w:cstheme="majorBidi"/>
                <w:sz w:val="20"/>
                <w:lang w:val="en-AU"/>
              </w:rPr>
            </w:pPr>
            <w:r w:rsidRPr="0080471F">
              <w:rPr>
                <w:sz w:val="20"/>
              </w:rPr>
              <w:t>Manajemen Berbasis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SCC</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School Construction Committee</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eastAsiaTheme="majorEastAsia" w:hAnsiTheme="minorHAnsi" w:cstheme="majorBidi"/>
                <w:sz w:val="20"/>
                <w:lang w:val="en-AU"/>
              </w:rPr>
            </w:pPr>
            <w:r>
              <w:rPr>
                <w:sz w:val="20"/>
              </w:rPr>
              <w:t>Komite</w:t>
            </w:r>
            <w:r w:rsidRPr="0080471F">
              <w:rPr>
                <w:sz w:val="20"/>
              </w:rPr>
              <w:t xml:space="preserve"> Pembangunan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SD</w:t>
            </w:r>
            <w:r w:rsidRPr="007E56E2">
              <w:rPr>
                <w:rFonts w:asciiTheme="minorHAnsi" w:hAnsiTheme="minorHAnsi"/>
                <w:sz w:val="20"/>
                <w:lang w:val="en-AU"/>
              </w:rPr>
              <w:t>T</w:t>
            </w:r>
            <w:r>
              <w:rPr>
                <w:rFonts w:asciiTheme="minorHAnsi" w:hAnsiTheme="minorHAnsi"/>
                <w:sz w:val="20"/>
                <w:lang w:val="en-AU"/>
              </w:rPr>
              <w:t>O</w:t>
            </w:r>
            <w:r w:rsidRPr="007E56E2">
              <w:rPr>
                <w:rFonts w:asciiTheme="minorHAnsi" w:hAnsiTheme="minorHAnsi"/>
                <w:sz w:val="20"/>
                <w:lang w:val="en-AU"/>
              </w:rPr>
              <w:t>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sidRPr="00FA235F">
              <w:rPr>
                <w:rFonts w:asciiTheme="minorHAnsi" w:hAnsiTheme="minorHAnsi"/>
                <w:sz w:val="20"/>
                <w:lang w:val="en-AU"/>
              </w:rPr>
              <w:t>Staff Development Technical Oversight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01F57"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Kelompok Pengawasa</w:t>
            </w:r>
            <w:r w:rsidRPr="000D18B6">
              <w:rPr>
                <w:rFonts w:asciiTheme="minorHAnsi" w:eastAsiaTheme="majorEastAsia" w:hAnsiTheme="minorHAnsi" w:cstheme="majorBidi"/>
                <w:sz w:val="20"/>
                <w:lang w:val="en-AU"/>
              </w:rPr>
              <w:t>n Teknis</w:t>
            </w:r>
            <w:r>
              <w:rPr>
                <w:rFonts w:asciiTheme="minorHAnsi" w:eastAsiaTheme="majorEastAsia" w:hAnsiTheme="minorHAnsi" w:cstheme="majorBidi"/>
                <w:sz w:val="20"/>
                <w:lang w:val="en-AU"/>
              </w:rPr>
              <w:t xml:space="preserve"> untuk Pengembangan Staf</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Default="000360B1" w:rsidP="002424A1">
            <w:pPr>
              <w:spacing w:line="276" w:lineRule="auto"/>
              <w:rPr>
                <w:rFonts w:asciiTheme="minorHAnsi" w:hAnsiTheme="minorHAnsi"/>
                <w:sz w:val="20"/>
                <w:lang w:val="en-AU"/>
              </w:rPr>
            </w:pPr>
            <w:r>
              <w:rPr>
                <w:rFonts w:asciiTheme="minorHAnsi" w:hAnsiTheme="minorHAnsi"/>
                <w:sz w:val="20"/>
                <w:lang w:val="en-AU"/>
              </w:rPr>
              <w:t>SI</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hAnsiTheme="minorHAnsi"/>
                <w:sz w:val="20"/>
                <w:lang w:val="en-AU"/>
              </w:rPr>
            </w:pPr>
            <w:r>
              <w:rPr>
                <w:rFonts w:asciiTheme="minorHAnsi" w:hAnsiTheme="minorHAnsi"/>
                <w:sz w:val="20"/>
                <w:lang w:val="en-AU"/>
              </w:rPr>
              <w:t>Social Inclusion</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Inklusi Sosial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SMP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hAnsiTheme="minorHAnsi"/>
                <w:sz w:val="20"/>
                <w:lang w:val="en-AU"/>
              </w:rPr>
            </w:pPr>
            <w:r w:rsidRPr="000D18B6">
              <w:rPr>
                <w:rFonts w:asciiTheme="minorHAnsi" w:hAnsiTheme="minorHAnsi"/>
                <w:sz w:val="20"/>
                <w:lang w:val="en-AU"/>
              </w:rPr>
              <w:t>Junior Secondary School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Sekolah Menengah Pertama</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SNIP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0D18B6" w:rsidRDefault="000360B1" w:rsidP="002424A1">
            <w:pPr>
              <w:spacing w:line="276" w:lineRule="auto"/>
              <w:rPr>
                <w:rFonts w:asciiTheme="minorHAnsi" w:hAnsiTheme="minorHAnsi"/>
                <w:sz w:val="20"/>
                <w:lang w:val="en-AU"/>
              </w:rPr>
            </w:pPr>
            <w:r w:rsidRPr="000D18B6">
              <w:rPr>
                <w:rFonts w:asciiTheme="minorHAnsi" w:hAnsiTheme="minorHAnsi"/>
                <w:sz w:val="20"/>
                <w:lang w:val="en-AU"/>
              </w:rPr>
              <w:t>Sub-National Implementation Partners</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Mitra Pelaksana Sub-Nasional</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SPD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Supervisor Professional Development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2424A1" w:rsidP="002424A1">
            <w:pPr>
              <w:spacing w:line="276" w:lineRule="auto"/>
              <w:rPr>
                <w:rFonts w:asciiTheme="minorHAnsi" w:eastAsiaTheme="majorEastAsia" w:hAnsiTheme="minorHAnsi" w:cstheme="majorBidi"/>
                <w:sz w:val="20"/>
              </w:rPr>
            </w:pPr>
            <w:r>
              <w:rPr>
                <w:rFonts w:asciiTheme="minorHAnsi" w:eastAsiaTheme="majorEastAsia" w:hAnsiTheme="minorHAnsi" w:cstheme="majorBidi"/>
                <w:sz w:val="20"/>
              </w:rPr>
              <w:t>P</w:t>
            </w:r>
            <w:r w:rsidR="000360B1">
              <w:rPr>
                <w:rFonts w:asciiTheme="minorHAnsi" w:eastAsiaTheme="majorEastAsia" w:hAnsiTheme="minorHAnsi" w:cstheme="majorBidi"/>
                <w:sz w:val="20"/>
              </w:rPr>
              <w:t>rogram Pendampingan Kepala Sekolah oleh Pengawas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SRP</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School Reconstruction Program</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Program Rekonstruksi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SSQ</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 xml:space="preserve">School Systems and Quality </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Program </w:t>
            </w:r>
            <w:r>
              <w:rPr>
                <w:rFonts w:asciiTheme="minorHAnsi" w:eastAsiaTheme="majorEastAsia" w:hAnsiTheme="minorHAnsi" w:cstheme="majorBidi"/>
                <w:sz w:val="20"/>
                <w:lang w:val="en-AU"/>
              </w:rPr>
              <w:t>Sistem dan Mutu</w:t>
            </w:r>
            <w:r w:rsidRPr="007E56E2">
              <w:rPr>
                <w:rFonts w:asciiTheme="minorHAnsi" w:eastAsiaTheme="majorEastAsia" w:hAnsiTheme="minorHAnsi" w:cstheme="majorBidi"/>
                <w:sz w:val="20"/>
                <w:lang w:val="en-AU"/>
              </w:rPr>
              <w:t xml:space="preserve"> Sekolah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SSS</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Senior Secondary School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Pr>
                <w:rFonts w:asciiTheme="minorHAnsi" w:eastAsiaTheme="majorEastAsia" w:hAnsiTheme="minorHAnsi" w:cstheme="majorBidi"/>
                <w:sz w:val="20"/>
                <w:lang w:val="en-AU"/>
              </w:rPr>
              <w:t>Sekolah Menengah Atas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T</w:t>
            </w:r>
            <w:r w:rsidR="002424A1">
              <w:rPr>
                <w:rFonts w:asciiTheme="minorHAnsi" w:hAnsiTheme="minorHAnsi"/>
                <w:sz w:val="20"/>
                <w:lang w:val="en-AU"/>
              </w:rPr>
              <w:t>O</w:t>
            </w:r>
            <w:r w:rsidRPr="007E56E2">
              <w:rPr>
                <w:rFonts w:asciiTheme="minorHAnsi" w:hAnsiTheme="minorHAnsi"/>
                <w:sz w:val="20"/>
                <w:lang w:val="en-AU"/>
              </w:rPr>
              <w:t>G</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Technical Oversight Group</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Kelompok Pengawasan Teknis</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sidRPr="007E56E2">
              <w:rPr>
                <w:rFonts w:asciiTheme="minorHAnsi" w:hAnsiTheme="minorHAnsi"/>
                <w:sz w:val="20"/>
                <w:lang w:val="en-AU"/>
              </w:rPr>
              <w:t>UPPAM</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lang w:val="en-AU"/>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Central MoRA</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lang w:val="en-AU"/>
              </w:rPr>
            </w:pPr>
            <w:r w:rsidRPr="007E56E2">
              <w:rPr>
                <w:rFonts w:asciiTheme="minorHAnsi" w:eastAsiaTheme="majorEastAsia" w:hAnsiTheme="minorHAnsi" w:cstheme="majorBidi"/>
                <w:sz w:val="20"/>
                <w:lang w:val="en-AU"/>
              </w:rPr>
              <w:t xml:space="preserve">Unit Pelaksana Akreditasi Madrasah </w:t>
            </w:r>
            <w:r>
              <w:rPr>
                <w:rFonts w:asciiTheme="minorHAnsi" w:eastAsiaTheme="majorEastAsia" w:hAnsiTheme="minorHAnsi" w:cstheme="majorBidi"/>
                <w:sz w:val="20"/>
                <w:lang w:val="en-AU"/>
              </w:rPr>
              <w:t>di tingkat Pemerintah Pusat</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UPPAMDA</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District Level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Unit Pelaksana Akreditasi </w:t>
            </w:r>
            <w:r>
              <w:rPr>
                <w:rFonts w:asciiTheme="minorHAnsi" w:eastAsiaTheme="majorEastAsia" w:hAnsiTheme="minorHAnsi" w:cstheme="majorBidi"/>
                <w:sz w:val="20"/>
                <w:lang w:val="en-AU"/>
              </w:rPr>
              <w:t>Madrasah di tingkat Daerah</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UPPAMPROV</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lang w:val="en-AU"/>
              </w:rPr>
              <w:t xml:space="preserve">Madrasah </w:t>
            </w:r>
            <w:r w:rsidRPr="007E56E2">
              <w:rPr>
                <w:rFonts w:asciiTheme="minorHAnsi" w:hAnsiTheme="minorHAnsi"/>
                <w:sz w:val="20"/>
                <w:lang w:val="en-AU"/>
              </w:rPr>
              <w:t>Accreditation Im</w:t>
            </w:r>
            <w:r>
              <w:rPr>
                <w:rFonts w:asciiTheme="minorHAnsi" w:hAnsiTheme="minorHAnsi"/>
                <w:sz w:val="20"/>
                <w:lang w:val="en-AU"/>
              </w:rPr>
              <w:t>plementation Unit at Provincial Level</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eastAsiaTheme="majorEastAsia" w:hAnsiTheme="minorHAnsi" w:cstheme="majorBidi"/>
                <w:sz w:val="20"/>
                <w:lang w:val="en-AU"/>
              </w:rPr>
              <w:t xml:space="preserve">Unit Pelaksana Akreditasi </w:t>
            </w:r>
            <w:r>
              <w:rPr>
                <w:rFonts w:asciiTheme="minorHAnsi" w:eastAsiaTheme="majorEastAsia" w:hAnsiTheme="minorHAnsi" w:cstheme="majorBidi"/>
                <w:sz w:val="20"/>
                <w:lang w:val="en-AU"/>
              </w:rPr>
              <w:t xml:space="preserve">Madrasah di tingkat </w:t>
            </w:r>
            <w:r w:rsidRPr="007E56E2">
              <w:rPr>
                <w:rFonts w:asciiTheme="minorHAnsi" w:eastAsiaTheme="majorEastAsia" w:hAnsiTheme="minorHAnsi" w:cstheme="majorBidi"/>
                <w:sz w:val="20"/>
                <w:lang w:val="en-AU"/>
              </w:rPr>
              <w:t xml:space="preserve">Provinsi </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sidRPr="007E56E2">
              <w:rPr>
                <w:rFonts w:asciiTheme="minorHAnsi" w:hAnsiTheme="minorHAnsi"/>
                <w:sz w:val="20"/>
              </w:rPr>
              <w:t>USB</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New School Unit</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eastAsiaTheme="majorEastAsia" w:hAnsiTheme="minorHAnsi" w:cstheme="majorBidi"/>
                <w:sz w:val="20"/>
              </w:rPr>
            </w:pPr>
            <w:r w:rsidRPr="007E56E2">
              <w:rPr>
                <w:rFonts w:asciiTheme="minorHAnsi" w:hAnsiTheme="minorHAnsi"/>
                <w:sz w:val="20"/>
              </w:rPr>
              <w:t>Unit Sekolah Baru</w:t>
            </w:r>
          </w:p>
        </w:tc>
      </w:tr>
      <w:tr w:rsidR="000360B1" w:rsidRPr="007E56E2" w:rsidTr="002424A1">
        <w:trPr>
          <w:trHeight w:val="312"/>
        </w:trPr>
        <w:tc>
          <w:tcPr>
            <w:tcW w:w="1101"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USD</w:t>
            </w:r>
          </w:p>
        </w:tc>
        <w:tc>
          <w:tcPr>
            <w:tcW w:w="3685" w:type="dxa"/>
            <w:tcBorders>
              <w:top w:val="single" w:sz="4" w:space="0" w:color="auto"/>
              <w:left w:val="single" w:sz="4" w:space="0" w:color="auto"/>
              <w:bottom w:val="single" w:sz="4" w:space="0" w:color="auto"/>
              <w:right w:val="single" w:sz="4" w:space="0" w:color="auto"/>
            </w:tcBorders>
            <w:vAlign w:val="center"/>
          </w:tcPr>
          <w:p w:rsidR="000360B1" w:rsidRPr="007E56E2" w:rsidRDefault="000360B1" w:rsidP="002424A1">
            <w:pPr>
              <w:spacing w:line="276" w:lineRule="auto"/>
              <w:rPr>
                <w:rFonts w:asciiTheme="minorHAnsi" w:hAnsiTheme="minorHAnsi"/>
                <w:sz w:val="20"/>
              </w:rPr>
            </w:pPr>
            <w:r>
              <w:rPr>
                <w:rFonts w:asciiTheme="minorHAnsi" w:hAnsiTheme="minorHAnsi"/>
                <w:sz w:val="20"/>
              </w:rPr>
              <w:t>United States Dollar</w:t>
            </w:r>
          </w:p>
        </w:tc>
        <w:tc>
          <w:tcPr>
            <w:tcW w:w="4223" w:type="dxa"/>
            <w:tcBorders>
              <w:top w:val="single" w:sz="4" w:space="0" w:color="auto"/>
              <w:left w:val="single" w:sz="4" w:space="0" w:color="auto"/>
              <w:bottom w:val="single" w:sz="4" w:space="0" w:color="auto"/>
              <w:right w:val="single" w:sz="4" w:space="0" w:color="auto"/>
            </w:tcBorders>
            <w:vAlign w:val="center"/>
          </w:tcPr>
          <w:p w:rsidR="000360B1" w:rsidRPr="00FA235F" w:rsidRDefault="000360B1" w:rsidP="002424A1">
            <w:pPr>
              <w:spacing w:line="276" w:lineRule="auto"/>
              <w:rPr>
                <w:rFonts w:asciiTheme="minorHAnsi" w:eastAsiaTheme="majorEastAsia" w:hAnsiTheme="minorHAnsi" w:cstheme="majorBidi"/>
                <w:sz w:val="20"/>
              </w:rPr>
            </w:pPr>
            <w:r w:rsidRPr="0080471F">
              <w:rPr>
                <w:sz w:val="20"/>
              </w:rPr>
              <w:t>Dolar Amerika Serikat</w:t>
            </w:r>
          </w:p>
        </w:tc>
      </w:tr>
    </w:tbl>
    <w:p w:rsidR="000360B1" w:rsidRDefault="000360B1" w:rsidP="000360B1">
      <w:pPr>
        <w:pStyle w:val="Heading1"/>
        <w:numPr>
          <w:ilvl w:val="0"/>
          <w:numId w:val="0"/>
        </w:numPr>
        <w:rPr>
          <w:b/>
        </w:rPr>
      </w:pPr>
    </w:p>
    <w:p w:rsidR="000360B1" w:rsidRDefault="000360B1">
      <w:pPr>
        <w:rPr>
          <w:rFonts w:asciiTheme="minorHAnsi" w:hAnsiTheme="minorHAnsi" w:cstheme="minorHAnsi"/>
          <w:b/>
          <w:bCs/>
          <w:color w:val="003880"/>
          <w:kern w:val="32"/>
          <w:sz w:val="32"/>
          <w:szCs w:val="72"/>
          <w:lang w:val="en-AU"/>
        </w:rPr>
      </w:pPr>
      <w:r>
        <w:rPr>
          <w:b/>
          <w:lang w:val="en-AU"/>
        </w:rPr>
        <w:br w:type="page"/>
      </w:r>
    </w:p>
    <w:p w:rsidR="00045CAA" w:rsidRPr="00CB10AD" w:rsidRDefault="00045CAA" w:rsidP="00111DD1">
      <w:pPr>
        <w:pStyle w:val="Heading1"/>
        <w:numPr>
          <w:ilvl w:val="0"/>
          <w:numId w:val="0"/>
        </w:numPr>
        <w:rPr>
          <w:b/>
          <w:lang w:val="en-AU"/>
        </w:rPr>
      </w:pPr>
      <w:bookmarkStart w:id="5" w:name="_Toc388253133"/>
      <w:r w:rsidRPr="00CB10AD">
        <w:rPr>
          <w:b/>
          <w:lang w:val="en-AU"/>
        </w:rPr>
        <w:lastRenderedPageBreak/>
        <w:t>ACKNOWLEDGEMENTS</w:t>
      </w:r>
      <w:bookmarkEnd w:id="5"/>
    </w:p>
    <w:p w:rsidR="00045CAA" w:rsidRPr="00CB10AD" w:rsidRDefault="00045CAA" w:rsidP="00045CAA">
      <w:pPr>
        <w:rPr>
          <w:lang w:val="en-AU"/>
        </w:rPr>
      </w:pPr>
    </w:p>
    <w:p w:rsidR="00111DD1" w:rsidRPr="00CB10AD" w:rsidRDefault="00045CAA" w:rsidP="00111DD1">
      <w:pPr>
        <w:spacing w:line="276" w:lineRule="auto"/>
        <w:jc w:val="both"/>
        <w:rPr>
          <w:lang w:val="en-AU"/>
        </w:rPr>
      </w:pPr>
      <w:r w:rsidRPr="00CB10AD">
        <w:rPr>
          <w:lang w:val="en-AU"/>
        </w:rPr>
        <w:t xml:space="preserve">This report has been prepared by the Performance Oversight and Monitoring (POM) </w:t>
      </w:r>
      <w:r w:rsidR="00111DD1" w:rsidRPr="00CB10AD">
        <w:rPr>
          <w:lang w:val="en-AU"/>
        </w:rPr>
        <w:t>team</w:t>
      </w:r>
      <w:r w:rsidRPr="00CB10AD">
        <w:rPr>
          <w:lang w:val="en-AU"/>
        </w:rPr>
        <w:t xml:space="preserve"> of </w:t>
      </w:r>
      <w:r w:rsidR="00111DD1" w:rsidRPr="00CB10AD">
        <w:rPr>
          <w:lang w:val="en-AU"/>
        </w:rPr>
        <w:t xml:space="preserve">Australia’s </w:t>
      </w:r>
      <w:r w:rsidRPr="00CB10AD">
        <w:rPr>
          <w:lang w:val="en-AU"/>
        </w:rPr>
        <w:t>Education Partnership</w:t>
      </w:r>
      <w:r w:rsidR="00111DD1" w:rsidRPr="00CB10AD">
        <w:rPr>
          <w:lang w:val="en-AU"/>
        </w:rPr>
        <w:t xml:space="preserve"> with Indonesia</w:t>
      </w:r>
      <w:r w:rsidRPr="00CB10AD">
        <w:rPr>
          <w:lang w:val="en-AU"/>
        </w:rPr>
        <w:t>.</w:t>
      </w:r>
      <w:r w:rsidR="0017073C" w:rsidRPr="00CB10AD">
        <w:rPr>
          <w:lang w:val="en-AU"/>
        </w:rPr>
        <w:t xml:space="preserve"> </w:t>
      </w:r>
      <w:r w:rsidR="00111DD1" w:rsidRPr="00CB10AD">
        <w:rPr>
          <w:lang w:val="en-AU"/>
        </w:rPr>
        <w:t xml:space="preserve">The </w:t>
      </w:r>
      <w:r w:rsidR="0017073C" w:rsidRPr="00CB10AD">
        <w:rPr>
          <w:lang w:val="en-AU"/>
        </w:rPr>
        <w:t xml:space="preserve">POM </w:t>
      </w:r>
      <w:r w:rsidR="00111DD1" w:rsidRPr="00CB10AD">
        <w:rPr>
          <w:lang w:val="en-AU"/>
        </w:rPr>
        <w:t xml:space="preserve">team </w:t>
      </w:r>
      <w:r w:rsidR="00BA45D9" w:rsidRPr="00CB10AD">
        <w:rPr>
          <w:lang w:val="en-AU"/>
        </w:rPr>
        <w:t xml:space="preserve">gratefully </w:t>
      </w:r>
      <w:r w:rsidR="00111DD1" w:rsidRPr="00CB10AD">
        <w:rPr>
          <w:lang w:val="en-AU"/>
        </w:rPr>
        <w:t xml:space="preserve">acknowledges </w:t>
      </w:r>
      <w:r w:rsidR="0017073C" w:rsidRPr="00CB10AD">
        <w:rPr>
          <w:lang w:val="en-AU"/>
        </w:rPr>
        <w:t xml:space="preserve">all those who </w:t>
      </w:r>
      <w:r w:rsidR="00111DD1" w:rsidRPr="00CB10AD">
        <w:rPr>
          <w:lang w:val="en-AU"/>
        </w:rPr>
        <w:t xml:space="preserve">gave their time to </w:t>
      </w:r>
      <w:r w:rsidR="0017073C" w:rsidRPr="00CB10AD">
        <w:rPr>
          <w:lang w:val="en-AU"/>
        </w:rPr>
        <w:t>provide information and comment</w:t>
      </w:r>
      <w:r w:rsidR="00111DD1" w:rsidRPr="00CB10AD">
        <w:rPr>
          <w:lang w:val="en-AU"/>
        </w:rPr>
        <w:t xml:space="preserve"> for the APPR</w:t>
      </w:r>
      <w:r w:rsidR="0017073C" w:rsidRPr="00CB10AD">
        <w:rPr>
          <w:lang w:val="en-AU"/>
        </w:rPr>
        <w:t>.</w:t>
      </w:r>
      <w:r w:rsidRPr="00CB10AD">
        <w:rPr>
          <w:lang w:val="en-AU"/>
        </w:rPr>
        <w:t xml:space="preserve"> </w:t>
      </w:r>
    </w:p>
    <w:p w:rsidR="00111DD1" w:rsidRPr="00CB10AD" w:rsidRDefault="00111DD1" w:rsidP="00111DD1">
      <w:pPr>
        <w:spacing w:line="276" w:lineRule="auto"/>
        <w:jc w:val="both"/>
        <w:rPr>
          <w:lang w:val="en-AU"/>
        </w:rPr>
      </w:pPr>
    </w:p>
    <w:p w:rsidR="00045CAA" w:rsidRPr="00CB10AD" w:rsidRDefault="00045CAA" w:rsidP="00111DD1">
      <w:pPr>
        <w:spacing w:line="276" w:lineRule="auto"/>
        <w:jc w:val="both"/>
        <w:rPr>
          <w:lang w:val="en-AU"/>
        </w:rPr>
      </w:pPr>
      <w:r w:rsidRPr="00CB10AD">
        <w:rPr>
          <w:lang w:val="en-AU"/>
        </w:rPr>
        <w:t xml:space="preserve">POM is fully accountable for </w:t>
      </w:r>
      <w:r w:rsidR="0017073C" w:rsidRPr="00CB10AD">
        <w:rPr>
          <w:lang w:val="en-AU"/>
        </w:rPr>
        <w:t>the</w:t>
      </w:r>
      <w:r w:rsidRPr="00CB10AD">
        <w:rPr>
          <w:lang w:val="en-AU"/>
        </w:rPr>
        <w:t xml:space="preserve"> content</w:t>
      </w:r>
      <w:r w:rsidR="0017073C" w:rsidRPr="00CB10AD">
        <w:rPr>
          <w:lang w:val="en-AU"/>
        </w:rPr>
        <w:t xml:space="preserve"> of this report: t</w:t>
      </w:r>
      <w:r w:rsidRPr="00CB10AD">
        <w:rPr>
          <w:lang w:val="en-AU"/>
        </w:rPr>
        <w:t>he views contained in this report do not necessarily represent tho</w:t>
      </w:r>
      <w:r w:rsidR="0017073C" w:rsidRPr="00CB10AD">
        <w:rPr>
          <w:lang w:val="en-AU"/>
        </w:rPr>
        <w:t xml:space="preserve">se of the Education Partnership, the Governments of Australia or Indonesia, </w:t>
      </w:r>
      <w:r w:rsidRPr="00CB10AD">
        <w:rPr>
          <w:lang w:val="en-AU"/>
        </w:rPr>
        <w:t>or of the people consulted during the fieldwork.</w:t>
      </w:r>
    </w:p>
    <w:p w:rsidR="00045CAA" w:rsidRPr="00CB10AD" w:rsidRDefault="00045CAA" w:rsidP="00111DD1">
      <w:pPr>
        <w:spacing w:line="276" w:lineRule="auto"/>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lang w:val="en-AU"/>
        </w:rPr>
      </w:pPr>
    </w:p>
    <w:p w:rsidR="00045CAA" w:rsidRPr="00CB10AD" w:rsidRDefault="00045CAA" w:rsidP="00045CAA">
      <w:pPr>
        <w:rPr>
          <w:rStyle w:val="IntenseEmphasis"/>
          <w:lang w:val="en-AU"/>
        </w:rPr>
      </w:pPr>
      <w:r w:rsidRPr="00CB10AD">
        <w:rPr>
          <w:rStyle w:val="IntenseEmphasis"/>
          <w:lang w:val="en-AU"/>
        </w:rPr>
        <w:t>Amendment history</w:t>
      </w:r>
    </w:p>
    <w:p w:rsidR="00045CAA" w:rsidRPr="00CB10AD" w:rsidRDefault="00045CAA" w:rsidP="00045CAA">
      <w:pPr>
        <w:rPr>
          <w:lang w:val="en-AU"/>
        </w:rPr>
      </w:pPr>
    </w:p>
    <w:tbl>
      <w:tblPr>
        <w:tblStyle w:val="TableGrid"/>
        <w:tblW w:w="0" w:type="auto"/>
        <w:tblLook w:val="04A0" w:firstRow="1" w:lastRow="0" w:firstColumn="1" w:lastColumn="0" w:noHBand="0" w:noVBand="1"/>
      </w:tblPr>
      <w:tblGrid>
        <w:gridCol w:w="1523"/>
        <w:gridCol w:w="4639"/>
        <w:gridCol w:w="3083"/>
      </w:tblGrid>
      <w:tr w:rsidR="00045CAA" w:rsidRPr="00CB10AD" w:rsidTr="00045CAA">
        <w:tc>
          <w:tcPr>
            <w:tcW w:w="1526" w:type="dxa"/>
            <w:shd w:val="clear" w:color="auto" w:fill="365F91" w:themeFill="accent1" w:themeFillShade="BF"/>
          </w:tcPr>
          <w:p w:rsidR="00045CAA" w:rsidRPr="00CB10AD" w:rsidRDefault="00045CAA" w:rsidP="00045CAA">
            <w:pPr>
              <w:spacing w:before="120" w:after="120"/>
              <w:jc w:val="center"/>
              <w:rPr>
                <w:rFonts w:asciiTheme="minorHAnsi" w:eastAsia="Calibri" w:hAnsiTheme="minorHAnsi" w:cstheme="minorHAnsi"/>
                <w:b/>
                <w:color w:val="FFFFFF" w:themeColor="background1"/>
                <w:sz w:val="20"/>
                <w:lang w:val="en-AU"/>
              </w:rPr>
            </w:pPr>
            <w:r w:rsidRPr="00CB10AD">
              <w:rPr>
                <w:rFonts w:asciiTheme="minorHAnsi" w:eastAsia="Calibri" w:hAnsiTheme="minorHAnsi" w:cstheme="minorHAnsi"/>
                <w:b/>
                <w:color w:val="FFFFFF" w:themeColor="background1"/>
                <w:sz w:val="20"/>
                <w:lang w:val="en-AU"/>
              </w:rPr>
              <w:t>Version</w:t>
            </w:r>
          </w:p>
        </w:tc>
        <w:tc>
          <w:tcPr>
            <w:tcW w:w="4650" w:type="dxa"/>
            <w:shd w:val="clear" w:color="auto" w:fill="365F91" w:themeFill="accent1" w:themeFillShade="BF"/>
          </w:tcPr>
          <w:p w:rsidR="00045CAA" w:rsidRPr="00CB10AD" w:rsidRDefault="00045CAA" w:rsidP="00045CAA">
            <w:pPr>
              <w:spacing w:before="120" w:after="120"/>
              <w:jc w:val="center"/>
              <w:rPr>
                <w:rFonts w:asciiTheme="minorHAnsi" w:eastAsia="Calibri" w:hAnsiTheme="minorHAnsi" w:cstheme="minorHAnsi"/>
                <w:b/>
                <w:color w:val="FFFFFF" w:themeColor="background1"/>
                <w:sz w:val="20"/>
                <w:lang w:val="en-AU"/>
              </w:rPr>
            </w:pPr>
            <w:r w:rsidRPr="00CB10AD">
              <w:rPr>
                <w:rFonts w:asciiTheme="minorHAnsi" w:eastAsia="Calibri" w:hAnsiTheme="minorHAnsi" w:cstheme="minorHAnsi"/>
                <w:b/>
                <w:color w:val="FFFFFF" w:themeColor="background1"/>
                <w:sz w:val="20"/>
                <w:lang w:val="en-AU"/>
              </w:rPr>
              <w:t>Notes and modifications</w:t>
            </w:r>
          </w:p>
        </w:tc>
        <w:tc>
          <w:tcPr>
            <w:tcW w:w="3089" w:type="dxa"/>
            <w:shd w:val="clear" w:color="auto" w:fill="365F91" w:themeFill="accent1" w:themeFillShade="BF"/>
          </w:tcPr>
          <w:p w:rsidR="00045CAA" w:rsidRPr="00CB10AD" w:rsidRDefault="00045CAA" w:rsidP="00045CAA">
            <w:pPr>
              <w:spacing w:before="120" w:after="120"/>
              <w:jc w:val="center"/>
              <w:rPr>
                <w:rFonts w:asciiTheme="minorHAnsi" w:eastAsia="Calibri" w:hAnsiTheme="minorHAnsi" w:cstheme="minorHAnsi"/>
                <w:b/>
                <w:color w:val="FFFFFF" w:themeColor="background1"/>
                <w:sz w:val="20"/>
                <w:lang w:val="en-AU"/>
              </w:rPr>
            </w:pPr>
            <w:r w:rsidRPr="00CB10AD">
              <w:rPr>
                <w:rFonts w:asciiTheme="minorHAnsi" w:eastAsia="Calibri" w:hAnsiTheme="minorHAnsi" w:cstheme="minorHAnsi"/>
                <w:b/>
                <w:color w:val="FFFFFF" w:themeColor="background1"/>
                <w:sz w:val="20"/>
                <w:lang w:val="en-AU"/>
              </w:rPr>
              <w:t>Created by/modified by</w:t>
            </w:r>
          </w:p>
        </w:tc>
      </w:tr>
      <w:tr w:rsidR="00045CAA" w:rsidRPr="00CB10AD" w:rsidTr="00196F93">
        <w:trPr>
          <w:trHeight w:val="377"/>
        </w:trPr>
        <w:tc>
          <w:tcPr>
            <w:tcW w:w="1526" w:type="dxa"/>
            <w:vAlign w:val="center"/>
          </w:tcPr>
          <w:p w:rsidR="00045CAA" w:rsidRPr="00CB10AD" w:rsidRDefault="00045CAA" w:rsidP="009B2D0E">
            <w:pPr>
              <w:rPr>
                <w:rFonts w:eastAsiaTheme="majorEastAsia" w:cstheme="majorBidi"/>
                <w:bCs/>
                <w:sz w:val="20"/>
                <w:lang w:val="en-AU"/>
              </w:rPr>
            </w:pPr>
            <w:r w:rsidRPr="00CB10AD">
              <w:rPr>
                <w:rFonts w:eastAsiaTheme="majorEastAsia" w:cstheme="majorBidi"/>
                <w:bCs/>
                <w:sz w:val="20"/>
                <w:lang w:val="en-AU"/>
              </w:rPr>
              <w:t>1.0</w:t>
            </w:r>
          </w:p>
        </w:tc>
        <w:tc>
          <w:tcPr>
            <w:tcW w:w="4650" w:type="dxa"/>
            <w:vAlign w:val="center"/>
          </w:tcPr>
          <w:p w:rsidR="00045CAA" w:rsidRPr="00CB10AD" w:rsidRDefault="0017073C" w:rsidP="00680BDC">
            <w:pPr>
              <w:rPr>
                <w:rFonts w:eastAsiaTheme="majorEastAsia" w:cstheme="majorBidi"/>
                <w:bCs/>
                <w:sz w:val="20"/>
                <w:lang w:val="en-AU"/>
              </w:rPr>
            </w:pPr>
            <w:r w:rsidRPr="00CB10AD">
              <w:rPr>
                <w:rFonts w:eastAsiaTheme="majorEastAsia" w:cstheme="majorBidi"/>
                <w:bCs/>
                <w:sz w:val="20"/>
                <w:lang w:val="en-AU"/>
              </w:rPr>
              <w:t>APPR</w:t>
            </w:r>
            <w:r w:rsidR="00045CAA" w:rsidRPr="00CB10AD">
              <w:rPr>
                <w:rFonts w:eastAsiaTheme="majorEastAsia" w:cstheme="majorBidi"/>
                <w:bCs/>
                <w:sz w:val="20"/>
                <w:lang w:val="en-AU"/>
              </w:rPr>
              <w:t xml:space="preserve"> Draft Report (</w:t>
            </w:r>
            <w:r w:rsidR="007B5638" w:rsidRPr="00CB10AD">
              <w:rPr>
                <w:rFonts w:eastAsiaTheme="majorEastAsia" w:cstheme="majorBidi"/>
                <w:bCs/>
                <w:sz w:val="20"/>
                <w:lang w:val="en-AU"/>
              </w:rPr>
              <w:t xml:space="preserve">12 </w:t>
            </w:r>
            <w:r w:rsidR="00817845" w:rsidRPr="00CB10AD">
              <w:rPr>
                <w:rFonts w:eastAsiaTheme="majorEastAsia" w:cstheme="majorBidi"/>
                <w:bCs/>
                <w:sz w:val="20"/>
                <w:lang w:val="en-AU"/>
              </w:rPr>
              <w:t xml:space="preserve">February </w:t>
            </w:r>
            <w:r w:rsidRPr="00CB10AD">
              <w:rPr>
                <w:rFonts w:eastAsiaTheme="majorEastAsia" w:cstheme="majorBidi"/>
                <w:bCs/>
                <w:sz w:val="20"/>
                <w:lang w:val="en-AU"/>
              </w:rPr>
              <w:t>2014</w:t>
            </w:r>
            <w:r w:rsidR="00045CAA" w:rsidRPr="00CB10AD">
              <w:rPr>
                <w:rFonts w:eastAsiaTheme="majorEastAsia" w:cstheme="majorBidi"/>
                <w:bCs/>
                <w:sz w:val="20"/>
                <w:lang w:val="en-AU"/>
              </w:rPr>
              <w:t>)</w:t>
            </w:r>
          </w:p>
        </w:tc>
        <w:tc>
          <w:tcPr>
            <w:tcW w:w="3089" w:type="dxa"/>
            <w:vAlign w:val="center"/>
          </w:tcPr>
          <w:p w:rsidR="00045CAA" w:rsidRPr="00CB10AD" w:rsidRDefault="00045CAA" w:rsidP="007269E9">
            <w:pPr>
              <w:rPr>
                <w:rFonts w:eastAsiaTheme="majorEastAsia" w:cstheme="majorBidi"/>
                <w:bCs/>
                <w:sz w:val="20"/>
                <w:lang w:val="en-AU"/>
              </w:rPr>
            </w:pPr>
            <w:r w:rsidRPr="00CB10AD">
              <w:rPr>
                <w:rFonts w:eastAsiaTheme="majorEastAsia" w:cstheme="majorBidi"/>
                <w:bCs/>
                <w:sz w:val="20"/>
                <w:lang w:val="en-AU"/>
              </w:rPr>
              <w:t xml:space="preserve">Creator: </w:t>
            </w:r>
            <w:r w:rsidR="0017073C" w:rsidRPr="00CB10AD">
              <w:rPr>
                <w:rFonts w:eastAsiaTheme="majorEastAsia" w:cstheme="majorBidi"/>
                <w:bCs/>
                <w:sz w:val="20"/>
                <w:lang w:val="en-AU"/>
              </w:rPr>
              <w:t>Nick Clinch</w:t>
            </w:r>
          </w:p>
        </w:tc>
      </w:tr>
      <w:tr w:rsidR="00045CAA" w:rsidRPr="00CB10AD" w:rsidTr="00196F93">
        <w:tc>
          <w:tcPr>
            <w:tcW w:w="1526" w:type="dxa"/>
            <w:vAlign w:val="center"/>
          </w:tcPr>
          <w:p w:rsidR="00045CAA" w:rsidRPr="00CB10AD" w:rsidRDefault="00C84515" w:rsidP="009B2D0E">
            <w:pPr>
              <w:rPr>
                <w:rFonts w:eastAsiaTheme="majorEastAsia" w:cstheme="majorBidi"/>
                <w:bCs/>
                <w:sz w:val="20"/>
                <w:lang w:val="en-AU"/>
              </w:rPr>
            </w:pPr>
            <w:r w:rsidRPr="00CB10AD">
              <w:rPr>
                <w:rFonts w:eastAsiaTheme="majorEastAsia" w:cstheme="majorBidi"/>
                <w:bCs/>
                <w:sz w:val="20"/>
                <w:lang w:val="en-AU"/>
              </w:rPr>
              <w:t>2.0</w:t>
            </w:r>
          </w:p>
        </w:tc>
        <w:tc>
          <w:tcPr>
            <w:tcW w:w="4650" w:type="dxa"/>
            <w:vAlign w:val="center"/>
          </w:tcPr>
          <w:p w:rsidR="00045CAA" w:rsidRPr="00CB10AD" w:rsidRDefault="00C84515" w:rsidP="009B2D0E">
            <w:pPr>
              <w:rPr>
                <w:rFonts w:eastAsiaTheme="majorEastAsia" w:cstheme="majorBidi"/>
                <w:bCs/>
                <w:sz w:val="20"/>
                <w:lang w:val="en-AU"/>
              </w:rPr>
            </w:pPr>
            <w:r w:rsidRPr="00CB10AD">
              <w:rPr>
                <w:rFonts w:eastAsiaTheme="majorEastAsia" w:cstheme="majorBidi"/>
                <w:bCs/>
                <w:sz w:val="20"/>
                <w:lang w:val="en-AU"/>
              </w:rPr>
              <w:t>APPR Final Report (</w:t>
            </w:r>
            <w:r w:rsidR="009B2D0E">
              <w:rPr>
                <w:rFonts w:eastAsiaTheme="majorEastAsia" w:cstheme="majorBidi"/>
                <w:bCs/>
                <w:sz w:val="20"/>
                <w:lang w:val="en-AU"/>
              </w:rPr>
              <w:t>30</w:t>
            </w:r>
            <w:r w:rsidRPr="00CB10AD">
              <w:rPr>
                <w:rFonts w:eastAsiaTheme="majorEastAsia" w:cstheme="majorBidi"/>
                <w:bCs/>
                <w:sz w:val="20"/>
                <w:lang w:val="en-AU"/>
              </w:rPr>
              <w:t xml:space="preserve"> </w:t>
            </w:r>
            <w:r w:rsidR="0038416F" w:rsidRPr="00CB10AD">
              <w:rPr>
                <w:rFonts w:eastAsiaTheme="majorEastAsia" w:cstheme="majorBidi"/>
                <w:bCs/>
                <w:sz w:val="20"/>
                <w:lang w:val="en-AU"/>
              </w:rPr>
              <w:t>April</w:t>
            </w:r>
            <w:r w:rsidRPr="00CB10AD">
              <w:rPr>
                <w:rFonts w:eastAsiaTheme="majorEastAsia" w:cstheme="majorBidi"/>
                <w:bCs/>
                <w:sz w:val="20"/>
                <w:lang w:val="en-AU"/>
              </w:rPr>
              <w:t xml:space="preserve"> 2014)</w:t>
            </w:r>
            <w:r w:rsidR="009B2D0E" w:rsidRPr="00CB10AD">
              <w:rPr>
                <w:rFonts w:eastAsiaTheme="majorEastAsia" w:cstheme="majorBidi"/>
                <w:bCs/>
                <w:sz w:val="20"/>
                <w:lang w:val="en-AU"/>
              </w:rPr>
              <w:t xml:space="preserve"> in response to DFAT comments</w:t>
            </w:r>
            <w:r w:rsidR="009B2D0E">
              <w:rPr>
                <w:rFonts w:eastAsiaTheme="majorEastAsia" w:cstheme="majorBidi"/>
                <w:bCs/>
                <w:sz w:val="20"/>
                <w:lang w:val="en-AU"/>
              </w:rPr>
              <w:t xml:space="preserve"> on accuracy </w:t>
            </w:r>
          </w:p>
        </w:tc>
        <w:tc>
          <w:tcPr>
            <w:tcW w:w="3089" w:type="dxa"/>
            <w:vAlign w:val="center"/>
          </w:tcPr>
          <w:p w:rsidR="00045CAA" w:rsidRPr="00CB10AD" w:rsidRDefault="00C84515" w:rsidP="00680BDC">
            <w:pPr>
              <w:rPr>
                <w:rFonts w:eastAsiaTheme="majorEastAsia" w:cstheme="majorBidi"/>
                <w:bCs/>
                <w:sz w:val="20"/>
                <w:lang w:val="en-AU"/>
              </w:rPr>
            </w:pPr>
            <w:r w:rsidRPr="00CB10AD">
              <w:rPr>
                <w:rFonts w:eastAsiaTheme="majorEastAsia" w:cstheme="majorBidi"/>
                <w:bCs/>
                <w:sz w:val="20"/>
                <w:lang w:val="en-AU"/>
              </w:rPr>
              <w:t xml:space="preserve">Creator: Nick Clinch </w:t>
            </w:r>
          </w:p>
        </w:tc>
      </w:tr>
      <w:tr w:rsidR="00045CAA" w:rsidRPr="00196F93" w:rsidTr="00196F93">
        <w:tc>
          <w:tcPr>
            <w:tcW w:w="1526" w:type="dxa"/>
            <w:vAlign w:val="center"/>
          </w:tcPr>
          <w:p w:rsidR="00045CAA" w:rsidRPr="00196F93" w:rsidRDefault="00196F93" w:rsidP="00196F93">
            <w:pPr>
              <w:rPr>
                <w:rFonts w:eastAsiaTheme="majorEastAsia" w:cstheme="majorBidi"/>
                <w:bCs/>
                <w:sz w:val="20"/>
                <w:lang w:val="en-AU"/>
              </w:rPr>
            </w:pPr>
            <w:r w:rsidRPr="00196F93">
              <w:rPr>
                <w:rFonts w:eastAsiaTheme="majorEastAsia" w:cstheme="majorBidi"/>
                <w:bCs/>
                <w:sz w:val="20"/>
                <w:lang w:val="en-AU"/>
              </w:rPr>
              <w:t>3.0</w:t>
            </w:r>
          </w:p>
        </w:tc>
        <w:tc>
          <w:tcPr>
            <w:tcW w:w="4650" w:type="dxa"/>
            <w:vAlign w:val="center"/>
          </w:tcPr>
          <w:p w:rsidR="00045CAA" w:rsidRPr="00196F93" w:rsidRDefault="00196F93" w:rsidP="00196F93">
            <w:pPr>
              <w:rPr>
                <w:rFonts w:eastAsiaTheme="majorEastAsia" w:cstheme="majorBidi"/>
                <w:bCs/>
                <w:sz w:val="20"/>
                <w:lang w:val="en-AU"/>
              </w:rPr>
            </w:pPr>
            <w:r w:rsidRPr="00196F93">
              <w:rPr>
                <w:rFonts w:eastAsiaTheme="majorEastAsia" w:cstheme="majorBidi"/>
                <w:bCs/>
                <w:sz w:val="20"/>
                <w:lang w:val="en-AU"/>
              </w:rPr>
              <w:t>APPR Final Report (19 May 2014) in response to general comments on accuracy</w:t>
            </w:r>
          </w:p>
        </w:tc>
        <w:tc>
          <w:tcPr>
            <w:tcW w:w="3089" w:type="dxa"/>
            <w:vAlign w:val="center"/>
          </w:tcPr>
          <w:p w:rsidR="00045CAA" w:rsidRPr="00196F93" w:rsidRDefault="00196F93" w:rsidP="00196F93">
            <w:pPr>
              <w:rPr>
                <w:rFonts w:eastAsiaTheme="majorEastAsia" w:cstheme="majorBidi"/>
                <w:bCs/>
                <w:sz w:val="20"/>
                <w:lang w:val="en-AU"/>
              </w:rPr>
            </w:pPr>
            <w:r>
              <w:rPr>
                <w:rFonts w:eastAsiaTheme="majorEastAsia" w:cstheme="majorBidi"/>
                <w:bCs/>
                <w:sz w:val="20"/>
                <w:lang w:val="en-AU"/>
              </w:rPr>
              <w:t>Creator: Nick Clinch</w:t>
            </w:r>
          </w:p>
        </w:tc>
      </w:tr>
    </w:tbl>
    <w:p w:rsidR="00045CAA" w:rsidRPr="00CB10AD" w:rsidRDefault="00D23E41" w:rsidP="000360B1">
      <w:pPr>
        <w:pStyle w:val="Heading1"/>
        <w:numPr>
          <w:ilvl w:val="0"/>
          <w:numId w:val="0"/>
        </w:numPr>
        <w:rPr>
          <w:b/>
          <w:lang w:val="en-AU"/>
        </w:rPr>
      </w:pPr>
      <w:bookmarkStart w:id="6" w:name="_Toc372401474"/>
      <w:r w:rsidRPr="00CB10AD">
        <w:rPr>
          <w:b/>
          <w:lang w:val="en-AU"/>
        </w:rPr>
        <w:br w:type="page"/>
      </w:r>
      <w:bookmarkStart w:id="7" w:name="_Toc388253134"/>
      <w:r w:rsidR="00045CAA" w:rsidRPr="00CB10AD">
        <w:rPr>
          <w:b/>
          <w:lang w:val="en-AU"/>
        </w:rPr>
        <w:lastRenderedPageBreak/>
        <w:t>E</w:t>
      </w:r>
      <w:r w:rsidR="00111DD1" w:rsidRPr="00CB10AD">
        <w:rPr>
          <w:b/>
          <w:lang w:val="en-AU"/>
        </w:rPr>
        <w:t>XECUTIVE SUMMARY</w:t>
      </w:r>
      <w:bookmarkEnd w:id="6"/>
      <w:bookmarkEnd w:id="7"/>
    </w:p>
    <w:p w:rsidR="00111DD1" w:rsidRPr="00CB10AD" w:rsidRDefault="00111DD1" w:rsidP="00111DD1">
      <w:pPr>
        <w:rPr>
          <w:lang w:val="en-AU"/>
        </w:rPr>
      </w:pP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is the Education Partnership?</w:t>
      </w:r>
    </w:p>
    <w:p w:rsidR="0024509E" w:rsidRPr="00CB10AD" w:rsidRDefault="0024509E" w:rsidP="0024509E">
      <w:pPr>
        <w:spacing w:before="120" w:after="120" w:line="276" w:lineRule="auto"/>
        <w:jc w:val="both"/>
        <w:rPr>
          <w:rFonts w:asciiTheme="minorHAnsi" w:eastAsia="Calibri" w:hAnsiTheme="minorHAnsi" w:cstheme="minorHAnsi"/>
          <w:szCs w:val="24"/>
          <w:lang w:val="en-AU" w:eastAsia="en-AU"/>
        </w:rPr>
      </w:pPr>
      <w:r w:rsidRPr="00CB10AD">
        <w:rPr>
          <w:rFonts w:eastAsia="Calibri" w:cs="Times New Roman"/>
          <w:szCs w:val="24"/>
          <w:lang w:val="en-AU" w:eastAsia="en-AU"/>
        </w:rPr>
        <w:t>The A</w:t>
      </w:r>
      <w:r w:rsidR="00507180" w:rsidRPr="00CB10AD">
        <w:rPr>
          <w:rFonts w:eastAsia="Calibri" w:cs="Times New Roman"/>
          <w:szCs w:val="24"/>
          <w:lang w:val="en-AU" w:eastAsia="en-AU"/>
        </w:rPr>
        <w:t>UD</w:t>
      </w:r>
      <w:r w:rsidR="00CB10AD">
        <w:rPr>
          <w:rFonts w:eastAsia="Calibri" w:cs="Times New Roman"/>
          <w:szCs w:val="24"/>
          <w:lang w:val="en-AU" w:eastAsia="en-AU"/>
        </w:rPr>
        <w:t xml:space="preserve"> </w:t>
      </w:r>
      <w:r w:rsidRPr="00CB10AD">
        <w:rPr>
          <w:rFonts w:eastAsia="Calibri" w:cs="Times New Roman"/>
          <w:szCs w:val="24"/>
          <w:lang w:val="en-AU" w:eastAsia="en-AU"/>
        </w:rPr>
        <w:t xml:space="preserve">524m investment in the Education Partnership (EP) is Australia’s flagship development initiative in Indonesia. </w:t>
      </w:r>
      <w:r w:rsidRPr="00CB10AD">
        <w:rPr>
          <w:rFonts w:asciiTheme="minorHAnsi" w:eastAsia="Calibri" w:hAnsiTheme="minorHAnsi" w:cstheme="minorHAnsi"/>
          <w:szCs w:val="24"/>
          <w:lang w:val="en-AU" w:eastAsia="en-AU"/>
        </w:rPr>
        <w:t xml:space="preserve">Australia is supporting the Government of Indonesia (GoI) to achieve its policy goals in relation to access, quality and governance of basic education. </w:t>
      </w:r>
    </w:p>
    <w:p w:rsidR="0024509E" w:rsidRPr="00CB10AD" w:rsidRDefault="0024509E" w:rsidP="0024509E">
      <w:p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 EP’s vision is to improve education service delivery in Indonesia. The EP focuses its effort on the attainment of four End-of-Partnership-Outcomes (EOPOs):</w:t>
      </w:r>
    </w:p>
    <w:p w:rsidR="0024509E" w:rsidRPr="00CB10AD" w:rsidRDefault="0024509E" w:rsidP="0024509E">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 xml:space="preserve">Enrolment in JSE in </w:t>
      </w:r>
      <w:r w:rsidR="009B2D0E">
        <w:rPr>
          <w:rFonts w:asciiTheme="minorHAnsi" w:eastAsia="Calibri" w:hAnsiTheme="minorHAnsi" w:cstheme="minorHAnsi"/>
          <w:szCs w:val="24"/>
          <w:lang w:val="en-AU" w:eastAsia="en-AU"/>
        </w:rPr>
        <w:t>participating</w:t>
      </w:r>
      <w:r w:rsidR="009B2D0E" w:rsidRPr="00CB10AD">
        <w:rPr>
          <w:rFonts w:asciiTheme="minorHAnsi" w:eastAsia="Calibri" w:hAnsiTheme="minorHAnsi" w:cstheme="minorHAnsi"/>
          <w:szCs w:val="24"/>
          <w:lang w:val="en-AU" w:eastAsia="en-AU"/>
        </w:rPr>
        <w:t xml:space="preserve"> </w:t>
      </w:r>
      <w:r w:rsidRPr="00CB10AD">
        <w:rPr>
          <w:rFonts w:asciiTheme="minorHAnsi" w:eastAsia="Calibri" w:hAnsiTheme="minorHAnsi" w:cstheme="minorHAnsi"/>
          <w:szCs w:val="24"/>
          <w:lang w:val="en-AU" w:eastAsia="en-AU"/>
        </w:rPr>
        <w:t>districts increases</w:t>
      </w:r>
      <w:r w:rsidR="00B24787" w:rsidRPr="00CB10AD">
        <w:rPr>
          <w:rFonts w:asciiTheme="minorHAnsi" w:eastAsia="Calibri" w:hAnsiTheme="minorHAnsi" w:cstheme="minorHAnsi"/>
          <w:szCs w:val="24"/>
          <w:lang w:val="en-AU" w:eastAsia="en-AU"/>
        </w:rPr>
        <w:t xml:space="preserve"> (Component 1)</w:t>
      </w:r>
      <w:r w:rsidRPr="00CB10AD">
        <w:rPr>
          <w:rFonts w:asciiTheme="minorHAnsi" w:eastAsia="Calibri" w:hAnsiTheme="minorHAnsi" w:cstheme="minorHAnsi"/>
          <w:szCs w:val="24"/>
          <w:lang w:val="en-AU" w:eastAsia="en-AU"/>
        </w:rPr>
        <w:t xml:space="preserve">. </w:t>
      </w:r>
    </w:p>
    <w:p w:rsidR="0024509E" w:rsidRPr="00CB10AD" w:rsidRDefault="0024509E" w:rsidP="0024509E">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Management of schools and Madrasah improves</w:t>
      </w:r>
      <w:r w:rsidR="009B2D0E">
        <w:rPr>
          <w:rFonts w:asciiTheme="minorHAnsi" w:eastAsia="Calibri" w:hAnsiTheme="minorHAnsi" w:cstheme="minorHAnsi"/>
          <w:szCs w:val="24"/>
          <w:lang w:val="en-AU" w:eastAsia="en-AU"/>
        </w:rPr>
        <w:t xml:space="preserve"> in participating districts</w:t>
      </w:r>
      <w:r w:rsidR="00B24787" w:rsidRPr="00CB10AD">
        <w:rPr>
          <w:rFonts w:asciiTheme="minorHAnsi" w:eastAsia="Calibri" w:hAnsiTheme="minorHAnsi" w:cstheme="minorHAnsi"/>
          <w:szCs w:val="24"/>
          <w:lang w:val="en-AU" w:eastAsia="en-AU"/>
        </w:rPr>
        <w:t xml:space="preserve"> (Component 2)</w:t>
      </w:r>
      <w:r w:rsidRPr="00CB10AD">
        <w:rPr>
          <w:rFonts w:asciiTheme="minorHAnsi" w:eastAsia="Calibri" w:hAnsiTheme="minorHAnsi" w:cstheme="minorHAnsi"/>
          <w:szCs w:val="24"/>
          <w:lang w:val="en-AU" w:eastAsia="en-AU"/>
        </w:rPr>
        <w:t xml:space="preserve">. </w:t>
      </w:r>
    </w:p>
    <w:p w:rsidR="0024509E" w:rsidRPr="00CB10AD" w:rsidRDefault="0024509E" w:rsidP="0024509E">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Quality of Madrasah</w:t>
      </w:r>
      <w:r w:rsidR="009B2D0E">
        <w:rPr>
          <w:rFonts w:asciiTheme="minorHAnsi" w:eastAsia="Calibri" w:hAnsiTheme="minorHAnsi" w:cstheme="minorHAnsi"/>
          <w:szCs w:val="24"/>
          <w:lang w:val="en-AU" w:eastAsia="en-AU"/>
        </w:rPr>
        <w:t xml:space="preserve"> service provision</w:t>
      </w:r>
      <w:r w:rsidRPr="00CB10AD">
        <w:rPr>
          <w:rFonts w:asciiTheme="minorHAnsi" w:eastAsia="Calibri" w:hAnsiTheme="minorHAnsi" w:cstheme="minorHAnsi"/>
          <w:szCs w:val="24"/>
          <w:lang w:val="en-AU" w:eastAsia="en-AU"/>
        </w:rPr>
        <w:t xml:space="preserve"> improves </w:t>
      </w:r>
      <w:r w:rsidR="009B2D0E">
        <w:rPr>
          <w:rFonts w:asciiTheme="minorHAnsi" w:eastAsia="Calibri" w:hAnsiTheme="minorHAnsi" w:cstheme="minorHAnsi"/>
          <w:szCs w:val="24"/>
          <w:lang w:val="en-AU" w:eastAsia="en-AU"/>
        </w:rPr>
        <w:t>(</w:t>
      </w:r>
      <w:r w:rsidRPr="00CB10AD">
        <w:rPr>
          <w:rFonts w:asciiTheme="minorHAnsi" w:eastAsia="Calibri" w:hAnsiTheme="minorHAnsi" w:cstheme="minorHAnsi"/>
          <w:szCs w:val="24"/>
          <w:lang w:val="en-AU" w:eastAsia="en-AU"/>
        </w:rPr>
        <w:t>in line with National Education Standards</w:t>
      </w:r>
      <w:r w:rsidR="009B2D0E">
        <w:rPr>
          <w:rFonts w:asciiTheme="minorHAnsi" w:eastAsia="Calibri" w:hAnsiTheme="minorHAnsi" w:cstheme="minorHAnsi"/>
          <w:szCs w:val="24"/>
          <w:lang w:val="en-AU" w:eastAsia="en-AU"/>
        </w:rPr>
        <w:t>) in targeted provinces</w:t>
      </w:r>
      <w:r w:rsidR="00B24787" w:rsidRPr="00CB10AD">
        <w:rPr>
          <w:rFonts w:asciiTheme="minorHAnsi" w:eastAsia="Calibri" w:hAnsiTheme="minorHAnsi" w:cstheme="minorHAnsi"/>
          <w:szCs w:val="24"/>
          <w:lang w:val="en-AU" w:eastAsia="en-AU"/>
        </w:rPr>
        <w:t xml:space="preserve"> (Component 3)</w:t>
      </w:r>
      <w:r w:rsidRPr="00CB10AD">
        <w:rPr>
          <w:rFonts w:asciiTheme="minorHAnsi" w:eastAsia="Calibri" w:hAnsiTheme="minorHAnsi" w:cstheme="minorHAnsi"/>
          <w:szCs w:val="24"/>
          <w:lang w:val="en-AU" w:eastAsia="en-AU"/>
        </w:rPr>
        <w:t>.</w:t>
      </w:r>
    </w:p>
    <w:p w:rsidR="0024509E" w:rsidRPr="00CB10AD" w:rsidRDefault="009B2D0E" w:rsidP="0024509E">
      <w:pPr>
        <w:numPr>
          <w:ilvl w:val="0"/>
          <w:numId w:val="8"/>
        </w:numPr>
        <w:spacing w:before="120" w:after="120" w:line="276" w:lineRule="auto"/>
        <w:jc w:val="both"/>
        <w:rPr>
          <w:rFonts w:asciiTheme="minorHAnsi" w:eastAsia="Calibri" w:hAnsiTheme="minorHAnsi" w:cstheme="minorHAnsi"/>
          <w:szCs w:val="24"/>
          <w:lang w:val="en-AU" w:eastAsia="en-AU"/>
        </w:rPr>
      </w:pPr>
      <w:r>
        <w:rPr>
          <w:rFonts w:asciiTheme="minorHAnsi" w:eastAsia="Calibri" w:hAnsiTheme="minorHAnsi" w:cstheme="minorHAnsi"/>
          <w:szCs w:val="24"/>
          <w:lang w:val="en-AU" w:eastAsia="en-AU"/>
        </w:rPr>
        <w:t>Participating p</w:t>
      </w:r>
      <w:r w:rsidR="0024509E" w:rsidRPr="00CB10AD">
        <w:rPr>
          <w:rFonts w:asciiTheme="minorHAnsi" w:eastAsia="Calibri" w:hAnsiTheme="minorHAnsi" w:cstheme="minorHAnsi"/>
          <w:szCs w:val="24"/>
          <w:lang w:val="en-AU" w:eastAsia="en-AU"/>
        </w:rPr>
        <w:t xml:space="preserve">olicy-makers utilize </w:t>
      </w:r>
      <w:r>
        <w:rPr>
          <w:rFonts w:asciiTheme="minorHAnsi" w:eastAsia="Calibri" w:hAnsiTheme="minorHAnsi" w:cstheme="minorHAnsi"/>
          <w:szCs w:val="24"/>
          <w:lang w:val="en-AU" w:eastAsia="en-AU"/>
        </w:rPr>
        <w:t xml:space="preserve">analytical work </w:t>
      </w:r>
      <w:r w:rsidR="0024509E" w:rsidRPr="00CB10AD">
        <w:rPr>
          <w:rFonts w:asciiTheme="minorHAnsi" w:eastAsia="Calibri" w:hAnsiTheme="minorHAnsi" w:cstheme="minorHAnsi"/>
          <w:szCs w:val="24"/>
          <w:lang w:val="en-AU" w:eastAsia="en-AU"/>
        </w:rPr>
        <w:t>to inform education sector policy, planning and budgeting</w:t>
      </w:r>
      <w:r w:rsidR="00B24787" w:rsidRPr="00CB10AD">
        <w:rPr>
          <w:rFonts w:asciiTheme="minorHAnsi" w:eastAsia="Calibri" w:hAnsiTheme="minorHAnsi" w:cstheme="minorHAnsi"/>
          <w:szCs w:val="24"/>
          <w:lang w:val="en-AU" w:eastAsia="en-AU"/>
        </w:rPr>
        <w:t xml:space="preserve"> (Component 4)</w:t>
      </w:r>
      <w:r w:rsidR="0024509E" w:rsidRPr="00CB10AD">
        <w:rPr>
          <w:rFonts w:asciiTheme="minorHAnsi" w:eastAsia="Calibri" w:hAnsiTheme="minorHAnsi" w:cstheme="minorHAnsi"/>
          <w:szCs w:val="24"/>
          <w:lang w:val="en-AU" w:eastAsia="en-AU"/>
        </w:rPr>
        <w:t>.</w:t>
      </w:r>
    </w:p>
    <w:p w:rsidR="0024509E" w:rsidRPr="00CB10AD" w:rsidRDefault="0024509E" w:rsidP="0024509E">
      <w:p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These EOPOs describe the highest level of change over which the EP has significant influence. The EP uses various modalities to deliver its support, e.g. earmarked budget support (Components 1 and 2), project delivery (Component 3), and technical assistance to Government of Indonesia (GoI) agencies (Components 1-4). From late 2013, the majority of expenditure in Components 1 and 2 will be made through government systems.</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is the APPR?</w:t>
      </w:r>
    </w:p>
    <w:p w:rsidR="0024509E" w:rsidRPr="00CB10AD" w:rsidRDefault="0024509E" w:rsidP="0024509E">
      <w:p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 Annual Partnership Performance Report (APPR) provides a</w:t>
      </w:r>
      <w:r w:rsidR="0026072B" w:rsidRPr="00CB10AD">
        <w:rPr>
          <w:rFonts w:asciiTheme="minorHAnsi" w:eastAsia="Calibri" w:hAnsiTheme="minorHAnsi" w:cstheme="minorHAnsi"/>
          <w:szCs w:val="24"/>
          <w:lang w:val="en-AU" w:eastAsia="en-AU"/>
        </w:rPr>
        <w:t>n objective</w:t>
      </w:r>
      <w:r w:rsidRPr="00CB10AD">
        <w:rPr>
          <w:rFonts w:asciiTheme="minorHAnsi" w:eastAsia="Calibri" w:hAnsiTheme="minorHAnsi" w:cstheme="minorHAnsi"/>
          <w:szCs w:val="24"/>
          <w:lang w:val="en-AU" w:eastAsia="en-AU"/>
        </w:rPr>
        <w:t xml:space="preserve"> assessment of program achievements, weaknesses, opportunities and challenges. As such, it speaks to the Australian Government’s aid scrutiny objectives, whilst also seeking to inform program management decisions and strategic dialogue between the Governments of Australia and of Indonesia about sector performance and emerging priorities. The APPR is produced by the EP Performance Oversight and Monitoring (POM) team. POM’s analysis of EP performance draws on the OECD DAC criteria of relevance, efficiency, effectiveness, impact, and sustainability. As such, it also complies with the Australian Government’s Quality Reporting System (QRS). </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 xml:space="preserve">What is </w:t>
      </w:r>
      <w:r w:rsidR="009B2D0E">
        <w:rPr>
          <w:rFonts w:eastAsia="Calibri" w:cs="Times New Roman"/>
          <w:b/>
          <w:bCs/>
          <w:i/>
          <w:iCs/>
          <w:color w:val="4F81BD" w:themeColor="accent1"/>
          <w:szCs w:val="24"/>
          <w:lang w:val="en-AU" w:eastAsia="en-AU"/>
        </w:rPr>
        <w:t>POM’s</w:t>
      </w:r>
      <w:r w:rsidRPr="00CB10AD">
        <w:rPr>
          <w:rFonts w:eastAsia="Calibri" w:cs="Times New Roman"/>
          <w:b/>
          <w:bCs/>
          <w:i/>
          <w:iCs/>
          <w:color w:val="4F81BD" w:themeColor="accent1"/>
          <w:szCs w:val="24"/>
          <w:lang w:val="en-AU" w:eastAsia="en-AU"/>
        </w:rPr>
        <w:t xml:space="preserve"> overall assessment of EP performance?</w:t>
      </w:r>
    </w:p>
    <w:p w:rsidR="0024509E" w:rsidRPr="00CB10AD" w:rsidRDefault="0024509E" w:rsidP="0024509E">
      <w:pPr>
        <w:spacing w:after="240" w:line="276" w:lineRule="auto"/>
        <w:jc w:val="both"/>
        <w:rPr>
          <w:rFonts w:eastAsia="Calibri" w:cs="Times New Roman"/>
          <w:szCs w:val="24"/>
          <w:lang w:val="en-AU" w:eastAsia="en-AU"/>
        </w:rPr>
      </w:pPr>
      <w:r w:rsidRPr="00CB10AD">
        <w:rPr>
          <w:rFonts w:eastAsia="Calibri" w:cs="Times New Roman"/>
          <w:szCs w:val="24"/>
          <w:lang w:val="en-AU" w:eastAsia="en-AU"/>
        </w:rPr>
        <w:t xml:space="preserve">This APPR represents a mid-term assessment of progress against the DAC criteria. </w:t>
      </w:r>
      <w:r w:rsidR="00B24787" w:rsidRPr="00CB10AD">
        <w:rPr>
          <w:rFonts w:eastAsia="Calibri" w:cs="Times New Roman"/>
          <w:szCs w:val="24"/>
          <w:lang w:val="en-AU" w:eastAsia="en-AU"/>
        </w:rPr>
        <w:t xml:space="preserve">At this point in the life of the EP, it is important to reflect and take stock of progress to date and refocus attention on the End-of-Partnership Outcomes. </w:t>
      </w:r>
      <w:r w:rsidRPr="00CB10AD">
        <w:rPr>
          <w:rFonts w:eastAsia="Calibri" w:cs="Times New Roman"/>
          <w:szCs w:val="24"/>
          <w:lang w:val="en-AU" w:eastAsia="en-AU"/>
        </w:rPr>
        <w:t xml:space="preserve">Whilst EP interventions remain broadly relevant, more flexible management and strategic engagement is </w:t>
      </w:r>
      <w:r w:rsidR="00B24787" w:rsidRPr="00CB10AD">
        <w:rPr>
          <w:rFonts w:eastAsia="Calibri" w:cs="Times New Roman"/>
          <w:szCs w:val="24"/>
          <w:lang w:val="en-AU" w:eastAsia="en-AU"/>
        </w:rPr>
        <w:t xml:space="preserve">necessary </w:t>
      </w:r>
      <w:r w:rsidRPr="00CB10AD">
        <w:rPr>
          <w:rFonts w:eastAsia="Calibri" w:cs="Times New Roman"/>
          <w:szCs w:val="24"/>
          <w:lang w:val="en-AU" w:eastAsia="en-AU"/>
        </w:rPr>
        <w:t xml:space="preserve">if the efficiencies that have resulted in strong output level achievement to date are to be translated into higher-level outcomes. </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did the APPR conclude about Component 1?</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Four hundred and fifty schools were built in 2012-13, in 142 districts across 28 of the country’s 33 provinces. The geographical spread will be similar in subsequent years of the program, with estimated numbers of schools to be built set at 3</w:t>
      </w:r>
      <w:r w:rsidR="00E5319C" w:rsidRPr="00CB10AD">
        <w:rPr>
          <w:rFonts w:asciiTheme="minorHAnsi" w:eastAsia="Calibri" w:hAnsiTheme="minorHAnsi" w:cstheme="minorHAnsi"/>
          <w:szCs w:val="24"/>
          <w:lang w:val="en-AU" w:eastAsia="en-AU"/>
        </w:rPr>
        <w:t>16</w:t>
      </w:r>
      <w:r w:rsidRPr="00CB10AD">
        <w:rPr>
          <w:rFonts w:asciiTheme="minorHAnsi" w:eastAsia="Calibri" w:hAnsiTheme="minorHAnsi" w:cstheme="minorHAnsi"/>
          <w:szCs w:val="24"/>
          <w:lang w:val="en-AU" w:eastAsia="en-AU"/>
        </w:rPr>
        <w:t xml:space="preserve"> in 2013-14 (Cycle 2), 3</w:t>
      </w:r>
      <w:r w:rsidR="00E5319C" w:rsidRPr="00CB10AD">
        <w:rPr>
          <w:rFonts w:asciiTheme="minorHAnsi" w:eastAsia="Calibri" w:hAnsiTheme="minorHAnsi" w:cstheme="minorHAnsi"/>
          <w:szCs w:val="24"/>
          <w:lang w:val="en-AU" w:eastAsia="en-AU"/>
        </w:rPr>
        <w:t>10</w:t>
      </w:r>
      <w:r w:rsidRPr="00CB10AD">
        <w:rPr>
          <w:rFonts w:asciiTheme="minorHAnsi" w:eastAsia="Calibri" w:hAnsiTheme="minorHAnsi" w:cstheme="minorHAnsi"/>
          <w:szCs w:val="24"/>
          <w:lang w:val="en-AU" w:eastAsia="en-AU"/>
        </w:rPr>
        <w:t xml:space="preserve"> </w:t>
      </w:r>
      <w:r w:rsidRPr="00CB10AD">
        <w:rPr>
          <w:rFonts w:asciiTheme="minorHAnsi" w:eastAsia="Calibri" w:hAnsiTheme="minorHAnsi" w:cstheme="minorHAnsi"/>
          <w:szCs w:val="24"/>
          <w:lang w:val="en-AU" w:eastAsia="en-AU"/>
        </w:rPr>
        <w:lastRenderedPageBreak/>
        <w:t>in 2014-15 (Cycle 3), and 337 in 2015-16 (Cycle 4). The 45</w:t>
      </w:r>
      <w:r w:rsidR="00B24787" w:rsidRPr="00CB10AD">
        <w:rPr>
          <w:rFonts w:asciiTheme="minorHAnsi" w:eastAsia="Calibri" w:hAnsiTheme="minorHAnsi" w:cstheme="minorHAnsi"/>
          <w:szCs w:val="24"/>
          <w:lang w:val="en-AU" w:eastAsia="en-AU"/>
        </w:rPr>
        <w:t>0</w:t>
      </w:r>
      <w:r w:rsidRPr="00CB10AD">
        <w:rPr>
          <w:rFonts w:asciiTheme="minorHAnsi" w:eastAsia="Calibri" w:hAnsiTheme="minorHAnsi" w:cstheme="minorHAnsi"/>
          <w:szCs w:val="24"/>
          <w:lang w:val="en-AU" w:eastAsia="en-AU"/>
        </w:rPr>
        <w:t xml:space="preserve"> schools constructed in Cycle 1 offer an estimated 19,</w:t>
      </w:r>
      <w:r w:rsidR="00E5319C" w:rsidRPr="00CB10AD">
        <w:rPr>
          <w:rFonts w:asciiTheme="minorHAnsi" w:eastAsia="Calibri" w:hAnsiTheme="minorHAnsi" w:cstheme="minorHAnsi"/>
          <w:szCs w:val="24"/>
          <w:lang w:val="en-AU" w:eastAsia="en-AU"/>
        </w:rPr>
        <w:t>552</w:t>
      </w:r>
      <w:r w:rsidRPr="00CB10AD">
        <w:rPr>
          <w:rFonts w:asciiTheme="minorHAnsi" w:eastAsia="Calibri" w:hAnsiTheme="minorHAnsi" w:cstheme="minorHAnsi"/>
          <w:szCs w:val="24"/>
          <w:lang w:val="en-AU" w:eastAsia="en-AU"/>
        </w:rPr>
        <w:t xml:space="preserve"> new places for first grade enrolment in 2013/2014. </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 xml:space="preserve">The notable achievements must be </w:t>
      </w:r>
      <w:r w:rsidR="00C0236E">
        <w:rPr>
          <w:rFonts w:asciiTheme="minorHAnsi" w:eastAsia="Calibri" w:hAnsiTheme="minorHAnsi" w:cstheme="minorHAnsi"/>
          <w:szCs w:val="24"/>
          <w:lang w:val="en-AU" w:eastAsia="en-AU"/>
        </w:rPr>
        <w:t>considered in light of</w:t>
      </w:r>
      <w:r w:rsidRPr="00CB10AD">
        <w:rPr>
          <w:rFonts w:asciiTheme="minorHAnsi" w:eastAsia="Calibri" w:hAnsiTheme="minorHAnsi" w:cstheme="minorHAnsi"/>
          <w:szCs w:val="24"/>
          <w:lang w:val="en-AU" w:eastAsia="en-AU"/>
        </w:rPr>
        <w:t xml:space="preserve"> two key observations:</w:t>
      </w:r>
    </w:p>
    <w:p w:rsidR="0024509E" w:rsidRPr="00CB10AD" w:rsidRDefault="0024509E" w:rsidP="0024509E">
      <w:pPr>
        <w:numPr>
          <w:ilvl w:val="1"/>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The extent to which the new schools places will provide a positive and significant contribution to enrolment is uncertain.</w:t>
      </w:r>
    </w:p>
    <w:p w:rsidR="0024509E" w:rsidRPr="00CB10AD" w:rsidRDefault="0024509E" w:rsidP="0024509E">
      <w:pPr>
        <w:numPr>
          <w:ilvl w:val="1"/>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The</w:t>
      </w:r>
      <w:r w:rsidR="00525BEF">
        <w:rPr>
          <w:rFonts w:eastAsia="Calibri" w:cs="Times New Roman"/>
          <w:szCs w:val="24"/>
          <w:lang w:val="en-AU" w:eastAsia="en-AU"/>
        </w:rPr>
        <w:t xml:space="preserve"> impact of Component 1 on enrolment </w:t>
      </w:r>
      <w:r w:rsidRPr="00CB10AD">
        <w:rPr>
          <w:rFonts w:eastAsia="Calibri" w:cs="Times New Roman"/>
          <w:szCs w:val="24"/>
          <w:lang w:val="en-AU" w:eastAsia="en-AU"/>
        </w:rPr>
        <w:t xml:space="preserve">is </w:t>
      </w:r>
      <w:r w:rsidR="00525BEF">
        <w:rPr>
          <w:rFonts w:eastAsia="Calibri" w:cs="Times New Roman"/>
          <w:szCs w:val="24"/>
          <w:lang w:val="en-AU" w:eastAsia="en-AU"/>
        </w:rPr>
        <w:t>directly linked to the appropriateness of</w:t>
      </w:r>
      <w:r w:rsidRPr="00CB10AD">
        <w:rPr>
          <w:rFonts w:eastAsia="Calibri" w:cs="Times New Roman"/>
          <w:szCs w:val="24"/>
          <w:lang w:val="en-AU" w:eastAsia="en-AU"/>
        </w:rPr>
        <w:t xml:space="preserve"> site location; </w:t>
      </w:r>
      <w:r w:rsidR="00525BEF">
        <w:rPr>
          <w:rFonts w:eastAsia="Calibri" w:cs="Times New Roman"/>
          <w:szCs w:val="24"/>
          <w:lang w:val="en-AU" w:eastAsia="en-AU"/>
        </w:rPr>
        <w:t xml:space="preserve">and </w:t>
      </w:r>
      <w:r w:rsidRPr="00CB10AD">
        <w:rPr>
          <w:rFonts w:eastAsia="Calibri" w:cs="Times New Roman"/>
          <w:szCs w:val="24"/>
          <w:lang w:val="en-AU" w:eastAsia="en-AU"/>
        </w:rPr>
        <w:t>improv</w:t>
      </w:r>
      <w:r w:rsidR="00525BEF">
        <w:rPr>
          <w:rFonts w:eastAsia="Calibri" w:cs="Times New Roman"/>
          <w:szCs w:val="24"/>
          <w:lang w:val="en-AU" w:eastAsia="en-AU"/>
        </w:rPr>
        <w:t>ing</w:t>
      </w:r>
      <w:r w:rsidRPr="00CB10AD">
        <w:rPr>
          <w:rFonts w:eastAsia="Calibri" w:cs="Times New Roman"/>
          <w:szCs w:val="24"/>
          <w:lang w:val="en-AU" w:eastAsia="en-AU"/>
        </w:rPr>
        <w:t xml:space="preserve"> site selection is both possible and desirable.</w:t>
      </w:r>
    </w:p>
    <w:p w:rsidR="0024509E" w:rsidRPr="00CB10AD" w:rsidRDefault="0024509E" w:rsidP="0024509E">
      <w:pPr>
        <w:numPr>
          <w:ilvl w:val="0"/>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Overall, Component 1 displays commendable efficiency (score: 5), but its effectiveness (score: 3) is cause for concern.</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did the APPR conclude about Component 2?</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 xml:space="preserve">Component 2 registered several significant achievements in 2013, which will lay the foundations for GoI-led implementation in 2014 and beyond. Of particular note is the signature of the Grant Agreement Deed between the Governments of Australia and of Indonesia relating to the Professional Development for Education Personnel. </w:t>
      </w:r>
      <w:r w:rsidR="00E04939">
        <w:rPr>
          <w:rFonts w:asciiTheme="minorHAnsi" w:eastAsia="Calibri" w:hAnsiTheme="minorHAnsi" w:cstheme="minorHAnsi"/>
          <w:szCs w:val="24"/>
          <w:lang w:val="en-AU" w:eastAsia="en-AU"/>
        </w:rPr>
        <w:t xml:space="preserve">Necessary precursors to </w:t>
      </w:r>
      <w:r w:rsidRPr="00CB10AD">
        <w:rPr>
          <w:rFonts w:asciiTheme="minorHAnsi" w:eastAsia="Calibri" w:hAnsiTheme="minorHAnsi" w:cstheme="minorHAnsi"/>
          <w:szCs w:val="24"/>
          <w:lang w:val="en-AU" w:eastAsia="en-AU"/>
        </w:rPr>
        <w:t xml:space="preserve">the signing of the GA </w:t>
      </w:r>
      <w:r w:rsidR="00E04939">
        <w:rPr>
          <w:rFonts w:asciiTheme="minorHAnsi" w:eastAsia="Calibri" w:hAnsiTheme="minorHAnsi" w:cstheme="minorHAnsi"/>
          <w:szCs w:val="24"/>
          <w:lang w:val="en-AU" w:eastAsia="en-AU"/>
        </w:rPr>
        <w:t xml:space="preserve">included </w:t>
      </w:r>
      <w:r w:rsidRPr="00CB10AD">
        <w:rPr>
          <w:rFonts w:asciiTheme="minorHAnsi" w:eastAsia="Calibri" w:hAnsiTheme="minorHAnsi" w:cstheme="minorHAnsi"/>
          <w:szCs w:val="24"/>
          <w:lang w:val="en-AU" w:eastAsia="en-AU"/>
        </w:rPr>
        <w:t xml:space="preserve">the development of supporting documents, </w:t>
      </w:r>
      <w:r w:rsidR="00E04939">
        <w:rPr>
          <w:rFonts w:asciiTheme="minorHAnsi" w:eastAsia="Calibri" w:hAnsiTheme="minorHAnsi" w:cstheme="minorHAnsi"/>
          <w:szCs w:val="24"/>
          <w:lang w:val="en-AU" w:eastAsia="en-AU"/>
        </w:rPr>
        <w:t xml:space="preserve">the piloting of </w:t>
      </w:r>
      <w:r w:rsidRPr="00CB10AD">
        <w:rPr>
          <w:rFonts w:asciiTheme="minorHAnsi" w:eastAsia="Calibri" w:hAnsiTheme="minorHAnsi" w:cstheme="minorHAnsi"/>
          <w:szCs w:val="24"/>
          <w:lang w:val="en-AU" w:eastAsia="en-AU"/>
        </w:rPr>
        <w:t>technical modules</w:t>
      </w:r>
      <w:r w:rsidR="00E04939">
        <w:rPr>
          <w:rFonts w:asciiTheme="minorHAnsi" w:eastAsia="Calibri" w:hAnsiTheme="minorHAnsi" w:cstheme="minorHAnsi"/>
          <w:szCs w:val="24"/>
          <w:lang w:val="en-AU" w:eastAsia="en-AU"/>
        </w:rPr>
        <w:t xml:space="preserve"> and the </w:t>
      </w:r>
      <w:r w:rsidRPr="00CB10AD">
        <w:rPr>
          <w:rFonts w:asciiTheme="minorHAnsi" w:eastAsia="Calibri" w:hAnsiTheme="minorHAnsi" w:cstheme="minorHAnsi"/>
          <w:szCs w:val="24"/>
          <w:lang w:val="en-AU" w:eastAsia="en-AU"/>
        </w:rPr>
        <w:t>train</w:t>
      </w:r>
      <w:r w:rsidR="00E04939">
        <w:rPr>
          <w:rFonts w:asciiTheme="minorHAnsi" w:eastAsia="Calibri" w:hAnsiTheme="minorHAnsi" w:cstheme="minorHAnsi"/>
          <w:szCs w:val="24"/>
          <w:lang w:val="en-AU" w:eastAsia="en-AU"/>
        </w:rPr>
        <w:t>ing of trainers</w:t>
      </w:r>
      <w:r w:rsidRPr="00CB10AD">
        <w:rPr>
          <w:rFonts w:asciiTheme="minorHAnsi" w:eastAsia="Calibri" w:hAnsiTheme="minorHAnsi" w:cstheme="minorHAnsi"/>
          <w:szCs w:val="24"/>
          <w:lang w:val="en-AU" w:eastAsia="en-AU"/>
        </w:rPr>
        <w:t xml:space="preserve">. </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 notable achievements must be offset by two key observations:</w:t>
      </w:r>
    </w:p>
    <w:p w:rsidR="0024509E" w:rsidRPr="00CB10AD" w:rsidRDefault="0024509E" w:rsidP="0024509E">
      <w:pPr>
        <w:numPr>
          <w:ilvl w:val="1"/>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 xml:space="preserve">Given </w:t>
      </w:r>
      <w:r w:rsidR="00D23E41" w:rsidRPr="00CB10AD">
        <w:rPr>
          <w:rFonts w:eastAsia="Calibri" w:cs="Times New Roman"/>
          <w:szCs w:val="24"/>
          <w:lang w:val="en-AU" w:eastAsia="en-AU"/>
        </w:rPr>
        <w:t xml:space="preserve">the signature of the GA some </w:t>
      </w:r>
      <w:r w:rsidR="009B2D0E">
        <w:rPr>
          <w:rFonts w:eastAsia="Calibri" w:cs="Times New Roman"/>
          <w:szCs w:val="24"/>
          <w:lang w:val="en-AU" w:eastAsia="en-AU"/>
        </w:rPr>
        <w:t>two</w:t>
      </w:r>
      <w:r w:rsidR="00D23E41" w:rsidRPr="00CB10AD">
        <w:rPr>
          <w:rFonts w:eastAsia="Calibri" w:cs="Times New Roman"/>
          <w:szCs w:val="24"/>
          <w:lang w:val="en-AU" w:eastAsia="en-AU"/>
        </w:rPr>
        <w:t xml:space="preserve"> years into the </w:t>
      </w:r>
      <w:r w:rsidR="009B2D0E">
        <w:rPr>
          <w:rFonts w:eastAsia="Calibri" w:cs="Times New Roman"/>
          <w:szCs w:val="24"/>
          <w:lang w:val="en-AU" w:eastAsia="en-AU"/>
        </w:rPr>
        <w:t>five</w:t>
      </w:r>
      <w:r w:rsidR="00D23E41" w:rsidRPr="00CB10AD">
        <w:rPr>
          <w:rFonts w:eastAsia="Calibri" w:cs="Times New Roman"/>
          <w:szCs w:val="24"/>
          <w:lang w:val="en-AU" w:eastAsia="en-AU"/>
        </w:rPr>
        <w:t xml:space="preserve"> year program, the upcoming Indonesian elections and the uncertain importance placed on PD by key Indonesian policy-mak</w:t>
      </w:r>
      <w:r w:rsidR="00B24787" w:rsidRPr="00CB10AD">
        <w:rPr>
          <w:rFonts w:eastAsia="Calibri" w:cs="Times New Roman"/>
          <w:szCs w:val="24"/>
          <w:lang w:val="en-AU" w:eastAsia="en-AU"/>
        </w:rPr>
        <w:t>er</w:t>
      </w:r>
      <w:r w:rsidR="00D23E41" w:rsidRPr="00CB10AD">
        <w:rPr>
          <w:rFonts w:eastAsia="Calibri" w:cs="Times New Roman"/>
          <w:szCs w:val="24"/>
          <w:lang w:val="en-AU" w:eastAsia="en-AU"/>
        </w:rPr>
        <w:t>s (and associated implications for GoI resource deployment)</w:t>
      </w:r>
      <w:r w:rsidR="00DA1B0C" w:rsidRPr="00CB10AD">
        <w:rPr>
          <w:rFonts w:eastAsia="Calibri" w:cs="Times New Roman"/>
          <w:szCs w:val="24"/>
          <w:lang w:val="en-AU" w:eastAsia="en-AU"/>
        </w:rPr>
        <w:t>,</w:t>
      </w:r>
      <w:r w:rsidRPr="00CB10AD">
        <w:rPr>
          <w:rFonts w:eastAsia="Calibri" w:cs="Times New Roman"/>
          <w:szCs w:val="24"/>
          <w:lang w:val="en-AU" w:eastAsia="en-AU"/>
        </w:rPr>
        <w:t xml:space="preserve"> the </w:t>
      </w:r>
      <w:r w:rsidR="00E04939">
        <w:rPr>
          <w:rFonts w:eastAsia="Calibri" w:cs="Times New Roman"/>
          <w:szCs w:val="24"/>
          <w:lang w:val="en-AU" w:eastAsia="en-AU"/>
        </w:rPr>
        <w:t xml:space="preserve">full extent of </w:t>
      </w:r>
      <w:r w:rsidRPr="00CB10AD">
        <w:rPr>
          <w:rFonts w:eastAsia="Calibri" w:cs="Times New Roman"/>
          <w:szCs w:val="24"/>
          <w:lang w:val="en-AU" w:eastAsia="en-AU"/>
        </w:rPr>
        <w:t xml:space="preserve">intended program outcomes are only likely to be </w:t>
      </w:r>
      <w:r w:rsidR="0083304E">
        <w:rPr>
          <w:rFonts w:eastAsia="Calibri" w:cs="Times New Roman"/>
          <w:szCs w:val="24"/>
          <w:lang w:val="en-AU" w:eastAsia="en-AU"/>
        </w:rPr>
        <w:t>realised</w:t>
      </w:r>
      <w:r w:rsidR="0083304E" w:rsidRPr="00CB10AD">
        <w:rPr>
          <w:rFonts w:eastAsia="Calibri" w:cs="Times New Roman"/>
          <w:szCs w:val="24"/>
          <w:lang w:val="en-AU" w:eastAsia="en-AU"/>
        </w:rPr>
        <w:t xml:space="preserve"> </w:t>
      </w:r>
      <w:r w:rsidRPr="00CB10AD">
        <w:rPr>
          <w:rFonts w:eastAsia="Calibri" w:cs="Times New Roman"/>
          <w:szCs w:val="24"/>
          <w:lang w:val="en-AU" w:eastAsia="en-AU"/>
        </w:rPr>
        <w:t>after 2016.</w:t>
      </w:r>
    </w:p>
    <w:p w:rsidR="0024509E" w:rsidRPr="00CB10AD" w:rsidRDefault="00D23E41" w:rsidP="0024509E">
      <w:pPr>
        <w:numPr>
          <w:ilvl w:val="1"/>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T</w:t>
      </w:r>
      <w:r w:rsidR="0024509E" w:rsidRPr="00CB10AD">
        <w:rPr>
          <w:rFonts w:eastAsia="Calibri" w:cs="Times New Roman"/>
          <w:szCs w:val="24"/>
          <w:lang w:val="en-AU" w:eastAsia="en-AU"/>
        </w:rPr>
        <w:t>he ability and willingness of district</w:t>
      </w:r>
      <w:r w:rsidR="00400D64" w:rsidRPr="00CB10AD">
        <w:rPr>
          <w:rFonts w:eastAsia="Calibri" w:cs="Times New Roman"/>
          <w:szCs w:val="24"/>
          <w:lang w:val="en-AU" w:eastAsia="en-AU"/>
        </w:rPr>
        <w:t xml:space="preserve">, </w:t>
      </w:r>
      <w:r w:rsidR="0024509E" w:rsidRPr="00CB10AD">
        <w:rPr>
          <w:rFonts w:eastAsia="Calibri" w:cs="Times New Roman"/>
          <w:szCs w:val="24"/>
          <w:lang w:val="en-AU" w:eastAsia="en-AU"/>
        </w:rPr>
        <w:t>provincial</w:t>
      </w:r>
      <w:r w:rsidR="00400D64" w:rsidRPr="00CB10AD">
        <w:rPr>
          <w:rFonts w:eastAsia="Calibri" w:cs="Times New Roman"/>
          <w:szCs w:val="24"/>
          <w:lang w:val="en-AU" w:eastAsia="en-AU"/>
        </w:rPr>
        <w:t xml:space="preserve"> and/or </w:t>
      </w:r>
      <w:r w:rsidRPr="00CB10AD">
        <w:rPr>
          <w:rFonts w:eastAsia="Calibri" w:cs="Times New Roman"/>
          <w:szCs w:val="24"/>
          <w:lang w:val="en-AU" w:eastAsia="en-AU"/>
        </w:rPr>
        <w:t>central</w:t>
      </w:r>
      <w:r w:rsidR="0024509E" w:rsidRPr="00CB10AD">
        <w:rPr>
          <w:rFonts w:eastAsia="Calibri" w:cs="Times New Roman"/>
          <w:szCs w:val="24"/>
          <w:lang w:val="en-AU" w:eastAsia="en-AU"/>
        </w:rPr>
        <w:t xml:space="preserve"> governments to finance the PD system after the GA </w:t>
      </w:r>
      <w:r w:rsidR="00814744" w:rsidRPr="00CB10AD">
        <w:rPr>
          <w:rFonts w:eastAsia="Calibri" w:cs="Times New Roman"/>
          <w:szCs w:val="24"/>
          <w:lang w:val="en-AU" w:eastAsia="en-AU"/>
        </w:rPr>
        <w:t>are</w:t>
      </w:r>
      <w:r w:rsidR="0024509E" w:rsidRPr="00CB10AD">
        <w:rPr>
          <w:rFonts w:eastAsia="Calibri" w:cs="Times New Roman"/>
          <w:szCs w:val="24"/>
          <w:lang w:val="en-AU" w:eastAsia="en-AU"/>
        </w:rPr>
        <w:t xml:space="preserve"> un</w:t>
      </w:r>
      <w:r w:rsidR="00B24787" w:rsidRPr="00CB10AD">
        <w:rPr>
          <w:rFonts w:eastAsia="Calibri" w:cs="Times New Roman"/>
          <w:szCs w:val="24"/>
          <w:lang w:val="en-AU" w:eastAsia="en-AU"/>
        </w:rPr>
        <w:t>tested</w:t>
      </w:r>
      <w:r w:rsidR="0024509E" w:rsidRPr="00CB10AD">
        <w:rPr>
          <w:rFonts w:eastAsia="Calibri" w:cs="Times New Roman"/>
          <w:szCs w:val="24"/>
          <w:lang w:val="en-AU" w:eastAsia="en-AU"/>
        </w:rPr>
        <w:t>.</w:t>
      </w:r>
    </w:p>
    <w:p w:rsidR="0024509E" w:rsidRPr="00CB10AD" w:rsidRDefault="0024509E" w:rsidP="0024509E">
      <w:pPr>
        <w:numPr>
          <w:ilvl w:val="0"/>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 xml:space="preserve">Overall, whilst the component remains highly relevant (score: 5), </w:t>
      </w:r>
      <w:r w:rsidR="007269E9">
        <w:rPr>
          <w:rFonts w:eastAsia="Calibri" w:cs="Times New Roman"/>
          <w:szCs w:val="24"/>
          <w:lang w:val="en-AU" w:eastAsia="en-AU"/>
        </w:rPr>
        <w:t xml:space="preserve">attention should be paid to </w:t>
      </w:r>
      <w:r w:rsidRPr="00CB10AD">
        <w:rPr>
          <w:rFonts w:eastAsia="Calibri" w:cs="Times New Roman"/>
          <w:szCs w:val="24"/>
          <w:lang w:val="en-AU" w:eastAsia="en-AU"/>
        </w:rPr>
        <w:t xml:space="preserve">its efficiency (score: </w:t>
      </w:r>
      <w:r w:rsidR="007269E9">
        <w:rPr>
          <w:rFonts w:eastAsia="Calibri" w:cs="Times New Roman"/>
          <w:szCs w:val="24"/>
          <w:lang w:val="en-AU" w:eastAsia="en-AU"/>
        </w:rPr>
        <w:t>3</w:t>
      </w:r>
      <w:r w:rsidRPr="00CB10AD">
        <w:rPr>
          <w:rFonts w:eastAsia="Calibri" w:cs="Times New Roman"/>
          <w:szCs w:val="24"/>
          <w:lang w:val="en-AU" w:eastAsia="en-AU"/>
        </w:rPr>
        <w:t>) and critical questions remain about its likely sustainability (score: 3).</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did the APPR conclude about Component 3?</w:t>
      </w:r>
    </w:p>
    <w:p w:rsidR="0024509E" w:rsidRPr="00CB10AD" w:rsidRDefault="0024509E" w:rsidP="0024509E">
      <w:pPr>
        <w:numPr>
          <w:ilvl w:val="0"/>
          <w:numId w:val="36"/>
        </w:numPr>
        <w:spacing w:before="120" w:after="120" w:line="276" w:lineRule="auto"/>
        <w:contextualSpacing/>
        <w:jc w:val="both"/>
        <w:rPr>
          <w:rFonts w:eastAsia="Calibri" w:cs="Times New Roman"/>
          <w:szCs w:val="24"/>
          <w:lang w:val="en-AU" w:eastAsia="en-AU"/>
        </w:rPr>
      </w:pPr>
      <w:r w:rsidRPr="00CB10AD">
        <w:rPr>
          <w:rFonts w:eastAsia="Calibri" w:cs="Times New Roman"/>
          <w:bCs/>
          <w:szCs w:val="24"/>
          <w:lang w:val="en-AU" w:eastAsia="en-AU"/>
        </w:rPr>
        <w:t xml:space="preserve">A total of 1,106 Madrasah have been supported to date, through 12 </w:t>
      </w:r>
      <w:r w:rsidR="00B24787" w:rsidRPr="00CB10AD">
        <w:rPr>
          <w:rFonts w:eastAsia="Calibri" w:cs="Times New Roman"/>
          <w:bCs/>
          <w:szCs w:val="24"/>
          <w:lang w:val="en-AU" w:eastAsia="en-AU"/>
        </w:rPr>
        <w:t>Sub-National Implementation Partners (</w:t>
      </w:r>
      <w:r w:rsidRPr="00CB10AD">
        <w:rPr>
          <w:rFonts w:eastAsia="Calibri" w:cs="Times New Roman"/>
          <w:bCs/>
          <w:szCs w:val="24"/>
          <w:lang w:val="en-AU" w:eastAsia="en-AU"/>
        </w:rPr>
        <w:t>SNIPs</w:t>
      </w:r>
      <w:r w:rsidR="00B24787" w:rsidRPr="00CB10AD">
        <w:rPr>
          <w:rFonts w:eastAsia="Calibri" w:cs="Times New Roman"/>
          <w:bCs/>
          <w:szCs w:val="24"/>
          <w:lang w:val="en-AU" w:eastAsia="en-AU"/>
        </w:rPr>
        <w:t>)</w:t>
      </w:r>
      <w:r w:rsidRPr="00CB10AD">
        <w:rPr>
          <w:rFonts w:eastAsia="Calibri" w:cs="Times New Roman"/>
          <w:bCs/>
          <w:szCs w:val="24"/>
          <w:lang w:val="en-AU" w:eastAsia="en-AU"/>
        </w:rPr>
        <w:t xml:space="preserve"> in 11 provinces and with the help of 198 mentors. As a result of the block grants and SNIP support, improved Madrasah capacity and readiness to achieve accreditation has been observed. Analysis of Phase 1 implementation indicates that all targeted Phase 1 Madrasah have achieved an accreditable standard. Besides observable progress in targeted Madrasah, there are also some encouraging indications of </w:t>
      </w:r>
      <w:r w:rsidR="009B2D0E">
        <w:rPr>
          <w:rFonts w:eastAsia="Calibri" w:cs="Times New Roman"/>
          <w:bCs/>
          <w:szCs w:val="24"/>
          <w:lang w:val="en-AU" w:eastAsia="en-AU"/>
        </w:rPr>
        <w:t xml:space="preserve">institutional </w:t>
      </w:r>
      <w:r w:rsidRPr="00CB10AD">
        <w:rPr>
          <w:rFonts w:eastAsia="Calibri" w:cs="Times New Roman"/>
          <w:bCs/>
          <w:szCs w:val="24"/>
          <w:lang w:val="en-AU" w:eastAsia="en-AU"/>
        </w:rPr>
        <w:t>buy-in of the EP model of support.</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 notable achievements must be offset by two key observations:</w:t>
      </w:r>
    </w:p>
    <w:p w:rsidR="0024509E" w:rsidRPr="00CB10AD" w:rsidRDefault="0024509E" w:rsidP="0024509E">
      <w:pPr>
        <w:numPr>
          <w:ilvl w:val="1"/>
          <w:numId w:val="36"/>
        </w:numPr>
        <w:spacing w:before="120" w:after="120" w:line="276" w:lineRule="auto"/>
        <w:contextualSpacing/>
        <w:jc w:val="both"/>
        <w:rPr>
          <w:rFonts w:eastAsia="Calibri" w:cs="Times New Roman"/>
          <w:szCs w:val="24"/>
          <w:lang w:val="en-AU" w:eastAsia="en-AU"/>
        </w:rPr>
      </w:pPr>
      <w:r w:rsidRPr="00CB10AD">
        <w:rPr>
          <w:rFonts w:eastAsia="Calibri" w:cs="Times New Roman"/>
          <w:szCs w:val="24"/>
          <w:lang w:val="en-AU" w:eastAsia="en-AU"/>
        </w:rPr>
        <w:t>There remains a lack of clarity about expected changes at systemic level and</w:t>
      </w:r>
      <w:r w:rsidR="00B24787" w:rsidRPr="00CB10AD">
        <w:rPr>
          <w:rFonts w:eastAsia="Calibri" w:cs="Times New Roman"/>
          <w:szCs w:val="24"/>
          <w:lang w:val="en-AU" w:eastAsia="en-AU"/>
        </w:rPr>
        <w:t>, in 2013,</w:t>
      </w:r>
      <w:r w:rsidRPr="00CB10AD">
        <w:rPr>
          <w:rFonts w:eastAsia="Calibri" w:cs="Times New Roman"/>
          <w:szCs w:val="24"/>
          <w:lang w:val="en-AU" w:eastAsia="en-AU"/>
        </w:rPr>
        <w:t xml:space="preserve"> MoRA continue</w:t>
      </w:r>
      <w:r w:rsidR="00B24787" w:rsidRPr="00CB10AD">
        <w:rPr>
          <w:rFonts w:eastAsia="Calibri" w:cs="Times New Roman"/>
          <w:szCs w:val="24"/>
          <w:lang w:val="en-AU" w:eastAsia="en-AU"/>
        </w:rPr>
        <w:t>d</w:t>
      </w:r>
      <w:r w:rsidRPr="00CB10AD">
        <w:rPr>
          <w:rFonts w:eastAsia="Calibri" w:cs="Times New Roman"/>
          <w:szCs w:val="24"/>
          <w:lang w:val="en-AU" w:eastAsia="en-AU"/>
        </w:rPr>
        <w:t xml:space="preserve"> to lack a clear strategy for Madrasah continuous quality improvement.</w:t>
      </w:r>
    </w:p>
    <w:p w:rsidR="0024509E" w:rsidRPr="00CB10AD" w:rsidRDefault="0024509E" w:rsidP="0024509E">
      <w:pPr>
        <w:numPr>
          <w:ilvl w:val="1"/>
          <w:numId w:val="36"/>
        </w:numPr>
        <w:spacing w:before="120" w:after="120" w:line="276" w:lineRule="auto"/>
        <w:contextualSpacing/>
        <w:jc w:val="both"/>
        <w:rPr>
          <w:rFonts w:eastAsia="Calibri" w:cs="Times New Roman"/>
          <w:szCs w:val="24"/>
          <w:lang w:val="en-AU" w:eastAsia="en-AU"/>
        </w:rPr>
      </w:pPr>
      <w:r w:rsidRPr="00CB10AD">
        <w:rPr>
          <w:rFonts w:eastAsia="Calibri" w:cs="Times New Roman"/>
          <w:szCs w:val="24"/>
          <w:lang w:val="en-AU" w:eastAsia="en-AU"/>
        </w:rPr>
        <w:t xml:space="preserve">The impact of the </w:t>
      </w:r>
      <w:r w:rsidR="00B24787" w:rsidRPr="00CB10AD">
        <w:rPr>
          <w:rFonts w:eastAsia="Calibri" w:cs="Times New Roman"/>
          <w:szCs w:val="24"/>
          <w:lang w:val="en-AU" w:eastAsia="en-AU"/>
        </w:rPr>
        <w:t xml:space="preserve">AUD 35m </w:t>
      </w:r>
      <w:r w:rsidRPr="00CB10AD">
        <w:rPr>
          <w:rFonts w:eastAsia="Calibri" w:cs="Times New Roman"/>
          <w:szCs w:val="24"/>
          <w:lang w:val="en-AU" w:eastAsia="en-AU"/>
        </w:rPr>
        <w:t xml:space="preserve">EP </w:t>
      </w:r>
      <w:r w:rsidR="00B24787" w:rsidRPr="00CB10AD">
        <w:rPr>
          <w:rFonts w:eastAsia="Calibri" w:cs="Times New Roman"/>
          <w:szCs w:val="24"/>
          <w:lang w:val="en-AU" w:eastAsia="en-AU"/>
        </w:rPr>
        <w:t xml:space="preserve">investment </w:t>
      </w:r>
      <w:r w:rsidRPr="00CB10AD">
        <w:rPr>
          <w:rFonts w:eastAsia="Calibri" w:cs="Times New Roman"/>
          <w:szCs w:val="24"/>
          <w:lang w:val="en-AU" w:eastAsia="en-AU"/>
        </w:rPr>
        <w:t>could be restricted to target Madrasah (though there exist other effective channels to spread benefits to non-target Madrasah)</w:t>
      </w:r>
      <w:r w:rsidR="009B2D0E">
        <w:rPr>
          <w:rFonts w:eastAsia="Calibri" w:cs="Times New Roman"/>
          <w:szCs w:val="24"/>
          <w:lang w:val="en-AU" w:eastAsia="en-AU"/>
        </w:rPr>
        <w:t>.</w:t>
      </w:r>
    </w:p>
    <w:p w:rsidR="0024509E" w:rsidRPr="00CB10AD" w:rsidRDefault="0024509E" w:rsidP="0024509E">
      <w:pPr>
        <w:numPr>
          <w:ilvl w:val="0"/>
          <w:numId w:val="36"/>
        </w:numPr>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lastRenderedPageBreak/>
        <w:t xml:space="preserve">Overall, Component 3 displays commendable efficiency (score: 5), </w:t>
      </w:r>
      <w:r w:rsidR="00B24787" w:rsidRPr="00CB10AD">
        <w:rPr>
          <w:rFonts w:eastAsia="Calibri" w:cs="Times New Roman"/>
          <w:szCs w:val="24"/>
          <w:lang w:val="en-AU" w:eastAsia="en-AU"/>
        </w:rPr>
        <w:t xml:space="preserve">but </w:t>
      </w:r>
      <w:r w:rsidRPr="00CB10AD">
        <w:rPr>
          <w:rFonts w:eastAsia="Calibri" w:cs="Times New Roman"/>
          <w:szCs w:val="24"/>
          <w:lang w:val="en-AU" w:eastAsia="en-AU"/>
        </w:rPr>
        <w:t xml:space="preserve">critical questions remain </w:t>
      </w:r>
      <w:r w:rsidRPr="00CB10AD">
        <w:rPr>
          <w:rFonts w:eastAsia="Calibri" w:cs="Times New Roman"/>
          <w:bCs/>
          <w:szCs w:val="24"/>
          <w:lang w:val="en-AU" w:eastAsia="en-AU"/>
        </w:rPr>
        <w:t>about the nature of the benefits to be sustained and how this will be achieved</w:t>
      </w:r>
      <w:r w:rsidRPr="00CB10AD">
        <w:rPr>
          <w:rFonts w:eastAsia="Calibri" w:cs="Times New Roman"/>
          <w:szCs w:val="24"/>
          <w:lang w:val="en-AU" w:eastAsia="en-AU"/>
        </w:rPr>
        <w:t xml:space="preserve"> (score: 2).</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p>
    <w:p w:rsidR="0024509E" w:rsidRPr="00CB10AD" w:rsidRDefault="0024509E" w:rsidP="00040659">
      <w:pPr>
        <w:keepNext/>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did the APPR conclude about Component 4?</w:t>
      </w:r>
    </w:p>
    <w:p w:rsidR="0024509E" w:rsidRPr="00CB10AD" w:rsidRDefault="0024509E" w:rsidP="00040659">
      <w:pPr>
        <w:keepNext/>
        <w:numPr>
          <w:ilvl w:val="0"/>
          <w:numId w:val="11"/>
        </w:numPr>
        <w:spacing w:before="120" w:after="120" w:line="276" w:lineRule="auto"/>
        <w:contextualSpacing/>
        <w:jc w:val="both"/>
        <w:rPr>
          <w:rFonts w:eastAsia="Calibri" w:cs="Times New Roman"/>
          <w:szCs w:val="24"/>
          <w:lang w:val="en-AU" w:eastAsia="en-AU"/>
        </w:rPr>
      </w:pPr>
      <w:r w:rsidRPr="00CB10AD">
        <w:rPr>
          <w:rFonts w:asciiTheme="minorHAnsi" w:eastAsia="Calibri" w:hAnsiTheme="minorHAnsi" w:cstheme="minorHAnsi"/>
          <w:szCs w:val="24"/>
          <w:lang w:val="en-AU" w:eastAsia="en-AU"/>
        </w:rPr>
        <w:t xml:space="preserve">The ACDP has made steady progress to date. As at the end of </w:t>
      </w:r>
      <w:r w:rsidR="00B24787" w:rsidRPr="00CB10AD">
        <w:rPr>
          <w:rFonts w:asciiTheme="minorHAnsi" w:eastAsia="Calibri" w:hAnsiTheme="minorHAnsi" w:cstheme="minorHAnsi"/>
          <w:szCs w:val="24"/>
          <w:lang w:val="en-AU" w:eastAsia="en-AU"/>
        </w:rPr>
        <w:t xml:space="preserve">December </w:t>
      </w:r>
      <w:r w:rsidRPr="00CB10AD">
        <w:rPr>
          <w:rFonts w:asciiTheme="minorHAnsi" w:eastAsia="Calibri" w:hAnsiTheme="minorHAnsi" w:cstheme="minorHAnsi"/>
          <w:szCs w:val="24"/>
          <w:lang w:val="en-AU" w:eastAsia="en-AU"/>
        </w:rPr>
        <w:t xml:space="preserve">2013 it had procured 25 activities and had planned </w:t>
      </w:r>
      <w:r w:rsidR="00B24787" w:rsidRPr="00CB10AD">
        <w:rPr>
          <w:rFonts w:asciiTheme="minorHAnsi" w:eastAsia="Calibri" w:hAnsiTheme="minorHAnsi" w:cstheme="minorHAnsi"/>
          <w:szCs w:val="24"/>
          <w:lang w:val="en-AU" w:eastAsia="en-AU"/>
        </w:rPr>
        <w:t xml:space="preserve">to launch </w:t>
      </w:r>
      <w:r w:rsidRPr="00CB10AD">
        <w:rPr>
          <w:rFonts w:asciiTheme="minorHAnsi" w:eastAsia="Calibri" w:hAnsiTheme="minorHAnsi" w:cstheme="minorHAnsi"/>
          <w:szCs w:val="24"/>
          <w:lang w:val="en-AU" w:eastAsia="en-AU"/>
        </w:rPr>
        <w:t>an additional seven activities in the first half of 2014. Together, these 32 activities would constitute over USD 2</w:t>
      </w:r>
      <w:r w:rsidR="00B24787" w:rsidRPr="00CB10AD">
        <w:rPr>
          <w:rFonts w:asciiTheme="minorHAnsi" w:eastAsia="Calibri" w:hAnsiTheme="minorHAnsi" w:cstheme="minorHAnsi"/>
          <w:szCs w:val="24"/>
          <w:lang w:val="en-AU" w:eastAsia="en-AU"/>
        </w:rPr>
        <w:t>7</w:t>
      </w:r>
      <w:r w:rsidRPr="00CB10AD">
        <w:rPr>
          <w:rFonts w:asciiTheme="minorHAnsi" w:eastAsia="Calibri" w:hAnsiTheme="minorHAnsi" w:cstheme="minorHAnsi"/>
          <w:szCs w:val="24"/>
          <w:lang w:val="en-AU" w:eastAsia="en-AU"/>
        </w:rPr>
        <w:t xml:space="preserve">m of contracted commitments. </w:t>
      </w:r>
      <w:r w:rsidRPr="00CB10AD">
        <w:rPr>
          <w:rFonts w:eastAsia="Calibri" w:cs="Times New Roman"/>
          <w:szCs w:val="24"/>
          <w:lang w:val="en-AU" w:eastAsia="en-AU"/>
        </w:rPr>
        <w:t>The ACDP</w:t>
      </w:r>
      <w:r w:rsidRPr="00CB10AD">
        <w:rPr>
          <w:rFonts w:asciiTheme="minorHAnsi" w:eastAsia="Calibri" w:hAnsiTheme="minorHAnsi" w:cstheme="minorHAnsi"/>
          <w:szCs w:val="24"/>
          <w:lang w:val="en-AU" w:eastAsia="en-AU"/>
        </w:rPr>
        <w:t xml:space="preserve"> brought a number of pieces of work to conclusion in 2013; it has also organized over 100 workshops, meetings and training events to date, attracting more than 3,000 participants. The ACDP has recorded several significant ‘wins’. For example, the </w:t>
      </w:r>
      <w:r w:rsidRPr="00CB10AD">
        <w:rPr>
          <w:rFonts w:eastAsia="Calibri" w:cs="Times New Roman"/>
          <w:szCs w:val="24"/>
          <w:lang w:val="en-AU" w:eastAsia="en-AU"/>
        </w:rPr>
        <w:t xml:space="preserve">recommendations made in Early Childhood Development Strategy Study were included in the Presidential Decree on Holistic Integrated – Early Childhood Development. </w:t>
      </w:r>
    </w:p>
    <w:p w:rsidR="0024509E" w:rsidRPr="00CB10AD" w:rsidRDefault="0024509E" w:rsidP="0024509E">
      <w:pPr>
        <w:numPr>
          <w:ilvl w:val="0"/>
          <w:numId w:val="36"/>
        </w:numPr>
        <w:spacing w:before="120" w:after="120" w:line="276" w:lineRule="auto"/>
        <w:contextualSpacing/>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The notable achievements must be offset by two key observations:</w:t>
      </w:r>
    </w:p>
    <w:p w:rsidR="0024509E" w:rsidRPr="00CB10AD" w:rsidRDefault="0024509E" w:rsidP="0024509E">
      <w:pPr>
        <w:numPr>
          <w:ilvl w:val="1"/>
          <w:numId w:val="36"/>
        </w:numPr>
        <w:spacing w:before="120" w:after="120" w:line="276" w:lineRule="auto"/>
        <w:contextualSpacing/>
        <w:jc w:val="both"/>
        <w:rPr>
          <w:rFonts w:eastAsia="Calibri" w:cs="Times New Roman"/>
          <w:szCs w:val="24"/>
          <w:lang w:val="en-AU" w:eastAsia="en-AU"/>
        </w:rPr>
      </w:pPr>
      <w:r w:rsidRPr="00CB10AD">
        <w:rPr>
          <w:rFonts w:eastAsia="Calibri" w:cs="Times New Roman"/>
          <w:szCs w:val="24"/>
          <w:lang w:val="en-AU" w:eastAsia="en-AU"/>
        </w:rPr>
        <w:t xml:space="preserve">The ACDP remains insufficiently agile and </w:t>
      </w:r>
      <w:r w:rsidR="00B24787" w:rsidRPr="00CB10AD">
        <w:rPr>
          <w:rFonts w:eastAsia="Calibri" w:cs="Times New Roman"/>
          <w:szCs w:val="24"/>
          <w:lang w:val="en-AU" w:eastAsia="en-AU"/>
        </w:rPr>
        <w:t>vulnerable to accusations of sub-optimal responsiveness</w:t>
      </w:r>
      <w:r w:rsidRPr="00CB10AD">
        <w:rPr>
          <w:rFonts w:eastAsia="Calibri" w:cs="Times New Roman"/>
          <w:szCs w:val="24"/>
          <w:lang w:val="en-AU" w:eastAsia="en-AU"/>
        </w:rPr>
        <w:t>.</w:t>
      </w:r>
    </w:p>
    <w:p w:rsidR="0024509E" w:rsidRPr="00CB10AD" w:rsidRDefault="0024509E" w:rsidP="0024509E">
      <w:pPr>
        <w:numPr>
          <w:ilvl w:val="1"/>
          <w:numId w:val="36"/>
        </w:numPr>
        <w:spacing w:before="120" w:after="120" w:line="276" w:lineRule="auto"/>
        <w:contextualSpacing/>
        <w:jc w:val="both"/>
        <w:rPr>
          <w:rFonts w:eastAsia="Calibri" w:cs="Times New Roman"/>
          <w:szCs w:val="24"/>
          <w:lang w:val="en-AU" w:eastAsia="en-AU"/>
        </w:rPr>
      </w:pPr>
      <w:r w:rsidRPr="00CB10AD">
        <w:rPr>
          <w:rFonts w:eastAsia="Calibri" w:cs="Times New Roman"/>
          <w:szCs w:val="24"/>
          <w:lang w:val="en-AU" w:eastAsia="en-AU"/>
        </w:rPr>
        <w:t>ACDP processes and events offer DFAT opportunity to engage in more strategic dialogue with key GoI officials but this potential is under-exploited.</w:t>
      </w:r>
    </w:p>
    <w:p w:rsidR="0024509E" w:rsidRPr="00CB10AD" w:rsidRDefault="0024509E" w:rsidP="0024509E">
      <w:pPr>
        <w:numPr>
          <w:ilvl w:val="0"/>
          <w:numId w:val="11"/>
        </w:numPr>
        <w:spacing w:before="120" w:after="120" w:line="276" w:lineRule="auto"/>
        <w:contextualSpacing/>
        <w:jc w:val="both"/>
        <w:rPr>
          <w:rFonts w:eastAsia="Calibri" w:cs="Times New Roman"/>
          <w:szCs w:val="24"/>
          <w:lang w:val="en-AU" w:eastAsia="en-AU"/>
        </w:rPr>
      </w:pPr>
      <w:r w:rsidRPr="00CB10AD">
        <w:rPr>
          <w:rFonts w:asciiTheme="minorHAnsi" w:eastAsia="Calibri" w:hAnsiTheme="minorHAnsi" w:cstheme="minorHAnsi"/>
          <w:szCs w:val="24"/>
          <w:lang w:val="en-AU" w:eastAsia="en-AU"/>
        </w:rPr>
        <w:t>Overall</w:t>
      </w:r>
      <w:r w:rsidRPr="00CB10AD">
        <w:rPr>
          <w:rFonts w:eastAsia="Calibri" w:cs="Times New Roman"/>
          <w:szCs w:val="24"/>
          <w:lang w:val="en-AU" w:eastAsia="en-AU"/>
        </w:rPr>
        <w:t>, whilst Component 4 remains relevant and effectiveness is adequate (score: 4), there remains significant scope to improve efficiency</w:t>
      </w:r>
      <w:r w:rsidR="00B24787" w:rsidRPr="00CB10AD">
        <w:rPr>
          <w:rFonts w:eastAsia="Calibri" w:cs="Times New Roman"/>
          <w:szCs w:val="24"/>
          <w:lang w:val="en-AU" w:eastAsia="en-AU"/>
        </w:rPr>
        <w:t xml:space="preserve"> </w:t>
      </w:r>
      <w:r w:rsidRPr="00CB10AD">
        <w:rPr>
          <w:rFonts w:eastAsia="Calibri" w:cs="Times New Roman"/>
          <w:szCs w:val="24"/>
          <w:lang w:val="en-AU" w:eastAsia="en-AU"/>
        </w:rPr>
        <w:t>(score: 3).</w:t>
      </w: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t>What did the APPR conclude about cross-cutting issues, and specifically management, governance and beneficiaries?</w:t>
      </w:r>
    </w:p>
    <w:p w:rsidR="0024509E" w:rsidRPr="00CB10AD" w:rsidRDefault="0024509E" w:rsidP="0024509E">
      <w:pPr>
        <w:numPr>
          <w:ilvl w:val="0"/>
          <w:numId w:val="36"/>
        </w:numPr>
        <w:spacing w:after="240" w:line="276" w:lineRule="auto"/>
        <w:contextualSpacing/>
        <w:jc w:val="both"/>
        <w:rPr>
          <w:rFonts w:eastAsia="Calibri" w:cs="Times New Roman"/>
          <w:szCs w:val="24"/>
          <w:lang w:val="en-AU" w:eastAsia="en-AU"/>
        </w:rPr>
      </w:pPr>
      <w:r w:rsidRPr="00CB10AD">
        <w:rPr>
          <w:rFonts w:asciiTheme="minorHAnsi" w:eastAsia="Calibri" w:hAnsiTheme="minorHAnsi" w:cstheme="minorHAnsi"/>
          <w:szCs w:val="24"/>
          <w:lang w:val="en-AU" w:eastAsia="en-AU"/>
        </w:rPr>
        <w:t>The blend of modalities used in the EP represents a sound and appropriate response to the operational environment. It appears to offer good opportunity to pilot and trial initiatives through project support and to build capacity through systems development, whilst instilling and supporting GoI ownership. That should, in principle, increase the likelihood of long-term impacts and sustainability, whilst also guaranteeing tangible output delivery.</w:t>
      </w:r>
    </w:p>
    <w:p w:rsidR="0024509E" w:rsidRPr="00CB10AD" w:rsidRDefault="0024509E" w:rsidP="0024509E">
      <w:pPr>
        <w:numPr>
          <w:ilvl w:val="0"/>
          <w:numId w:val="36"/>
        </w:numPr>
        <w:spacing w:after="240" w:line="276" w:lineRule="auto"/>
        <w:contextualSpacing/>
        <w:jc w:val="both"/>
        <w:rPr>
          <w:rFonts w:eastAsia="Calibri" w:cs="Times New Roman"/>
          <w:szCs w:val="24"/>
          <w:lang w:val="en-AU" w:eastAsia="en-AU"/>
        </w:rPr>
      </w:pPr>
      <w:r w:rsidRPr="00CB10AD">
        <w:rPr>
          <w:rFonts w:asciiTheme="minorHAnsi" w:eastAsia="Calibri" w:hAnsiTheme="minorHAnsi" w:cstheme="minorHAnsi"/>
          <w:szCs w:val="24"/>
          <w:lang w:val="en-AU" w:eastAsia="en-AU"/>
        </w:rPr>
        <w:t xml:space="preserve">Whilst </w:t>
      </w:r>
      <w:r w:rsidR="00B24787" w:rsidRPr="00CB10AD">
        <w:rPr>
          <w:rFonts w:asciiTheme="minorHAnsi" w:eastAsia="Calibri" w:hAnsiTheme="minorHAnsi" w:cstheme="minorHAnsi"/>
          <w:szCs w:val="24"/>
          <w:lang w:val="en-AU" w:eastAsia="en-AU"/>
        </w:rPr>
        <w:t xml:space="preserve">DFAT’s </w:t>
      </w:r>
      <w:r w:rsidRPr="00CB10AD">
        <w:rPr>
          <w:rFonts w:asciiTheme="minorHAnsi" w:eastAsia="Calibri" w:hAnsiTheme="minorHAnsi" w:cstheme="minorHAnsi"/>
          <w:szCs w:val="24"/>
          <w:lang w:val="en-AU" w:eastAsia="en-AU"/>
        </w:rPr>
        <w:t>m</w:t>
      </w:r>
      <w:r w:rsidRPr="00CB10AD">
        <w:rPr>
          <w:rFonts w:eastAsia="Calibri" w:cs="Times New Roman"/>
          <w:szCs w:val="24"/>
          <w:lang w:val="en-AU" w:eastAsia="en-AU"/>
        </w:rPr>
        <w:t>anagement of the EP is strong, it tends to be prescriptive and output-</w:t>
      </w:r>
      <w:r w:rsidRPr="00CB10AD">
        <w:rPr>
          <w:rFonts w:asciiTheme="minorHAnsi" w:eastAsia="Calibri" w:hAnsiTheme="minorHAnsi" w:cstheme="minorHAnsi"/>
          <w:szCs w:val="24"/>
          <w:lang w:val="en-AU" w:eastAsia="en-AU"/>
        </w:rPr>
        <w:t>focused</w:t>
      </w:r>
      <w:r w:rsidRPr="00CB10AD">
        <w:rPr>
          <w:rFonts w:eastAsia="Calibri" w:cs="Times New Roman"/>
          <w:szCs w:val="24"/>
          <w:lang w:val="en-AU" w:eastAsia="en-AU"/>
        </w:rPr>
        <w:t xml:space="preserve">. DFAT resources focus on transactional management at the expense of transformational engagement; if the big gains are to be secured (e.g. at EOPO-level) DFAT needs to place greater emphasis on strategic engagement with key counterparts. </w:t>
      </w:r>
    </w:p>
    <w:p w:rsidR="0024509E" w:rsidRPr="00CB10AD" w:rsidRDefault="0024509E" w:rsidP="0024509E">
      <w:pPr>
        <w:numPr>
          <w:ilvl w:val="0"/>
          <w:numId w:val="36"/>
        </w:numPr>
        <w:shd w:val="clear" w:color="auto" w:fill="FFFFFF" w:themeFill="background1"/>
        <w:spacing w:after="240" w:line="276" w:lineRule="auto"/>
        <w:contextualSpacing/>
        <w:jc w:val="both"/>
        <w:rPr>
          <w:rFonts w:eastAsia="Calibri" w:cs="Times New Roman"/>
          <w:szCs w:val="24"/>
          <w:lang w:val="en-AU" w:eastAsia="en-AU"/>
        </w:rPr>
      </w:pPr>
      <w:r w:rsidRPr="00CB10AD">
        <w:rPr>
          <w:rFonts w:eastAsia="Calibri" w:cs="Times New Roman"/>
          <w:szCs w:val="24"/>
          <w:lang w:val="en-AU" w:eastAsia="en-AU"/>
        </w:rPr>
        <w:t xml:space="preserve">From a governance perspective, the Governance and Technical Oversight Groups (GOG, TOGs) make limited use of performance information in strategic decision-making </w:t>
      </w:r>
      <w:r w:rsidR="00B24787" w:rsidRPr="00CB10AD">
        <w:rPr>
          <w:rFonts w:eastAsia="Calibri" w:cs="Times New Roman"/>
          <w:szCs w:val="24"/>
          <w:lang w:val="en-AU" w:eastAsia="en-AU"/>
        </w:rPr>
        <w:t xml:space="preserve">about the EP </w:t>
      </w:r>
      <w:r w:rsidRPr="00CB10AD">
        <w:rPr>
          <w:rFonts w:eastAsia="Calibri" w:cs="Times New Roman"/>
          <w:szCs w:val="24"/>
          <w:lang w:val="en-AU" w:eastAsia="en-AU"/>
        </w:rPr>
        <w:t>and governance meetings focus on output-level issues. Moreover, the GOG and TOG meetings are not held in line with the designated scheduling</w:t>
      </w:r>
      <w:r w:rsidR="00B24787" w:rsidRPr="00CB10AD">
        <w:rPr>
          <w:rFonts w:eastAsia="Calibri" w:cs="Times New Roman"/>
          <w:szCs w:val="24"/>
          <w:lang w:val="en-AU" w:eastAsia="en-AU"/>
        </w:rPr>
        <w:t>,</w:t>
      </w:r>
      <w:r w:rsidRPr="00CB10AD">
        <w:rPr>
          <w:rFonts w:eastAsia="Calibri" w:cs="Times New Roman"/>
          <w:szCs w:val="24"/>
          <w:lang w:val="en-AU" w:eastAsia="en-AU"/>
        </w:rPr>
        <w:t xml:space="preserve"> which suggests a lack of need or of motivation.</w:t>
      </w:r>
    </w:p>
    <w:p w:rsidR="0024509E" w:rsidRPr="00CB10AD" w:rsidRDefault="0024509E" w:rsidP="0024509E">
      <w:pPr>
        <w:numPr>
          <w:ilvl w:val="0"/>
          <w:numId w:val="36"/>
        </w:numPr>
        <w:shd w:val="clear" w:color="auto" w:fill="FFFFFF" w:themeFill="background1"/>
        <w:spacing w:before="120" w:after="120" w:line="276" w:lineRule="auto"/>
        <w:contextualSpacing/>
        <w:jc w:val="both"/>
        <w:rPr>
          <w:rFonts w:eastAsia="Calibri" w:cs="Times New Roman"/>
          <w:b/>
          <w:bCs/>
          <w:i/>
          <w:iCs/>
          <w:color w:val="4F81BD" w:themeColor="accent1"/>
          <w:szCs w:val="24"/>
          <w:lang w:val="en-AU" w:eastAsia="en-AU"/>
        </w:rPr>
      </w:pPr>
      <w:r w:rsidRPr="00CB10AD">
        <w:rPr>
          <w:rFonts w:eastAsia="Calibri" w:cs="Times New Roman"/>
          <w:szCs w:val="24"/>
          <w:lang w:val="en-AU" w:eastAsia="en-AU"/>
        </w:rPr>
        <w:t>With regards to beneficiaries, the continued absence of a social inclusion strategy limits the assessment in the APPR. However, attempts to implement a social inclusion agenda are noted. In addition, the opportunity for increased targeting of vulnerable groups that may be excluded from EP interventions and for more outcomes-led targeting to enhance prospects for higher level achievement are indicated.</w:t>
      </w:r>
    </w:p>
    <w:p w:rsidR="0024509E" w:rsidRPr="00CB10AD" w:rsidRDefault="0024509E" w:rsidP="0024509E">
      <w:pPr>
        <w:shd w:val="clear" w:color="auto" w:fill="FFFFFF" w:themeFill="background1"/>
        <w:spacing w:before="120" w:after="120" w:line="276" w:lineRule="auto"/>
        <w:ind w:left="720"/>
        <w:contextualSpacing/>
        <w:jc w:val="both"/>
        <w:rPr>
          <w:rFonts w:eastAsia="Calibri" w:cs="Times New Roman"/>
          <w:b/>
          <w:bCs/>
          <w:i/>
          <w:iCs/>
          <w:color w:val="4F81BD" w:themeColor="accent1"/>
          <w:szCs w:val="24"/>
          <w:lang w:val="en-AU" w:eastAsia="en-AU"/>
        </w:rPr>
      </w:pPr>
    </w:p>
    <w:p w:rsidR="0024509E" w:rsidRPr="00CB10AD" w:rsidRDefault="0024509E" w:rsidP="0024509E">
      <w:pPr>
        <w:spacing w:before="120" w:after="120" w:line="276" w:lineRule="auto"/>
        <w:jc w:val="both"/>
        <w:rPr>
          <w:rFonts w:eastAsia="Calibri" w:cs="Times New Roman"/>
          <w:b/>
          <w:bCs/>
          <w:i/>
          <w:iCs/>
          <w:color w:val="4F81BD" w:themeColor="accent1"/>
          <w:szCs w:val="24"/>
          <w:lang w:val="en-AU" w:eastAsia="en-AU"/>
        </w:rPr>
      </w:pPr>
      <w:r w:rsidRPr="00CB10AD">
        <w:rPr>
          <w:rFonts w:eastAsia="Calibri" w:cs="Times New Roman"/>
          <w:b/>
          <w:bCs/>
          <w:i/>
          <w:iCs/>
          <w:color w:val="4F81BD" w:themeColor="accent1"/>
          <w:szCs w:val="24"/>
          <w:lang w:val="en-AU" w:eastAsia="en-AU"/>
        </w:rPr>
        <w:lastRenderedPageBreak/>
        <w:t>What next steps are proposed?</w:t>
      </w:r>
    </w:p>
    <w:p w:rsidR="0024509E" w:rsidRPr="00CB10AD" w:rsidRDefault="0024509E" w:rsidP="0024509E">
      <w:pPr>
        <w:spacing w:after="240" w:line="276" w:lineRule="auto"/>
        <w:jc w:val="both"/>
        <w:rPr>
          <w:b/>
          <w:bCs/>
          <w:iCs/>
          <w:lang w:val="en-AU"/>
        </w:rPr>
      </w:pPr>
      <w:r w:rsidRPr="00CB10AD">
        <w:rPr>
          <w:rFonts w:eastAsia="Calibri" w:cs="Times New Roman"/>
          <w:szCs w:val="24"/>
          <w:lang w:val="en-AU" w:eastAsia="en-AU"/>
        </w:rPr>
        <w:t>Based on its findings, the APPR offers a total of 24 recommendations. These are presented over the page.</w:t>
      </w:r>
    </w:p>
    <w:p w:rsidR="0024509E" w:rsidRPr="00CB10AD" w:rsidRDefault="0024509E" w:rsidP="0024509E">
      <w:pPr>
        <w:rPr>
          <w:lang w:val="en-AU"/>
        </w:rPr>
        <w:sectPr w:rsidR="0024509E" w:rsidRPr="00CB10AD" w:rsidSect="00045CAA">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p>
    <w:p w:rsidR="0024509E" w:rsidRPr="00CB10AD" w:rsidRDefault="0024509E" w:rsidP="0024509E">
      <w:pPr>
        <w:rPr>
          <w:rStyle w:val="IntenseEmphasis"/>
          <w:lang w:val="en-AU"/>
        </w:rPr>
      </w:pPr>
      <w:r w:rsidRPr="00CB10AD">
        <w:rPr>
          <w:rStyle w:val="IntenseEmphasis"/>
          <w:lang w:val="en-AU"/>
        </w:rPr>
        <w:lastRenderedPageBreak/>
        <w:t>Key recommendations</w:t>
      </w:r>
    </w:p>
    <w:p w:rsidR="0024509E" w:rsidRPr="00CB10AD" w:rsidRDefault="0024509E" w:rsidP="0024509E">
      <w:pPr>
        <w:rPr>
          <w:lang w:val="en-AU"/>
        </w:rPr>
      </w:pPr>
    </w:p>
    <w:tbl>
      <w:tblPr>
        <w:tblStyle w:val="TableGrid3"/>
        <w:tblW w:w="5001" w:type="pct"/>
        <w:tblLayout w:type="fixed"/>
        <w:tblLook w:val="04A0" w:firstRow="1" w:lastRow="0" w:firstColumn="1" w:lastColumn="0" w:noHBand="0" w:noVBand="1"/>
      </w:tblPr>
      <w:tblGrid>
        <w:gridCol w:w="10032"/>
        <w:gridCol w:w="992"/>
        <w:gridCol w:w="3149"/>
      </w:tblGrid>
      <w:tr w:rsidR="0024509E" w:rsidRPr="00CB10AD" w:rsidTr="004623D7">
        <w:trPr>
          <w:trHeight w:val="567"/>
          <w:tblHeader/>
        </w:trPr>
        <w:tc>
          <w:tcPr>
            <w:tcW w:w="3539" w:type="pct"/>
            <w:tcBorders>
              <w:bottom w:val="single" w:sz="4" w:space="0" w:color="auto"/>
            </w:tcBorders>
            <w:shd w:val="clear" w:color="auto" w:fill="1F497D" w:themeFill="text2"/>
            <w:vAlign w:val="center"/>
          </w:tcPr>
          <w:p w:rsidR="0024509E" w:rsidRPr="00CB10AD" w:rsidRDefault="0024509E" w:rsidP="004623D7">
            <w:pPr>
              <w:spacing w:before="120" w:after="120"/>
              <w:jc w:val="center"/>
              <w:rPr>
                <w:b/>
                <w:color w:val="FFFFFF" w:themeColor="background1"/>
                <w:lang w:val="en-AU"/>
              </w:rPr>
            </w:pPr>
            <w:r w:rsidRPr="00CB10AD">
              <w:rPr>
                <w:b/>
                <w:color w:val="FFFFFF" w:themeColor="background1"/>
                <w:lang w:val="en-AU"/>
              </w:rPr>
              <w:t>Recommendations</w:t>
            </w:r>
          </w:p>
        </w:tc>
        <w:tc>
          <w:tcPr>
            <w:tcW w:w="350" w:type="pct"/>
            <w:tcBorders>
              <w:bottom w:val="single" w:sz="4" w:space="0" w:color="auto"/>
            </w:tcBorders>
            <w:shd w:val="clear" w:color="auto" w:fill="1F497D" w:themeFill="text2"/>
            <w:vAlign w:val="center"/>
          </w:tcPr>
          <w:p w:rsidR="0024509E" w:rsidRPr="00CB10AD" w:rsidRDefault="0024509E" w:rsidP="004623D7">
            <w:pPr>
              <w:spacing w:before="120" w:after="120"/>
              <w:jc w:val="center"/>
              <w:rPr>
                <w:b/>
                <w:color w:val="FFFFFF" w:themeColor="background1"/>
                <w:lang w:val="en-AU"/>
              </w:rPr>
            </w:pPr>
            <w:r w:rsidRPr="00CB10AD">
              <w:rPr>
                <w:b/>
                <w:color w:val="FFFFFF" w:themeColor="background1"/>
                <w:lang w:val="en-AU"/>
              </w:rPr>
              <w:t>Level of urgency</w:t>
            </w:r>
          </w:p>
        </w:tc>
        <w:tc>
          <w:tcPr>
            <w:tcW w:w="1111" w:type="pct"/>
            <w:tcBorders>
              <w:bottom w:val="single" w:sz="4" w:space="0" w:color="auto"/>
            </w:tcBorders>
            <w:shd w:val="clear" w:color="auto" w:fill="1F497D" w:themeFill="text2"/>
            <w:vAlign w:val="center"/>
          </w:tcPr>
          <w:p w:rsidR="0024509E" w:rsidRPr="00CB10AD" w:rsidRDefault="0024509E" w:rsidP="004623D7">
            <w:pPr>
              <w:spacing w:before="120" w:after="120"/>
              <w:jc w:val="center"/>
              <w:rPr>
                <w:b/>
                <w:color w:val="FFFFFF" w:themeColor="background1"/>
                <w:lang w:val="en-AU"/>
              </w:rPr>
            </w:pPr>
            <w:r w:rsidRPr="00CB10AD">
              <w:rPr>
                <w:b/>
                <w:color w:val="FFFFFF" w:themeColor="background1"/>
                <w:lang w:val="en-AU"/>
              </w:rPr>
              <w:t>Prime Responsibility</w:t>
            </w:r>
          </w:p>
        </w:tc>
      </w:tr>
      <w:tr w:rsidR="0024509E" w:rsidRPr="00CB10AD" w:rsidTr="004623D7">
        <w:trPr>
          <w:trHeight w:val="567"/>
        </w:trPr>
        <w:tc>
          <w:tcPr>
            <w:tcW w:w="5000" w:type="pct"/>
            <w:gridSpan w:val="3"/>
            <w:shd w:val="clear" w:color="auto" w:fill="DBE5F1" w:themeFill="accent1" w:themeFillTint="33"/>
            <w:vAlign w:val="center"/>
          </w:tcPr>
          <w:p w:rsidR="0024509E" w:rsidRPr="00CB10AD" w:rsidRDefault="0024509E" w:rsidP="004623D7">
            <w:pPr>
              <w:spacing w:before="120" w:after="120"/>
              <w:jc w:val="center"/>
              <w:rPr>
                <w:lang w:val="en-AU"/>
              </w:rPr>
            </w:pPr>
            <w:r w:rsidRPr="00CB10AD">
              <w:rPr>
                <w:b/>
                <w:lang w:val="en-AU"/>
              </w:rPr>
              <w:t>Component</w:t>
            </w:r>
            <w:r w:rsidRPr="00CB10AD">
              <w:rPr>
                <w:lang w:val="en-AU"/>
              </w:rPr>
              <w:t xml:space="preserve"> 1</w:t>
            </w:r>
          </w:p>
        </w:tc>
      </w:tr>
      <w:tr w:rsidR="0024509E" w:rsidRPr="00CB10AD" w:rsidTr="000649AC">
        <w:trPr>
          <w:trHeight w:val="498"/>
        </w:trPr>
        <w:tc>
          <w:tcPr>
            <w:tcW w:w="3539" w:type="pct"/>
          </w:tcPr>
          <w:p w:rsidR="0024509E" w:rsidRPr="00CB10AD" w:rsidRDefault="0024509E" w:rsidP="000649AC">
            <w:pPr>
              <w:spacing w:before="120"/>
              <w:ind w:left="459" w:hanging="450"/>
              <w:rPr>
                <w:lang w:val="en-AU"/>
              </w:rPr>
            </w:pPr>
            <w:r w:rsidRPr="00CB10AD">
              <w:rPr>
                <w:lang w:val="en-AU"/>
              </w:rPr>
              <w:t>R1:</w:t>
            </w:r>
            <w:r w:rsidR="00C27B28" w:rsidRPr="00CB10AD">
              <w:rPr>
                <w:lang w:val="en-AU"/>
              </w:rPr>
              <w:tab/>
            </w:r>
            <w:r w:rsidR="00EE4207" w:rsidRPr="00EE4207">
              <w:rPr>
                <w:lang w:val="en-AU"/>
              </w:rPr>
              <w:t xml:space="preserve">DFAT and MoEC should reaffirm their commitment to the current EOPO </w:t>
            </w:r>
            <w:r w:rsidR="002933E6" w:rsidRPr="00CB10AD">
              <w:rPr>
                <w:lang w:val="en-AU"/>
              </w:rPr>
              <w:t>(refer to §2.4.3 and 2.4.4)</w:t>
            </w:r>
          </w:p>
        </w:tc>
        <w:tc>
          <w:tcPr>
            <w:tcW w:w="350" w:type="pct"/>
            <w:tcBorders>
              <w:bottom w:val="single" w:sz="4" w:space="0" w:color="auto"/>
            </w:tcBorders>
            <w:shd w:val="clear" w:color="auto" w:fill="FF0000"/>
            <w:vAlign w:val="center"/>
          </w:tcPr>
          <w:p w:rsidR="0024509E" w:rsidRPr="00CB10AD" w:rsidRDefault="00191A9B" w:rsidP="000649AC">
            <w:pPr>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 xml:space="preserve">DFAT and MoEC </w:t>
            </w:r>
          </w:p>
        </w:tc>
      </w:tr>
      <w:tr w:rsidR="0024509E" w:rsidRPr="00CB10AD" w:rsidTr="000649AC">
        <w:trPr>
          <w:trHeight w:val="758"/>
        </w:trPr>
        <w:tc>
          <w:tcPr>
            <w:tcW w:w="3539" w:type="pct"/>
          </w:tcPr>
          <w:p w:rsidR="0024509E" w:rsidRPr="00CB10AD" w:rsidRDefault="0024509E" w:rsidP="000649AC">
            <w:pPr>
              <w:spacing w:before="120"/>
              <w:ind w:left="459" w:hanging="450"/>
              <w:rPr>
                <w:lang w:val="en-AU"/>
              </w:rPr>
            </w:pPr>
            <w:r w:rsidRPr="00CB10AD">
              <w:rPr>
                <w:lang w:val="en-AU"/>
              </w:rPr>
              <w:t>R2:</w:t>
            </w:r>
            <w:r w:rsidRPr="00CB10AD">
              <w:rPr>
                <w:lang w:val="en-AU"/>
              </w:rPr>
              <w:tab/>
            </w:r>
            <w:r w:rsidR="00EE4207" w:rsidRPr="00EE4207">
              <w:rPr>
                <w:lang w:val="en-AU"/>
              </w:rPr>
              <w:t>Critically appraise coordination of school construction with other access-related initiatives within MOEC with a view to maximising the extent of EOPO achievement</w:t>
            </w:r>
            <w:r w:rsidR="002933E6" w:rsidRPr="00CB10AD">
              <w:rPr>
                <w:lang w:val="en-AU"/>
              </w:rPr>
              <w:t xml:space="preserve"> (refer to §2.4.3 and 2.4.4)</w:t>
            </w:r>
          </w:p>
        </w:tc>
        <w:tc>
          <w:tcPr>
            <w:tcW w:w="350" w:type="pct"/>
            <w:tcBorders>
              <w:bottom w:val="single" w:sz="4" w:space="0" w:color="auto"/>
            </w:tcBorders>
            <w:shd w:val="clear" w:color="auto" w:fill="FF0000"/>
            <w:vAlign w:val="center"/>
          </w:tcPr>
          <w:p w:rsidR="0024509E" w:rsidRPr="00CB10AD" w:rsidRDefault="00191A9B" w:rsidP="000649AC">
            <w:pPr>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 xml:space="preserve">MoEC (with SSQ </w:t>
            </w:r>
            <w:r w:rsidR="00EE4207">
              <w:rPr>
                <w:lang w:val="en-AU"/>
              </w:rPr>
              <w:t xml:space="preserve">and POM </w:t>
            </w:r>
            <w:r w:rsidRPr="00CB10AD">
              <w:rPr>
                <w:lang w:val="en-AU"/>
              </w:rPr>
              <w:t>support)</w:t>
            </w:r>
          </w:p>
        </w:tc>
      </w:tr>
      <w:tr w:rsidR="0024509E" w:rsidRPr="00CB10AD" w:rsidTr="000649AC">
        <w:trPr>
          <w:trHeight w:val="738"/>
        </w:trPr>
        <w:tc>
          <w:tcPr>
            <w:tcW w:w="3539" w:type="pct"/>
          </w:tcPr>
          <w:p w:rsidR="0024509E" w:rsidRPr="00CB10AD" w:rsidRDefault="0024509E" w:rsidP="000649AC">
            <w:pPr>
              <w:spacing w:before="120"/>
              <w:ind w:left="459" w:hanging="450"/>
              <w:rPr>
                <w:lang w:val="en-AU"/>
              </w:rPr>
            </w:pPr>
            <w:r w:rsidRPr="00CB10AD">
              <w:rPr>
                <w:lang w:val="en-AU"/>
              </w:rPr>
              <w:t xml:space="preserve">R3: </w:t>
            </w:r>
            <w:r w:rsidRPr="00CB10AD">
              <w:rPr>
                <w:lang w:val="en-AU"/>
              </w:rPr>
              <w:tab/>
            </w:r>
            <w:r w:rsidR="00EE4207" w:rsidRPr="00EE4207">
              <w:rPr>
                <w:lang w:val="en-AU"/>
              </w:rPr>
              <w:t>Further analysis of site selection outcomes should be undertaken to provide a robust basis to improve the selection process</w:t>
            </w:r>
            <w:r w:rsidRPr="00CB10AD">
              <w:rPr>
                <w:lang w:val="en-AU"/>
              </w:rPr>
              <w:t xml:space="preserve"> </w:t>
            </w:r>
            <w:r w:rsidR="002933E6" w:rsidRPr="00CB10AD">
              <w:rPr>
                <w:lang w:val="en-AU"/>
              </w:rPr>
              <w:t>(refer to §2.4.3)</w:t>
            </w:r>
          </w:p>
        </w:tc>
        <w:tc>
          <w:tcPr>
            <w:tcW w:w="350" w:type="pct"/>
            <w:shd w:val="clear" w:color="auto" w:fill="FF0000"/>
            <w:vAlign w:val="center"/>
          </w:tcPr>
          <w:p w:rsidR="0024509E" w:rsidRPr="00CB10AD" w:rsidRDefault="00191A9B" w:rsidP="000649AC">
            <w:pPr>
              <w:jc w:val="center"/>
              <w:rPr>
                <w:lang w:val="en-AU"/>
              </w:rPr>
            </w:pPr>
            <w:r w:rsidRPr="00CB10AD">
              <w:rPr>
                <w:lang w:val="en-AU"/>
              </w:rPr>
              <w:t>***</w:t>
            </w:r>
          </w:p>
        </w:tc>
        <w:tc>
          <w:tcPr>
            <w:tcW w:w="1111" w:type="pct"/>
          </w:tcPr>
          <w:p w:rsidR="0024509E" w:rsidRPr="00CB10AD" w:rsidRDefault="0024509E" w:rsidP="006A4918">
            <w:pPr>
              <w:spacing w:before="120"/>
              <w:ind w:left="33" w:hanging="24"/>
              <w:rPr>
                <w:lang w:val="en-AU"/>
              </w:rPr>
            </w:pPr>
            <w:r w:rsidRPr="00CB10AD">
              <w:rPr>
                <w:lang w:val="en-AU"/>
              </w:rPr>
              <w:t xml:space="preserve">POM </w:t>
            </w:r>
            <w:r w:rsidR="006A4918">
              <w:rPr>
                <w:lang w:val="en-AU"/>
              </w:rPr>
              <w:t>(with MoEC and SSQ support)</w:t>
            </w:r>
          </w:p>
        </w:tc>
      </w:tr>
      <w:tr w:rsidR="0024509E" w:rsidRPr="00CB10AD" w:rsidTr="000649AC">
        <w:trPr>
          <w:trHeight w:val="738"/>
        </w:trPr>
        <w:tc>
          <w:tcPr>
            <w:tcW w:w="3539" w:type="pct"/>
          </w:tcPr>
          <w:p w:rsidR="0024509E" w:rsidRPr="00CB10AD" w:rsidRDefault="0024509E" w:rsidP="000649AC">
            <w:pPr>
              <w:spacing w:before="120"/>
              <w:ind w:left="459" w:hanging="450"/>
              <w:rPr>
                <w:lang w:val="en-AU"/>
              </w:rPr>
            </w:pPr>
            <w:r w:rsidRPr="00CB10AD">
              <w:rPr>
                <w:lang w:val="en-AU"/>
              </w:rPr>
              <w:t>R4:</w:t>
            </w:r>
            <w:r w:rsidRPr="00CB10AD">
              <w:rPr>
                <w:lang w:val="en-AU"/>
              </w:rPr>
              <w:tab/>
            </w:r>
            <w:r w:rsidR="00EE4207" w:rsidRPr="00EE4207">
              <w:rPr>
                <w:lang w:val="en-AU"/>
              </w:rPr>
              <w:t xml:space="preserve">DFAT and MoEC should strengthen the site selection process by </w:t>
            </w:r>
            <w:r w:rsidR="00EE4207">
              <w:rPr>
                <w:lang w:val="en-AU"/>
              </w:rPr>
              <w:t>refining</w:t>
            </w:r>
            <w:r w:rsidR="00EE4207" w:rsidRPr="00EE4207">
              <w:rPr>
                <w:lang w:val="en-AU"/>
              </w:rPr>
              <w:t xml:space="preserve"> factors of JSE demand and supply in the selection criteria, and ensuring a strict application of these criteria</w:t>
            </w:r>
            <w:r w:rsidR="00EE4207" w:rsidRPr="00EE4207" w:rsidDel="00EE4207">
              <w:rPr>
                <w:lang w:val="en-AU"/>
              </w:rPr>
              <w:t xml:space="preserve"> </w:t>
            </w:r>
            <w:r w:rsidR="002933E6" w:rsidRPr="00CB10AD">
              <w:rPr>
                <w:lang w:val="en-AU"/>
              </w:rPr>
              <w:t>(refer to §2.4.3)</w:t>
            </w:r>
          </w:p>
        </w:tc>
        <w:tc>
          <w:tcPr>
            <w:tcW w:w="350" w:type="pct"/>
            <w:shd w:val="clear" w:color="auto" w:fill="FF0000"/>
            <w:vAlign w:val="center"/>
          </w:tcPr>
          <w:p w:rsidR="0024509E" w:rsidRPr="00CB10AD" w:rsidRDefault="00191A9B" w:rsidP="000649AC">
            <w:pPr>
              <w:jc w:val="center"/>
              <w:rPr>
                <w:lang w:val="en-AU"/>
              </w:rPr>
            </w:pPr>
            <w:r w:rsidRPr="00CB10AD">
              <w:rPr>
                <w:lang w:val="en-AU"/>
              </w:rPr>
              <w:t>***</w:t>
            </w:r>
          </w:p>
        </w:tc>
        <w:tc>
          <w:tcPr>
            <w:tcW w:w="1111" w:type="pct"/>
          </w:tcPr>
          <w:p w:rsidR="0024509E" w:rsidRPr="00CB10AD" w:rsidRDefault="0024509E" w:rsidP="00680BDC">
            <w:pPr>
              <w:spacing w:before="60" w:after="60"/>
              <w:rPr>
                <w:lang w:val="en-AU"/>
              </w:rPr>
            </w:pPr>
            <w:r w:rsidRPr="00CB10AD">
              <w:rPr>
                <w:lang w:val="en-AU"/>
              </w:rPr>
              <w:t xml:space="preserve">DFAT and MoEC (with </w:t>
            </w:r>
            <w:r w:rsidR="00680BDC">
              <w:rPr>
                <w:lang w:val="en-AU"/>
              </w:rPr>
              <w:t>SSQ support</w:t>
            </w:r>
            <w:r w:rsidRPr="00CB10AD">
              <w:rPr>
                <w:lang w:val="en-AU"/>
              </w:rPr>
              <w:t>)</w:t>
            </w:r>
          </w:p>
        </w:tc>
      </w:tr>
      <w:tr w:rsidR="0024509E" w:rsidRPr="00CB10AD" w:rsidTr="000649AC">
        <w:trPr>
          <w:trHeight w:val="738"/>
        </w:trPr>
        <w:tc>
          <w:tcPr>
            <w:tcW w:w="3539" w:type="pct"/>
          </w:tcPr>
          <w:p w:rsidR="0024509E" w:rsidRPr="00CB10AD" w:rsidRDefault="0024509E" w:rsidP="00C27B28">
            <w:pPr>
              <w:spacing w:before="120"/>
              <w:ind w:left="459" w:hanging="450"/>
              <w:rPr>
                <w:lang w:val="en-AU"/>
              </w:rPr>
            </w:pPr>
            <w:r w:rsidRPr="00CB10AD">
              <w:rPr>
                <w:lang w:val="en-AU"/>
              </w:rPr>
              <w:t xml:space="preserve">R5: </w:t>
            </w:r>
            <w:r w:rsidRPr="00CB10AD">
              <w:rPr>
                <w:lang w:val="en-AU"/>
              </w:rPr>
              <w:tab/>
              <w:t xml:space="preserve">Lessons learned from EP </w:t>
            </w:r>
            <w:r w:rsidR="00C27B28" w:rsidRPr="00CB10AD">
              <w:rPr>
                <w:lang w:val="en-AU"/>
              </w:rPr>
              <w:t xml:space="preserve">implementation </w:t>
            </w:r>
            <w:r w:rsidRPr="00CB10AD">
              <w:rPr>
                <w:lang w:val="en-AU"/>
              </w:rPr>
              <w:t xml:space="preserve">(e.g. regarding monitoring process) should be synthesised and disseminated to interested parties </w:t>
            </w:r>
            <w:r w:rsidR="00C27B28" w:rsidRPr="00CB10AD">
              <w:rPr>
                <w:lang w:val="en-AU"/>
              </w:rPr>
              <w:t>(</w:t>
            </w:r>
            <w:r w:rsidRPr="00CB10AD">
              <w:rPr>
                <w:lang w:val="en-AU"/>
              </w:rPr>
              <w:t>e.g. MoEC and other GoI institutions/agencies involved in construction processes</w:t>
            </w:r>
            <w:r w:rsidR="00C27B28" w:rsidRPr="00CB10AD">
              <w:rPr>
                <w:lang w:val="en-AU"/>
              </w:rPr>
              <w:t>)</w:t>
            </w:r>
            <w:r w:rsidRPr="00CB10AD">
              <w:rPr>
                <w:lang w:val="en-AU"/>
              </w:rPr>
              <w:t>, should there be merit or demand</w:t>
            </w:r>
            <w:r w:rsidR="002933E6" w:rsidRPr="00CB10AD">
              <w:rPr>
                <w:lang w:val="en-AU"/>
              </w:rPr>
              <w:t xml:space="preserve"> (refer to §2.4.5)</w:t>
            </w:r>
          </w:p>
        </w:tc>
        <w:tc>
          <w:tcPr>
            <w:tcW w:w="350" w:type="pct"/>
            <w:shd w:val="clear" w:color="auto" w:fill="00B050"/>
            <w:vAlign w:val="center"/>
          </w:tcPr>
          <w:p w:rsidR="00191A9B" w:rsidRPr="00CB10AD" w:rsidRDefault="00191A9B" w:rsidP="000649AC">
            <w:pPr>
              <w:jc w:val="center"/>
              <w:rPr>
                <w:lang w:val="en-AU"/>
              </w:rPr>
            </w:pPr>
            <w:r w:rsidRPr="00CB10AD">
              <w:rPr>
                <w:lang w:val="en-AU"/>
              </w:rPr>
              <w:t>*</w:t>
            </w:r>
          </w:p>
        </w:tc>
        <w:tc>
          <w:tcPr>
            <w:tcW w:w="1111" w:type="pct"/>
          </w:tcPr>
          <w:p w:rsidR="0024509E" w:rsidRPr="00CB10AD" w:rsidRDefault="00CE29C1" w:rsidP="004623D7">
            <w:pPr>
              <w:spacing w:before="120"/>
              <w:ind w:left="459" w:hanging="450"/>
              <w:rPr>
                <w:lang w:val="en-AU"/>
              </w:rPr>
            </w:pPr>
            <w:r>
              <w:rPr>
                <w:lang w:val="en-AU"/>
              </w:rPr>
              <w:t xml:space="preserve">MoEC and </w:t>
            </w:r>
            <w:r w:rsidR="0024509E" w:rsidRPr="00CB10AD">
              <w:rPr>
                <w:lang w:val="en-AU"/>
              </w:rPr>
              <w:t>SSQ</w:t>
            </w:r>
          </w:p>
        </w:tc>
      </w:tr>
      <w:tr w:rsidR="0024509E" w:rsidRPr="00CB10AD" w:rsidTr="004623D7">
        <w:trPr>
          <w:trHeight w:val="567"/>
        </w:trPr>
        <w:tc>
          <w:tcPr>
            <w:tcW w:w="5000" w:type="pct"/>
            <w:gridSpan w:val="3"/>
            <w:shd w:val="clear" w:color="auto" w:fill="DBE5F1" w:themeFill="accent1" w:themeFillTint="33"/>
          </w:tcPr>
          <w:p w:rsidR="0024509E" w:rsidRPr="00CB10AD" w:rsidRDefault="0024509E" w:rsidP="004623D7">
            <w:pPr>
              <w:spacing w:before="120"/>
              <w:ind w:left="459" w:hanging="450"/>
              <w:jc w:val="center"/>
              <w:rPr>
                <w:b/>
                <w:lang w:val="en-AU"/>
              </w:rPr>
            </w:pPr>
            <w:r w:rsidRPr="00CB10AD">
              <w:rPr>
                <w:b/>
                <w:lang w:val="en-AU"/>
              </w:rPr>
              <w:t>Component 2</w:t>
            </w:r>
          </w:p>
        </w:tc>
      </w:tr>
      <w:tr w:rsidR="0024509E" w:rsidRPr="00CB10AD" w:rsidTr="00DA1B0C">
        <w:trPr>
          <w:trHeight w:val="758"/>
        </w:trPr>
        <w:tc>
          <w:tcPr>
            <w:tcW w:w="3539" w:type="pct"/>
          </w:tcPr>
          <w:p w:rsidR="0024509E" w:rsidRPr="00CB10AD" w:rsidRDefault="0024509E" w:rsidP="00C27B28">
            <w:pPr>
              <w:spacing w:before="120"/>
              <w:ind w:left="459" w:hanging="450"/>
              <w:rPr>
                <w:lang w:val="en-AU"/>
              </w:rPr>
            </w:pPr>
            <w:r w:rsidRPr="00CB10AD">
              <w:rPr>
                <w:lang w:val="en-AU"/>
              </w:rPr>
              <w:t xml:space="preserve">R6: </w:t>
            </w:r>
            <w:r w:rsidRPr="00CB10AD">
              <w:rPr>
                <w:lang w:val="en-AU"/>
              </w:rPr>
              <w:tab/>
              <w:t xml:space="preserve">DFAT-MoEC </w:t>
            </w:r>
            <w:r w:rsidR="00680BDC">
              <w:rPr>
                <w:lang w:val="en-AU"/>
              </w:rPr>
              <w:t xml:space="preserve">should </w:t>
            </w:r>
            <w:r w:rsidR="00C27B28" w:rsidRPr="00CB10AD">
              <w:rPr>
                <w:lang w:val="en-AU"/>
              </w:rPr>
              <w:t xml:space="preserve">assign sufficient </w:t>
            </w:r>
            <w:r w:rsidRPr="00CB10AD">
              <w:rPr>
                <w:lang w:val="en-AU"/>
              </w:rPr>
              <w:t>resource</w:t>
            </w:r>
            <w:r w:rsidR="00C27B28" w:rsidRPr="00CB10AD">
              <w:rPr>
                <w:lang w:val="en-AU"/>
              </w:rPr>
              <w:t>s to</w:t>
            </w:r>
            <w:r w:rsidR="00CB10AD">
              <w:rPr>
                <w:lang w:val="en-AU"/>
              </w:rPr>
              <w:t xml:space="preserve"> </w:t>
            </w:r>
            <w:r w:rsidRPr="00CB10AD">
              <w:rPr>
                <w:lang w:val="en-AU"/>
              </w:rPr>
              <w:t xml:space="preserve">C2 </w:t>
            </w:r>
            <w:r w:rsidR="00C27B28" w:rsidRPr="00CB10AD">
              <w:rPr>
                <w:lang w:val="en-AU"/>
              </w:rPr>
              <w:t>so as to ensure timely delivery of GA results</w:t>
            </w:r>
            <w:r w:rsidRPr="00CB10AD">
              <w:rPr>
                <w:lang w:val="en-AU"/>
              </w:rPr>
              <w:t>, or should readjust the EOPO and implementation strategy accordingly</w:t>
            </w:r>
            <w:r w:rsidR="002933E6" w:rsidRPr="00CB10AD">
              <w:rPr>
                <w:lang w:val="en-AU"/>
              </w:rPr>
              <w:t xml:space="preserve"> (refer to §3.4.3)</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DFAT and MoEC (with SSQ support)</w:t>
            </w:r>
          </w:p>
        </w:tc>
      </w:tr>
      <w:tr w:rsidR="0024509E" w:rsidRPr="00CB10AD" w:rsidTr="00DA1B0C">
        <w:trPr>
          <w:trHeight w:val="738"/>
        </w:trPr>
        <w:tc>
          <w:tcPr>
            <w:tcW w:w="3539" w:type="pct"/>
          </w:tcPr>
          <w:p w:rsidR="0024509E" w:rsidRPr="00CB10AD" w:rsidRDefault="0024509E" w:rsidP="00C27B28">
            <w:pPr>
              <w:spacing w:before="120"/>
              <w:ind w:left="459" w:hanging="450"/>
              <w:rPr>
                <w:lang w:val="en-AU"/>
              </w:rPr>
            </w:pPr>
            <w:r w:rsidRPr="00CB10AD">
              <w:rPr>
                <w:lang w:val="en-AU"/>
              </w:rPr>
              <w:t xml:space="preserve">R7: </w:t>
            </w:r>
            <w:r w:rsidRPr="00CB10AD">
              <w:rPr>
                <w:lang w:val="en-AU"/>
              </w:rPr>
              <w:tab/>
              <w:t xml:space="preserve">MoEC should lobby and advocate for the PD system to be included in strategic documents (e.g. the RPJMN and the upcoming Renstra), thereby </w:t>
            </w:r>
            <w:r w:rsidR="00400D64" w:rsidRPr="00CB10AD">
              <w:rPr>
                <w:lang w:val="en-AU"/>
              </w:rPr>
              <w:t xml:space="preserve">enhancing </w:t>
            </w:r>
            <w:r w:rsidRPr="00CB10AD">
              <w:rPr>
                <w:lang w:val="en-AU"/>
              </w:rPr>
              <w:t xml:space="preserve">political commitment </w:t>
            </w:r>
            <w:r w:rsidR="00C27B28" w:rsidRPr="00CB10AD">
              <w:rPr>
                <w:lang w:val="en-AU"/>
              </w:rPr>
              <w:t xml:space="preserve">to </w:t>
            </w:r>
            <w:r w:rsidRPr="00CB10AD">
              <w:rPr>
                <w:lang w:val="en-AU"/>
              </w:rPr>
              <w:t>its implementation</w:t>
            </w:r>
            <w:r w:rsidR="00CB10AD">
              <w:rPr>
                <w:lang w:val="en-AU"/>
              </w:rPr>
              <w:t xml:space="preserve"> </w:t>
            </w:r>
            <w:r w:rsidR="002933E6" w:rsidRPr="00CB10AD">
              <w:rPr>
                <w:lang w:val="en-AU"/>
              </w:rPr>
              <w:t>(refer to §3.4.1)</w:t>
            </w:r>
          </w:p>
        </w:tc>
        <w:tc>
          <w:tcPr>
            <w:tcW w:w="350" w:type="pct"/>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MoEC (with DFAT support through ATOG and GOG;</w:t>
            </w:r>
            <w:r w:rsidR="00CB10AD">
              <w:rPr>
                <w:lang w:val="en-AU"/>
              </w:rPr>
              <w:t xml:space="preserve"> </w:t>
            </w:r>
            <w:r w:rsidRPr="00CB10AD">
              <w:rPr>
                <w:lang w:val="en-AU"/>
              </w:rPr>
              <w:t>and SSQ support)</w:t>
            </w:r>
          </w:p>
        </w:tc>
      </w:tr>
      <w:tr w:rsidR="0024509E" w:rsidRPr="00CB10AD" w:rsidTr="00DA1B0C">
        <w:trPr>
          <w:trHeight w:val="738"/>
        </w:trPr>
        <w:tc>
          <w:tcPr>
            <w:tcW w:w="3539" w:type="pct"/>
          </w:tcPr>
          <w:p w:rsidR="0024509E" w:rsidRPr="00CB10AD" w:rsidRDefault="0024509E" w:rsidP="00DA1B0C">
            <w:pPr>
              <w:spacing w:before="120"/>
              <w:ind w:left="459" w:hanging="450"/>
              <w:rPr>
                <w:lang w:val="en-AU"/>
              </w:rPr>
            </w:pPr>
            <w:r w:rsidRPr="00CB10AD">
              <w:rPr>
                <w:lang w:val="en-AU"/>
              </w:rPr>
              <w:t xml:space="preserve">R8: </w:t>
            </w:r>
            <w:r w:rsidRPr="00CB10AD">
              <w:rPr>
                <w:lang w:val="en-AU"/>
              </w:rPr>
              <w:tab/>
              <w:t xml:space="preserve">Institutional Partners must better understand the financial capacity and willingness of </w:t>
            </w:r>
            <w:r w:rsidR="00DA1B0C" w:rsidRPr="00CB10AD">
              <w:rPr>
                <w:lang w:val="en-AU"/>
              </w:rPr>
              <w:t>all</w:t>
            </w:r>
            <w:r w:rsidRPr="00CB10AD">
              <w:rPr>
                <w:lang w:val="en-AU"/>
              </w:rPr>
              <w:t xml:space="preserve"> </w:t>
            </w:r>
            <w:r w:rsidR="00C27B28" w:rsidRPr="00CB10AD">
              <w:rPr>
                <w:lang w:val="en-AU"/>
              </w:rPr>
              <w:t xml:space="preserve">government </w:t>
            </w:r>
            <w:r w:rsidRPr="00CB10AD">
              <w:rPr>
                <w:lang w:val="en-AU"/>
              </w:rPr>
              <w:t>levels to fund PD services, and develop a workable sustainability strategy</w:t>
            </w:r>
            <w:r w:rsidR="00CB10AD">
              <w:rPr>
                <w:lang w:val="en-AU"/>
              </w:rPr>
              <w:t xml:space="preserve"> </w:t>
            </w:r>
            <w:r w:rsidR="002933E6" w:rsidRPr="00CB10AD">
              <w:rPr>
                <w:lang w:val="en-AU"/>
              </w:rPr>
              <w:t>(refer to §3.4.1 and 3.4.5)</w:t>
            </w:r>
          </w:p>
        </w:tc>
        <w:tc>
          <w:tcPr>
            <w:tcW w:w="350" w:type="pct"/>
            <w:shd w:val="clear" w:color="auto" w:fill="FF0000"/>
            <w:vAlign w:val="center"/>
          </w:tcPr>
          <w:p w:rsidR="0024509E" w:rsidRPr="00CB10AD" w:rsidRDefault="00FF4A8F" w:rsidP="00DA1B0C">
            <w:pPr>
              <w:spacing w:before="60" w:after="60"/>
              <w:jc w:val="center"/>
              <w:rPr>
                <w:lang w:val="en-AU"/>
              </w:rPr>
            </w:pPr>
            <w:r w:rsidRPr="00CB10AD">
              <w:rPr>
                <w:lang w:val="en-AU"/>
              </w:rPr>
              <w:t>**</w:t>
            </w:r>
            <w:r w:rsidR="00191A9B" w:rsidRPr="00CB10AD">
              <w:rPr>
                <w:lang w:val="en-AU"/>
              </w:rPr>
              <w:t>*</w:t>
            </w:r>
          </w:p>
        </w:tc>
        <w:tc>
          <w:tcPr>
            <w:tcW w:w="1111" w:type="pct"/>
          </w:tcPr>
          <w:p w:rsidR="0024509E" w:rsidRPr="00CB10AD" w:rsidRDefault="0024509E" w:rsidP="004623D7">
            <w:pPr>
              <w:spacing w:before="120"/>
              <w:rPr>
                <w:lang w:val="en-AU"/>
              </w:rPr>
            </w:pPr>
            <w:r w:rsidRPr="00CB10AD">
              <w:rPr>
                <w:lang w:val="en-AU"/>
              </w:rPr>
              <w:t>MoEC and DFAT (with POM and SSQ support)</w:t>
            </w:r>
          </w:p>
        </w:tc>
      </w:tr>
      <w:tr w:rsidR="0024509E" w:rsidRPr="00CB10AD" w:rsidTr="004623D7">
        <w:trPr>
          <w:trHeight w:val="567"/>
        </w:trPr>
        <w:tc>
          <w:tcPr>
            <w:tcW w:w="5000" w:type="pct"/>
            <w:gridSpan w:val="3"/>
            <w:shd w:val="clear" w:color="auto" w:fill="DBE5F1" w:themeFill="accent1" w:themeFillTint="33"/>
            <w:vAlign w:val="center"/>
          </w:tcPr>
          <w:p w:rsidR="0024509E" w:rsidRPr="00CB10AD" w:rsidRDefault="0024509E" w:rsidP="004623D7">
            <w:pPr>
              <w:spacing w:before="120" w:after="120"/>
              <w:jc w:val="center"/>
              <w:rPr>
                <w:b/>
                <w:lang w:val="en-AU"/>
              </w:rPr>
            </w:pPr>
            <w:r w:rsidRPr="00CB10AD">
              <w:rPr>
                <w:b/>
                <w:lang w:val="en-AU"/>
              </w:rPr>
              <w:lastRenderedPageBreak/>
              <w:t>Component 3</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 xml:space="preserve">R9: </w:t>
            </w:r>
            <w:r w:rsidRPr="00CB10AD">
              <w:rPr>
                <w:lang w:val="en-AU"/>
              </w:rPr>
              <w:tab/>
              <w:t xml:space="preserve">DFAT and MoRA should define and agree </w:t>
            </w:r>
            <w:r w:rsidR="00680BDC">
              <w:rPr>
                <w:lang w:val="en-AU"/>
              </w:rPr>
              <w:t>up</w:t>
            </w:r>
            <w:r w:rsidRPr="00CB10AD">
              <w:rPr>
                <w:lang w:val="en-AU"/>
              </w:rPr>
              <w:t xml:space="preserve">on the </w:t>
            </w:r>
            <w:r w:rsidR="00C27B28" w:rsidRPr="00CB10AD">
              <w:rPr>
                <w:lang w:val="en-AU"/>
              </w:rPr>
              <w:t xml:space="preserve">nature and </w:t>
            </w:r>
            <w:r w:rsidRPr="00CB10AD">
              <w:rPr>
                <w:lang w:val="en-AU"/>
              </w:rPr>
              <w:t xml:space="preserve">extent of systemic change expected </w:t>
            </w:r>
            <w:r w:rsidR="002933E6" w:rsidRPr="00CB10AD">
              <w:rPr>
                <w:lang w:val="en-AU"/>
              </w:rPr>
              <w:t>(refer to §4.4.4)</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 xml:space="preserve">DFAT and MoRA (with SSQ facilitation as required) </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 xml:space="preserve">R10: EP support to systemic change should encourage and be based on a clear and resourced MoRA strategy for supporting Madrasah continuous quality improvement </w:t>
            </w:r>
            <w:r w:rsidR="002933E6" w:rsidRPr="00CB10AD">
              <w:rPr>
                <w:lang w:val="en-AU"/>
              </w:rPr>
              <w:t>(refer to §4.4.4)</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MoRA (with DFAT and SSQ facilitation as required)</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R11: There should be an explicit and systematic targeting of beneficiary Madrasah with low initial standards (TT if possible)</w:t>
            </w:r>
            <w:r w:rsidR="002933E6" w:rsidRPr="00CB10AD">
              <w:rPr>
                <w:lang w:val="en-AU"/>
              </w:rPr>
              <w:t xml:space="preserve"> (refer to §4.4.2)</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 xml:space="preserve">SSQ </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R12: EP should continue and increase engagement with sub-national institutions to develop and seek support for non-targeted Madrasah, including engagement with KKM and Madrasah supervisors</w:t>
            </w:r>
            <w:r w:rsidR="002933E6" w:rsidRPr="00CB10AD">
              <w:rPr>
                <w:lang w:val="en-AU"/>
              </w:rPr>
              <w:t xml:space="preserve"> (refer to §4.4.4)</w:t>
            </w:r>
          </w:p>
        </w:tc>
        <w:tc>
          <w:tcPr>
            <w:tcW w:w="350" w:type="pct"/>
            <w:tcBorders>
              <w:bottom w:val="single" w:sz="4" w:space="0" w:color="auto"/>
            </w:tcBorders>
            <w:shd w:val="clear" w:color="auto" w:fill="00B05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SSQ</w:t>
            </w:r>
          </w:p>
        </w:tc>
      </w:tr>
      <w:tr w:rsidR="0024509E" w:rsidRPr="00CB10AD" w:rsidTr="00DA1B0C">
        <w:trPr>
          <w:trHeight w:val="738"/>
        </w:trPr>
        <w:tc>
          <w:tcPr>
            <w:tcW w:w="3539" w:type="pct"/>
          </w:tcPr>
          <w:p w:rsidR="0024509E" w:rsidRPr="00CB10AD" w:rsidRDefault="0024509E" w:rsidP="00C27B28">
            <w:pPr>
              <w:spacing w:before="120"/>
              <w:ind w:left="459" w:hanging="450"/>
              <w:rPr>
                <w:lang w:val="en-AU"/>
              </w:rPr>
            </w:pPr>
            <w:r w:rsidRPr="00CB10AD">
              <w:rPr>
                <w:lang w:val="en-AU"/>
              </w:rPr>
              <w:t xml:space="preserve">R13: EP should develop, support and monitor measures to better involve </w:t>
            </w:r>
            <w:r w:rsidR="00C27B28" w:rsidRPr="00CB10AD">
              <w:rPr>
                <w:lang w:val="en-AU"/>
              </w:rPr>
              <w:t>other key, but currently untargeted</w:t>
            </w:r>
            <w:r w:rsidR="00CB10AD">
              <w:rPr>
                <w:lang w:val="en-AU"/>
              </w:rPr>
              <w:t xml:space="preserve"> </w:t>
            </w:r>
            <w:r w:rsidR="00C27B28" w:rsidRPr="00CB10AD">
              <w:rPr>
                <w:lang w:val="en-AU"/>
              </w:rPr>
              <w:t xml:space="preserve">stakeholders (e.g. committee members, </w:t>
            </w:r>
            <w:r w:rsidR="00C27B28" w:rsidRPr="00CB10AD">
              <w:rPr>
                <w:i/>
                <w:lang w:val="en-AU"/>
              </w:rPr>
              <w:t>yayasan</w:t>
            </w:r>
            <w:r w:rsidR="00C27B28" w:rsidRPr="00CB10AD">
              <w:rPr>
                <w:lang w:val="en-AU"/>
              </w:rPr>
              <w:t xml:space="preserve"> and community members) </w:t>
            </w:r>
            <w:r w:rsidRPr="00CB10AD">
              <w:rPr>
                <w:lang w:val="en-AU"/>
              </w:rPr>
              <w:t>in Madrasah quality improvement strategies</w:t>
            </w:r>
            <w:r w:rsidR="002933E6" w:rsidRPr="00CB10AD">
              <w:rPr>
                <w:lang w:val="en-AU"/>
              </w:rPr>
              <w:t xml:space="preserve"> (refer to §4.4.1)</w:t>
            </w:r>
          </w:p>
        </w:tc>
        <w:tc>
          <w:tcPr>
            <w:tcW w:w="350" w:type="pct"/>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 xml:space="preserve">SSQ (with POM support as required) </w:t>
            </w:r>
          </w:p>
        </w:tc>
      </w:tr>
      <w:tr w:rsidR="0024509E" w:rsidRPr="00CB10AD" w:rsidTr="004623D7">
        <w:trPr>
          <w:trHeight w:val="567"/>
        </w:trPr>
        <w:tc>
          <w:tcPr>
            <w:tcW w:w="5000" w:type="pct"/>
            <w:gridSpan w:val="3"/>
            <w:shd w:val="clear" w:color="auto" w:fill="DBE5F1" w:themeFill="accent1" w:themeFillTint="33"/>
            <w:vAlign w:val="center"/>
          </w:tcPr>
          <w:p w:rsidR="0024509E" w:rsidRPr="00CB10AD" w:rsidRDefault="0024509E" w:rsidP="004623D7">
            <w:pPr>
              <w:spacing w:before="120" w:after="120"/>
              <w:jc w:val="center"/>
              <w:rPr>
                <w:b/>
                <w:lang w:val="en-AU"/>
              </w:rPr>
            </w:pPr>
            <w:r w:rsidRPr="00CB10AD">
              <w:rPr>
                <w:b/>
                <w:lang w:val="en-AU"/>
              </w:rPr>
              <w:t>Component 4</w:t>
            </w:r>
          </w:p>
        </w:tc>
      </w:tr>
      <w:tr w:rsidR="0024509E" w:rsidRPr="00CB10AD" w:rsidTr="00DA1B0C">
        <w:trPr>
          <w:trHeight w:val="758"/>
        </w:trPr>
        <w:tc>
          <w:tcPr>
            <w:tcW w:w="3539" w:type="pct"/>
          </w:tcPr>
          <w:p w:rsidR="0024509E" w:rsidRPr="00CB10AD" w:rsidRDefault="0024509E" w:rsidP="00C27B28">
            <w:pPr>
              <w:spacing w:before="120"/>
              <w:ind w:left="459" w:hanging="450"/>
              <w:rPr>
                <w:lang w:val="en-AU"/>
              </w:rPr>
            </w:pPr>
            <w:r w:rsidRPr="00CB10AD">
              <w:rPr>
                <w:lang w:val="en-AU"/>
              </w:rPr>
              <w:t>R14: ACDP should continue to revise and diversify its product offering (activity types) such that it is responsive</w:t>
            </w:r>
            <w:r w:rsidR="00C27B28" w:rsidRPr="00CB10AD">
              <w:rPr>
                <w:lang w:val="en-AU"/>
              </w:rPr>
              <w:t xml:space="preserve"> and</w:t>
            </w:r>
            <w:r w:rsidRPr="00CB10AD">
              <w:rPr>
                <w:lang w:val="en-AU"/>
              </w:rPr>
              <w:t xml:space="preserve"> timely</w:t>
            </w:r>
            <w:r w:rsidR="00C27B28" w:rsidRPr="00CB10AD">
              <w:rPr>
                <w:lang w:val="en-AU"/>
              </w:rPr>
              <w:t>,</w:t>
            </w:r>
            <w:r w:rsidRPr="00CB10AD">
              <w:rPr>
                <w:lang w:val="en-AU"/>
              </w:rPr>
              <w:t xml:space="preserve"> and </w:t>
            </w:r>
            <w:r w:rsidR="00C27B28" w:rsidRPr="00CB10AD">
              <w:rPr>
                <w:lang w:val="en-AU"/>
              </w:rPr>
              <w:t xml:space="preserve">offers </w:t>
            </w:r>
            <w:r w:rsidRPr="00CB10AD">
              <w:rPr>
                <w:lang w:val="en-AU"/>
              </w:rPr>
              <w:t>value for money</w:t>
            </w:r>
            <w:r w:rsidR="002933E6" w:rsidRPr="00CB10AD">
              <w:rPr>
                <w:lang w:val="en-AU"/>
              </w:rPr>
              <w:t xml:space="preserve"> (refer to §5.4.2)</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680BDC">
            <w:pPr>
              <w:spacing w:before="120" w:after="120"/>
              <w:rPr>
                <w:lang w:val="en-AU"/>
              </w:rPr>
            </w:pPr>
            <w:r w:rsidRPr="00CB10AD">
              <w:rPr>
                <w:lang w:val="en-AU"/>
              </w:rPr>
              <w:t>ACDP (with guidance from the ATOG)</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 xml:space="preserve">R15: DFAT should better articulate how, when and why it seeks to gain strategic value from its investment in the ACDP </w:t>
            </w:r>
            <w:r w:rsidR="002933E6" w:rsidRPr="00CB10AD">
              <w:rPr>
                <w:lang w:val="en-AU"/>
              </w:rPr>
              <w:t>(refer to §5.4.3)</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after="120"/>
              <w:rPr>
                <w:lang w:val="en-AU"/>
              </w:rPr>
            </w:pPr>
            <w:r w:rsidRPr="00CB10AD">
              <w:rPr>
                <w:lang w:val="en-AU"/>
              </w:rPr>
              <w:t>DFAT (with ACDP support as required)</w:t>
            </w:r>
          </w:p>
        </w:tc>
      </w:tr>
      <w:tr w:rsidR="0024509E" w:rsidRPr="00CB10AD" w:rsidTr="00DA1B0C">
        <w:trPr>
          <w:trHeight w:val="758"/>
        </w:trPr>
        <w:tc>
          <w:tcPr>
            <w:tcW w:w="3539" w:type="pct"/>
          </w:tcPr>
          <w:p w:rsidR="0024509E" w:rsidRPr="00CB10AD" w:rsidRDefault="0024509E" w:rsidP="004623D7">
            <w:pPr>
              <w:spacing w:before="120"/>
              <w:ind w:left="459" w:hanging="450"/>
              <w:rPr>
                <w:lang w:val="en-AU"/>
              </w:rPr>
            </w:pPr>
            <w:r w:rsidRPr="00CB10AD">
              <w:rPr>
                <w:lang w:val="en-AU"/>
              </w:rPr>
              <w:t>R16: DFAT/ACDP should make a concerted effort to identify cross-component links and to flag relevant upcoming events</w:t>
            </w:r>
            <w:r w:rsidR="00C27B28" w:rsidRPr="00CB10AD">
              <w:rPr>
                <w:lang w:val="en-AU"/>
              </w:rPr>
              <w:t xml:space="preserve"> such that ACDP becomes a more integral part of the EP and that synergies are exploited. </w:t>
            </w:r>
            <w:r w:rsidR="002933E6" w:rsidRPr="00CB10AD">
              <w:rPr>
                <w:lang w:val="en-AU"/>
              </w:rPr>
              <w:t>(refer to §5.4.3)</w:t>
            </w:r>
          </w:p>
        </w:tc>
        <w:tc>
          <w:tcPr>
            <w:tcW w:w="350" w:type="pct"/>
            <w:tcBorders>
              <w:bottom w:val="single" w:sz="4" w:space="0" w:color="auto"/>
            </w:tcBorders>
            <w:shd w:val="clear" w:color="auto" w:fill="00B05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after="120"/>
              <w:rPr>
                <w:lang w:val="en-AU"/>
              </w:rPr>
            </w:pPr>
            <w:r w:rsidRPr="00CB10AD">
              <w:rPr>
                <w:lang w:val="en-AU"/>
              </w:rPr>
              <w:t>DFAT and ACDP Secretariat</w:t>
            </w:r>
          </w:p>
        </w:tc>
      </w:tr>
      <w:tr w:rsidR="0024509E" w:rsidRPr="00CB10AD" w:rsidTr="00DA1B0C">
        <w:trPr>
          <w:trHeight w:val="567"/>
        </w:trPr>
        <w:tc>
          <w:tcPr>
            <w:tcW w:w="5000" w:type="pct"/>
            <w:gridSpan w:val="3"/>
            <w:shd w:val="clear" w:color="auto" w:fill="DBE5F1" w:themeFill="accent1" w:themeFillTint="33"/>
            <w:vAlign w:val="center"/>
          </w:tcPr>
          <w:p w:rsidR="0024509E" w:rsidRPr="00CB10AD" w:rsidRDefault="0024509E" w:rsidP="00191A9B">
            <w:pPr>
              <w:spacing w:before="120" w:after="120"/>
              <w:jc w:val="center"/>
              <w:rPr>
                <w:b/>
                <w:lang w:val="en-AU"/>
              </w:rPr>
            </w:pPr>
            <w:r w:rsidRPr="00CB10AD">
              <w:rPr>
                <w:b/>
                <w:lang w:val="en-AU"/>
              </w:rPr>
              <w:lastRenderedPageBreak/>
              <w:t>Beneficiaries</w:t>
            </w:r>
          </w:p>
        </w:tc>
      </w:tr>
      <w:tr w:rsidR="0024509E" w:rsidRPr="00CB10AD" w:rsidTr="00DA1B0C">
        <w:trPr>
          <w:trHeight w:val="674"/>
        </w:trPr>
        <w:tc>
          <w:tcPr>
            <w:tcW w:w="3539" w:type="pct"/>
          </w:tcPr>
          <w:p w:rsidR="0024509E" w:rsidRPr="00CB10AD" w:rsidRDefault="0024509E" w:rsidP="002933E6">
            <w:pPr>
              <w:spacing w:before="120"/>
              <w:ind w:left="459" w:hanging="450"/>
              <w:rPr>
                <w:lang w:val="en-AU"/>
              </w:rPr>
            </w:pPr>
            <w:r w:rsidRPr="00CB10AD">
              <w:rPr>
                <w:lang w:val="en-AU"/>
              </w:rPr>
              <w:t xml:space="preserve">R17: Institutional partners should identify categories of beneficiaries whose targeting will increase the likelihood of EOPO achievement, and devise a targeting strategy for each component </w:t>
            </w:r>
            <w:r w:rsidR="002933E6" w:rsidRPr="00CB10AD">
              <w:rPr>
                <w:lang w:val="en-AU"/>
              </w:rPr>
              <w:t>(refer to §6.2.3)</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DFAT and institutional partners (with POM support as required)</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R18: Institutional partners should finalise and implement a social inclusion strategy that outlines objectives, boundaries, indicators and targets; and describes what the EP aspires to, i.e. what it should be doing, not just what it is doing</w:t>
            </w:r>
            <w:r w:rsidR="002933E6" w:rsidRPr="00CB10AD">
              <w:rPr>
                <w:lang w:val="en-AU"/>
              </w:rPr>
              <w:t xml:space="preserve"> (refer to §6.2.1)</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DFAT and institutional partners (with POM support as required)</w:t>
            </w:r>
          </w:p>
        </w:tc>
      </w:tr>
      <w:tr w:rsidR="0024509E" w:rsidRPr="00CB10AD" w:rsidTr="00DA1B0C">
        <w:trPr>
          <w:trHeight w:val="758"/>
        </w:trPr>
        <w:tc>
          <w:tcPr>
            <w:tcW w:w="3539" w:type="pct"/>
          </w:tcPr>
          <w:p w:rsidR="0024509E" w:rsidRPr="00CB10AD" w:rsidRDefault="0024509E" w:rsidP="00FF4A8F">
            <w:pPr>
              <w:spacing w:before="120"/>
              <w:ind w:left="459" w:hanging="450"/>
              <w:rPr>
                <w:lang w:val="en-AU"/>
              </w:rPr>
            </w:pPr>
            <w:r w:rsidRPr="00CB10AD">
              <w:rPr>
                <w:lang w:val="en-AU"/>
              </w:rPr>
              <w:t xml:space="preserve">R19: Institutional partners should clarify the extent to which equity is an objective of the EP and, </w:t>
            </w:r>
            <w:r w:rsidR="00FF4A8F" w:rsidRPr="00CB10AD">
              <w:rPr>
                <w:lang w:val="en-AU"/>
              </w:rPr>
              <w:t>where appropriate</w:t>
            </w:r>
            <w:r w:rsidRPr="00CB10AD">
              <w:rPr>
                <w:lang w:val="en-AU"/>
              </w:rPr>
              <w:t>, explore EP targeting objectives and review selection criteria and targeting mechanisms</w:t>
            </w:r>
            <w:r w:rsidR="002933E6" w:rsidRPr="00CB10AD">
              <w:rPr>
                <w:lang w:val="en-AU"/>
              </w:rPr>
              <w:t xml:space="preserve"> (refer to §6.2)</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60" w:after="60"/>
              <w:rPr>
                <w:lang w:val="en-AU"/>
              </w:rPr>
            </w:pPr>
            <w:r w:rsidRPr="00CB10AD">
              <w:rPr>
                <w:lang w:val="en-AU"/>
              </w:rPr>
              <w:t>DFAT and institutional partners (with POM support as required)</w:t>
            </w:r>
          </w:p>
        </w:tc>
      </w:tr>
      <w:tr w:rsidR="0024509E" w:rsidRPr="00CB10AD" w:rsidTr="004623D7">
        <w:trPr>
          <w:trHeight w:val="567"/>
        </w:trPr>
        <w:tc>
          <w:tcPr>
            <w:tcW w:w="5000" w:type="pct"/>
            <w:gridSpan w:val="3"/>
            <w:shd w:val="clear" w:color="auto" w:fill="DBE5F1" w:themeFill="accent1" w:themeFillTint="33"/>
            <w:vAlign w:val="center"/>
          </w:tcPr>
          <w:p w:rsidR="0024509E" w:rsidRPr="00CB10AD" w:rsidRDefault="0024509E" w:rsidP="004623D7">
            <w:pPr>
              <w:spacing w:before="120" w:after="120"/>
              <w:jc w:val="center"/>
              <w:rPr>
                <w:b/>
                <w:lang w:val="en-AU"/>
              </w:rPr>
            </w:pPr>
            <w:r w:rsidRPr="00CB10AD">
              <w:rPr>
                <w:b/>
                <w:lang w:val="en-AU"/>
              </w:rPr>
              <w:t>Management and Governance</w:t>
            </w:r>
          </w:p>
        </w:tc>
      </w:tr>
      <w:tr w:rsidR="0024509E" w:rsidRPr="00CB10AD" w:rsidTr="00DA1B0C">
        <w:trPr>
          <w:trHeight w:val="758"/>
        </w:trPr>
        <w:tc>
          <w:tcPr>
            <w:tcW w:w="3539" w:type="pct"/>
          </w:tcPr>
          <w:p w:rsidR="0024509E" w:rsidRPr="00CB10AD" w:rsidRDefault="0024509E" w:rsidP="00680BDC">
            <w:pPr>
              <w:spacing w:before="120"/>
              <w:ind w:left="459" w:hanging="450"/>
              <w:rPr>
                <w:lang w:val="en-AU"/>
              </w:rPr>
            </w:pPr>
            <w:r w:rsidRPr="00CB10AD">
              <w:rPr>
                <w:lang w:val="en-AU"/>
              </w:rPr>
              <w:t xml:space="preserve">R20: </w:t>
            </w:r>
            <w:r w:rsidR="00C27B28" w:rsidRPr="00CB10AD">
              <w:rPr>
                <w:lang w:val="en-AU"/>
              </w:rPr>
              <w:t xml:space="preserve">DFAT’s </w:t>
            </w:r>
            <w:r w:rsidRPr="00CB10AD">
              <w:rPr>
                <w:lang w:val="en-AU"/>
              </w:rPr>
              <w:t xml:space="preserve">management </w:t>
            </w:r>
            <w:r w:rsidR="00C27B28" w:rsidRPr="00CB10AD">
              <w:rPr>
                <w:lang w:val="en-AU"/>
              </w:rPr>
              <w:t xml:space="preserve">of the EP </w:t>
            </w:r>
            <w:r w:rsidRPr="00CB10AD">
              <w:rPr>
                <w:lang w:val="en-AU"/>
              </w:rPr>
              <w:t>should be more flexible and adaptive, i.e. be more forward looking (at opportunities) than backward-looking (at the EP design)</w:t>
            </w:r>
            <w:r w:rsidR="002933E6" w:rsidRPr="00CB10AD">
              <w:rPr>
                <w:lang w:val="en-AU"/>
              </w:rPr>
              <w:t xml:space="preserve"> (refer to §7.2.2)</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rPr>
                <w:lang w:val="en-AU"/>
              </w:rPr>
            </w:pPr>
            <w:r w:rsidRPr="00CB10AD">
              <w:rPr>
                <w:lang w:val="en-AU"/>
              </w:rPr>
              <w:t>DFAT</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R21: DFAT should prioritise (varied) strategic engagement with GoI: e.g. strategic discussion on C1 and C3; advocacy of current EP approach on C2; and broader policy engagement through C4</w:t>
            </w:r>
            <w:r w:rsidR="00CB10AD">
              <w:rPr>
                <w:lang w:val="en-AU"/>
              </w:rPr>
              <w:t xml:space="preserve"> </w:t>
            </w:r>
            <w:r w:rsidR="002933E6" w:rsidRPr="00CB10AD">
              <w:rPr>
                <w:lang w:val="en-AU"/>
              </w:rPr>
              <w:t>(refer to §7.2.2)</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rPr>
                <w:lang w:val="en-AU"/>
              </w:rPr>
            </w:pPr>
            <w:r w:rsidRPr="00CB10AD">
              <w:rPr>
                <w:lang w:val="en-AU"/>
              </w:rPr>
              <w:t>DFAT</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 xml:space="preserve">R22: The articulation and agreement on the EP logic and the finalisation and socialisation of the </w:t>
            </w:r>
            <w:r w:rsidR="00C27B28" w:rsidRPr="00CB10AD">
              <w:rPr>
                <w:lang w:val="en-AU"/>
              </w:rPr>
              <w:t>Performance Milestone Framework (</w:t>
            </w:r>
            <w:r w:rsidRPr="00CB10AD">
              <w:rPr>
                <w:lang w:val="en-AU"/>
              </w:rPr>
              <w:t>PMF</w:t>
            </w:r>
            <w:r w:rsidR="00C27B28" w:rsidRPr="00CB10AD">
              <w:rPr>
                <w:lang w:val="en-AU"/>
              </w:rPr>
              <w:t>)</w:t>
            </w:r>
            <w:r w:rsidRPr="00CB10AD">
              <w:rPr>
                <w:lang w:val="en-AU"/>
              </w:rPr>
              <w:t xml:space="preserve"> should be prioritised</w:t>
            </w:r>
            <w:r w:rsidR="002933E6" w:rsidRPr="00CB10AD">
              <w:rPr>
                <w:lang w:val="en-AU"/>
              </w:rPr>
              <w:t xml:space="preserve"> (refer to §7.2.3)</w:t>
            </w:r>
          </w:p>
        </w:tc>
        <w:tc>
          <w:tcPr>
            <w:tcW w:w="350" w:type="pct"/>
            <w:tcBorders>
              <w:bottom w:val="single" w:sz="4" w:space="0" w:color="auto"/>
            </w:tcBorders>
            <w:shd w:val="clear" w:color="auto" w:fill="FF0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rPr>
                <w:lang w:val="en-AU"/>
              </w:rPr>
            </w:pPr>
            <w:r w:rsidRPr="00CB10AD">
              <w:rPr>
                <w:lang w:val="en-AU"/>
              </w:rPr>
              <w:t>DFAT (with POM support)</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R23: Existing governance structures need to be more effectively engaged, utilizing performance evidence to inform strategic, higher-level decisions</w:t>
            </w:r>
            <w:r w:rsidR="002933E6" w:rsidRPr="00CB10AD">
              <w:rPr>
                <w:lang w:val="en-AU"/>
              </w:rPr>
              <w:t xml:space="preserve"> (refer to §7.2.4)</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rPr>
                <w:lang w:val="en-AU"/>
              </w:rPr>
            </w:pPr>
            <w:r w:rsidRPr="00CB10AD">
              <w:rPr>
                <w:lang w:val="en-AU"/>
              </w:rPr>
              <w:t>DFAT and GoI through GOG and TOGs</w:t>
            </w:r>
          </w:p>
        </w:tc>
      </w:tr>
      <w:tr w:rsidR="0024509E" w:rsidRPr="00CB10AD" w:rsidTr="00DA1B0C">
        <w:trPr>
          <w:trHeight w:val="758"/>
        </w:trPr>
        <w:tc>
          <w:tcPr>
            <w:tcW w:w="3539" w:type="pct"/>
          </w:tcPr>
          <w:p w:rsidR="0024509E" w:rsidRPr="00CB10AD" w:rsidRDefault="0024509E" w:rsidP="002933E6">
            <w:pPr>
              <w:spacing w:before="120"/>
              <w:ind w:left="459" w:hanging="450"/>
              <w:rPr>
                <w:lang w:val="en-AU"/>
              </w:rPr>
            </w:pPr>
            <w:r w:rsidRPr="00CB10AD">
              <w:rPr>
                <w:lang w:val="en-AU"/>
              </w:rPr>
              <w:t xml:space="preserve">R24: Institutional partners should identify potential for stronger linkages between POM and governance structures, possibly in a secretariat role </w:t>
            </w:r>
            <w:r w:rsidR="002933E6" w:rsidRPr="00CB10AD">
              <w:rPr>
                <w:lang w:val="en-AU"/>
              </w:rPr>
              <w:t>(refer to §7.2.4)</w:t>
            </w:r>
          </w:p>
        </w:tc>
        <w:tc>
          <w:tcPr>
            <w:tcW w:w="350" w:type="pct"/>
            <w:tcBorders>
              <w:bottom w:val="single" w:sz="4" w:space="0" w:color="auto"/>
            </w:tcBorders>
            <w:shd w:val="clear" w:color="auto" w:fill="FFC000"/>
            <w:vAlign w:val="center"/>
          </w:tcPr>
          <w:p w:rsidR="0024509E" w:rsidRPr="00CB10AD" w:rsidRDefault="00191A9B" w:rsidP="00DA1B0C">
            <w:pPr>
              <w:spacing w:before="60" w:after="60"/>
              <w:jc w:val="center"/>
              <w:rPr>
                <w:lang w:val="en-AU"/>
              </w:rPr>
            </w:pPr>
            <w:r w:rsidRPr="00CB10AD">
              <w:rPr>
                <w:lang w:val="en-AU"/>
              </w:rPr>
              <w:t>**</w:t>
            </w:r>
          </w:p>
        </w:tc>
        <w:tc>
          <w:tcPr>
            <w:tcW w:w="1111" w:type="pct"/>
          </w:tcPr>
          <w:p w:rsidR="0024509E" w:rsidRPr="00CB10AD" w:rsidRDefault="0024509E" w:rsidP="004623D7">
            <w:pPr>
              <w:spacing w:before="120"/>
              <w:rPr>
                <w:lang w:val="en-AU"/>
              </w:rPr>
            </w:pPr>
            <w:r w:rsidRPr="00CB10AD">
              <w:rPr>
                <w:lang w:val="en-AU"/>
              </w:rPr>
              <w:t>DFAT and GoI (with POM support)</w:t>
            </w:r>
          </w:p>
        </w:tc>
      </w:tr>
    </w:tbl>
    <w:p w:rsidR="0024509E" w:rsidRPr="00CB10AD" w:rsidRDefault="0024509E" w:rsidP="0024509E">
      <w:pPr>
        <w:rPr>
          <w:lang w:val="en-AU"/>
        </w:rPr>
      </w:pPr>
    </w:p>
    <w:p w:rsidR="0024509E" w:rsidRPr="00CB10AD" w:rsidRDefault="0024509E" w:rsidP="0024509E">
      <w:pPr>
        <w:rPr>
          <w:lang w:val="en-AU"/>
        </w:rPr>
      </w:pPr>
      <w:r w:rsidRPr="00CB10AD">
        <w:rPr>
          <w:i/>
          <w:lang w:val="en-AU"/>
        </w:rPr>
        <w:t>NB: Red</w:t>
      </w:r>
      <w:r w:rsidR="00191A9B" w:rsidRPr="00CB10AD">
        <w:rPr>
          <w:i/>
          <w:lang w:val="en-AU"/>
        </w:rPr>
        <w:t xml:space="preserve"> (***)</w:t>
      </w:r>
      <w:r w:rsidRPr="00CB10AD">
        <w:rPr>
          <w:i/>
          <w:lang w:val="en-AU"/>
        </w:rPr>
        <w:t xml:space="preserve"> - high urgency; Orange</w:t>
      </w:r>
      <w:r w:rsidR="00191A9B" w:rsidRPr="00CB10AD">
        <w:rPr>
          <w:i/>
          <w:lang w:val="en-AU"/>
        </w:rPr>
        <w:t xml:space="preserve"> (**)</w:t>
      </w:r>
      <w:r w:rsidRPr="00CB10AD">
        <w:rPr>
          <w:i/>
          <w:lang w:val="en-AU"/>
        </w:rPr>
        <w:t xml:space="preserve"> - medium urgency; Green</w:t>
      </w:r>
      <w:r w:rsidR="00191A9B" w:rsidRPr="00CB10AD">
        <w:rPr>
          <w:i/>
          <w:lang w:val="en-AU"/>
        </w:rPr>
        <w:t xml:space="preserve"> (*)</w:t>
      </w:r>
      <w:r w:rsidRPr="00CB10AD">
        <w:rPr>
          <w:i/>
          <w:lang w:val="en-AU"/>
        </w:rPr>
        <w:t xml:space="preserve"> - low urgency</w:t>
      </w:r>
    </w:p>
    <w:p w:rsidR="00045CAA" w:rsidRPr="00CB10AD" w:rsidRDefault="00045CAA" w:rsidP="00854A82">
      <w:pPr>
        <w:rPr>
          <w:lang w:val="en-AU"/>
        </w:rPr>
        <w:sectPr w:rsidR="00045CAA" w:rsidRPr="00CB10AD" w:rsidSect="00045CAA">
          <w:footnotePr>
            <w:numRestart w:val="eachSect"/>
          </w:footnotePr>
          <w:endnotePr>
            <w:numRestart w:val="eachSect"/>
          </w:endnotePr>
          <w:pgSz w:w="16834" w:h="11909" w:orient="landscape" w:code="9"/>
          <w:pgMar w:top="1440" w:right="1440" w:bottom="1440" w:left="1440" w:header="432" w:footer="720" w:gutter="0"/>
          <w:pgNumType w:fmt="lowerRoman"/>
          <w:cols w:space="720"/>
          <w:docGrid w:linePitch="360"/>
        </w:sectPr>
      </w:pPr>
    </w:p>
    <w:p w:rsidR="00045CAA" w:rsidRPr="00CB10AD" w:rsidRDefault="00045CAA" w:rsidP="00045CAA">
      <w:pPr>
        <w:rPr>
          <w:lang w:val="en-AU"/>
        </w:rPr>
      </w:pPr>
      <w:r w:rsidRPr="00CB10AD">
        <w:rPr>
          <w:noProof/>
          <w:color w:val="000000" w:themeColor="text1"/>
          <w:sz w:val="28"/>
          <w:szCs w:val="28"/>
          <w:lang w:val="en-AU" w:eastAsia="en-AU"/>
        </w:rPr>
        <w:lastRenderedPageBreak/>
        <w:drawing>
          <wp:anchor distT="0" distB="0" distL="114300" distR="114300" simplePos="0" relativeHeight="251672576" behindDoc="1" locked="0" layoutInCell="1" allowOverlap="1" wp14:anchorId="62781B55" wp14:editId="34BD8364">
            <wp:simplePos x="0" y="0"/>
            <wp:positionH relativeFrom="page">
              <wp:posOffset>-7620</wp:posOffset>
            </wp:positionH>
            <wp:positionV relativeFrom="page">
              <wp:posOffset>2540</wp:posOffset>
            </wp:positionV>
            <wp:extent cx="7580630" cy="10709275"/>
            <wp:effectExtent l="0" t="0" r="1270" b="0"/>
            <wp:wrapNone/>
            <wp:docPr id="11" name="Picture 11"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color w:val="FFFFFF" w:themeColor="background1"/>
          <w:sz w:val="36"/>
          <w:szCs w:val="36"/>
          <w:lang w:val="en-AU"/>
        </w:rPr>
      </w:pPr>
    </w:p>
    <w:p w:rsidR="00045CAA" w:rsidRPr="00CB10AD" w:rsidRDefault="00045CAA" w:rsidP="00045CAA">
      <w:pPr>
        <w:tabs>
          <w:tab w:val="left" w:pos="2977"/>
        </w:tabs>
        <w:ind w:left="2880"/>
        <w:rPr>
          <w:b/>
          <w:i/>
          <w:color w:val="FFFFFF" w:themeColor="background1"/>
          <w:sz w:val="32"/>
          <w:szCs w:val="32"/>
          <w:lang w:val="en-AU"/>
        </w:rPr>
      </w:pPr>
      <w:r w:rsidRPr="00CB10AD">
        <w:rPr>
          <w:b/>
          <w:color w:val="FFFFFF" w:themeColor="background1"/>
          <w:sz w:val="36"/>
          <w:szCs w:val="36"/>
          <w:lang w:val="en-AU"/>
        </w:rPr>
        <w:t>Introduction, Approach and Methodology</w:t>
      </w:r>
    </w:p>
    <w:p w:rsidR="00045CAA" w:rsidRPr="00CB10AD" w:rsidRDefault="00045CAA" w:rsidP="00854A82">
      <w:pPr>
        <w:rPr>
          <w:lang w:val="en-AU"/>
        </w:rPr>
        <w:sectPr w:rsidR="00045CAA" w:rsidRPr="00CB10AD" w:rsidSect="00396227">
          <w:headerReference w:type="default" r:id="rId25"/>
          <w:footerReference w:type="default" r:id="rId26"/>
          <w:footnotePr>
            <w:numRestart w:val="eachSect"/>
          </w:footnotePr>
          <w:endnotePr>
            <w:numRestart w:val="eachSect"/>
          </w:endnotePr>
          <w:type w:val="oddPage"/>
          <w:pgSz w:w="11909" w:h="16834" w:code="9"/>
          <w:pgMar w:top="1440" w:right="1440" w:bottom="1440" w:left="1440" w:header="432" w:footer="720" w:gutter="0"/>
          <w:pgNumType w:start="1"/>
          <w:cols w:space="720"/>
          <w:docGrid w:linePitch="360"/>
        </w:sectPr>
      </w:pPr>
    </w:p>
    <w:p w:rsidR="00396227" w:rsidRPr="00CB10AD" w:rsidRDefault="00396227" w:rsidP="00DF484F">
      <w:pPr>
        <w:pStyle w:val="Heading1"/>
        <w:spacing w:before="120" w:after="120"/>
        <w:ind w:hanging="720"/>
        <w:rPr>
          <w:b/>
          <w:sz w:val="28"/>
          <w:szCs w:val="28"/>
          <w:lang w:val="en-AU"/>
        </w:rPr>
      </w:pPr>
      <w:bookmarkStart w:id="8" w:name="_Toc372401475"/>
      <w:bookmarkStart w:id="9" w:name="_Toc388253135"/>
      <w:r w:rsidRPr="00CB10AD">
        <w:rPr>
          <w:b/>
          <w:sz w:val="28"/>
          <w:szCs w:val="28"/>
          <w:lang w:val="en-AU"/>
        </w:rPr>
        <w:lastRenderedPageBreak/>
        <w:t>Introduction</w:t>
      </w:r>
      <w:bookmarkEnd w:id="8"/>
      <w:bookmarkEnd w:id="9"/>
    </w:p>
    <w:p w:rsidR="00396227" w:rsidRPr="00CB10AD" w:rsidRDefault="00396227" w:rsidP="00111DD1">
      <w:pPr>
        <w:pStyle w:val="Heading2"/>
        <w:spacing w:before="120" w:after="120"/>
        <w:ind w:hanging="720"/>
        <w:rPr>
          <w:b/>
          <w:szCs w:val="24"/>
          <w:lang w:val="en-AU"/>
        </w:rPr>
      </w:pPr>
      <w:bookmarkStart w:id="10" w:name="_Toc372401476"/>
      <w:r w:rsidRPr="00CB10AD">
        <w:rPr>
          <w:b/>
          <w:szCs w:val="24"/>
          <w:lang w:val="en-AU"/>
        </w:rPr>
        <w:t>The Education Partnership</w:t>
      </w:r>
      <w:bookmarkEnd w:id="10"/>
      <w:r w:rsidRPr="00CB10AD">
        <w:rPr>
          <w:b/>
          <w:szCs w:val="24"/>
          <w:lang w:val="en-AU"/>
        </w:rPr>
        <w:t xml:space="preserve"> </w:t>
      </w:r>
    </w:p>
    <w:p w:rsidR="00396227" w:rsidRPr="00CB10AD" w:rsidRDefault="00396227"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 Government of Australia (GoA) has been investing in Indonesia’s basic education sector for a number of years, most notably through the flagship AUD 395 million Australia Indonesia Basic Education Program (AIBEP) (2006-2011) and now through the Australia-Indonesia Education Partnership (EP): a five-year, AUD 5</w:t>
      </w:r>
      <w:r w:rsidR="0022598A" w:rsidRPr="00CB10AD">
        <w:rPr>
          <w:rFonts w:asciiTheme="minorHAnsi" w:hAnsiTheme="minorHAnsi" w:cstheme="minorHAnsi"/>
          <w:lang w:val="en-AU"/>
        </w:rPr>
        <w:t>24</w:t>
      </w:r>
      <w:r w:rsidR="00CB10AD" w:rsidRPr="00CB10AD">
        <w:rPr>
          <w:rFonts w:asciiTheme="minorHAnsi" w:hAnsiTheme="minorHAnsi" w:cstheme="minorHAnsi"/>
          <w:lang w:val="en-AU"/>
        </w:rPr>
        <w:t xml:space="preserve"> million</w:t>
      </w:r>
      <w:r w:rsidR="0022598A" w:rsidRPr="00CB10AD">
        <w:rPr>
          <w:rStyle w:val="FootnoteReference"/>
          <w:rFonts w:cstheme="minorHAnsi"/>
          <w:lang w:val="en-AU"/>
        </w:rPr>
        <w:footnoteReference w:id="1"/>
      </w:r>
      <w:r w:rsidRPr="00CB10AD">
        <w:rPr>
          <w:rFonts w:asciiTheme="minorHAnsi" w:hAnsiTheme="minorHAnsi" w:cstheme="minorHAnsi"/>
          <w:lang w:val="en-AU"/>
        </w:rPr>
        <w:t xml:space="preserve"> program that operates from mid-2011 to mid-2016. </w:t>
      </w:r>
    </w:p>
    <w:p w:rsidR="00396227" w:rsidRPr="00CB10AD" w:rsidRDefault="00396227"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Australia is supporting the Government of Indonesia (GoI) to achieve its policy goals in relation to access, quality and governance of basic education (defined as primary and junior secondary education). The EP’s vision is to improve education service delivery in Indonesia. To achieve this, it focuses on three goals:</w:t>
      </w:r>
    </w:p>
    <w:p w:rsidR="00396227" w:rsidRPr="00CB10AD" w:rsidRDefault="00396227" w:rsidP="00944AA5">
      <w:pPr>
        <w:pStyle w:val="ListParagraph"/>
        <w:numPr>
          <w:ilvl w:val="0"/>
          <w:numId w:val="8"/>
        </w:numPr>
        <w:spacing w:before="120" w:after="120"/>
        <w:contextualSpacing w:val="0"/>
        <w:jc w:val="both"/>
        <w:rPr>
          <w:rFonts w:asciiTheme="minorHAnsi" w:hAnsiTheme="minorHAnsi" w:cstheme="minorHAnsi"/>
          <w:lang w:val="en-AU"/>
        </w:rPr>
      </w:pPr>
      <w:r w:rsidRPr="00CB10AD">
        <w:rPr>
          <w:rFonts w:asciiTheme="minorHAnsi" w:hAnsiTheme="minorHAnsi" w:cstheme="minorHAnsi"/>
          <w:lang w:val="en-AU"/>
        </w:rPr>
        <w:t xml:space="preserve">To increase participation in Junior Secondary Education (JSE) schooling. </w:t>
      </w:r>
    </w:p>
    <w:p w:rsidR="00396227" w:rsidRPr="00CB10AD" w:rsidRDefault="00396227" w:rsidP="00944AA5">
      <w:pPr>
        <w:pStyle w:val="ListParagraph"/>
        <w:numPr>
          <w:ilvl w:val="0"/>
          <w:numId w:val="8"/>
        </w:numPr>
        <w:spacing w:before="120" w:after="120"/>
        <w:contextualSpacing w:val="0"/>
        <w:jc w:val="both"/>
        <w:rPr>
          <w:rFonts w:asciiTheme="minorHAnsi" w:hAnsiTheme="minorHAnsi" w:cstheme="minorHAnsi"/>
          <w:lang w:val="en-AU"/>
        </w:rPr>
      </w:pPr>
      <w:r w:rsidRPr="00CB10AD">
        <w:rPr>
          <w:rFonts w:asciiTheme="minorHAnsi" w:hAnsiTheme="minorHAnsi" w:cstheme="minorHAnsi"/>
          <w:lang w:val="en-AU"/>
        </w:rPr>
        <w:t>To improve the quality of education in public and private schools, including Madrasah.</w:t>
      </w:r>
    </w:p>
    <w:p w:rsidR="00396227" w:rsidRPr="00CB10AD" w:rsidRDefault="00396227" w:rsidP="00944AA5">
      <w:pPr>
        <w:pStyle w:val="ListParagraph"/>
        <w:numPr>
          <w:ilvl w:val="0"/>
          <w:numId w:val="8"/>
        </w:numPr>
        <w:spacing w:before="120" w:after="120"/>
        <w:contextualSpacing w:val="0"/>
        <w:jc w:val="both"/>
        <w:rPr>
          <w:rFonts w:asciiTheme="minorHAnsi" w:hAnsiTheme="minorHAnsi" w:cstheme="minorHAnsi"/>
          <w:lang w:val="en-AU"/>
        </w:rPr>
      </w:pPr>
      <w:r w:rsidRPr="00CB10AD">
        <w:rPr>
          <w:rFonts w:asciiTheme="minorHAnsi" w:hAnsiTheme="minorHAnsi" w:cstheme="minorHAnsi"/>
          <w:lang w:val="en-AU"/>
        </w:rPr>
        <w:t>To improve sector governance through increased use of evidence for decision-making.</w:t>
      </w:r>
    </w:p>
    <w:p w:rsidR="00396227" w:rsidRPr="00CB10AD" w:rsidRDefault="00396227"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 EP recognizes that these goals are aspirational and are influenced by a multitude of factors, many of which are outside the control or even direct influence of the Partnership. As such, the EP focuses its effort on the attainment of four End-of-Partnership-Outcomes (EOPOs):</w:t>
      </w:r>
    </w:p>
    <w:p w:rsidR="00680BDC" w:rsidRPr="00CB10AD" w:rsidRDefault="00680BDC" w:rsidP="00680BDC">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 xml:space="preserve">Enrolment in JSE in </w:t>
      </w:r>
      <w:r>
        <w:rPr>
          <w:rFonts w:asciiTheme="minorHAnsi" w:eastAsia="Calibri" w:hAnsiTheme="minorHAnsi" w:cstheme="minorHAnsi"/>
          <w:szCs w:val="24"/>
          <w:lang w:val="en-AU" w:eastAsia="en-AU"/>
        </w:rPr>
        <w:t>participating</w:t>
      </w:r>
      <w:r w:rsidRPr="00CB10AD">
        <w:rPr>
          <w:rFonts w:asciiTheme="minorHAnsi" w:eastAsia="Calibri" w:hAnsiTheme="minorHAnsi" w:cstheme="minorHAnsi"/>
          <w:szCs w:val="24"/>
          <w:lang w:val="en-AU" w:eastAsia="en-AU"/>
        </w:rPr>
        <w:t xml:space="preserve"> districts increases (Component 1). </w:t>
      </w:r>
    </w:p>
    <w:p w:rsidR="00680BDC" w:rsidRPr="00CB10AD" w:rsidRDefault="00680BDC" w:rsidP="00680BDC">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Management of schools and Madrasah improves</w:t>
      </w:r>
      <w:r>
        <w:rPr>
          <w:rFonts w:asciiTheme="minorHAnsi" w:eastAsia="Calibri" w:hAnsiTheme="minorHAnsi" w:cstheme="minorHAnsi"/>
          <w:szCs w:val="24"/>
          <w:lang w:val="en-AU" w:eastAsia="en-AU"/>
        </w:rPr>
        <w:t xml:space="preserve"> in participating districts</w:t>
      </w:r>
      <w:r w:rsidRPr="00CB10AD">
        <w:rPr>
          <w:rFonts w:asciiTheme="minorHAnsi" w:eastAsia="Calibri" w:hAnsiTheme="minorHAnsi" w:cstheme="minorHAnsi"/>
          <w:szCs w:val="24"/>
          <w:lang w:val="en-AU" w:eastAsia="en-AU"/>
        </w:rPr>
        <w:t xml:space="preserve"> (Component 2). </w:t>
      </w:r>
    </w:p>
    <w:p w:rsidR="00680BDC" w:rsidRPr="00CB10AD" w:rsidRDefault="00680BDC" w:rsidP="00680BDC">
      <w:pPr>
        <w:numPr>
          <w:ilvl w:val="0"/>
          <w:numId w:val="8"/>
        </w:numPr>
        <w:spacing w:before="120" w:after="120" w:line="276" w:lineRule="auto"/>
        <w:jc w:val="both"/>
        <w:rPr>
          <w:rFonts w:asciiTheme="minorHAnsi" w:eastAsia="Calibri" w:hAnsiTheme="minorHAnsi" w:cstheme="minorHAnsi"/>
          <w:szCs w:val="24"/>
          <w:lang w:val="en-AU" w:eastAsia="en-AU"/>
        </w:rPr>
      </w:pPr>
      <w:r w:rsidRPr="00CB10AD">
        <w:rPr>
          <w:rFonts w:asciiTheme="minorHAnsi" w:eastAsia="Calibri" w:hAnsiTheme="minorHAnsi" w:cstheme="minorHAnsi"/>
          <w:szCs w:val="24"/>
          <w:lang w:val="en-AU" w:eastAsia="en-AU"/>
        </w:rPr>
        <w:t>Quality of Madrasah</w:t>
      </w:r>
      <w:r>
        <w:rPr>
          <w:rFonts w:asciiTheme="minorHAnsi" w:eastAsia="Calibri" w:hAnsiTheme="minorHAnsi" w:cstheme="minorHAnsi"/>
          <w:szCs w:val="24"/>
          <w:lang w:val="en-AU" w:eastAsia="en-AU"/>
        </w:rPr>
        <w:t xml:space="preserve"> service provision</w:t>
      </w:r>
      <w:r w:rsidRPr="00CB10AD">
        <w:rPr>
          <w:rFonts w:asciiTheme="minorHAnsi" w:eastAsia="Calibri" w:hAnsiTheme="minorHAnsi" w:cstheme="minorHAnsi"/>
          <w:szCs w:val="24"/>
          <w:lang w:val="en-AU" w:eastAsia="en-AU"/>
        </w:rPr>
        <w:t xml:space="preserve"> improves </w:t>
      </w:r>
      <w:r>
        <w:rPr>
          <w:rFonts w:asciiTheme="minorHAnsi" w:eastAsia="Calibri" w:hAnsiTheme="minorHAnsi" w:cstheme="minorHAnsi"/>
          <w:szCs w:val="24"/>
          <w:lang w:val="en-AU" w:eastAsia="en-AU"/>
        </w:rPr>
        <w:t>(</w:t>
      </w:r>
      <w:r w:rsidRPr="00CB10AD">
        <w:rPr>
          <w:rFonts w:asciiTheme="minorHAnsi" w:eastAsia="Calibri" w:hAnsiTheme="minorHAnsi" w:cstheme="minorHAnsi"/>
          <w:szCs w:val="24"/>
          <w:lang w:val="en-AU" w:eastAsia="en-AU"/>
        </w:rPr>
        <w:t>in line with National Education Standards</w:t>
      </w:r>
      <w:r>
        <w:rPr>
          <w:rFonts w:asciiTheme="minorHAnsi" w:eastAsia="Calibri" w:hAnsiTheme="minorHAnsi" w:cstheme="minorHAnsi"/>
          <w:szCs w:val="24"/>
          <w:lang w:val="en-AU" w:eastAsia="en-AU"/>
        </w:rPr>
        <w:t>) in targeted provinces</w:t>
      </w:r>
      <w:r w:rsidRPr="00CB10AD">
        <w:rPr>
          <w:rFonts w:asciiTheme="minorHAnsi" w:eastAsia="Calibri" w:hAnsiTheme="minorHAnsi" w:cstheme="minorHAnsi"/>
          <w:szCs w:val="24"/>
          <w:lang w:val="en-AU" w:eastAsia="en-AU"/>
        </w:rPr>
        <w:t xml:space="preserve"> (Component 3).</w:t>
      </w:r>
    </w:p>
    <w:p w:rsidR="00396227" w:rsidRPr="000649AC" w:rsidRDefault="00680BDC" w:rsidP="000649AC">
      <w:pPr>
        <w:numPr>
          <w:ilvl w:val="0"/>
          <w:numId w:val="8"/>
        </w:numPr>
        <w:spacing w:before="120" w:after="120" w:line="276" w:lineRule="auto"/>
        <w:jc w:val="both"/>
        <w:rPr>
          <w:rFonts w:asciiTheme="minorHAnsi" w:eastAsia="Calibri" w:hAnsiTheme="minorHAnsi" w:cstheme="minorHAnsi"/>
          <w:szCs w:val="24"/>
          <w:lang w:val="en-AU" w:eastAsia="en-AU"/>
        </w:rPr>
      </w:pPr>
      <w:r>
        <w:rPr>
          <w:rFonts w:asciiTheme="minorHAnsi" w:eastAsia="Calibri" w:hAnsiTheme="minorHAnsi" w:cstheme="minorHAnsi"/>
          <w:szCs w:val="24"/>
          <w:lang w:val="en-AU" w:eastAsia="en-AU"/>
        </w:rPr>
        <w:t>Participating p</w:t>
      </w:r>
      <w:r w:rsidRPr="00CB10AD">
        <w:rPr>
          <w:rFonts w:asciiTheme="minorHAnsi" w:eastAsia="Calibri" w:hAnsiTheme="minorHAnsi" w:cstheme="minorHAnsi"/>
          <w:szCs w:val="24"/>
          <w:lang w:val="en-AU" w:eastAsia="en-AU"/>
        </w:rPr>
        <w:t xml:space="preserve">olicy-makers utilize </w:t>
      </w:r>
      <w:r>
        <w:rPr>
          <w:rFonts w:asciiTheme="minorHAnsi" w:eastAsia="Calibri" w:hAnsiTheme="minorHAnsi" w:cstheme="minorHAnsi"/>
          <w:szCs w:val="24"/>
          <w:lang w:val="en-AU" w:eastAsia="en-AU"/>
        </w:rPr>
        <w:t xml:space="preserve">analytical work </w:t>
      </w:r>
      <w:r w:rsidRPr="00CB10AD">
        <w:rPr>
          <w:rFonts w:asciiTheme="minorHAnsi" w:eastAsia="Calibri" w:hAnsiTheme="minorHAnsi" w:cstheme="minorHAnsi"/>
          <w:szCs w:val="24"/>
          <w:lang w:val="en-AU" w:eastAsia="en-AU"/>
        </w:rPr>
        <w:t>to inform education sector policy, planning and budgeting (Component 4).</w:t>
      </w:r>
    </w:p>
    <w:p w:rsidR="00396227" w:rsidRPr="00CB10AD" w:rsidRDefault="00396227"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These EOPOs describe the highest level of change over which the EP has significant in</w:t>
      </w:r>
      <w:r w:rsidR="003454D1" w:rsidRPr="00CB10AD">
        <w:rPr>
          <w:rFonts w:asciiTheme="minorHAnsi" w:hAnsiTheme="minorHAnsi" w:cstheme="minorHAnsi"/>
          <w:lang w:val="en-AU"/>
        </w:rPr>
        <w:t xml:space="preserve">fluence (see </w:t>
      </w:r>
      <w:r w:rsidR="00817845" w:rsidRPr="00CB10AD">
        <w:rPr>
          <w:rFonts w:asciiTheme="minorHAnsi" w:hAnsiTheme="minorHAnsi" w:cstheme="minorHAnsi"/>
          <w:lang w:val="en-AU"/>
        </w:rPr>
        <w:t>the current</w:t>
      </w:r>
      <w:r w:rsidR="00680BDC">
        <w:rPr>
          <w:rStyle w:val="FootnoteReference"/>
          <w:rFonts w:cstheme="minorHAnsi"/>
          <w:lang w:val="en-AU"/>
        </w:rPr>
        <w:footnoteReference w:id="2"/>
      </w:r>
      <w:r w:rsidR="00817845" w:rsidRPr="00CB10AD">
        <w:rPr>
          <w:rFonts w:asciiTheme="minorHAnsi" w:hAnsiTheme="minorHAnsi" w:cstheme="minorHAnsi"/>
          <w:lang w:val="en-AU"/>
        </w:rPr>
        <w:t xml:space="preserve"> </w:t>
      </w:r>
      <w:r w:rsidR="00C7786C" w:rsidRPr="00CB10AD">
        <w:rPr>
          <w:rFonts w:asciiTheme="minorHAnsi" w:hAnsiTheme="minorHAnsi" w:cstheme="minorHAnsi"/>
          <w:lang w:val="en-AU"/>
        </w:rPr>
        <w:t>EP logic ar</w:t>
      </w:r>
      <w:r w:rsidR="00817845" w:rsidRPr="00CB10AD">
        <w:rPr>
          <w:rFonts w:asciiTheme="minorHAnsi" w:hAnsiTheme="minorHAnsi" w:cstheme="minorHAnsi"/>
          <w:lang w:val="en-AU"/>
        </w:rPr>
        <w:t xml:space="preserve">chitecture in </w:t>
      </w:r>
      <w:r w:rsidR="003454D1" w:rsidRPr="00CB10AD">
        <w:rPr>
          <w:rFonts w:asciiTheme="minorHAnsi" w:hAnsiTheme="minorHAnsi" w:cstheme="minorHAnsi"/>
          <w:lang w:val="en-AU"/>
        </w:rPr>
        <w:t xml:space="preserve">Annex </w:t>
      </w:r>
      <w:r w:rsidR="00517297" w:rsidRPr="00CB10AD">
        <w:rPr>
          <w:rFonts w:asciiTheme="minorHAnsi" w:hAnsiTheme="minorHAnsi" w:cstheme="minorHAnsi"/>
          <w:lang w:val="en-AU"/>
        </w:rPr>
        <w:t>I</w:t>
      </w:r>
      <w:r w:rsidRPr="00CB10AD">
        <w:rPr>
          <w:rFonts w:asciiTheme="minorHAnsi" w:hAnsiTheme="minorHAnsi" w:cstheme="minorHAnsi"/>
          <w:lang w:val="en-AU"/>
        </w:rPr>
        <w:t>). The EP uses various modalities to deliver its support, e.g. earmarked budget support (Components 1 and 2), project delivery (Component 3), and technical assistance to GoI agencies (Components 1-4). From late 2013, the majority of expenditure in Components 1 and 2 will be made through government systems.</w:t>
      </w:r>
    </w:p>
    <w:p w:rsidR="00C7786C" w:rsidRPr="00CB10AD" w:rsidRDefault="00C7786C" w:rsidP="00896DF8">
      <w:pPr>
        <w:spacing w:before="120" w:after="120" w:line="276" w:lineRule="auto"/>
        <w:jc w:val="both"/>
        <w:rPr>
          <w:rFonts w:asciiTheme="minorHAnsi" w:hAnsiTheme="minorHAnsi" w:cstheme="minorHAnsi"/>
          <w:lang w:val="en-AU"/>
        </w:rPr>
      </w:pPr>
    </w:p>
    <w:p w:rsidR="00396227" w:rsidRPr="00CB10AD" w:rsidRDefault="00396227" w:rsidP="005D2775">
      <w:pPr>
        <w:pStyle w:val="Heading2"/>
        <w:ind w:hanging="720"/>
        <w:rPr>
          <w:b/>
          <w:szCs w:val="24"/>
          <w:lang w:val="en-AU"/>
        </w:rPr>
      </w:pPr>
      <w:bookmarkStart w:id="11" w:name="_Toc372401477"/>
      <w:r w:rsidRPr="00CB10AD">
        <w:rPr>
          <w:b/>
          <w:szCs w:val="24"/>
          <w:lang w:val="en-AU"/>
        </w:rPr>
        <w:t xml:space="preserve">The Annual </w:t>
      </w:r>
      <w:r w:rsidR="00466FA8" w:rsidRPr="00CB10AD">
        <w:rPr>
          <w:b/>
          <w:szCs w:val="24"/>
          <w:lang w:val="en-AU"/>
        </w:rPr>
        <w:t>Partnership Performance</w:t>
      </w:r>
      <w:r w:rsidRPr="00CB10AD">
        <w:rPr>
          <w:b/>
          <w:szCs w:val="24"/>
          <w:lang w:val="en-AU"/>
        </w:rPr>
        <w:t xml:space="preserve"> Report</w:t>
      </w:r>
      <w:bookmarkEnd w:id="11"/>
    </w:p>
    <w:p w:rsidR="00396227" w:rsidRPr="00CB10AD" w:rsidRDefault="00396227" w:rsidP="00896DF8">
      <w:pPr>
        <w:pStyle w:val="Heading3"/>
        <w:spacing w:before="120" w:after="120"/>
        <w:ind w:left="709" w:hanging="709"/>
        <w:rPr>
          <w:lang w:val="en-AU"/>
        </w:rPr>
      </w:pPr>
      <w:bookmarkStart w:id="12" w:name="_Toc372401478"/>
      <w:r w:rsidRPr="00CB10AD">
        <w:rPr>
          <w:lang w:val="en-AU"/>
        </w:rPr>
        <w:t>Objective</w:t>
      </w:r>
      <w:bookmarkEnd w:id="12"/>
    </w:p>
    <w:p w:rsidR="00D64B25" w:rsidRPr="00CB10AD" w:rsidRDefault="00994C63"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EP remains Australia’s largest ever bilateral program. </w:t>
      </w:r>
      <w:r w:rsidR="00D64B25" w:rsidRPr="00CB10AD">
        <w:rPr>
          <w:rFonts w:asciiTheme="minorHAnsi" w:hAnsiTheme="minorHAnsi" w:cstheme="minorHAnsi"/>
          <w:lang w:val="en-AU"/>
        </w:rPr>
        <w:t xml:space="preserve">It is important that </w:t>
      </w:r>
      <w:r w:rsidRPr="00CB10AD">
        <w:rPr>
          <w:rFonts w:asciiTheme="minorHAnsi" w:hAnsiTheme="minorHAnsi" w:cstheme="minorHAnsi"/>
          <w:lang w:val="en-AU"/>
        </w:rPr>
        <w:t xml:space="preserve">the program generates significant ‘developmental return’, that </w:t>
      </w:r>
      <w:r w:rsidR="00D64B25" w:rsidRPr="00CB10AD">
        <w:rPr>
          <w:rFonts w:asciiTheme="minorHAnsi" w:hAnsiTheme="minorHAnsi" w:cstheme="minorHAnsi"/>
          <w:lang w:val="en-AU"/>
        </w:rPr>
        <w:t>implementation is carefully scrutinized, and that results and lessons are captured</w:t>
      </w:r>
      <w:r w:rsidRPr="00CB10AD">
        <w:rPr>
          <w:rFonts w:asciiTheme="minorHAnsi" w:hAnsiTheme="minorHAnsi" w:cstheme="minorHAnsi"/>
          <w:lang w:val="en-AU"/>
        </w:rPr>
        <w:t>,</w:t>
      </w:r>
      <w:r w:rsidR="00D64B25" w:rsidRPr="00CB10AD">
        <w:rPr>
          <w:rFonts w:asciiTheme="minorHAnsi" w:hAnsiTheme="minorHAnsi" w:cstheme="minorHAnsi"/>
          <w:lang w:val="en-AU"/>
        </w:rPr>
        <w:t xml:space="preserve"> shared</w:t>
      </w:r>
      <w:r w:rsidRPr="00CB10AD">
        <w:rPr>
          <w:rFonts w:asciiTheme="minorHAnsi" w:hAnsiTheme="minorHAnsi" w:cstheme="minorHAnsi"/>
          <w:lang w:val="en-AU"/>
        </w:rPr>
        <w:t xml:space="preserve"> and fed into decision-making processes</w:t>
      </w:r>
      <w:r w:rsidR="00D64B25" w:rsidRPr="00CB10AD">
        <w:rPr>
          <w:rFonts w:asciiTheme="minorHAnsi" w:hAnsiTheme="minorHAnsi" w:cstheme="minorHAnsi"/>
          <w:lang w:val="en-AU"/>
        </w:rPr>
        <w:t xml:space="preserve">. The EP Performance Oversight and Monitoring (POM) team is charged with generating timely evidence and actionable recommendations so that </w:t>
      </w:r>
      <w:r w:rsidR="00834CB4" w:rsidRPr="00CB10AD">
        <w:rPr>
          <w:rFonts w:asciiTheme="minorHAnsi" w:hAnsiTheme="minorHAnsi" w:cstheme="minorHAnsi"/>
          <w:lang w:val="en-AU"/>
        </w:rPr>
        <w:t xml:space="preserve">the </w:t>
      </w:r>
      <w:r w:rsidR="00E45CCB" w:rsidRPr="00CB10AD">
        <w:rPr>
          <w:rFonts w:asciiTheme="minorHAnsi" w:hAnsiTheme="minorHAnsi" w:cstheme="minorHAnsi"/>
          <w:lang w:val="en-AU"/>
        </w:rPr>
        <w:t>Australian Department for Foreign Affairs and Trade (</w:t>
      </w:r>
      <w:r w:rsidR="00D64B25" w:rsidRPr="00CB10AD">
        <w:rPr>
          <w:rFonts w:asciiTheme="minorHAnsi" w:hAnsiTheme="minorHAnsi" w:cstheme="minorHAnsi"/>
          <w:lang w:val="en-AU"/>
        </w:rPr>
        <w:t>DFAT</w:t>
      </w:r>
      <w:r w:rsidR="00E45CCB" w:rsidRPr="00CB10AD">
        <w:rPr>
          <w:rFonts w:asciiTheme="minorHAnsi" w:hAnsiTheme="minorHAnsi" w:cstheme="minorHAnsi"/>
          <w:lang w:val="en-AU"/>
        </w:rPr>
        <w:t>)</w:t>
      </w:r>
      <w:r w:rsidR="00D64B25" w:rsidRPr="00CB10AD">
        <w:rPr>
          <w:rFonts w:asciiTheme="minorHAnsi" w:hAnsiTheme="minorHAnsi" w:cstheme="minorHAnsi"/>
          <w:lang w:val="en-AU"/>
        </w:rPr>
        <w:t xml:space="preserve"> and its </w:t>
      </w:r>
      <w:r w:rsidR="00D64B25" w:rsidRPr="00CB10AD">
        <w:rPr>
          <w:rFonts w:asciiTheme="minorHAnsi" w:hAnsiTheme="minorHAnsi" w:cstheme="minorHAnsi"/>
          <w:lang w:val="en-AU"/>
        </w:rPr>
        <w:lastRenderedPageBreak/>
        <w:t>partners can safeguard Australia’s investment in the EP; improve EP management and implementation; strengthen education policy dialogue with the GoI; and guide future Australian investment in the Indonesian education sector.</w:t>
      </w:r>
    </w:p>
    <w:p w:rsidR="00BA0E69" w:rsidRPr="00CB10AD" w:rsidRDefault="00466FA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 Annual Partnership Performance Report (APPR)</w:t>
      </w:r>
      <w:r w:rsidR="00994C63" w:rsidRPr="00CB10AD">
        <w:rPr>
          <w:rFonts w:asciiTheme="minorHAnsi" w:hAnsiTheme="minorHAnsi" w:cstheme="minorHAnsi"/>
          <w:lang w:val="en-AU"/>
        </w:rPr>
        <w:t xml:space="preserve"> provides </w:t>
      </w:r>
      <w:r w:rsidR="00E45CCB" w:rsidRPr="00CB10AD">
        <w:rPr>
          <w:rFonts w:asciiTheme="minorHAnsi" w:hAnsiTheme="minorHAnsi" w:cstheme="minorHAnsi"/>
          <w:lang w:val="en-AU"/>
        </w:rPr>
        <w:t>a</w:t>
      </w:r>
      <w:r w:rsidR="0026072B" w:rsidRPr="00CB10AD">
        <w:rPr>
          <w:rFonts w:asciiTheme="minorHAnsi" w:hAnsiTheme="minorHAnsi" w:cstheme="minorHAnsi"/>
          <w:lang w:val="en-AU"/>
        </w:rPr>
        <w:t>n objective</w:t>
      </w:r>
      <w:r w:rsidR="00994C63" w:rsidRPr="00CB10AD">
        <w:rPr>
          <w:rFonts w:asciiTheme="minorHAnsi" w:hAnsiTheme="minorHAnsi" w:cstheme="minorHAnsi"/>
          <w:lang w:val="en-AU"/>
        </w:rPr>
        <w:t xml:space="preserve"> assessment of </w:t>
      </w:r>
      <w:r w:rsidR="00E45CCB" w:rsidRPr="00CB10AD">
        <w:rPr>
          <w:rFonts w:asciiTheme="minorHAnsi" w:hAnsiTheme="minorHAnsi" w:cstheme="minorHAnsi"/>
          <w:lang w:val="en-AU"/>
        </w:rPr>
        <w:t>program</w:t>
      </w:r>
      <w:r w:rsidR="00E935E4" w:rsidRPr="00CB10AD">
        <w:rPr>
          <w:rFonts w:asciiTheme="minorHAnsi" w:hAnsiTheme="minorHAnsi" w:cstheme="minorHAnsi"/>
          <w:lang w:val="en-AU"/>
        </w:rPr>
        <w:t xml:space="preserve"> </w:t>
      </w:r>
      <w:r w:rsidR="00C7786C" w:rsidRPr="00CB10AD">
        <w:rPr>
          <w:rFonts w:asciiTheme="minorHAnsi" w:hAnsiTheme="minorHAnsi" w:cstheme="minorHAnsi"/>
          <w:lang w:val="en-AU"/>
        </w:rPr>
        <w:t>achievements</w:t>
      </w:r>
      <w:r w:rsidR="00E935E4" w:rsidRPr="00CB10AD">
        <w:rPr>
          <w:rFonts w:asciiTheme="minorHAnsi" w:hAnsiTheme="minorHAnsi" w:cstheme="minorHAnsi"/>
          <w:lang w:val="en-AU"/>
        </w:rPr>
        <w:t>, weaknesses, opportunities and challenges</w:t>
      </w:r>
      <w:r w:rsidR="00E45CCB" w:rsidRPr="00CB10AD">
        <w:rPr>
          <w:rFonts w:asciiTheme="minorHAnsi" w:hAnsiTheme="minorHAnsi" w:cstheme="minorHAnsi"/>
          <w:lang w:val="en-AU"/>
        </w:rPr>
        <w:t xml:space="preserve">. As such, it speaks to </w:t>
      </w:r>
      <w:r w:rsidR="00E935E4" w:rsidRPr="00CB10AD">
        <w:rPr>
          <w:rFonts w:asciiTheme="minorHAnsi" w:hAnsiTheme="minorHAnsi" w:cstheme="minorHAnsi"/>
          <w:lang w:val="en-AU"/>
        </w:rPr>
        <w:t>DFAT’s aid scrutiny objectives, whilst also</w:t>
      </w:r>
      <w:r w:rsidR="00E45CCB" w:rsidRPr="00CB10AD">
        <w:rPr>
          <w:rFonts w:asciiTheme="minorHAnsi" w:hAnsiTheme="minorHAnsi" w:cstheme="minorHAnsi"/>
          <w:lang w:val="en-AU"/>
        </w:rPr>
        <w:t xml:space="preserve"> seeking to</w:t>
      </w:r>
      <w:r w:rsidR="00994C63" w:rsidRPr="00CB10AD">
        <w:rPr>
          <w:rFonts w:asciiTheme="minorHAnsi" w:hAnsiTheme="minorHAnsi" w:cstheme="minorHAnsi"/>
          <w:lang w:val="en-AU"/>
        </w:rPr>
        <w:t xml:space="preserve"> inform program management decisions and strategic </w:t>
      </w:r>
      <w:r w:rsidRPr="00CB10AD">
        <w:rPr>
          <w:rFonts w:asciiTheme="minorHAnsi" w:hAnsiTheme="minorHAnsi" w:cstheme="minorHAnsi"/>
          <w:lang w:val="en-AU"/>
        </w:rPr>
        <w:t>dialogue between</w:t>
      </w:r>
      <w:r w:rsidR="004A51AF" w:rsidRPr="00CB10AD">
        <w:rPr>
          <w:rFonts w:asciiTheme="minorHAnsi" w:hAnsiTheme="minorHAnsi" w:cstheme="minorHAnsi"/>
          <w:lang w:val="en-AU"/>
        </w:rPr>
        <w:t xml:space="preserve"> the Governments of Australia and</w:t>
      </w:r>
      <w:r w:rsidR="00C7786C" w:rsidRPr="00CB10AD">
        <w:rPr>
          <w:rFonts w:asciiTheme="minorHAnsi" w:hAnsiTheme="minorHAnsi" w:cstheme="minorHAnsi"/>
          <w:lang w:val="en-AU"/>
        </w:rPr>
        <w:t xml:space="preserve"> of</w:t>
      </w:r>
      <w:r w:rsidR="004A51AF" w:rsidRPr="00CB10AD">
        <w:rPr>
          <w:rFonts w:asciiTheme="minorHAnsi" w:hAnsiTheme="minorHAnsi" w:cstheme="minorHAnsi"/>
          <w:lang w:val="en-AU"/>
        </w:rPr>
        <w:t xml:space="preserve"> Indonesia</w:t>
      </w:r>
      <w:r w:rsidR="00994C63" w:rsidRPr="00CB10AD">
        <w:rPr>
          <w:rFonts w:asciiTheme="minorHAnsi" w:hAnsiTheme="minorHAnsi" w:cstheme="minorHAnsi"/>
          <w:lang w:val="en-AU"/>
        </w:rPr>
        <w:t xml:space="preserve"> about sector performance and emerging priorities</w:t>
      </w:r>
      <w:r w:rsidRPr="00CB10AD">
        <w:rPr>
          <w:rFonts w:asciiTheme="minorHAnsi" w:hAnsiTheme="minorHAnsi" w:cstheme="minorHAnsi"/>
          <w:lang w:val="en-AU"/>
        </w:rPr>
        <w:t xml:space="preserve">. </w:t>
      </w:r>
    </w:p>
    <w:p w:rsidR="00466FA8" w:rsidRPr="00CB10AD" w:rsidRDefault="00EF55A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report is written at a time of considerable change within the Australian Aid program. The change in Government in Australia in late 2013 is having significant ramifications on the delivery of development assistance. These will likely impact the EP in 2014 and beyond. Similarly, the consequences of the 2014 elections in Indonesia will need to be monitored closely. </w:t>
      </w:r>
    </w:p>
    <w:p w:rsidR="00062CCA" w:rsidRPr="00CB10AD" w:rsidRDefault="00E935E4"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 2013 APPR – POM’s second, full APPR of the EP</w:t>
      </w:r>
      <w:r w:rsidR="001469B9" w:rsidRPr="00CB10AD">
        <w:rPr>
          <w:rFonts w:asciiTheme="minorHAnsi" w:hAnsiTheme="minorHAnsi" w:cstheme="minorHAnsi"/>
          <w:lang w:val="en-AU"/>
        </w:rPr>
        <w:t xml:space="preserve"> </w:t>
      </w:r>
      <w:r w:rsidRPr="00CB10AD">
        <w:rPr>
          <w:rFonts w:asciiTheme="minorHAnsi" w:hAnsiTheme="minorHAnsi" w:cstheme="minorHAnsi"/>
          <w:lang w:val="en-AU"/>
        </w:rPr>
        <w:t xml:space="preserve">– </w:t>
      </w:r>
      <w:r w:rsidR="00466FA8" w:rsidRPr="00CB10AD">
        <w:rPr>
          <w:rFonts w:asciiTheme="minorHAnsi" w:hAnsiTheme="minorHAnsi" w:cstheme="minorHAnsi"/>
          <w:lang w:val="en-AU"/>
        </w:rPr>
        <w:t>report</w:t>
      </w:r>
      <w:r w:rsidR="00EE7DC4" w:rsidRPr="00CB10AD">
        <w:rPr>
          <w:rFonts w:asciiTheme="minorHAnsi" w:hAnsiTheme="minorHAnsi" w:cstheme="minorHAnsi"/>
          <w:lang w:val="en-AU"/>
        </w:rPr>
        <w:t>s and</w:t>
      </w:r>
      <w:r w:rsidR="00466FA8" w:rsidRPr="00CB10AD">
        <w:rPr>
          <w:rFonts w:asciiTheme="minorHAnsi" w:hAnsiTheme="minorHAnsi" w:cstheme="minorHAnsi"/>
          <w:lang w:val="en-AU"/>
        </w:rPr>
        <w:t xml:space="preserve"> </w:t>
      </w:r>
      <w:r w:rsidR="00062CCA" w:rsidRPr="00CB10AD">
        <w:rPr>
          <w:rFonts w:asciiTheme="minorHAnsi" w:hAnsiTheme="minorHAnsi" w:cstheme="minorHAnsi"/>
          <w:lang w:val="en-AU"/>
        </w:rPr>
        <w:t>analy</w:t>
      </w:r>
      <w:r w:rsidR="00896DF8" w:rsidRPr="00CB10AD">
        <w:rPr>
          <w:rFonts w:asciiTheme="minorHAnsi" w:hAnsiTheme="minorHAnsi" w:cstheme="minorHAnsi"/>
          <w:lang w:val="en-AU"/>
        </w:rPr>
        <w:t>s</w:t>
      </w:r>
      <w:r w:rsidR="00062CCA" w:rsidRPr="00CB10AD">
        <w:rPr>
          <w:rFonts w:asciiTheme="minorHAnsi" w:hAnsiTheme="minorHAnsi" w:cstheme="minorHAnsi"/>
          <w:lang w:val="en-AU"/>
        </w:rPr>
        <w:t>e</w:t>
      </w:r>
      <w:r w:rsidR="004A51AF" w:rsidRPr="00CB10AD">
        <w:rPr>
          <w:rFonts w:asciiTheme="minorHAnsi" w:hAnsiTheme="minorHAnsi" w:cstheme="minorHAnsi"/>
          <w:lang w:val="en-AU"/>
        </w:rPr>
        <w:t>s</w:t>
      </w:r>
      <w:r w:rsidR="00466FA8" w:rsidRPr="00CB10AD">
        <w:rPr>
          <w:rFonts w:asciiTheme="minorHAnsi" w:hAnsiTheme="minorHAnsi" w:cstheme="minorHAnsi"/>
          <w:lang w:val="en-AU"/>
        </w:rPr>
        <w:t xml:space="preserve"> </w:t>
      </w:r>
      <w:r w:rsidRPr="00CB10AD">
        <w:rPr>
          <w:rFonts w:asciiTheme="minorHAnsi" w:hAnsiTheme="minorHAnsi" w:cstheme="minorHAnsi"/>
          <w:lang w:val="en-AU"/>
        </w:rPr>
        <w:t>program performance in 2013</w:t>
      </w:r>
      <w:r w:rsidR="00466FA8" w:rsidRPr="00CB10AD">
        <w:rPr>
          <w:rFonts w:asciiTheme="minorHAnsi" w:hAnsiTheme="minorHAnsi" w:cstheme="minorHAnsi"/>
          <w:lang w:val="en-AU"/>
        </w:rPr>
        <w:t xml:space="preserve">. </w:t>
      </w:r>
      <w:r w:rsidR="004A51AF" w:rsidRPr="00CB10AD">
        <w:rPr>
          <w:rFonts w:asciiTheme="minorHAnsi" w:hAnsiTheme="minorHAnsi" w:cstheme="minorHAnsi"/>
          <w:lang w:val="en-AU"/>
        </w:rPr>
        <w:t>It</w:t>
      </w:r>
      <w:r w:rsidR="00062CCA" w:rsidRPr="00CB10AD">
        <w:rPr>
          <w:rFonts w:asciiTheme="minorHAnsi" w:hAnsiTheme="minorHAnsi" w:cstheme="minorHAnsi"/>
          <w:lang w:val="en-AU"/>
        </w:rPr>
        <w:t xml:space="preserve"> seeks to deliver:</w:t>
      </w:r>
    </w:p>
    <w:p w:rsidR="00BB3873" w:rsidRPr="00CB10AD" w:rsidRDefault="00062CCA" w:rsidP="002B6C03">
      <w:pPr>
        <w:pStyle w:val="ListParagraph"/>
        <w:numPr>
          <w:ilvl w:val="0"/>
          <w:numId w:val="16"/>
        </w:numPr>
        <w:spacing w:before="120" w:after="120"/>
        <w:jc w:val="both"/>
        <w:rPr>
          <w:rFonts w:asciiTheme="minorHAnsi" w:hAnsiTheme="minorHAnsi" w:cstheme="minorHAnsi"/>
          <w:lang w:val="en-AU"/>
        </w:rPr>
      </w:pPr>
      <w:r w:rsidRPr="00CB10AD">
        <w:rPr>
          <w:rFonts w:asciiTheme="minorHAnsi" w:hAnsiTheme="minorHAnsi" w:cstheme="minorHAnsi"/>
          <w:lang w:val="en-AU"/>
        </w:rPr>
        <w:t xml:space="preserve">A clear, </w:t>
      </w:r>
      <w:r w:rsidR="00BB3873" w:rsidRPr="00CB10AD">
        <w:rPr>
          <w:rFonts w:asciiTheme="minorHAnsi" w:hAnsiTheme="minorHAnsi" w:cstheme="minorHAnsi"/>
          <w:lang w:val="en-AU"/>
        </w:rPr>
        <w:t xml:space="preserve">concise and </w:t>
      </w:r>
      <w:r w:rsidRPr="00CB10AD">
        <w:rPr>
          <w:rFonts w:asciiTheme="minorHAnsi" w:hAnsiTheme="minorHAnsi" w:cstheme="minorHAnsi"/>
          <w:lang w:val="en-AU"/>
        </w:rPr>
        <w:t xml:space="preserve">evidence-informed picture of </w:t>
      </w:r>
      <w:r w:rsidR="00BB3873" w:rsidRPr="00CB10AD">
        <w:rPr>
          <w:rFonts w:asciiTheme="minorHAnsi" w:hAnsiTheme="minorHAnsi" w:cstheme="minorHAnsi"/>
          <w:lang w:val="en-AU"/>
        </w:rPr>
        <w:t xml:space="preserve">achievements </w:t>
      </w:r>
      <w:r w:rsidR="0026072B" w:rsidRPr="00CB10AD">
        <w:rPr>
          <w:rFonts w:asciiTheme="minorHAnsi" w:hAnsiTheme="minorHAnsi" w:cstheme="minorHAnsi"/>
          <w:lang w:val="en-AU"/>
        </w:rPr>
        <w:t>over the year</w:t>
      </w:r>
      <w:r w:rsidR="00BB3873" w:rsidRPr="00CB10AD">
        <w:rPr>
          <w:rFonts w:asciiTheme="minorHAnsi" w:hAnsiTheme="minorHAnsi" w:cstheme="minorHAnsi"/>
          <w:lang w:val="en-AU"/>
        </w:rPr>
        <w:t>.</w:t>
      </w:r>
    </w:p>
    <w:p w:rsidR="00062CCA" w:rsidRPr="00CB10AD" w:rsidRDefault="00BB3873" w:rsidP="002B6C03">
      <w:pPr>
        <w:pStyle w:val="ListParagraph"/>
        <w:numPr>
          <w:ilvl w:val="0"/>
          <w:numId w:val="16"/>
        </w:numPr>
        <w:spacing w:before="120" w:after="120"/>
        <w:jc w:val="both"/>
        <w:rPr>
          <w:rFonts w:asciiTheme="minorHAnsi" w:hAnsiTheme="minorHAnsi" w:cstheme="minorHAnsi"/>
          <w:lang w:val="en-AU"/>
        </w:rPr>
      </w:pPr>
      <w:r w:rsidRPr="00CB10AD">
        <w:rPr>
          <w:rFonts w:asciiTheme="minorHAnsi" w:hAnsiTheme="minorHAnsi" w:cstheme="minorHAnsi"/>
          <w:lang w:val="en-AU"/>
        </w:rPr>
        <w:t>A clear and concise commentary about concerns and possible challenges in 2014-16</w:t>
      </w:r>
      <w:r w:rsidR="00062CCA" w:rsidRPr="00CB10AD">
        <w:rPr>
          <w:rFonts w:asciiTheme="minorHAnsi" w:hAnsiTheme="minorHAnsi" w:cstheme="minorHAnsi"/>
          <w:lang w:val="en-AU"/>
        </w:rPr>
        <w:t>.</w:t>
      </w:r>
    </w:p>
    <w:p w:rsidR="00062CCA" w:rsidRPr="00CB10AD" w:rsidRDefault="00062CCA" w:rsidP="002B6C03">
      <w:pPr>
        <w:pStyle w:val="ListParagraph"/>
        <w:numPr>
          <w:ilvl w:val="0"/>
          <w:numId w:val="16"/>
        </w:numPr>
        <w:spacing w:before="120" w:after="120"/>
        <w:jc w:val="both"/>
        <w:rPr>
          <w:rFonts w:asciiTheme="minorHAnsi" w:hAnsiTheme="minorHAnsi" w:cstheme="minorHAnsi"/>
          <w:lang w:val="en-AU"/>
        </w:rPr>
      </w:pPr>
      <w:r w:rsidRPr="00CB10AD">
        <w:rPr>
          <w:rFonts w:asciiTheme="minorHAnsi" w:hAnsiTheme="minorHAnsi" w:cstheme="minorHAnsi"/>
          <w:lang w:val="en-AU"/>
        </w:rPr>
        <w:t>A set of action-oriented recommendations.</w:t>
      </w:r>
    </w:p>
    <w:p w:rsidR="00786C58" w:rsidRPr="00CB10AD" w:rsidRDefault="00786C58" w:rsidP="00896DF8">
      <w:pPr>
        <w:pStyle w:val="Heading3"/>
        <w:spacing w:before="120" w:after="120"/>
        <w:ind w:left="709" w:hanging="709"/>
        <w:rPr>
          <w:lang w:val="en-AU"/>
        </w:rPr>
      </w:pPr>
      <w:bookmarkStart w:id="13" w:name="_Toc372401483"/>
      <w:r w:rsidRPr="00CB10AD">
        <w:rPr>
          <w:lang w:val="en-AU"/>
        </w:rPr>
        <w:t>Approach</w:t>
      </w:r>
      <w:bookmarkEnd w:id="13"/>
    </w:p>
    <w:p w:rsidR="00F1558B" w:rsidRPr="00CB10AD" w:rsidRDefault="00426352" w:rsidP="0042635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POM’s analysis </w:t>
      </w:r>
      <w:r w:rsidR="00786C58" w:rsidRPr="00CB10AD">
        <w:rPr>
          <w:rFonts w:asciiTheme="minorHAnsi" w:hAnsiTheme="minorHAnsi" w:cstheme="minorHAnsi"/>
          <w:lang w:val="en-AU"/>
        </w:rPr>
        <w:t>of EP performance draws on OECD</w:t>
      </w:r>
      <w:r w:rsidRPr="00CB10AD">
        <w:rPr>
          <w:rFonts w:asciiTheme="minorHAnsi" w:hAnsiTheme="minorHAnsi" w:cstheme="minorHAnsi"/>
          <w:lang w:val="en-AU"/>
        </w:rPr>
        <w:t>’s</w:t>
      </w:r>
      <w:r w:rsidR="00786C58" w:rsidRPr="00CB10AD">
        <w:rPr>
          <w:rFonts w:asciiTheme="minorHAnsi" w:hAnsiTheme="minorHAnsi" w:cstheme="minorHAnsi"/>
          <w:lang w:val="en-AU"/>
        </w:rPr>
        <w:t xml:space="preserve"> DAC criteria</w:t>
      </w:r>
      <w:r w:rsidR="00F1558B" w:rsidRPr="00CB10AD">
        <w:rPr>
          <w:rFonts w:asciiTheme="minorHAnsi" w:hAnsiTheme="minorHAnsi" w:cstheme="minorHAnsi"/>
          <w:lang w:val="en-AU"/>
        </w:rPr>
        <w:t xml:space="preserve"> of</w:t>
      </w:r>
      <w:r w:rsidR="00786C58" w:rsidRPr="00CB10AD">
        <w:rPr>
          <w:rFonts w:asciiTheme="minorHAnsi" w:hAnsiTheme="minorHAnsi" w:cstheme="minorHAnsi"/>
          <w:lang w:val="en-AU"/>
        </w:rPr>
        <w:t xml:space="preserve"> </w:t>
      </w:r>
      <w:r w:rsidR="00517297" w:rsidRPr="00CB10AD">
        <w:rPr>
          <w:rFonts w:asciiTheme="minorHAnsi" w:hAnsiTheme="minorHAnsi" w:cstheme="minorHAnsi"/>
          <w:lang w:val="en-AU"/>
        </w:rPr>
        <w:t xml:space="preserve">relevance, </w:t>
      </w:r>
      <w:r w:rsidR="00786C58" w:rsidRPr="00CB10AD">
        <w:rPr>
          <w:rFonts w:asciiTheme="minorHAnsi" w:hAnsiTheme="minorHAnsi" w:cstheme="minorHAnsi"/>
          <w:lang w:val="en-AU"/>
        </w:rPr>
        <w:t xml:space="preserve">efficiency, effectiveness, impact and sustainability. </w:t>
      </w:r>
      <w:r w:rsidR="00EE7DC4" w:rsidRPr="00CB10AD">
        <w:rPr>
          <w:rFonts w:asciiTheme="minorHAnsi" w:hAnsiTheme="minorHAnsi" w:cstheme="minorHAnsi"/>
          <w:lang w:val="en-AU"/>
        </w:rPr>
        <w:t xml:space="preserve">As such, it also </w:t>
      </w:r>
      <w:r w:rsidRPr="00CB10AD">
        <w:rPr>
          <w:rFonts w:asciiTheme="minorHAnsi" w:hAnsiTheme="minorHAnsi" w:cstheme="minorHAnsi"/>
          <w:lang w:val="en-AU"/>
        </w:rPr>
        <w:t xml:space="preserve">speaks to the requirements of </w:t>
      </w:r>
      <w:r w:rsidR="00EE7DC4" w:rsidRPr="00CB10AD">
        <w:rPr>
          <w:rFonts w:asciiTheme="minorHAnsi" w:hAnsiTheme="minorHAnsi" w:cstheme="minorHAnsi"/>
          <w:lang w:val="en-AU"/>
        </w:rPr>
        <w:t xml:space="preserve">GoA’s </w:t>
      </w:r>
      <w:r w:rsidR="00517297" w:rsidRPr="00CB10AD">
        <w:rPr>
          <w:rFonts w:asciiTheme="minorHAnsi" w:hAnsiTheme="minorHAnsi" w:cstheme="minorHAnsi"/>
          <w:lang w:val="en-AU"/>
        </w:rPr>
        <w:t xml:space="preserve">Quality Reporting System (QRS) for both Quality at Implementation (QAI) and </w:t>
      </w:r>
      <w:r w:rsidR="00EE7DC4" w:rsidRPr="00CB10AD">
        <w:rPr>
          <w:rFonts w:asciiTheme="minorHAnsi" w:hAnsiTheme="minorHAnsi" w:cstheme="minorHAnsi"/>
          <w:lang w:val="en-AU"/>
        </w:rPr>
        <w:t>Independent Completion Reporting</w:t>
      </w:r>
      <w:r w:rsidR="00D31574" w:rsidRPr="00CB10AD">
        <w:rPr>
          <w:rFonts w:asciiTheme="minorHAnsi" w:hAnsiTheme="minorHAnsi" w:cstheme="minorHAnsi"/>
          <w:lang w:val="en-AU"/>
        </w:rPr>
        <w:t xml:space="preserve"> (ICR)</w:t>
      </w:r>
      <w:r w:rsidR="00EE7DC4" w:rsidRPr="00CB10AD">
        <w:rPr>
          <w:rFonts w:asciiTheme="minorHAnsi" w:hAnsiTheme="minorHAnsi" w:cstheme="minorHAnsi"/>
          <w:lang w:val="en-AU"/>
        </w:rPr>
        <w:t>.</w:t>
      </w:r>
      <w:r w:rsidR="001469B9" w:rsidRPr="00CB10AD">
        <w:rPr>
          <w:rFonts w:asciiTheme="minorHAnsi" w:hAnsiTheme="minorHAnsi" w:cstheme="minorHAnsi"/>
          <w:lang w:val="en-AU"/>
        </w:rPr>
        <w:t xml:space="preserve"> </w:t>
      </w:r>
      <w:r w:rsidR="005153F6" w:rsidRPr="00CB10AD">
        <w:rPr>
          <w:rFonts w:asciiTheme="minorHAnsi" w:hAnsiTheme="minorHAnsi" w:cstheme="minorHAnsi"/>
          <w:lang w:val="en-AU"/>
        </w:rPr>
        <w:t xml:space="preserve">Annex </w:t>
      </w:r>
      <w:r w:rsidR="007269E9">
        <w:rPr>
          <w:rFonts w:asciiTheme="minorHAnsi" w:hAnsiTheme="minorHAnsi" w:cstheme="minorHAnsi"/>
          <w:lang w:val="en-AU"/>
        </w:rPr>
        <w:t>I</w:t>
      </w:r>
      <w:r w:rsidR="007269E9" w:rsidRPr="00CB10AD">
        <w:rPr>
          <w:rFonts w:asciiTheme="minorHAnsi" w:hAnsiTheme="minorHAnsi" w:cstheme="minorHAnsi"/>
          <w:lang w:val="en-AU"/>
        </w:rPr>
        <w:t xml:space="preserve">I </w:t>
      </w:r>
      <w:r w:rsidR="005153F6" w:rsidRPr="00CB10AD">
        <w:rPr>
          <w:rFonts w:asciiTheme="minorHAnsi" w:hAnsiTheme="minorHAnsi" w:cstheme="minorHAnsi"/>
          <w:lang w:val="en-AU"/>
        </w:rPr>
        <w:t xml:space="preserve">explains the APPR interpretation of the DAC criteria and the Rating Scale used under the QRS and in this APPR is presented in Annex </w:t>
      </w:r>
      <w:r w:rsidR="007269E9">
        <w:rPr>
          <w:rFonts w:asciiTheme="minorHAnsi" w:hAnsiTheme="minorHAnsi" w:cstheme="minorHAnsi"/>
          <w:lang w:val="en-AU"/>
        </w:rPr>
        <w:t>I</w:t>
      </w:r>
      <w:r w:rsidR="005153F6" w:rsidRPr="00CB10AD">
        <w:rPr>
          <w:rFonts w:asciiTheme="minorHAnsi" w:hAnsiTheme="minorHAnsi" w:cstheme="minorHAnsi"/>
          <w:lang w:val="en-AU"/>
        </w:rPr>
        <w:t xml:space="preserve">II. </w:t>
      </w:r>
    </w:p>
    <w:p w:rsidR="00AC4C2B" w:rsidRPr="00CB10AD" w:rsidRDefault="001469B9" w:rsidP="0042635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This year’s APPR contains </w:t>
      </w:r>
      <w:r w:rsidR="00AC4C2B" w:rsidRPr="00CB10AD">
        <w:rPr>
          <w:rFonts w:asciiTheme="minorHAnsi" w:hAnsiTheme="minorHAnsi" w:cstheme="minorHAnsi"/>
          <w:lang w:val="en-AU"/>
        </w:rPr>
        <w:t>several structural and presentational changes</w:t>
      </w:r>
      <w:r w:rsidR="00BA0E69" w:rsidRPr="00CB10AD">
        <w:rPr>
          <w:rFonts w:asciiTheme="minorHAnsi" w:hAnsiTheme="minorHAnsi" w:cstheme="minorHAnsi"/>
          <w:lang w:val="en-AU"/>
        </w:rPr>
        <w:t xml:space="preserve"> to the 2012 APPR</w:t>
      </w:r>
      <w:r w:rsidR="00AC4C2B" w:rsidRPr="00CB10AD">
        <w:rPr>
          <w:rFonts w:asciiTheme="minorHAnsi" w:hAnsiTheme="minorHAnsi" w:cstheme="minorHAnsi"/>
          <w:lang w:val="en-AU"/>
        </w:rPr>
        <w:t>. Of note</w:t>
      </w:r>
      <w:r w:rsidRPr="00CB10AD">
        <w:rPr>
          <w:rFonts w:asciiTheme="minorHAnsi" w:hAnsiTheme="minorHAnsi" w:cstheme="minorHAnsi"/>
          <w:lang w:val="en-AU"/>
        </w:rPr>
        <w:t>:</w:t>
      </w:r>
    </w:p>
    <w:p w:rsidR="001469B9" w:rsidRPr="00CB10AD" w:rsidRDefault="00F1558B" w:rsidP="001D27D3">
      <w:pPr>
        <w:pStyle w:val="ListParagraph"/>
        <w:numPr>
          <w:ilvl w:val="0"/>
          <w:numId w:val="16"/>
        </w:numPr>
        <w:spacing w:before="120" w:after="120"/>
        <w:jc w:val="both"/>
        <w:rPr>
          <w:rFonts w:asciiTheme="minorHAnsi" w:hAnsiTheme="minorHAnsi" w:cstheme="minorHAnsi"/>
          <w:lang w:val="en-AU"/>
        </w:rPr>
      </w:pPr>
      <w:r w:rsidRPr="00CB10AD">
        <w:rPr>
          <w:rFonts w:asciiTheme="minorHAnsi" w:hAnsiTheme="minorHAnsi" w:cstheme="minorHAnsi"/>
          <w:lang w:val="en-AU"/>
        </w:rPr>
        <w:t>Every</w:t>
      </w:r>
      <w:r w:rsidR="00AC4C2B" w:rsidRPr="00CB10AD">
        <w:rPr>
          <w:rFonts w:asciiTheme="minorHAnsi" w:hAnsiTheme="minorHAnsi" w:cstheme="minorHAnsi"/>
          <w:lang w:val="en-AU"/>
        </w:rPr>
        <w:t xml:space="preserve"> EOPO section contains a</w:t>
      </w:r>
      <w:r w:rsidRPr="00CB10AD">
        <w:rPr>
          <w:rFonts w:asciiTheme="minorHAnsi" w:hAnsiTheme="minorHAnsi" w:cstheme="minorHAnsi"/>
          <w:lang w:val="en-AU"/>
        </w:rPr>
        <w:t xml:space="preserve"> dedicated</w:t>
      </w:r>
      <w:r w:rsidR="00AC4C2B" w:rsidRPr="00CB10AD">
        <w:rPr>
          <w:rFonts w:asciiTheme="minorHAnsi" w:hAnsiTheme="minorHAnsi" w:cstheme="minorHAnsi"/>
          <w:lang w:val="en-AU"/>
        </w:rPr>
        <w:t xml:space="preserve"> commentary on</w:t>
      </w:r>
      <w:r w:rsidRPr="00CB10AD">
        <w:rPr>
          <w:rFonts w:asciiTheme="minorHAnsi" w:hAnsiTheme="minorHAnsi" w:cstheme="minorHAnsi"/>
          <w:lang w:val="en-AU"/>
        </w:rPr>
        <w:t xml:space="preserve"> each of</w:t>
      </w:r>
      <w:r w:rsidR="00AC4C2B" w:rsidRPr="00CB10AD">
        <w:rPr>
          <w:rFonts w:asciiTheme="minorHAnsi" w:hAnsiTheme="minorHAnsi" w:cstheme="minorHAnsi"/>
          <w:lang w:val="en-AU"/>
        </w:rPr>
        <w:t xml:space="preserve"> the aforementioned DAC criteria</w:t>
      </w:r>
      <w:r w:rsidRPr="00CB10AD">
        <w:rPr>
          <w:rFonts w:asciiTheme="minorHAnsi" w:hAnsiTheme="minorHAnsi" w:cstheme="minorHAnsi"/>
          <w:lang w:val="en-AU"/>
        </w:rPr>
        <w:t>.</w:t>
      </w:r>
    </w:p>
    <w:p w:rsidR="00AC4C2B" w:rsidRPr="00CB10AD" w:rsidRDefault="00AC4C2B" w:rsidP="001D27D3">
      <w:pPr>
        <w:pStyle w:val="ListParagraph"/>
        <w:numPr>
          <w:ilvl w:val="0"/>
          <w:numId w:val="16"/>
        </w:numPr>
        <w:spacing w:before="120" w:after="120"/>
        <w:jc w:val="both"/>
        <w:rPr>
          <w:rFonts w:asciiTheme="minorHAnsi" w:hAnsiTheme="minorHAnsi" w:cstheme="minorHAnsi"/>
          <w:lang w:val="en-AU"/>
        </w:rPr>
      </w:pPr>
      <w:r w:rsidRPr="00CB10AD">
        <w:rPr>
          <w:rFonts w:asciiTheme="minorHAnsi" w:hAnsiTheme="minorHAnsi" w:cstheme="minorHAnsi"/>
          <w:lang w:val="en-AU"/>
        </w:rPr>
        <w:t>The performance of each EOPO is scored, using the same system and guidelines contained with</w:t>
      </w:r>
      <w:r w:rsidR="001D27D3" w:rsidRPr="00CB10AD">
        <w:rPr>
          <w:rFonts w:asciiTheme="minorHAnsi" w:hAnsiTheme="minorHAnsi" w:cstheme="minorHAnsi"/>
          <w:lang w:val="en-AU"/>
        </w:rPr>
        <w:t>in</w:t>
      </w:r>
      <w:r w:rsidRPr="00CB10AD">
        <w:rPr>
          <w:rFonts w:asciiTheme="minorHAnsi" w:hAnsiTheme="minorHAnsi" w:cstheme="minorHAnsi"/>
          <w:lang w:val="en-AU"/>
        </w:rPr>
        <w:t xml:space="preserve"> GoA’s ICR framework.</w:t>
      </w:r>
    </w:p>
    <w:p w:rsidR="00F1558B" w:rsidRPr="00CB10AD" w:rsidRDefault="00AC4C2B"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These changes </w:t>
      </w:r>
      <w:r w:rsidR="001469B9" w:rsidRPr="00CB10AD">
        <w:rPr>
          <w:rFonts w:asciiTheme="minorHAnsi" w:hAnsiTheme="minorHAnsi" w:cstheme="minorHAnsi"/>
          <w:lang w:val="en-AU"/>
        </w:rPr>
        <w:t xml:space="preserve">are regarded as being timely introductions given that the EP has </w:t>
      </w:r>
      <w:r w:rsidRPr="00CB10AD">
        <w:rPr>
          <w:rFonts w:asciiTheme="minorHAnsi" w:hAnsiTheme="minorHAnsi" w:cstheme="minorHAnsi"/>
          <w:lang w:val="en-AU"/>
        </w:rPr>
        <w:t>just passed its mid-</w:t>
      </w:r>
      <w:r w:rsidR="00834CB4" w:rsidRPr="00CB10AD">
        <w:rPr>
          <w:rFonts w:asciiTheme="minorHAnsi" w:hAnsiTheme="minorHAnsi" w:cstheme="minorHAnsi"/>
          <w:lang w:val="en-AU"/>
        </w:rPr>
        <w:t>p</w:t>
      </w:r>
      <w:r w:rsidRPr="00CB10AD">
        <w:rPr>
          <w:rFonts w:asciiTheme="minorHAnsi" w:hAnsiTheme="minorHAnsi" w:cstheme="minorHAnsi"/>
          <w:lang w:val="en-AU"/>
        </w:rPr>
        <w:t>oint</w:t>
      </w:r>
      <w:r w:rsidR="001469B9" w:rsidRPr="00CB10AD">
        <w:rPr>
          <w:rFonts w:asciiTheme="minorHAnsi" w:hAnsiTheme="minorHAnsi" w:cstheme="minorHAnsi"/>
          <w:lang w:val="en-AU"/>
        </w:rPr>
        <w:t xml:space="preserve">. </w:t>
      </w:r>
      <w:r w:rsidRPr="00CB10AD">
        <w:rPr>
          <w:rFonts w:asciiTheme="minorHAnsi" w:hAnsiTheme="minorHAnsi" w:cstheme="minorHAnsi"/>
          <w:lang w:val="en-AU"/>
        </w:rPr>
        <w:t>The scoring will enable improved tracking of performance from year-to-year. It also requires POM to respond to the need for clarity and justification.</w:t>
      </w:r>
      <w:r w:rsidR="00F1558B" w:rsidRPr="00CB10AD">
        <w:rPr>
          <w:rFonts w:asciiTheme="minorHAnsi" w:hAnsiTheme="minorHAnsi" w:cstheme="minorHAnsi"/>
          <w:lang w:val="en-AU"/>
        </w:rPr>
        <w:t xml:space="preserve"> Where it is too early to provide a defensible score,</w:t>
      </w:r>
      <w:r w:rsidR="001D27D3" w:rsidRPr="00CB10AD">
        <w:rPr>
          <w:rFonts w:asciiTheme="minorHAnsi" w:hAnsiTheme="minorHAnsi" w:cstheme="minorHAnsi"/>
          <w:lang w:val="en-AU"/>
        </w:rPr>
        <w:t xml:space="preserve"> which is frequently the case for </w:t>
      </w:r>
      <w:r w:rsidR="001D27D3" w:rsidRPr="00CB10AD">
        <w:rPr>
          <w:rFonts w:asciiTheme="minorHAnsi" w:hAnsiTheme="minorHAnsi" w:cstheme="minorHAnsi"/>
          <w:i/>
          <w:lang w:val="en-AU"/>
        </w:rPr>
        <w:t>impact,</w:t>
      </w:r>
      <w:r w:rsidR="00F1558B" w:rsidRPr="00CB10AD">
        <w:rPr>
          <w:rFonts w:asciiTheme="minorHAnsi" w:hAnsiTheme="minorHAnsi" w:cstheme="minorHAnsi"/>
          <w:lang w:val="en-AU"/>
        </w:rPr>
        <w:t xml:space="preserve"> the report indicates </w:t>
      </w:r>
      <w:r w:rsidR="001D27D3" w:rsidRPr="00CB10AD">
        <w:rPr>
          <w:rFonts w:asciiTheme="minorHAnsi" w:hAnsiTheme="minorHAnsi" w:cstheme="minorHAnsi"/>
          <w:lang w:val="en-AU"/>
        </w:rPr>
        <w:t>as much</w:t>
      </w:r>
      <w:r w:rsidR="00F1558B" w:rsidRPr="00CB10AD">
        <w:rPr>
          <w:rFonts w:asciiTheme="minorHAnsi" w:hAnsiTheme="minorHAnsi" w:cstheme="minorHAnsi"/>
          <w:lang w:val="en-AU"/>
        </w:rPr>
        <w:t xml:space="preserve">. In other cases, such as </w:t>
      </w:r>
      <w:r w:rsidR="001D27D3" w:rsidRPr="00CB10AD">
        <w:rPr>
          <w:rFonts w:asciiTheme="minorHAnsi" w:hAnsiTheme="minorHAnsi" w:cstheme="minorHAnsi"/>
          <w:lang w:val="en-AU"/>
        </w:rPr>
        <w:t xml:space="preserve">for </w:t>
      </w:r>
      <w:r w:rsidR="00F1558B" w:rsidRPr="00CB10AD">
        <w:rPr>
          <w:rFonts w:asciiTheme="minorHAnsi" w:hAnsiTheme="minorHAnsi" w:cstheme="minorHAnsi"/>
          <w:i/>
          <w:lang w:val="en-AU"/>
        </w:rPr>
        <w:t>effectiveness</w:t>
      </w:r>
      <w:r w:rsidR="00F1558B" w:rsidRPr="00CB10AD">
        <w:rPr>
          <w:rFonts w:asciiTheme="minorHAnsi" w:hAnsiTheme="minorHAnsi" w:cstheme="minorHAnsi"/>
          <w:lang w:val="en-AU"/>
        </w:rPr>
        <w:t xml:space="preserve"> and</w:t>
      </w:r>
      <w:r w:rsidR="001D27D3" w:rsidRPr="00CB10AD">
        <w:rPr>
          <w:rFonts w:asciiTheme="minorHAnsi" w:hAnsiTheme="minorHAnsi" w:cstheme="minorHAnsi"/>
          <w:lang w:val="en-AU"/>
        </w:rPr>
        <w:t xml:space="preserve"> for</w:t>
      </w:r>
      <w:r w:rsidR="00F1558B" w:rsidRPr="00CB10AD">
        <w:rPr>
          <w:rFonts w:asciiTheme="minorHAnsi" w:hAnsiTheme="minorHAnsi" w:cstheme="minorHAnsi"/>
          <w:lang w:val="en-AU"/>
        </w:rPr>
        <w:t xml:space="preserve"> </w:t>
      </w:r>
      <w:r w:rsidR="00F1558B" w:rsidRPr="00CB10AD">
        <w:rPr>
          <w:rFonts w:asciiTheme="minorHAnsi" w:hAnsiTheme="minorHAnsi" w:cstheme="minorHAnsi"/>
          <w:i/>
          <w:lang w:val="en-AU"/>
        </w:rPr>
        <w:t>sustainability</w:t>
      </w:r>
      <w:r w:rsidR="00F1558B" w:rsidRPr="00CB10AD">
        <w:rPr>
          <w:rFonts w:asciiTheme="minorHAnsi" w:hAnsiTheme="minorHAnsi" w:cstheme="minorHAnsi"/>
          <w:lang w:val="en-AU"/>
        </w:rPr>
        <w:t xml:space="preserve">, where several evidence sources may be unavailable until 2014 or 2015, POM has sought to </w:t>
      </w:r>
      <w:r w:rsidR="00E86489" w:rsidRPr="00CB10AD">
        <w:rPr>
          <w:rFonts w:asciiTheme="minorHAnsi" w:hAnsiTheme="minorHAnsi" w:cstheme="minorHAnsi"/>
          <w:lang w:val="en-AU"/>
        </w:rPr>
        <w:t>score probability</w:t>
      </w:r>
      <w:r w:rsidR="001D27D3" w:rsidRPr="00CB10AD">
        <w:rPr>
          <w:rFonts w:asciiTheme="minorHAnsi" w:hAnsiTheme="minorHAnsi" w:cstheme="minorHAnsi"/>
          <w:lang w:val="en-AU"/>
        </w:rPr>
        <w:t xml:space="preserve"> or likelihood</w:t>
      </w:r>
      <w:r w:rsidR="00E86489" w:rsidRPr="00CB10AD">
        <w:rPr>
          <w:rFonts w:asciiTheme="minorHAnsi" w:hAnsiTheme="minorHAnsi" w:cstheme="minorHAnsi"/>
          <w:lang w:val="en-AU"/>
        </w:rPr>
        <w:t xml:space="preserve">, using </w:t>
      </w:r>
      <w:r w:rsidR="00D31574" w:rsidRPr="00CB10AD">
        <w:rPr>
          <w:rFonts w:asciiTheme="minorHAnsi" w:hAnsiTheme="minorHAnsi" w:cstheme="minorHAnsi"/>
          <w:lang w:val="en-AU"/>
        </w:rPr>
        <w:t xml:space="preserve">the </w:t>
      </w:r>
      <w:r w:rsidR="00E86489" w:rsidRPr="00CB10AD">
        <w:rPr>
          <w:rFonts w:asciiTheme="minorHAnsi" w:hAnsiTheme="minorHAnsi" w:cstheme="minorHAnsi"/>
          <w:lang w:val="en-AU"/>
        </w:rPr>
        <w:t xml:space="preserve">evidence available. </w:t>
      </w:r>
      <w:r w:rsidR="00F1558B" w:rsidRPr="00CB10AD">
        <w:rPr>
          <w:rFonts w:asciiTheme="minorHAnsi" w:hAnsiTheme="minorHAnsi" w:cstheme="minorHAnsi"/>
          <w:lang w:val="en-AU"/>
        </w:rPr>
        <w:t>In all cases POM has scored the component</w:t>
      </w:r>
      <w:r w:rsidR="001D27D3" w:rsidRPr="00CB10AD">
        <w:rPr>
          <w:rFonts w:asciiTheme="minorHAnsi" w:hAnsiTheme="minorHAnsi" w:cstheme="minorHAnsi"/>
          <w:lang w:val="en-AU"/>
        </w:rPr>
        <w:t xml:space="preserve"> and</w:t>
      </w:r>
      <w:r w:rsidR="00F1558B" w:rsidRPr="00CB10AD">
        <w:rPr>
          <w:rFonts w:asciiTheme="minorHAnsi" w:hAnsiTheme="minorHAnsi" w:cstheme="minorHAnsi"/>
          <w:lang w:val="en-AU"/>
        </w:rPr>
        <w:t xml:space="preserve"> not the performance of individual implementing partners</w:t>
      </w:r>
      <w:r w:rsidR="00E86489" w:rsidRPr="00CB10AD">
        <w:rPr>
          <w:rFonts w:asciiTheme="minorHAnsi" w:hAnsiTheme="minorHAnsi" w:cstheme="minorHAnsi"/>
          <w:lang w:val="en-AU"/>
        </w:rPr>
        <w:t xml:space="preserve"> working within the component</w:t>
      </w:r>
      <w:r w:rsidR="00F1558B" w:rsidRPr="00CB10AD">
        <w:rPr>
          <w:rFonts w:asciiTheme="minorHAnsi" w:hAnsiTheme="minorHAnsi" w:cstheme="minorHAnsi"/>
          <w:lang w:val="en-AU"/>
        </w:rPr>
        <w:t>.</w:t>
      </w:r>
      <w:r w:rsidR="00ED2DDA" w:rsidRPr="00CB10AD">
        <w:rPr>
          <w:rFonts w:asciiTheme="minorHAnsi" w:hAnsiTheme="minorHAnsi" w:cstheme="minorHAnsi"/>
          <w:lang w:val="en-AU"/>
        </w:rPr>
        <w:t xml:space="preserve"> </w:t>
      </w:r>
    </w:p>
    <w:p w:rsidR="00786C58" w:rsidRPr="00CB10AD" w:rsidRDefault="00786C58" w:rsidP="00896DF8">
      <w:pPr>
        <w:pStyle w:val="Heading3"/>
        <w:spacing w:before="120" w:after="120"/>
        <w:ind w:left="709" w:hanging="709"/>
        <w:rPr>
          <w:lang w:val="en-AU"/>
        </w:rPr>
      </w:pPr>
      <w:bookmarkStart w:id="14" w:name="_Toc372401484"/>
      <w:r w:rsidRPr="00CB10AD">
        <w:rPr>
          <w:lang w:val="en-AU"/>
        </w:rPr>
        <w:t>Methodology</w:t>
      </w:r>
      <w:bookmarkEnd w:id="14"/>
    </w:p>
    <w:p w:rsidR="00786C58" w:rsidRPr="00CB10AD" w:rsidRDefault="00786C5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w:t>
      </w:r>
      <w:r w:rsidR="00E86489" w:rsidRPr="00CB10AD">
        <w:rPr>
          <w:rFonts w:asciiTheme="minorHAnsi" w:hAnsiTheme="minorHAnsi" w:cstheme="minorHAnsi"/>
          <w:lang w:val="en-AU"/>
        </w:rPr>
        <w:t xml:space="preserve">APPR assessment process </w:t>
      </w:r>
      <w:r w:rsidRPr="00CB10AD">
        <w:rPr>
          <w:rFonts w:asciiTheme="minorHAnsi" w:hAnsiTheme="minorHAnsi" w:cstheme="minorHAnsi"/>
          <w:lang w:val="en-AU"/>
        </w:rPr>
        <w:t xml:space="preserve">was conducted in October-December 2013. </w:t>
      </w:r>
      <w:r w:rsidR="00E86489" w:rsidRPr="00CB10AD">
        <w:rPr>
          <w:rFonts w:asciiTheme="minorHAnsi" w:hAnsiTheme="minorHAnsi" w:cstheme="minorHAnsi"/>
          <w:lang w:val="en-AU"/>
        </w:rPr>
        <w:t>It contained</w:t>
      </w:r>
      <w:r w:rsidRPr="00CB10AD">
        <w:rPr>
          <w:rFonts w:asciiTheme="minorHAnsi" w:hAnsiTheme="minorHAnsi" w:cstheme="minorHAnsi"/>
          <w:lang w:val="en-AU"/>
        </w:rPr>
        <w:t xml:space="preserve"> six key steps:</w:t>
      </w:r>
    </w:p>
    <w:p w:rsidR="00786C58" w:rsidRPr="00CB10AD" w:rsidRDefault="00786C58" w:rsidP="00944AA5">
      <w:pPr>
        <w:numPr>
          <w:ilvl w:val="0"/>
          <w:numId w:val="10"/>
        </w:numPr>
        <w:spacing w:before="120" w:after="120" w:line="276" w:lineRule="auto"/>
        <w:ind w:left="714" w:hanging="357"/>
        <w:jc w:val="both"/>
        <w:rPr>
          <w:rFonts w:asciiTheme="minorHAnsi" w:eastAsiaTheme="minorHAnsi" w:hAnsiTheme="minorHAnsi" w:cstheme="minorBidi"/>
          <w:b/>
          <w:sz w:val="24"/>
          <w:lang w:val="en-AU"/>
        </w:rPr>
      </w:pPr>
      <w:r w:rsidRPr="00CB10AD">
        <w:rPr>
          <w:b/>
          <w:lang w:val="en-AU"/>
        </w:rPr>
        <w:lastRenderedPageBreak/>
        <w:t>Step 1: A desk review and screening</w:t>
      </w:r>
      <w:r w:rsidRPr="00CB10AD">
        <w:rPr>
          <w:lang w:val="en-AU"/>
        </w:rPr>
        <w:t xml:space="preserve"> </w:t>
      </w:r>
      <w:r w:rsidRPr="00CB10AD">
        <w:rPr>
          <w:szCs w:val="20"/>
          <w:lang w:val="en-AU"/>
        </w:rPr>
        <w:t xml:space="preserve">of </w:t>
      </w:r>
      <w:r w:rsidRPr="00CB10AD">
        <w:rPr>
          <w:lang w:val="en-AU"/>
        </w:rPr>
        <w:t xml:space="preserve">every report related to EP performance </w:t>
      </w:r>
      <w:r w:rsidR="00183584" w:rsidRPr="00CB10AD">
        <w:rPr>
          <w:lang w:val="en-AU"/>
        </w:rPr>
        <w:t xml:space="preserve">that was </w:t>
      </w:r>
      <w:r w:rsidRPr="00CB10AD">
        <w:rPr>
          <w:lang w:val="en-AU"/>
        </w:rPr>
        <w:t>submitted or received by POM</w:t>
      </w:r>
      <w:r w:rsidR="00D31574" w:rsidRPr="00CB10AD">
        <w:rPr>
          <w:lang w:val="en-AU"/>
        </w:rPr>
        <w:t xml:space="preserve"> in 2013</w:t>
      </w:r>
      <w:r w:rsidRPr="00CB10AD">
        <w:rPr>
          <w:lang w:val="en-AU"/>
        </w:rPr>
        <w:t xml:space="preserve"> (see Annex </w:t>
      </w:r>
      <w:r w:rsidR="00517297" w:rsidRPr="00CB10AD">
        <w:rPr>
          <w:lang w:val="en-AU"/>
        </w:rPr>
        <w:t>I</w:t>
      </w:r>
      <w:r w:rsidR="007269E9">
        <w:rPr>
          <w:lang w:val="en-AU"/>
        </w:rPr>
        <w:t>V</w:t>
      </w:r>
      <w:r w:rsidRPr="00CB10AD">
        <w:rPr>
          <w:lang w:val="en-AU"/>
        </w:rPr>
        <w:t>)</w:t>
      </w:r>
      <w:r w:rsidRPr="00CB10AD">
        <w:rPr>
          <w:szCs w:val="20"/>
          <w:lang w:val="en-AU"/>
        </w:rPr>
        <w:t xml:space="preserve">. </w:t>
      </w:r>
      <w:r w:rsidRPr="00CB10AD">
        <w:rPr>
          <w:lang w:val="en-AU"/>
        </w:rPr>
        <w:t>All documents were screened through the lens of the EP analytical framework (</w:t>
      </w:r>
      <w:r w:rsidRPr="00CB10AD">
        <w:rPr>
          <w:szCs w:val="20"/>
          <w:lang w:val="en-AU"/>
        </w:rPr>
        <w:t xml:space="preserve">see Annex </w:t>
      </w:r>
      <w:r w:rsidR="007269E9">
        <w:rPr>
          <w:szCs w:val="20"/>
          <w:lang w:val="en-AU"/>
        </w:rPr>
        <w:t>V</w:t>
      </w:r>
      <w:r w:rsidRPr="00CB10AD">
        <w:rPr>
          <w:szCs w:val="20"/>
          <w:lang w:val="en-AU"/>
        </w:rPr>
        <w:t xml:space="preserve"> for further details).</w:t>
      </w:r>
    </w:p>
    <w:p w:rsidR="00786C58" w:rsidRPr="00CB10AD" w:rsidRDefault="00786C58" w:rsidP="00944AA5">
      <w:pPr>
        <w:numPr>
          <w:ilvl w:val="0"/>
          <w:numId w:val="10"/>
        </w:numPr>
        <w:spacing w:before="120" w:after="120" w:line="276" w:lineRule="auto"/>
        <w:ind w:left="714" w:hanging="357"/>
        <w:jc w:val="both"/>
        <w:rPr>
          <w:lang w:val="en-AU"/>
        </w:rPr>
      </w:pPr>
      <w:r w:rsidRPr="00CB10AD">
        <w:rPr>
          <w:b/>
          <w:lang w:val="en-AU"/>
        </w:rPr>
        <w:t xml:space="preserve">Step </w:t>
      </w:r>
      <w:r w:rsidR="00D24E8C">
        <w:rPr>
          <w:b/>
          <w:lang w:val="en-AU"/>
        </w:rPr>
        <w:t>2</w:t>
      </w:r>
      <w:r w:rsidRPr="00CB10AD">
        <w:rPr>
          <w:b/>
          <w:lang w:val="en-AU"/>
        </w:rPr>
        <w:t>: Semi-structured interviews with key informants</w:t>
      </w:r>
      <w:r w:rsidR="00E86489" w:rsidRPr="00CB10AD">
        <w:rPr>
          <w:lang w:val="en-AU"/>
        </w:rPr>
        <w:t xml:space="preserve">, with a view to further developing and testing </w:t>
      </w:r>
      <w:r w:rsidRPr="00CB10AD">
        <w:rPr>
          <w:lang w:val="en-AU"/>
        </w:rPr>
        <w:t xml:space="preserve">POM’s understanding of key matters. Lines of enquiry drew on insights gleaned from the desk review. (See Annex </w:t>
      </w:r>
      <w:r w:rsidR="00517297" w:rsidRPr="00CB10AD">
        <w:rPr>
          <w:lang w:val="en-AU"/>
        </w:rPr>
        <w:t>V</w:t>
      </w:r>
      <w:r w:rsidR="007269E9">
        <w:rPr>
          <w:lang w:val="en-AU"/>
        </w:rPr>
        <w:t>I</w:t>
      </w:r>
      <w:r w:rsidRPr="00CB10AD">
        <w:rPr>
          <w:lang w:val="en-AU"/>
        </w:rPr>
        <w:t xml:space="preserve"> for a list of persons consulted). </w:t>
      </w:r>
    </w:p>
    <w:p w:rsidR="00786C58" w:rsidRPr="00CB10AD" w:rsidRDefault="00786C58" w:rsidP="00944AA5">
      <w:pPr>
        <w:numPr>
          <w:ilvl w:val="0"/>
          <w:numId w:val="10"/>
        </w:numPr>
        <w:spacing w:before="120" w:after="120" w:line="276" w:lineRule="auto"/>
        <w:ind w:left="714" w:hanging="357"/>
        <w:jc w:val="both"/>
        <w:rPr>
          <w:lang w:val="en-AU"/>
        </w:rPr>
      </w:pPr>
      <w:r w:rsidRPr="00CB10AD">
        <w:rPr>
          <w:b/>
          <w:lang w:val="en-AU"/>
        </w:rPr>
        <w:t xml:space="preserve">Step </w:t>
      </w:r>
      <w:r w:rsidR="00D24E8C">
        <w:rPr>
          <w:b/>
          <w:lang w:val="en-AU"/>
        </w:rPr>
        <w:t>3</w:t>
      </w:r>
      <w:r w:rsidRPr="00CB10AD">
        <w:rPr>
          <w:b/>
          <w:lang w:val="en-AU"/>
        </w:rPr>
        <w:t xml:space="preserve">: An internal </w:t>
      </w:r>
      <w:r w:rsidR="00183584" w:rsidRPr="00CB10AD">
        <w:rPr>
          <w:b/>
          <w:lang w:val="en-AU"/>
        </w:rPr>
        <w:t xml:space="preserve">POM APPR </w:t>
      </w:r>
      <w:r w:rsidRPr="00CB10AD">
        <w:rPr>
          <w:b/>
          <w:lang w:val="en-AU"/>
        </w:rPr>
        <w:t xml:space="preserve">workshop </w:t>
      </w:r>
      <w:r w:rsidRPr="00CB10AD">
        <w:rPr>
          <w:lang w:val="en-AU"/>
        </w:rPr>
        <w:t xml:space="preserve">in mid-November during which </w:t>
      </w:r>
      <w:r w:rsidR="00183584" w:rsidRPr="00CB10AD">
        <w:rPr>
          <w:lang w:val="en-AU"/>
        </w:rPr>
        <w:t xml:space="preserve">POM staff identified and discussed </w:t>
      </w:r>
      <w:r w:rsidRPr="00CB10AD">
        <w:rPr>
          <w:lang w:val="en-AU"/>
        </w:rPr>
        <w:t xml:space="preserve">key findings, messages and implications. </w:t>
      </w:r>
    </w:p>
    <w:p w:rsidR="00786C58" w:rsidRPr="00CB10AD" w:rsidRDefault="00786C58" w:rsidP="00944AA5">
      <w:pPr>
        <w:numPr>
          <w:ilvl w:val="0"/>
          <w:numId w:val="10"/>
        </w:numPr>
        <w:spacing w:before="120" w:after="120" w:line="276" w:lineRule="auto"/>
        <w:ind w:left="714" w:hanging="357"/>
        <w:jc w:val="both"/>
        <w:rPr>
          <w:lang w:val="en-AU"/>
        </w:rPr>
      </w:pPr>
      <w:r w:rsidRPr="00CB10AD">
        <w:rPr>
          <w:b/>
          <w:lang w:val="en-AU"/>
        </w:rPr>
        <w:t xml:space="preserve">Step </w:t>
      </w:r>
      <w:r w:rsidR="00D24E8C">
        <w:rPr>
          <w:b/>
          <w:lang w:val="en-AU"/>
        </w:rPr>
        <w:t>4</w:t>
      </w:r>
      <w:r w:rsidRPr="00CB10AD">
        <w:rPr>
          <w:b/>
          <w:lang w:val="en-AU"/>
        </w:rPr>
        <w:t xml:space="preserve">: A presentation to key EP stakeholders </w:t>
      </w:r>
      <w:r w:rsidRPr="00CB10AD">
        <w:rPr>
          <w:lang w:val="en-AU"/>
        </w:rPr>
        <w:t>on 29 November 2013 to test and explore emerging findings and recommendations, and to serve as a ‘lead in’ to report preparation.</w:t>
      </w:r>
      <w:r w:rsidR="00946EBD" w:rsidRPr="00CB10AD">
        <w:rPr>
          <w:lang w:val="en-AU"/>
        </w:rPr>
        <w:t xml:space="preserve"> </w:t>
      </w:r>
    </w:p>
    <w:p w:rsidR="00786C58" w:rsidRDefault="00786C58" w:rsidP="00944AA5">
      <w:pPr>
        <w:numPr>
          <w:ilvl w:val="0"/>
          <w:numId w:val="10"/>
        </w:numPr>
        <w:spacing w:before="120" w:after="120" w:line="276" w:lineRule="auto"/>
        <w:ind w:left="714" w:hanging="357"/>
        <w:jc w:val="both"/>
        <w:rPr>
          <w:b/>
          <w:lang w:val="en-AU"/>
        </w:rPr>
      </w:pPr>
      <w:r w:rsidRPr="00CB10AD">
        <w:rPr>
          <w:b/>
          <w:lang w:val="en-AU"/>
        </w:rPr>
        <w:t xml:space="preserve">Step </w:t>
      </w:r>
      <w:r w:rsidR="00D24E8C">
        <w:rPr>
          <w:b/>
          <w:lang w:val="en-AU"/>
        </w:rPr>
        <w:t>5</w:t>
      </w:r>
      <w:r w:rsidRPr="00CB10AD">
        <w:rPr>
          <w:b/>
          <w:lang w:val="en-AU"/>
        </w:rPr>
        <w:t xml:space="preserve">: </w:t>
      </w:r>
      <w:r w:rsidR="00D24E8C">
        <w:rPr>
          <w:b/>
          <w:lang w:val="en-AU"/>
        </w:rPr>
        <w:t>Draft r</w:t>
      </w:r>
      <w:r w:rsidRPr="00CB10AD">
        <w:rPr>
          <w:b/>
          <w:lang w:val="en-AU"/>
        </w:rPr>
        <w:t>eport production</w:t>
      </w:r>
      <w:r w:rsidR="00D24E8C">
        <w:rPr>
          <w:b/>
          <w:lang w:val="en-AU"/>
        </w:rPr>
        <w:t xml:space="preserve"> and submission to DFAT</w:t>
      </w:r>
      <w:r w:rsidRPr="00CB10AD">
        <w:rPr>
          <w:b/>
          <w:lang w:val="en-AU"/>
        </w:rPr>
        <w:t>.</w:t>
      </w:r>
    </w:p>
    <w:p w:rsidR="00D24E8C" w:rsidRPr="00196F93" w:rsidRDefault="00D24E8C" w:rsidP="00944AA5">
      <w:pPr>
        <w:numPr>
          <w:ilvl w:val="0"/>
          <w:numId w:val="10"/>
        </w:numPr>
        <w:spacing w:before="120" w:after="120" w:line="276" w:lineRule="auto"/>
        <w:ind w:left="714" w:hanging="357"/>
        <w:jc w:val="both"/>
        <w:rPr>
          <w:lang w:val="en-AU"/>
        </w:rPr>
      </w:pPr>
      <w:r>
        <w:rPr>
          <w:b/>
          <w:lang w:val="en-AU"/>
        </w:rPr>
        <w:t xml:space="preserve">Step 6: Final Report submission to DFAT </w:t>
      </w:r>
      <w:r w:rsidRPr="00196F93">
        <w:rPr>
          <w:lang w:val="en-AU"/>
        </w:rPr>
        <w:t>following factual corrections on basis of comments from DFAT.</w:t>
      </w:r>
    </w:p>
    <w:p w:rsidR="00786C58" w:rsidRPr="00CB10AD" w:rsidRDefault="00786C58" w:rsidP="00896DF8">
      <w:pPr>
        <w:pStyle w:val="Heading3"/>
        <w:spacing w:before="120" w:after="120"/>
        <w:ind w:left="709" w:hanging="709"/>
        <w:rPr>
          <w:lang w:val="en-AU"/>
        </w:rPr>
      </w:pPr>
      <w:bookmarkStart w:id="15" w:name="_Toc372401489"/>
      <w:r w:rsidRPr="00CB10AD">
        <w:rPr>
          <w:lang w:val="en-AU"/>
        </w:rPr>
        <w:t>Caveats and limitations</w:t>
      </w:r>
      <w:bookmarkEnd w:id="15"/>
      <w:r w:rsidRPr="00CB10AD">
        <w:rPr>
          <w:lang w:val="en-AU"/>
        </w:rPr>
        <w:t xml:space="preserve"> </w:t>
      </w:r>
    </w:p>
    <w:p w:rsidR="00786C58" w:rsidRPr="00CB10AD" w:rsidRDefault="00786C5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Every effort has been made to present credible, robust and evidence-informed findings and recommendations. Nevertheless, there are always limitations. Of particular note is the absence of an </w:t>
      </w:r>
      <w:r w:rsidR="00BD7281" w:rsidRPr="00CB10AD">
        <w:rPr>
          <w:rFonts w:asciiTheme="minorHAnsi" w:hAnsiTheme="minorHAnsi" w:cstheme="minorHAnsi"/>
          <w:lang w:val="en-AU"/>
        </w:rPr>
        <w:t xml:space="preserve">operational </w:t>
      </w:r>
      <w:r w:rsidRPr="00CB10AD">
        <w:rPr>
          <w:rFonts w:asciiTheme="minorHAnsi" w:hAnsiTheme="minorHAnsi" w:cstheme="minorHAnsi"/>
          <w:lang w:val="en-AU"/>
        </w:rPr>
        <w:t>EP Performance Milestone Framework</w:t>
      </w:r>
      <w:r w:rsidR="00BA0E69" w:rsidRPr="00CB10AD">
        <w:rPr>
          <w:rFonts w:asciiTheme="minorHAnsi" w:hAnsiTheme="minorHAnsi" w:cstheme="minorHAnsi"/>
          <w:lang w:val="en-AU"/>
        </w:rPr>
        <w:t xml:space="preserve"> (PMF)</w:t>
      </w:r>
      <w:r w:rsidRPr="00CB10AD">
        <w:rPr>
          <w:rFonts w:asciiTheme="minorHAnsi" w:hAnsiTheme="minorHAnsi" w:cstheme="minorHAnsi"/>
          <w:lang w:val="en-AU"/>
        </w:rPr>
        <w:t xml:space="preserve">. This limits clarity about performance indicators, and expected targets and annual milestones at </w:t>
      </w:r>
      <w:r w:rsidR="00183584" w:rsidRPr="00CB10AD">
        <w:rPr>
          <w:rFonts w:asciiTheme="minorHAnsi" w:hAnsiTheme="minorHAnsi" w:cstheme="minorHAnsi"/>
          <w:lang w:val="en-AU"/>
        </w:rPr>
        <w:t>output,</w:t>
      </w:r>
      <w:r w:rsidR="003140B8" w:rsidRPr="00CB10AD">
        <w:rPr>
          <w:rFonts w:asciiTheme="minorHAnsi" w:hAnsiTheme="minorHAnsi" w:cstheme="minorHAnsi"/>
          <w:lang w:val="en-AU"/>
        </w:rPr>
        <w:t xml:space="preserve"> EOCO, </w:t>
      </w:r>
      <w:r w:rsidRPr="00CB10AD">
        <w:rPr>
          <w:rFonts w:asciiTheme="minorHAnsi" w:hAnsiTheme="minorHAnsi" w:cstheme="minorHAnsi"/>
          <w:lang w:val="en-AU"/>
        </w:rPr>
        <w:t>EOPO and Goal-level.</w:t>
      </w:r>
    </w:p>
    <w:p w:rsidR="00466FA8" w:rsidRPr="00CB10AD" w:rsidRDefault="00786C58" w:rsidP="00786C58">
      <w:pPr>
        <w:pStyle w:val="Heading2"/>
        <w:ind w:hanging="720"/>
        <w:rPr>
          <w:b/>
          <w:szCs w:val="24"/>
          <w:lang w:val="en-AU"/>
        </w:rPr>
      </w:pPr>
      <w:r w:rsidRPr="00CB10AD">
        <w:rPr>
          <w:b/>
          <w:szCs w:val="24"/>
          <w:lang w:val="en-AU"/>
        </w:rPr>
        <w:t>Report s</w:t>
      </w:r>
      <w:r w:rsidR="00466FA8" w:rsidRPr="00CB10AD">
        <w:rPr>
          <w:b/>
          <w:szCs w:val="24"/>
          <w:lang w:val="en-AU"/>
        </w:rPr>
        <w:t xml:space="preserve">tructure </w:t>
      </w:r>
    </w:p>
    <w:p w:rsidR="00466FA8" w:rsidRPr="00CB10AD" w:rsidRDefault="00466FA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layout of the APPR seeks to present information in a succinct and logical manner. Guidance on the contents of the report has been taken from the Monitoring and Evaluation Standards developed by the </w:t>
      </w:r>
      <w:r w:rsidR="00896DF8" w:rsidRPr="00CB10AD">
        <w:rPr>
          <w:rFonts w:asciiTheme="minorHAnsi" w:hAnsiTheme="minorHAnsi" w:cstheme="minorHAnsi"/>
          <w:lang w:val="en-AU"/>
        </w:rPr>
        <w:t>DFAT</w:t>
      </w:r>
      <w:r w:rsidR="00D31574" w:rsidRPr="00CB10AD">
        <w:rPr>
          <w:rFonts w:asciiTheme="minorHAnsi" w:hAnsiTheme="minorHAnsi" w:cstheme="minorHAnsi"/>
          <w:lang w:val="en-AU"/>
        </w:rPr>
        <w:t>-</w:t>
      </w:r>
      <w:r w:rsidRPr="00CB10AD">
        <w:rPr>
          <w:rFonts w:asciiTheme="minorHAnsi" w:hAnsiTheme="minorHAnsi" w:cstheme="minorHAnsi"/>
          <w:lang w:val="en-AU"/>
        </w:rPr>
        <w:t xml:space="preserve">Jakarta Evaluation Capacity Building Program (ECBP). More specifically, this report includes, as Annex </w:t>
      </w:r>
      <w:r w:rsidR="00517297" w:rsidRPr="00CB10AD">
        <w:rPr>
          <w:rFonts w:asciiTheme="minorHAnsi" w:hAnsiTheme="minorHAnsi" w:cstheme="minorHAnsi"/>
          <w:lang w:val="en-AU"/>
        </w:rPr>
        <w:t>V</w:t>
      </w:r>
      <w:r w:rsidR="00814744">
        <w:rPr>
          <w:rFonts w:asciiTheme="minorHAnsi" w:hAnsiTheme="minorHAnsi" w:cstheme="minorHAnsi"/>
          <w:lang w:val="en-AU"/>
        </w:rPr>
        <w:t>II</w:t>
      </w:r>
      <w:r w:rsidRPr="00CB10AD">
        <w:rPr>
          <w:rFonts w:asciiTheme="minorHAnsi" w:hAnsiTheme="minorHAnsi" w:cstheme="minorHAnsi"/>
          <w:lang w:val="en-AU"/>
        </w:rPr>
        <w:t xml:space="preserve">, an assessment of its compliance with the proposed features listed in ‘Standard 3: Initiative Progress Reporting’. </w:t>
      </w:r>
    </w:p>
    <w:p w:rsidR="007F2113" w:rsidRPr="00CB10AD" w:rsidRDefault="00466FA8"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w:t>
      </w:r>
      <w:r w:rsidR="00786C58" w:rsidRPr="00CB10AD">
        <w:rPr>
          <w:rFonts w:asciiTheme="minorHAnsi" w:hAnsiTheme="minorHAnsi" w:cstheme="minorHAnsi"/>
          <w:lang w:val="en-AU"/>
        </w:rPr>
        <w:t xml:space="preserve"> </w:t>
      </w:r>
      <w:r w:rsidRPr="00CB10AD">
        <w:rPr>
          <w:rFonts w:asciiTheme="minorHAnsi" w:hAnsiTheme="minorHAnsi" w:cstheme="minorHAnsi"/>
          <w:lang w:val="en-AU"/>
        </w:rPr>
        <w:t xml:space="preserve">APPR is divided into </w:t>
      </w:r>
      <w:r w:rsidR="002D621D" w:rsidRPr="00CB10AD">
        <w:rPr>
          <w:rFonts w:asciiTheme="minorHAnsi" w:hAnsiTheme="minorHAnsi" w:cstheme="minorHAnsi"/>
          <w:lang w:val="en-AU"/>
        </w:rPr>
        <w:t xml:space="preserve">three </w:t>
      </w:r>
      <w:r w:rsidR="00AA3CE8" w:rsidRPr="00CB10AD">
        <w:rPr>
          <w:rFonts w:asciiTheme="minorHAnsi" w:hAnsiTheme="minorHAnsi" w:cstheme="minorHAnsi"/>
          <w:lang w:val="en-AU"/>
        </w:rPr>
        <w:t>p</w:t>
      </w:r>
      <w:r w:rsidR="002D621D" w:rsidRPr="00CB10AD">
        <w:rPr>
          <w:rFonts w:asciiTheme="minorHAnsi" w:hAnsiTheme="minorHAnsi" w:cstheme="minorHAnsi"/>
          <w:lang w:val="en-AU"/>
        </w:rPr>
        <w:t>arts</w:t>
      </w:r>
      <w:r w:rsidR="007F2113" w:rsidRPr="00CB10AD">
        <w:rPr>
          <w:rFonts w:asciiTheme="minorHAnsi" w:hAnsiTheme="minorHAnsi" w:cstheme="minorHAnsi"/>
          <w:lang w:val="en-AU"/>
        </w:rPr>
        <w:t>:</w:t>
      </w:r>
    </w:p>
    <w:p w:rsidR="007F2113" w:rsidRPr="00CB10AD" w:rsidRDefault="002D621D" w:rsidP="002B6C03">
      <w:pPr>
        <w:pStyle w:val="ListParagraph"/>
        <w:numPr>
          <w:ilvl w:val="0"/>
          <w:numId w:val="17"/>
        </w:numPr>
        <w:spacing w:before="120" w:after="120"/>
        <w:jc w:val="both"/>
        <w:rPr>
          <w:rFonts w:asciiTheme="minorHAnsi" w:hAnsiTheme="minorHAnsi" w:cstheme="minorHAnsi"/>
          <w:lang w:val="en-AU"/>
        </w:rPr>
      </w:pPr>
      <w:r w:rsidRPr="00CB10AD">
        <w:rPr>
          <w:rFonts w:asciiTheme="minorHAnsi" w:hAnsiTheme="minorHAnsi" w:cstheme="minorHAnsi"/>
          <w:lang w:val="en-AU"/>
        </w:rPr>
        <w:t>Part A “zooms in” on component-by-component performance</w:t>
      </w:r>
      <w:r w:rsidR="001B1F08" w:rsidRPr="00CB10AD">
        <w:rPr>
          <w:rFonts w:asciiTheme="minorHAnsi" w:hAnsiTheme="minorHAnsi" w:cstheme="minorHAnsi"/>
          <w:lang w:val="en-AU"/>
        </w:rPr>
        <w:t xml:space="preserve">: it considers the context in which the component operates; it highlights the achievements of the past year; it analyses progress </w:t>
      </w:r>
      <w:r w:rsidR="00183584" w:rsidRPr="00CB10AD">
        <w:rPr>
          <w:rFonts w:asciiTheme="minorHAnsi" w:hAnsiTheme="minorHAnsi" w:cstheme="minorHAnsi"/>
          <w:lang w:val="en-AU"/>
        </w:rPr>
        <w:t xml:space="preserve">and performance </w:t>
      </w:r>
      <w:r w:rsidR="001B1F08" w:rsidRPr="00CB10AD">
        <w:rPr>
          <w:rFonts w:asciiTheme="minorHAnsi" w:hAnsiTheme="minorHAnsi" w:cstheme="minorHAnsi"/>
          <w:lang w:val="en-AU"/>
        </w:rPr>
        <w:t>in relation to the DAC criteria of efficiency, effectiveness, impact, relevance and sustainability; and it proposes recommendations for action in light of that analysis.</w:t>
      </w:r>
      <w:r w:rsidRPr="00CB10AD">
        <w:rPr>
          <w:rFonts w:asciiTheme="minorHAnsi" w:hAnsiTheme="minorHAnsi" w:cstheme="minorHAnsi"/>
          <w:lang w:val="en-AU"/>
        </w:rPr>
        <w:t xml:space="preserve"> </w:t>
      </w:r>
    </w:p>
    <w:p w:rsidR="007F2113" w:rsidRPr="00CB10AD" w:rsidRDefault="002D621D" w:rsidP="002B6C03">
      <w:pPr>
        <w:pStyle w:val="ListParagraph"/>
        <w:numPr>
          <w:ilvl w:val="0"/>
          <w:numId w:val="17"/>
        </w:numPr>
        <w:spacing w:before="120" w:after="120"/>
        <w:jc w:val="both"/>
        <w:rPr>
          <w:rFonts w:asciiTheme="minorHAnsi" w:hAnsiTheme="minorHAnsi" w:cstheme="minorHAnsi"/>
          <w:lang w:val="en-AU"/>
        </w:rPr>
      </w:pPr>
      <w:r w:rsidRPr="00CB10AD">
        <w:rPr>
          <w:rFonts w:asciiTheme="minorHAnsi" w:hAnsiTheme="minorHAnsi" w:cstheme="minorHAnsi"/>
          <w:lang w:val="en-AU"/>
        </w:rPr>
        <w:t xml:space="preserve">Part B “zooms out” by </w:t>
      </w:r>
      <w:r w:rsidR="001B1F08" w:rsidRPr="00CB10AD">
        <w:rPr>
          <w:rFonts w:asciiTheme="minorHAnsi" w:hAnsiTheme="minorHAnsi" w:cstheme="minorHAnsi"/>
          <w:lang w:val="en-AU"/>
        </w:rPr>
        <w:t>considering</w:t>
      </w:r>
      <w:r w:rsidR="007F2113" w:rsidRPr="00CB10AD">
        <w:rPr>
          <w:rFonts w:asciiTheme="minorHAnsi" w:hAnsiTheme="minorHAnsi" w:cstheme="minorHAnsi"/>
          <w:lang w:val="en-AU"/>
        </w:rPr>
        <w:t>, first,</w:t>
      </w:r>
      <w:r w:rsidR="001B1F08" w:rsidRPr="00CB10AD">
        <w:rPr>
          <w:rFonts w:asciiTheme="minorHAnsi" w:hAnsiTheme="minorHAnsi" w:cstheme="minorHAnsi"/>
          <w:lang w:val="en-AU"/>
        </w:rPr>
        <w:t xml:space="preserve"> who benefits from the EP and, </w:t>
      </w:r>
      <w:r w:rsidR="007F2113" w:rsidRPr="00CB10AD">
        <w:rPr>
          <w:rFonts w:asciiTheme="minorHAnsi" w:hAnsiTheme="minorHAnsi" w:cstheme="minorHAnsi"/>
          <w:lang w:val="en-AU"/>
        </w:rPr>
        <w:t xml:space="preserve">second, how the EP is managed and governed. </w:t>
      </w:r>
    </w:p>
    <w:p w:rsidR="00AC4C2B" w:rsidRPr="00CB10AD" w:rsidRDefault="002D621D" w:rsidP="002B6C03">
      <w:pPr>
        <w:pStyle w:val="ListParagraph"/>
        <w:numPr>
          <w:ilvl w:val="0"/>
          <w:numId w:val="17"/>
        </w:numPr>
        <w:spacing w:before="120" w:after="120"/>
        <w:jc w:val="both"/>
        <w:rPr>
          <w:rFonts w:asciiTheme="minorHAnsi" w:hAnsiTheme="minorHAnsi" w:cstheme="minorHAnsi"/>
          <w:lang w:val="en-AU"/>
        </w:rPr>
      </w:pPr>
      <w:r w:rsidRPr="00CB10AD">
        <w:rPr>
          <w:rFonts w:asciiTheme="minorHAnsi" w:hAnsiTheme="minorHAnsi" w:cstheme="minorHAnsi"/>
          <w:lang w:val="en-AU"/>
        </w:rPr>
        <w:t xml:space="preserve">Part C describes conclusions and </w:t>
      </w:r>
      <w:r w:rsidR="00183584" w:rsidRPr="00CB10AD">
        <w:rPr>
          <w:rFonts w:asciiTheme="minorHAnsi" w:hAnsiTheme="minorHAnsi" w:cstheme="minorHAnsi"/>
          <w:lang w:val="en-AU"/>
        </w:rPr>
        <w:t xml:space="preserve">presents </w:t>
      </w:r>
      <w:r w:rsidR="00AC4C2B" w:rsidRPr="00CB10AD">
        <w:rPr>
          <w:rFonts w:asciiTheme="minorHAnsi" w:hAnsiTheme="minorHAnsi" w:cstheme="minorHAnsi"/>
          <w:lang w:val="en-AU"/>
        </w:rPr>
        <w:t xml:space="preserve">a consolidated set of </w:t>
      </w:r>
      <w:r w:rsidRPr="00CB10AD">
        <w:rPr>
          <w:rFonts w:asciiTheme="minorHAnsi" w:hAnsiTheme="minorHAnsi" w:cstheme="minorHAnsi"/>
          <w:lang w:val="en-AU"/>
        </w:rPr>
        <w:t xml:space="preserve">recommendations. </w:t>
      </w:r>
    </w:p>
    <w:p w:rsidR="007E707A" w:rsidRPr="00CB10AD" w:rsidRDefault="006E7EC4" w:rsidP="00AA3CE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Each recommendation </w:t>
      </w:r>
      <w:r w:rsidR="00AC4C2B" w:rsidRPr="00CB10AD">
        <w:rPr>
          <w:rFonts w:asciiTheme="minorHAnsi" w:hAnsiTheme="minorHAnsi" w:cstheme="minorHAnsi"/>
          <w:lang w:val="en-AU"/>
        </w:rPr>
        <w:t xml:space="preserve">in the APPR </w:t>
      </w:r>
      <w:r w:rsidRPr="00CB10AD">
        <w:rPr>
          <w:rFonts w:asciiTheme="minorHAnsi" w:hAnsiTheme="minorHAnsi" w:cstheme="minorHAnsi"/>
          <w:lang w:val="en-AU"/>
        </w:rPr>
        <w:t xml:space="preserve">is accompanied by a </w:t>
      </w:r>
      <w:r w:rsidR="00EE7DC4" w:rsidRPr="00CB10AD">
        <w:rPr>
          <w:rFonts w:asciiTheme="minorHAnsi" w:hAnsiTheme="minorHAnsi" w:cstheme="minorHAnsi"/>
          <w:lang w:val="en-AU"/>
        </w:rPr>
        <w:t xml:space="preserve">nominated </w:t>
      </w:r>
      <w:r w:rsidRPr="00CB10AD">
        <w:rPr>
          <w:rFonts w:asciiTheme="minorHAnsi" w:hAnsiTheme="minorHAnsi" w:cstheme="minorHAnsi"/>
          <w:lang w:val="en-AU"/>
        </w:rPr>
        <w:t xml:space="preserve">stakeholder who is assigned prime responsibility for implementation. Recommendations are presented by a color-coded system that indicates the </w:t>
      </w:r>
      <w:r w:rsidR="00786C58" w:rsidRPr="00CB10AD">
        <w:rPr>
          <w:rFonts w:asciiTheme="minorHAnsi" w:hAnsiTheme="minorHAnsi" w:cstheme="minorHAnsi"/>
          <w:lang w:val="en-AU"/>
        </w:rPr>
        <w:t>relative immediacy of the issue</w:t>
      </w:r>
      <w:r w:rsidRPr="00CB10AD">
        <w:rPr>
          <w:rFonts w:asciiTheme="minorHAnsi" w:hAnsiTheme="minorHAnsi" w:cstheme="minorHAnsi"/>
          <w:lang w:val="en-AU"/>
        </w:rPr>
        <w:t>.</w:t>
      </w:r>
    </w:p>
    <w:p w:rsidR="00396227" w:rsidRDefault="007E707A" w:rsidP="00896DF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Footnotes and endnotes are utilized throughout the document: footnotes are employed to </w:t>
      </w:r>
      <w:r w:rsidR="000D3672" w:rsidRPr="00CB10AD">
        <w:rPr>
          <w:rFonts w:asciiTheme="minorHAnsi" w:hAnsiTheme="minorHAnsi" w:cstheme="minorHAnsi"/>
          <w:lang w:val="en-AU"/>
        </w:rPr>
        <w:t>provide</w:t>
      </w:r>
      <w:r w:rsidR="005A6E38">
        <w:rPr>
          <w:rFonts w:asciiTheme="minorHAnsi" w:hAnsiTheme="minorHAnsi" w:cstheme="minorHAnsi"/>
          <w:lang w:val="en-AU"/>
        </w:rPr>
        <w:t xml:space="preserve"> c</w:t>
      </w:r>
      <w:r w:rsidR="000D3672" w:rsidRPr="00CB10AD">
        <w:rPr>
          <w:rFonts w:asciiTheme="minorHAnsi" w:hAnsiTheme="minorHAnsi" w:cstheme="minorHAnsi"/>
          <w:lang w:val="en-AU"/>
        </w:rPr>
        <w:t>larification on a point; endnotes are employed to reference a source.</w:t>
      </w:r>
      <w:r w:rsidRPr="00CB10AD">
        <w:rPr>
          <w:rFonts w:asciiTheme="minorHAnsi" w:hAnsiTheme="minorHAnsi" w:cstheme="minorHAnsi"/>
          <w:lang w:val="en-AU"/>
        </w:rPr>
        <w:t xml:space="preserve"> </w:t>
      </w:r>
      <w:bookmarkStart w:id="16" w:name="_Toc372401482"/>
    </w:p>
    <w:p w:rsidR="005A6E38" w:rsidRPr="00CB10AD" w:rsidRDefault="005A6E38" w:rsidP="00896DF8">
      <w:pPr>
        <w:spacing w:before="120" w:after="120" w:line="276" w:lineRule="auto"/>
        <w:jc w:val="both"/>
        <w:rPr>
          <w:rFonts w:asciiTheme="minorHAnsi" w:hAnsiTheme="minorHAnsi" w:cstheme="minorHAnsi"/>
          <w:lang w:val="en-AU"/>
        </w:rPr>
        <w:sectPr w:rsidR="005A6E38" w:rsidRPr="00CB10AD" w:rsidSect="008F2D9C">
          <w:footnotePr>
            <w:numRestart w:val="eachSect"/>
          </w:footnotePr>
          <w:endnotePr>
            <w:numRestart w:val="eachSect"/>
          </w:endnotePr>
          <w:type w:val="oddPage"/>
          <w:pgSz w:w="11909" w:h="16834" w:code="9"/>
          <w:pgMar w:top="1440" w:right="1440" w:bottom="1440" w:left="1440" w:header="432" w:footer="720" w:gutter="0"/>
          <w:pgNumType w:start="1"/>
          <w:cols w:space="720"/>
          <w:docGrid w:linePitch="360"/>
        </w:sectPr>
      </w:pPr>
    </w:p>
    <w:bookmarkEnd w:id="16"/>
    <w:p w:rsidR="00743482" w:rsidRPr="00CB10AD" w:rsidRDefault="00743482" w:rsidP="00743482">
      <w:pPr>
        <w:spacing w:before="120" w:after="120"/>
        <w:rPr>
          <w:lang w:val="en-AU"/>
        </w:rPr>
      </w:pPr>
    </w:p>
    <w:p w:rsidR="00396227" w:rsidRPr="00CB10AD" w:rsidRDefault="00396227" w:rsidP="00396227">
      <w:pPr>
        <w:spacing w:before="120" w:after="120"/>
        <w:rPr>
          <w:lang w:val="en-AU"/>
        </w:rPr>
      </w:pPr>
    </w:p>
    <w:p w:rsidR="00DE0C5D" w:rsidRPr="00CB10AD" w:rsidRDefault="00DE0C5D" w:rsidP="00DE0C5D">
      <w:pPr>
        <w:rPr>
          <w:lang w:val="en-AU"/>
        </w:rPr>
      </w:pPr>
      <w:r w:rsidRPr="00CB10AD">
        <w:rPr>
          <w:noProof/>
          <w:color w:val="000000" w:themeColor="text1"/>
          <w:sz w:val="28"/>
          <w:szCs w:val="28"/>
          <w:lang w:val="en-AU" w:eastAsia="en-AU"/>
        </w:rPr>
        <w:drawing>
          <wp:anchor distT="0" distB="0" distL="114300" distR="114300" simplePos="0" relativeHeight="251677696" behindDoc="1" locked="0" layoutInCell="1" allowOverlap="1" wp14:anchorId="6566624D" wp14:editId="23D60F0C">
            <wp:simplePos x="0" y="0"/>
            <wp:positionH relativeFrom="page">
              <wp:posOffset>-7620</wp:posOffset>
            </wp:positionH>
            <wp:positionV relativeFrom="page">
              <wp:posOffset>2540</wp:posOffset>
            </wp:positionV>
            <wp:extent cx="7580630" cy="10709275"/>
            <wp:effectExtent l="0" t="0" r="1270" b="0"/>
            <wp:wrapNone/>
            <wp:docPr id="14" name="Picture 14"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2D621D" w:rsidP="00DE0C5D">
      <w:pPr>
        <w:tabs>
          <w:tab w:val="left" w:pos="2977"/>
        </w:tabs>
        <w:ind w:left="2880"/>
        <w:rPr>
          <w:b/>
          <w:color w:val="FFFFFF" w:themeColor="background1"/>
          <w:sz w:val="36"/>
          <w:szCs w:val="36"/>
          <w:lang w:val="en-AU"/>
        </w:rPr>
      </w:pPr>
      <w:r w:rsidRPr="00CB10AD">
        <w:rPr>
          <w:b/>
          <w:color w:val="FFFFFF" w:themeColor="background1"/>
          <w:sz w:val="36"/>
          <w:szCs w:val="36"/>
          <w:lang w:val="en-AU"/>
        </w:rPr>
        <w:t xml:space="preserve">Part A: </w:t>
      </w:r>
      <w:r w:rsidR="00062CCA" w:rsidRPr="00CB10AD">
        <w:rPr>
          <w:b/>
          <w:color w:val="FFFFFF" w:themeColor="background1"/>
          <w:sz w:val="36"/>
          <w:szCs w:val="36"/>
          <w:lang w:val="en-AU"/>
        </w:rPr>
        <w:t>Zooming in</w:t>
      </w:r>
    </w:p>
    <w:p w:rsidR="00DE0C5D" w:rsidRPr="00CB10AD" w:rsidRDefault="00DE0C5D" w:rsidP="00DE0C5D">
      <w:pPr>
        <w:tabs>
          <w:tab w:val="left" w:pos="2977"/>
        </w:tabs>
        <w:ind w:left="2880"/>
        <w:rPr>
          <w:b/>
          <w:color w:val="FFFFFF" w:themeColor="background1"/>
          <w:sz w:val="36"/>
          <w:szCs w:val="36"/>
          <w:lang w:val="en-AU"/>
        </w:rPr>
      </w:pPr>
    </w:p>
    <w:p w:rsidR="00DE0C5D" w:rsidRPr="00CB10AD" w:rsidRDefault="00062CCA" w:rsidP="00DE0C5D">
      <w:pPr>
        <w:tabs>
          <w:tab w:val="left" w:pos="2977"/>
        </w:tabs>
        <w:ind w:left="2880"/>
        <w:rPr>
          <w:b/>
          <w:i/>
          <w:color w:val="FFFFFF" w:themeColor="background1"/>
          <w:sz w:val="32"/>
          <w:szCs w:val="32"/>
          <w:lang w:val="en-AU"/>
        </w:rPr>
      </w:pPr>
      <w:r w:rsidRPr="00CB10AD">
        <w:rPr>
          <w:b/>
          <w:i/>
          <w:color w:val="FFFFFF" w:themeColor="background1"/>
          <w:sz w:val="36"/>
          <w:szCs w:val="36"/>
          <w:lang w:val="en-AU"/>
        </w:rPr>
        <w:t xml:space="preserve">Component performance </w:t>
      </w:r>
    </w:p>
    <w:p w:rsidR="00DE0C5D" w:rsidRPr="00CB10AD" w:rsidRDefault="00DE0C5D" w:rsidP="00854A82">
      <w:pPr>
        <w:rPr>
          <w:lang w:val="en-AU"/>
        </w:rPr>
        <w:sectPr w:rsidR="00DE0C5D" w:rsidRPr="00CB10AD" w:rsidSect="00EE0C3E">
          <w:footnotePr>
            <w:numRestart w:val="eachSect"/>
          </w:footnotePr>
          <w:endnotePr>
            <w:numRestart w:val="eachSect"/>
          </w:endnotePr>
          <w:type w:val="oddPage"/>
          <w:pgSz w:w="11909" w:h="16834" w:code="9"/>
          <w:pgMar w:top="1440" w:right="1440" w:bottom="1440" w:left="1440" w:header="431" w:footer="720" w:gutter="0"/>
          <w:cols w:space="720"/>
          <w:noEndnote/>
          <w:docGrid w:linePitch="360"/>
        </w:sectPr>
      </w:pPr>
    </w:p>
    <w:p w:rsidR="00F6127C" w:rsidRPr="00CB10AD" w:rsidRDefault="00F6127C" w:rsidP="00F6127C">
      <w:pPr>
        <w:keepNext/>
        <w:numPr>
          <w:ilvl w:val="0"/>
          <w:numId w:val="9"/>
        </w:numPr>
        <w:spacing w:before="120" w:after="120"/>
        <w:ind w:hanging="720"/>
        <w:outlineLvl w:val="0"/>
        <w:rPr>
          <w:rFonts w:asciiTheme="minorHAnsi" w:hAnsiTheme="minorHAnsi" w:cstheme="minorHAnsi"/>
          <w:b/>
          <w:bCs/>
          <w:color w:val="003880"/>
          <w:kern w:val="32"/>
          <w:sz w:val="28"/>
          <w:szCs w:val="28"/>
          <w:lang w:val="en-AU"/>
        </w:rPr>
      </w:pPr>
      <w:bookmarkStart w:id="17" w:name="_Toc375124627"/>
      <w:bookmarkStart w:id="18" w:name="_Toc388253136"/>
      <w:r w:rsidRPr="00CB10AD">
        <w:rPr>
          <w:rFonts w:asciiTheme="minorHAnsi" w:hAnsiTheme="minorHAnsi" w:cstheme="minorHAnsi"/>
          <w:b/>
          <w:bCs/>
          <w:color w:val="003880"/>
          <w:kern w:val="32"/>
          <w:sz w:val="28"/>
          <w:szCs w:val="28"/>
          <w:lang w:val="en-AU"/>
        </w:rPr>
        <w:lastRenderedPageBreak/>
        <w:t>Component 1: School Construction</w:t>
      </w:r>
      <w:bookmarkEnd w:id="17"/>
      <w:bookmarkEnd w:id="18"/>
    </w:p>
    <w:p w:rsidR="00F6127C" w:rsidRPr="00CB10AD" w:rsidRDefault="00F6127C" w:rsidP="00F6127C">
      <w:pPr>
        <w:keepNext/>
        <w:numPr>
          <w:ilvl w:val="1"/>
          <w:numId w:val="9"/>
        </w:numPr>
        <w:ind w:hanging="720"/>
        <w:outlineLvl w:val="1"/>
        <w:rPr>
          <w:b/>
          <w:bCs/>
          <w:iCs/>
          <w:color w:val="003880"/>
          <w:sz w:val="24"/>
          <w:szCs w:val="24"/>
          <w:lang w:val="en-AU"/>
        </w:rPr>
      </w:pPr>
      <w:bookmarkStart w:id="19" w:name="_Toc372401491"/>
      <w:r w:rsidRPr="00CB10AD">
        <w:rPr>
          <w:b/>
          <w:bCs/>
          <w:iCs/>
          <w:color w:val="003880"/>
          <w:sz w:val="24"/>
          <w:szCs w:val="24"/>
          <w:lang w:val="en-AU"/>
        </w:rPr>
        <w:t>Introduction</w:t>
      </w:r>
      <w:bookmarkEnd w:id="19"/>
      <w:r w:rsidRPr="00CB10AD">
        <w:rPr>
          <w:b/>
          <w:bCs/>
          <w:iCs/>
          <w:color w:val="003880"/>
          <w:sz w:val="24"/>
          <w:szCs w:val="24"/>
          <w:lang w:val="en-AU"/>
        </w:rPr>
        <w:t xml:space="preserve"> </w:t>
      </w:r>
    </w:p>
    <w:p w:rsidR="00F6127C" w:rsidRPr="00CB10AD" w:rsidRDefault="00F6127C" w:rsidP="00F6127C">
      <w:pPr>
        <w:keepNext/>
        <w:numPr>
          <w:ilvl w:val="2"/>
          <w:numId w:val="9"/>
        </w:numPr>
        <w:spacing w:before="120" w:after="120"/>
        <w:ind w:left="709" w:hanging="709"/>
        <w:outlineLvl w:val="2"/>
        <w:rPr>
          <w:bCs/>
          <w:color w:val="003880"/>
          <w:sz w:val="24"/>
          <w:szCs w:val="28"/>
          <w:lang w:val="en-AU"/>
        </w:rPr>
      </w:pPr>
      <w:r w:rsidRPr="00CB10AD">
        <w:rPr>
          <w:bCs/>
          <w:color w:val="003880"/>
          <w:sz w:val="24"/>
          <w:szCs w:val="28"/>
          <w:lang w:val="en-AU"/>
        </w:rPr>
        <w:t xml:space="preserve">The EP investment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EP seeks to improve access to junior secondary education by supporting GoI to build </w:t>
      </w:r>
      <w:r w:rsidR="007E707A" w:rsidRPr="00CB10AD">
        <w:rPr>
          <w:rFonts w:asciiTheme="minorHAnsi" w:hAnsiTheme="minorHAnsi" w:cstheme="minorHAnsi"/>
          <w:lang w:val="en-AU"/>
        </w:rPr>
        <w:t>up to 2,000</w:t>
      </w:r>
      <w:r w:rsidRPr="00CB10AD">
        <w:rPr>
          <w:rFonts w:asciiTheme="minorHAnsi" w:hAnsiTheme="minorHAnsi" w:cstheme="minorHAnsi"/>
          <w:lang w:val="en-AU"/>
        </w:rPr>
        <w:t xml:space="preserve"> new junior secondary schools (USBs) and one-roof junior secondary schools (SATAPs) between 2011 and 2016</w:t>
      </w:r>
      <w:r w:rsidRPr="00CB10AD">
        <w:rPr>
          <w:rFonts w:ascii="Times New Roman" w:hAnsi="Times New Roman" w:cstheme="minorHAnsi"/>
          <w:vertAlign w:val="superscript"/>
          <w:lang w:val="en-AU"/>
        </w:rPr>
        <w:footnoteReference w:id="3"/>
      </w:r>
      <w:r w:rsidRPr="00CB10AD">
        <w:rPr>
          <w:rFonts w:asciiTheme="minorHAnsi" w:hAnsiTheme="minorHAnsi" w:cstheme="minorHAnsi"/>
          <w:lang w:val="en-AU"/>
        </w:rPr>
        <w:t>. In doing so, its objective is to assist Indonesia to deliver on its 2010-14 Renstra targets by improving access to nine years of basic education for boys and girls, and children with physical disabilities, in un-served and under-served areas of the country</w:t>
      </w:r>
      <w:r w:rsidRPr="00CB10AD">
        <w:rPr>
          <w:rFonts w:cstheme="minorHAnsi"/>
          <w:vertAlign w:val="superscript"/>
          <w:lang w:val="en-AU"/>
        </w:rPr>
        <w:endnoteReference w:id="1"/>
      </w:r>
      <w:r w:rsidRPr="00CB10AD">
        <w:rPr>
          <w:rFonts w:asciiTheme="minorHAnsi" w:hAnsiTheme="minorHAnsi" w:cstheme="minorHAnsi"/>
          <w:lang w:val="en-AU"/>
        </w:rPr>
        <w:t xml:space="preserve">.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GoA seeks to focus its investment on districts with low junior secondary enrolment rates. Once the schools are built, the EP provides school management teams with training in School-Based Management (SBM). Upon completion, the participants are expected to demonstrate a statistically significant increase in knowledge, which should then be applied when conducting their duties.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All the schools are expected to be fully operational within six months of construction, and be capable of delivering effective formal and non-formal education services</w:t>
      </w:r>
      <w:r w:rsidRPr="00CB10AD">
        <w:rPr>
          <w:rFonts w:asciiTheme="minorHAnsi" w:hAnsiTheme="minorHAnsi" w:cstheme="minorHAnsi"/>
          <w:vertAlign w:val="superscript"/>
          <w:lang w:val="en-AU"/>
        </w:rPr>
        <w:endnoteReference w:id="2"/>
      </w:r>
      <w:r w:rsidRPr="00CB10AD">
        <w:rPr>
          <w:rFonts w:asciiTheme="minorHAnsi" w:hAnsiTheme="minorHAnsi" w:cstheme="minorHAnsi"/>
          <w:lang w:val="en-AU"/>
        </w:rPr>
        <w:t>. Th</w:t>
      </w:r>
      <w:r w:rsidR="00527513" w:rsidRPr="00CB10AD">
        <w:rPr>
          <w:rFonts w:asciiTheme="minorHAnsi" w:hAnsiTheme="minorHAnsi" w:cstheme="minorHAnsi"/>
          <w:lang w:val="en-AU"/>
        </w:rPr>
        <w:t>is</w:t>
      </w:r>
      <w:r w:rsidRPr="00CB10AD">
        <w:rPr>
          <w:rFonts w:asciiTheme="minorHAnsi" w:hAnsiTheme="minorHAnsi" w:cstheme="minorHAnsi"/>
          <w:lang w:val="en-AU"/>
        </w:rPr>
        <w:t xml:space="preserve"> requires that they be fully staffed and equipped (e.g. with laboratory equipment and books), and have access to the necessary GoI operational funds to run and maintain the schools</w:t>
      </w:r>
      <w:r w:rsidRPr="00CB10AD">
        <w:rPr>
          <w:rFonts w:asciiTheme="minorHAnsi" w:hAnsiTheme="minorHAnsi" w:cstheme="minorHAnsi"/>
          <w:vertAlign w:val="superscript"/>
          <w:lang w:val="en-AU"/>
        </w:rPr>
        <w:endnoteReference w:id="3"/>
      </w:r>
      <w:r w:rsidRPr="00CB10AD">
        <w:rPr>
          <w:rFonts w:asciiTheme="minorHAnsi" w:hAnsiTheme="minorHAnsi" w:cstheme="minorHAnsi"/>
          <w:lang w:val="en-AU"/>
        </w:rPr>
        <w:t>. The Grant Agreement between GoA and GoI provides for the SATAPs to receive an initial “start-up” grant upon school completion to ensure smooth initial operations; the USBs do not have the same entitlement.</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supply of new JSE places is expected to provide (prospective) learners with improved physical access to JSE in the target districts. The closer proximity of schools to households is also expected to reduce financial barriers to enrolment and </w:t>
      </w:r>
      <w:r w:rsidR="00853376" w:rsidRPr="00CB10AD">
        <w:rPr>
          <w:rFonts w:asciiTheme="minorHAnsi" w:hAnsiTheme="minorHAnsi" w:cstheme="minorHAnsi"/>
          <w:lang w:val="en-AU"/>
        </w:rPr>
        <w:t xml:space="preserve">therefore enable </w:t>
      </w:r>
      <w:r w:rsidRPr="00CB10AD">
        <w:rPr>
          <w:rFonts w:asciiTheme="minorHAnsi" w:hAnsiTheme="minorHAnsi" w:cstheme="minorHAnsi"/>
          <w:lang w:val="en-AU"/>
        </w:rPr>
        <w:t xml:space="preserve">continued </w:t>
      </w:r>
      <w:r w:rsidR="00193C26">
        <w:rPr>
          <w:rFonts w:asciiTheme="minorHAnsi" w:hAnsiTheme="minorHAnsi" w:cstheme="minorHAnsi"/>
          <w:lang w:val="en-AU"/>
        </w:rPr>
        <w:t xml:space="preserve">and improved </w:t>
      </w:r>
      <w:r w:rsidRPr="00CB10AD">
        <w:rPr>
          <w:rFonts w:asciiTheme="minorHAnsi" w:hAnsiTheme="minorHAnsi" w:cstheme="minorHAnsi"/>
          <w:lang w:val="en-AU"/>
        </w:rPr>
        <w:t>participation (e.g. by reducing the impact of high transportation costs)</w:t>
      </w:r>
      <w:r w:rsidRPr="00CB10AD">
        <w:rPr>
          <w:rFonts w:cstheme="minorHAnsi"/>
          <w:vertAlign w:val="superscript"/>
          <w:lang w:val="en-AU"/>
        </w:rPr>
        <w:endnoteReference w:id="4"/>
      </w:r>
      <w:r w:rsidRPr="00CB10AD">
        <w:rPr>
          <w:rFonts w:asciiTheme="minorHAnsi" w:hAnsiTheme="minorHAnsi" w:cstheme="minorHAnsi"/>
          <w:lang w:val="en-AU"/>
        </w:rPr>
        <w:t>. Within participating districts, the investment is expected to have an impact on enrolment and retention rates, and rates of transition from primary to junior secondary school. At a higher level, it is expected to reduce disparities between districts by contributing towards the GoI target of increasing the percentage of districts with a JSE GER of 90% o</w:t>
      </w:r>
      <w:r w:rsidR="00527513" w:rsidRPr="00CB10AD">
        <w:rPr>
          <w:rFonts w:asciiTheme="minorHAnsi" w:hAnsiTheme="minorHAnsi" w:cstheme="minorHAnsi"/>
          <w:lang w:val="en-AU"/>
        </w:rPr>
        <w:t>r</w:t>
      </w:r>
      <w:r w:rsidRPr="00CB10AD">
        <w:rPr>
          <w:rFonts w:asciiTheme="minorHAnsi" w:hAnsiTheme="minorHAnsi" w:cstheme="minorHAnsi"/>
          <w:lang w:val="en-AU"/>
        </w:rPr>
        <w:t xml:space="preserve"> greater, to 85% by 2014</w:t>
      </w:r>
      <w:r w:rsidRPr="00CB10AD">
        <w:rPr>
          <w:rFonts w:asciiTheme="minorHAnsi" w:hAnsiTheme="minorHAnsi" w:cstheme="minorHAnsi"/>
          <w:vertAlign w:val="superscript"/>
          <w:lang w:val="en-AU"/>
        </w:rPr>
        <w:endnoteReference w:id="5"/>
      </w:r>
      <w:r w:rsidRPr="00CB10AD">
        <w:rPr>
          <w:rFonts w:asciiTheme="minorHAnsi" w:hAnsiTheme="minorHAnsi" w:cstheme="minorHAnsi"/>
          <w:lang w:val="en-AU"/>
        </w:rPr>
        <w:t>.</w:t>
      </w:r>
    </w:p>
    <w:p w:rsidR="00F6127C" w:rsidRPr="00CB10AD" w:rsidRDefault="00191A9B"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Component 1 of the </w:t>
      </w:r>
      <w:r w:rsidR="00F6127C" w:rsidRPr="00CB10AD">
        <w:rPr>
          <w:rFonts w:asciiTheme="minorHAnsi" w:hAnsiTheme="minorHAnsi" w:cstheme="minorHAnsi"/>
          <w:lang w:val="en-AU"/>
        </w:rPr>
        <w:t>EP</w:t>
      </w:r>
      <w:r w:rsidR="003D2DAC" w:rsidRPr="00CB10AD">
        <w:rPr>
          <w:rFonts w:asciiTheme="minorHAnsi" w:hAnsiTheme="minorHAnsi" w:cstheme="minorHAnsi"/>
          <w:lang w:val="en-AU"/>
        </w:rPr>
        <w:t xml:space="preserve"> </w:t>
      </w:r>
      <w:r w:rsidR="00F6127C" w:rsidRPr="00CB10AD">
        <w:rPr>
          <w:rFonts w:asciiTheme="minorHAnsi" w:hAnsiTheme="minorHAnsi" w:cstheme="minorHAnsi"/>
          <w:lang w:val="en-AU"/>
        </w:rPr>
        <w:t>does not prioritize systemic change</w:t>
      </w:r>
      <w:r w:rsidR="00F6127C" w:rsidRPr="00CB10AD">
        <w:rPr>
          <w:rFonts w:ascii="Times New Roman" w:hAnsi="Times New Roman" w:cstheme="minorHAnsi"/>
          <w:vertAlign w:val="superscript"/>
          <w:lang w:val="en-AU"/>
        </w:rPr>
        <w:footnoteReference w:id="4"/>
      </w:r>
      <w:r w:rsidR="00F6127C" w:rsidRPr="00CB10AD">
        <w:rPr>
          <w:rFonts w:asciiTheme="minorHAnsi" w:hAnsiTheme="minorHAnsi" w:cstheme="minorHAnsi"/>
          <w:lang w:val="en-AU"/>
        </w:rPr>
        <w:t xml:space="preserve"> in government policy, planning and service delivery </w:t>
      </w:r>
      <w:r w:rsidR="00F6127C" w:rsidRPr="00CB10AD">
        <w:rPr>
          <w:rFonts w:asciiTheme="minorHAnsi" w:hAnsiTheme="minorHAnsi" w:cstheme="minorHAnsi"/>
          <w:i/>
          <w:lang w:val="en-AU"/>
        </w:rPr>
        <w:t>per se</w:t>
      </w:r>
      <w:r w:rsidR="00F6127C" w:rsidRPr="00CB10AD">
        <w:rPr>
          <w:rFonts w:asciiTheme="minorHAnsi" w:hAnsiTheme="minorHAnsi" w:cstheme="minorHAnsi"/>
          <w:lang w:val="en-AU"/>
        </w:rPr>
        <w:t xml:space="preserve">, though indirect benefits may accrue. Rather, the key result is the construction of new schools and the additional places they are expected to offer learners, with the expectation that </w:t>
      </w:r>
      <w:r w:rsidR="008F110D" w:rsidRPr="00CB10AD">
        <w:rPr>
          <w:rFonts w:asciiTheme="minorHAnsi" w:hAnsiTheme="minorHAnsi" w:cstheme="minorHAnsi"/>
          <w:lang w:val="en-AU"/>
        </w:rPr>
        <w:t xml:space="preserve">increased </w:t>
      </w:r>
      <w:r w:rsidR="00F6127C" w:rsidRPr="00CB10AD">
        <w:rPr>
          <w:rFonts w:asciiTheme="minorHAnsi" w:hAnsiTheme="minorHAnsi" w:cstheme="minorHAnsi"/>
          <w:lang w:val="en-AU"/>
        </w:rPr>
        <w:t>enrolment (the expected outcome) and sustained participation (the expected goal) will ensue.</w:t>
      </w:r>
    </w:p>
    <w:p w:rsidR="00F6127C" w:rsidRPr="00CB10AD" w:rsidRDefault="00F6127C" w:rsidP="00F6127C">
      <w:pPr>
        <w:keepNext/>
        <w:numPr>
          <w:ilvl w:val="2"/>
          <w:numId w:val="9"/>
        </w:numPr>
        <w:spacing w:before="120" w:after="120"/>
        <w:ind w:left="709" w:hanging="709"/>
        <w:outlineLvl w:val="2"/>
        <w:rPr>
          <w:bCs/>
          <w:color w:val="003880"/>
          <w:sz w:val="24"/>
          <w:szCs w:val="28"/>
          <w:lang w:val="en-AU"/>
        </w:rPr>
      </w:pPr>
      <w:bookmarkStart w:id="20" w:name="_Toc372401496"/>
      <w:r w:rsidRPr="00CB10AD">
        <w:rPr>
          <w:bCs/>
          <w:color w:val="003880"/>
          <w:sz w:val="24"/>
          <w:szCs w:val="28"/>
          <w:lang w:val="en-AU"/>
        </w:rPr>
        <w:t>The delivery mechanisms and support provided by the EP</w:t>
      </w:r>
      <w:bookmarkEnd w:id="20"/>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Program support is delivered through a combination of technical assistance and earmarked budget support to MoEC</w:t>
      </w:r>
      <w:r w:rsidRPr="00CB10AD">
        <w:rPr>
          <w:rFonts w:cstheme="minorHAnsi"/>
          <w:vertAlign w:val="superscript"/>
          <w:lang w:val="en-AU"/>
        </w:rPr>
        <w:endnoteReference w:id="6"/>
      </w:r>
      <w:r w:rsidRPr="00CB10AD">
        <w:rPr>
          <w:rFonts w:asciiTheme="minorHAnsi" w:hAnsiTheme="minorHAnsi" w:cstheme="minorHAnsi"/>
          <w:lang w:val="en-AU"/>
        </w:rPr>
        <w:t>. Specifically, GoA provides:</w:t>
      </w:r>
    </w:p>
    <w:p w:rsidR="00F6127C" w:rsidRPr="00CB10AD" w:rsidRDefault="00F6127C" w:rsidP="00F6127C">
      <w:pPr>
        <w:numPr>
          <w:ilvl w:val="0"/>
          <w:numId w:val="12"/>
        </w:numPr>
        <w:spacing w:before="120" w:after="120" w:line="276" w:lineRule="auto"/>
        <w:contextualSpacing/>
        <w:jc w:val="both"/>
        <w:rPr>
          <w:rFonts w:eastAsia="Calibri"/>
          <w:lang w:val="en-AU"/>
        </w:rPr>
      </w:pPr>
      <w:r w:rsidRPr="00CB10AD">
        <w:rPr>
          <w:rFonts w:eastAsia="Calibri"/>
          <w:lang w:val="en-AU"/>
        </w:rPr>
        <w:t xml:space="preserve">AUD 210m of grants for community-based </w:t>
      </w:r>
      <w:r w:rsidR="008F110D" w:rsidRPr="00CB10AD">
        <w:rPr>
          <w:rFonts w:eastAsia="Calibri"/>
          <w:lang w:val="en-AU"/>
        </w:rPr>
        <w:t xml:space="preserve">JSE </w:t>
      </w:r>
      <w:r w:rsidRPr="00CB10AD">
        <w:rPr>
          <w:rFonts w:eastAsia="Calibri"/>
          <w:lang w:val="en-AU"/>
        </w:rPr>
        <w:t xml:space="preserve">school construction. </w:t>
      </w:r>
    </w:p>
    <w:p w:rsidR="00F6127C" w:rsidRPr="00CB10AD" w:rsidRDefault="00F6127C" w:rsidP="00F6127C">
      <w:pPr>
        <w:numPr>
          <w:ilvl w:val="0"/>
          <w:numId w:val="12"/>
        </w:numPr>
        <w:spacing w:before="120" w:after="120" w:line="276" w:lineRule="auto"/>
        <w:contextualSpacing/>
        <w:jc w:val="both"/>
        <w:rPr>
          <w:rFonts w:eastAsia="Calibri"/>
          <w:lang w:val="en-AU"/>
        </w:rPr>
      </w:pPr>
      <w:r w:rsidRPr="00CB10AD">
        <w:rPr>
          <w:rFonts w:eastAsia="Calibri"/>
          <w:lang w:val="en-AU"/>
        </w:rPr>
        <w:lastRenderedPageBreak/>
        <w:t xml:space="preserve">Technical assistance and training to MoEC, School Construction Committees (SCCs) and </w:t>
      </w:r>
      <w:r w:rsidRPr="00CB10AD">
        <w:rPr>
          <w:rFonts w:asciiTheme="minorHAnsi" w:hAnsiTheme="minorHAnsi" w:cstheme="minorHAnsi"/>
          <w:lang w:val="en-AU"/>
        </w:rPr>
        <w:t>District Education Officials (DEOs) concerning site selection and subsequent monitoring of</w:t>
      </w:r>
      <w:r w:rsidRPr="00CB10AD">
        <w:rPr>
          <w:rFonts w:eastAsia="Calibri"/>
          <w:lang w:val="en-AU"/>
        </w:rPr>
        <w:t xml:space="preserve"> school construction. </w:t>
      </w:r>
    </w:p>
    <w:p w:rsidR="00F6127C" w:rsidRDefault="00F6127C" w:rsidP="00F6127C">
      <w:pPr>
        <w:numPr>
          <w:ilvl w:val="0"/>
          <w:numId w:val="12"/>
        </w:numPr>
        <w:spacing w:before="120" w:after="120" w:line="276" w:lineRule="auto"/>
        <w:contextualSpacing/>
        <w:jc w:val="both"/>
        <w:rPr>
          <w:rFonts w:eastAsia="Calibri"/>
          <w:lang w:val="en-AU"/>
        </w:rPr>
      </w:pPr>
      <w:r w:rsidRPr="00CB10AD">
        <w:rPr>
          <w:rFonts w:eastAsia="Calibri"/>
          <w:lang w:val="en-AU"/>
        </w:rPr>
        <w:t xml:space="preserve">Training in SBM for principals, school committees, DEOs and community members through the New School Induction Program. </w:t>
      </w:r>
    </w:p>
    <w:p w:rsidR="00DB09CE" w:rsidRPr="00CB10AD" w:rsidRDefault="00DB09CE" w:rsidP="00F6127C">
      <w:pPr>
        <w:numPr>
          <w:ilvl w:val="0"/>
          <w:numId w:val="12"/>
        </w:numPr>
        <w:spacing w:before="120" w:after="120" w:line="276" w:lineRule="auto"/>
        <w:contextualSpacing/>
        <w:jc w:val="both"/>
        <w:rPr>
          <w:rFonts w:eastAsia="Calibri"/>
          <w:lang w:val="en-AU"/>
        </w:rPr>
      </w:pPr>
      <w:r>
        <w:rPr>
          <w:rFonts w:eastAsia="Calibri"/>
          <w:lang w:val="en-AU"/>
        </w:rPr>
        <w:t>Establishment of complaint handling system by MoEC</w:t>
      </w:r>
      <w:r w:rsidR="005C7EBD">
        <w:rPr>
          <w:rFonts w:eastAsia="Calibri"/>
          <w:lang w:val="en-AU"/>
        </w:rPr>
        <w:t>.</w:t>
      </w:r>
    </w:p>
    <w:p w:rsidR="00F6127C" w:rsidRDefault="00F6127C" w:rsidP="00F6127C">
      <w:pPr>
        <w:numPr>
          <w:ilvl w:val="0"/>
          <w:numId w:val="12"/>
        </w:numPr>
        <w:spacing w:before="120" w:after="120" w:line="276" w:lineRule="auto"/>
        <w:contextualSpacing/>
        <w:jc w:val="both"/>
        <w:rPr>
          <w:rFonts w:eastAsia="Calibri"/>
          <w:lang w:val="en-AU"/>
        </w:rPr>
      </w:pPr>
      <w:r w:rsidRPr="00CB10AD">
        <w:rPr>
          <w:rFonts w:eastAsia="Calibri"/>
          <w:lang w:val="en-AU"/>
        </w:rPr>
        <w:t>Financing of supplementary independent audits.</w:t>
      </w:r>
    </w:p>
    <w:p w:rsidR="000649AC" w:rsidRPr="00CB10AD" w:rsidRDefault="000649AC" w:rsidP="000649AC">
      <w:pPr>
        <w:spacing w:before="120" w:after="120" w:line="276" w:lineRule="auto"/>
        <w:ind w:left="720"/>
        <w:contextualSpacing/>
        <w:jc w:val="both"/>
        <w:rPr>
          <w:rFonts w:eastAsia="Calibri"/>
          <w:lang w:val="en-AU"/>
        </w:rPr>
      </w:pPr>
    </w:p>
    <w:p w:rsidR="00F6127C" w:rsidRPr="00CB10AD" w:rsidRDefault="00F6127C" w:rsidP="00F6127C">
      <w:pPr>
        <w:spacing w:before="120" w:after="120" w:line="276" w:lineRule="auto"/>
        <w:jc w:val="both"/>
        <w:rPr>
          <w:lang w:val="en-AU"/>
        </w:rPr>
      </w:pPr>
      <w:r w:rsidRPr="00CB10AD">
        <w:rPr>
          <w:lang w:val="en-AU"/>
        </w:rPr>
        <w:t>Construction Development Consultants are procured by, funded by and contracted to MoEC to assist the SCCs with the technical aspects of implementation. MoEC retains overall responsibility for the construction process.</w:t>
      </w:r>
    </w:p>
    <w:p w:rsidR="00F6127C" w:rsidRPr="00CB10AD" w:rsidRDefault="00F6127C" w:rsidP="00F6127C">
      <w:pPr>
        <w:keepNext/>
        <w:numPr>
          <w:ilvl w:val="1"/>
          <w:numId w:val="9"/>
        </w:numPr>
        <w:ind w:hanging="720"/>
        <w:outlineLvl w:val="1"/>
        <w:rPr>
          <w:b/>
          <w:bCs/>
          <w:iCs/>
          <w:color w:val="003880"/>
          <w:sz w:val="24"/>
          <w:szCs w:val="24"/>
          <w:lang w:val="en-AU"/>
        </w:rPr>
      </w:pPr>
      <w:r w:rsidRPr="00CB10AD">
        <w:rPr>
          <w:b/>
          <w:bCs/>
          <w:iCs/>
          <w:color w:val="003880"/>
          <w:sz w:val="24"/>
          <w:szCs w:val="24"/>
          <w:lang w:val="en-AU"/>
        </w:rPr>
        <w:t>Context</w:t>
      </w:r>
    </w:p>
    <w:p w:rsidR="002038A2" w:rsidRPr="00CB10AD" w:rsidRDefault="002038A2" w:rsidP="002038A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notions of </w:t>
      </w:r>
      <w:r w:rsidR="00BD2528" w:rsidRPr="00CB10AD">
        <w:rPr>
          <w:rFonts w:asciiTheme="minorHAnsi" w:hAnsiTheme="minorHAnsi" w:cstheme="minorHAnsi"/>
          <w:lang w:val="en-AU"/>
        </w:rPr>
        <w:t xml:space="preserve">increased </w:t>
      </w:r>
      <w:r w:rsidRPr="00CB10AD">
        <w:rPr>
          <w:rFonts w:asciiTheme="minorHAnsi" w:hAnsiTheme="minorHAnsi" w:cstheme="minorHAnsi"/>
          <w:lang w:val="en-AU"/>
        </w:rPr>
        <w:t>access and participation remain important priority areas for GoI. In late 2012, MoEC released plans to extend nine years of compulsory education to a 12 year universal program (</w:t>
      </w:r>
      <w:r w:rsidRPr="00CB10AD">
        <w:rPr>
          <w:rFonts w:asciiTheme="minorHAnsi" w:hAnsiTheme="minorHAnsi" w:cstheme="minorHAnsi"/>
          <w:i/>
          <w:lang w:val="en-AU"/>
        </w:rPr>
        <w:t>Pendidikan Menengah Universal</w:t>
      </w:r>
      <w:r w:rsidRPr="00CB10AD">
        <w:rPr>
          <w:rFonts w:asciiTheme="minorHAnsi" w:hAnsiTheme="minorHAnsi" w:cstheme="minorHAnsi"/>
          <w:lang w:val="en-AU"/>
        </w:rPr>
        <w:t xml:space="preserve"> or PMU). The PMU Grand Design is premised on Indonesia’s need to drive growth by satisfying labo</w:t>
      </w:r>
      <w:r w:rsidR="00CB10AD">
        <w:rPr>
          <w:rFonts w:asciiTheme="minorHAnsi" w:hAnsiTheme="minorHAnsi" w:cstheme="minorHAnsi"/>
          <w:lang w:val="en-AU"/>
        </w:rPr>
        <w:t>u</w:t>
      </w:r>
      <w:r w:rsidRPr="00CB10AD">
        <w:rPr>
          <w:rFonts w:asciiTheme="minorHAnsi" w:hAnsiTheme="minorHAnsi" w:cstheme="minorHAnsi"/>
          <w:lang w:val="en-AU"/>
        </w:rPr>
        <w:t xml:space="preserve">r market requirements and by capitalizing on the country’s youthful population: the so-called “demographic dividend”. </w:t>
      </w:r>
      <w:r w:rsidR="000109F7" w:rsidRPr="00CB10AD">
        <w:rPr>
          <w:rFonts w:asciiTheme="minorHAnsi" w:hAnsiTheme="minorHAnsi" w:cstheme="minorHAnsi"/>
          <w:lang w:val="en-AU"/>
        </w:rPr>
        <w:t xml:space="preserve">The </w:t>
      </w:r>
      <w:r w:rsidRPr="00CB10AD">
        <w:rPr>
          <w:rFonts w:asciiTheme="minorHAnsi" w:hAnsiTheme="minorHAnsi" w:cstheme="minorHAnsi"/>
          <w:lang w:val="en-AU"/>
        </w:rPr>
        <w:t>PMU will adopt a three-pronged approach:</w:t>
      </w:r>
    </w:p>
    <w:p w:rsidR="002038A2" w:rsidRPr="00CB10AD" w:rsidRDefault="002038A2" w:rsidP="007B17D5">
      <w:pPr>
        <w:numPr>
          <w:ilvl w:val="0"/>
          <w:numId w:val="22"/>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Construction of Senior Secondary Schools </w:t>
      </w:r>
      <w:r w:rsidR="000109F7" w:rsidRPr="00CB10AD">
        <w:rPr>
          <w:rFonts w:asciiTheme="minorHAnsi" w:eastAsia="Calibri" w:hAnsiTheme="minorHAnsi" w:cstheme="minorHAnsi"/>
          <w:lang w:val="en-AU"/>
        </w:rPr>
        <w:t xml:space="preserve">(SSS) </w:t>
      </w:r>
      <w:r w:rsidRPr="00CB10AD">
        <w:rPr>
          <w:rFonts w:asciiTheme="minorHAnsi" w:eastAsia="Calibri" w:hAnsiTheme="minorHAnsi" w:cstheme="minorHAnsi"/>
          <w:lang w:val="en-AU"/>
        </w:rPr>
        <w:t>or additional classrooms on existing SSS.</w:t>
      </w:r>
    </w:p>
    <w:p w:rsidR="002038A2" w:rsidRPr="00CB10AD" w:rsidRDefault="002038A2" w:rsidP="007B17D5">
      <w:pPr>
        <w:numPr>
          <w:ilvl w:val="0"/>
          <w:numId w:val="22"/>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Establishment of BOS (B</w:t>
      </w:r>
      <w:r w:rsidRPr="00CB10AD">
        <w:rPr>
          <w:rFonts w:asciiTheme="minorHAnsi" w:eastAsia="Calibri" w:hAnsiTheme="minorHAnsi" w:cstheme="minorHAnsi"/>
          <w:i/>
          <w:lang w:val="en-AU"/>
        </w:rPr>
        <w:t>antuan Operasional Sekolah)</w:t>
      </w:r>
      <w:r w:rsidRPr="00CB10AD">
        <w:rPr>
          <w:rFonts w:asciiTheme="minorHAnsi" w:eastAsia="Calibri" w:hAnsiTheme="minorHAnsi" w:cstheme="minorHAnsi"/>
          <w:lang w:val="en-AU"/>
        </w:rPr>
        <w:t xml:space="preserve"> for SSS: a so</w:t>
      </w:r>
      <w:r w:rsidR="00834CB4" w:rsidRPr="00CB10AD">
        <w:rPr>
          <w:rFonts w:asciiTheme="minorHAnsi" w:eastAsia="Calibri" w:hAnsiTheme="minorHAnsi" w:cstheme="minorHAnsi"/>
          <w:lang w:val="en-AU"/>
        </w:rPr>
        <w:t>-</w:t>
      </w:r>
      <w:r w:rsidRPr="00CB10AD">
        <w:rPr>
          <w:rFonts w:asciiTheme="minorHAnsi" w:eastAsia="Calibri" w:hAnsiTheme="minorHAnsi" w:cstheme="minorHAnsi"/>
          <w:lang w:val="en-AU"/>
        </w:rPr>
        <w:t>called BOS-SM</w:t>
      </w:r>
      <w:r w:rsidR="00834CB4" w:rsidRPr="00CB10AD">
        <w:rPr>
          <w:rFonts w:asciiTheme="minorHAnsi" w:eastAsia="Calibri" w:hAnsiTheme="minorHAnsi" w:cstheme="minorHAnsi"/>
          <w:lang w:val="en-AU"/>
        </w:rPr>
        <w:t>.</w:t>
      </w:r>
    </w:p>
    <w:p w:rsidR="002038A2" w:rsidRPr="00CB10AD" w:rsidRDefault="002038A2" w:rsidP="007B17D5">
      <w:pPr>
        <w:numPr>
          <w:ilvl w:val="0"/>
          <w:numId w:val="22"/>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Implementation of Poor Students Assistance Program (</w:t>
      </w:r>
      <w:r w:rsidRPr="00CB10AD">
        <w:rPr>
          <w:rFonts w:asciiTheme="minorHAnsi" w:eastAsia="Calibri" w:hAnsiTheme="minorHAnsi" w:cstheme="minorHAnsi"/>
          <w:i/>
          <w:lang w:val="en-AU"/>
        </w:rPr>
        <w:t>Bantuan Siswa Miskin</w:t>
      </w:r>
      <w:r w:rsidRPr="00CB10AD">
        <w:rPr>
          <w:rFonts w:asciiTheme="minorHAnsi" w:eastAsia="Calibri" w:hAnsiTheme="minorHAnsi" w:cstheme="minorHAnsi"/>
          <w:lang w:val="en-AU"/>
        </w:rPr>
        <w:t xml:space="preserve"> or BSM) targeted at students from impoverished families.</w:t>
      </w:r>
    </w:p>
    <w:p w:rsidR="002038A2" w:rsidRPr="00CB10AD" w:rsidRDefault="002038A2" w:rsidP="002038A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Arguably, the PMU provides further evidence of MoEC’s continued pursuit of an access-driven education agenda until at least 2020. The PMU will not, in itself, undermine the importance of EP investments, as</w:t>
      </w:r>
      <w:r w:rsidR="00267556" w:rsidRPr="00CB10AD">
        <w:rPr>
          <w:rFonts w:asciiTheme="minorHAnsi" w:hAnsiTheme="minorHAnsi" w:cstheme="minorHAnsi"/>
          <w:lang w:val="en-AU"/>
        </w:rPr>
        <w:t xml:space="preserve"> lessons learned from targeting</w:t>
      </w:r>
      <w:r w:rsidRPr="00CB10AD">
        <w:rPr>
          <w:rFonts w:asciiTheme="minorHAnsi" w:hAnsiTheme="minorHAnsi" w:cstheme="minorHAnsi"/>
          <w:lang w:val="en-AU"/>
        </w:rPr>
        <w:t xml:space="preserve"> JSE access </w:t>
      </w:r>
      <w:r w:rsidR="00267556" w:rsidRPr="00CB10AD">
        <w:rPr>
          <w:rFonts w:asciiTheme="minorHAnsi" w:hAnsiTheme="minorHAnsi" w:cstheme="minorHAnsi"/>
          <w:lang w:val="en-AU"/>
        </w:rPr>
        <w:t xml:space="preserve">may well be applicable to any </w:t>
      </w:r>
      <w:r w:rsidRPr="00CB10AD">
        <w:rPr>
          <w:rFonts w:asciiTheme="minorHAnsi" w:hAnsiTheme="minorHAnsi" w:cstheme="minorHAnsi"/>
          <w:lang w:val="en-AU"/>
        </w:rPr>
        <w:t>improvement efforts in SSE access.</w:t>
      </w:r>
      <w:r w:rsidR="0038416F" w:rsidRPr="00CB10AD">
        <w:rPr>
          <w:rFonts w:asciiTheme="minorHAnsi" w:hAnsiTheme="minorHAnsi" w:cstheme="minorHAnsi"/>
          <w:lang w:val="en-AU"/>
        </w:rPr>
        <w:t xml:space="preserve"> Indeed, a focus on SSE </w:t>
      </w:r>
      <w:r w:rsidR="006E7C38" w:rsidRPr="00CB10AD">
        <w:rPr>
          <w:rFonts w:asciiTheme="minorHAnsi" w:hAnsiTheme="minorHAnsi" w:cstheme="minorHAnsi"/>
          <w:lang w:val="en-AU"/>
        </w:rPr>
        <w:t xml:space="preserve">is </w:t>
      </w:r>
      <w:r w:rsidR="0038416F" w:rsidRPr="00CB10AD">
        <w:rPr>
          <w:rFonts w:asciiTheme="minorHAnsi" w:hAnsiTheme="minorHAnsi" w:cstheme="minorHAnsi"/>
          <w:lang w:val="en-AU"/>
        </w:rPr>
        <w:t xml:space="preserve">likely </w:t>
      </w:r>
      <w:r w:rsidR="006E7C38" w:rsidRPr="00CB10AD">
        <w:rPr>
          <w:rFonts w:asciiTheme="minorHAnsi" w:hAnsiTheme="minorHAnsi" w:cstheme="minorHAnsi"/>
          <w:lang w:val="en-AU"/>
        </w:rPr>
        <w:t xml:space="preserve">to </w:t>
      </w:r>
      <w:r w:rsidR="0038416F" w:rsidRPr="00CB10AD">
        <w:rPr>
          <w:rFonts w:asciiTheme="minorHAnsi" w:hAnsiTheme="minorHAnsi" w:cstheme="minorHAnsi"/>
          <w:lang w:val="en-AU"/>
        </w:rPr>
        <w:t>have a positive “pull’ effect on JSE</w:t>
      </w:r>
      <w:r w:rsidR="006E7C38" w:rsidRPr="00CB10AD">
        <w:rPr>
          <w:rFonts w:asciiTheme="minorHAnsi" w:hAnsiTheme="minorHAnsi" w:cstheme="minorHAnsi"/>
          <w:lang w:val="en-AU"/>
        </w:rPr>
        <w:t xml:space="preserve">. However, </w:t>
      </w:r>
      <w:r w:rsidRPr="00CB10AD">
        <w:rPr>
          <w:rFonts w:asciiTheme="minorHAnsi" w:hAnsiTheme="minorHAnsi" w:cstheme="minorHAnsi"/>
          <w:lang w:val="en-AU"/>
        </w:rPr>
        <w:t xml:space="preserve">impact </w:t>
      </w:r>
      <w:r w:rsidR="006E7C38" w:rsidRPr="00CB10AD">
        <w:rPr>
          <w:rFonts w:asciiTheme="minorHAnsi" w:hAnsiTheme="minorHAnsi" w:cstheme="minorHAnsi"/>
          <w:lang w:val="en-AU"/>
        </w:rPr>
        <w:t xml:space="preserve">could </w:t>
      </w:r>
      <w:r w:rsidRPr="00CB10AD">
        <w:rPr>
          <w:rFonts w:asciiTheme="minorHAnsi" w:hAnsiTheme="minorHAnsi" w:cstheme="minorHAnsi"/>
          <w:lang w:val="en-AU"/>
        </w:rPr>
        <w:t xml:space="preserve">be felt </w:t>
      </w:r>
      <w:r w:rsidR="00950C7E">
        <w:rPr>
          <w:rFonts w:asciiTheme="minorHAnsi" w:hAnsiTheme="minorHAnsi" w:cstheme="minorHAnsi"/>
          <w:lang w:val="en-AU"/>
        </w:rPr>
        <w:t xml:space="preserve">if </w:t>
      </w:r>
      <w:r w:rsidRPr="00CB10AD">
        <w:rPr>
          <w:rFonts w:asciiTheme="minorHAnsi" w:hAnsiTheme="minorHAnsi" w:cstheme="minorHAnsi"/>
          <w:lang w:val="en-AU"/>
        </w:rPr>
        <w:t xml:space="preserve">MoEC </w:t>
      </w:r>
      <w:r w:rsidR="00950C7E">
        <w:rPr>
          <w:rFonts w:asciiTheme="minorHAnsi" w:hAnsiTheme="minorHAnsi" w:cstheme="minorHAnsi"/>
          <w:lang w:val="en-AU"/>
        </w:rPr>
        <w:t>prioritize</w:t>
      </w:r>
      <w:r w:rsidR="00950C7E" w:rsidRPr="00CB10AD">
        <w:rPr>
          <w:rFonts w:asciiTheme="minorHAnsi" w:hAnsiTheme="minorHAnsi" w:cstheme="minorHAnsi"/>
          <w:lang w:val="en-AU"/>
        </w:rPr>
        <w:t xml:space="preserve"> </w:t>
      </w:r>
      <w:r w:rsidRPr="00CB10AD">
        <w:rPr>
          <w:rFonts w:asciiTheme="minorHAnsi" w:hAnsiTheme="minorHAnsi" w:cstheme="minorHAnsi"/>
          <w:lang w:val="en-AU"/>
        </w:rPr>
        <w:t xml:space="preserve">budget for PMU at the expense of </w:t>
      </w:r>
      <w:r w:rsidR="006E7C38" w:rsidRPr="00CB10AD">
        <w:rPr>
          <w:rFonts w:asciiTheme="minorHAnsi" w:hAnsiTheme="minorHAnsi" w:cstheme="minorHAnsi"/>
          <w:lang w:val="en-AU"/>
        </w:rPr>
        <w:t>JSE-centric</w:t>
      </w:r>
      <w:r w:rsidRPr="00CB10AD">
        <w:rPr>
          <w:rFonts w:asciiTheme="minorHAnsi" w:hAnsiTheme="minorHAnsi" w:cstheme="minorHAnsi"/>
          <w:lang w:val="en-AU"/>
        </w:rPr>
        <w:t xml:space="preserve"> policies and interventions. </w:t>
      </w:r>
    </w:p>
    <w:p w:rsidR="00F6127C" w:rsidRPr="00CB10AD" w:rsidRDefault="00F6127C" w:rsidP="00F6127C">
      <w:pPr>
        <w:keepNext/>
        <w:numPr>
          <w:ilvl w:val="1"/>
          <w:numId w:val="9"/>
        </w:numPr>
        <w:ind w:hanging="720"/>
        <w:outlineLvl w:val="1"/>
        <w:rPr>
          <w:b/>
          <w:bCs/>
          <w:iCs/>
          <w:color w:val="003880"/>
          <w:sz w:val="24"/>
          <w:szCs w:val="24"/>
          <w:lang w:val="en-AU"/>
        </w:rPr>
      </w:pPr>
      <w:r w:rsidRPr="00CB10AD">
        <w:rPr>
          <w:b/>
          <w:bCs/>
          <w:iCs/>
          <w:color w:val="003880"/>
          <w:sz w:val="24"/>
          <w:szCs w:val="24"/>
          <w:lang w:val="en-AU"/>
        </w:rPr>
        <w:t>Achievements</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Four hundred and fifty-one</w:t>
      </w:r>
      <w:r w:rsidR="003D2DAC" w:rsidRPr="00CB10AD">
        <w:rPr>
          <w:rStyle w:val="FootnoteReference"/>
          <w:rFonts w:cstheme="minorHAnsi"/>
          <w:lang w:val="en-AU"/>
        </w:rPr>
        <w:footnoteReference w:id="5"/>
      </w:r>
      <w:r w:rsidRPr="00CB10AD">
        <w:rPr>
          <w:rFonts w:asciiTheme="minorHAnsi" w:hAnsiTheme="minorHAnsi" w:cstheme="minorHAnsi"/>
          <w:lang w:val="en-AU"/>
        </w:rPr>
        <w:t xml:space="preserve"> schools were built in 2012-13</w:t>
      </w:r>
      <w:r w:rsidR="00BD2528" w:rsidRPr="00CB10AD">
        <w:rPr>
          <w:rFonts w:asciiTheme="minorHAnsi" w:hAnsiTheme="minorHAnsi" w:cstheme="minorHAnsi"/>
          <w:lang w:val="en-AU"/>
        </w:rPr>
        <w:t xml:space="preserve"> through the first cycle of construction</w:t>
      </w:r>
      <w:r w:rsidRPr="00CB10AD">
        <w:rPr>
          <w:rFonts w:asciiTheme="minorHAnsi" w:hAnsiTheme="minorHAnsi" w:cstheme="minorHAnsi"/>
          <w:lang w:val="en-AU"/>
        </w:rPr>
        <w:t xml:space="preserve">, in 142 districts across 28 of the country’s 33 provinces (see Figure </w:t>
      </w:r>
      <w:r w:rsidR="00137F40" w:rsidRPr="00CB10AD">
        <w:rPr>
          <w:rFonts w:asciiTheme="minorHAnsi" w:hAnsiTheme="minorHAnsi" w:cstheme="minorHAnsi"/>
          <w:lang w:val="en-AU"/>
        </w:rPr>
        <w:t>1</w:t>
      </w:r>
      <w:r w:rsidRPr="00CB10AD">
        <w:rPr>
          <w:rFonts w:asciiTheme="minorHAnsi" w:hAnsiTheme="minorHAnsi" w:cstheme="minorHAnsi"/>
          <w:lang w:val="en-AU"/>
        </w:rPr>
        <w:t xml:space="preserve">). The geographical spread will be similar in subsequent years of the program, with </w:t>
      </w:r>
      <w:r w:rsidR="00527513" w:rsidRPr="00CB10AD">
        <w:rPr>
          <w:rFonts w:asciiTheme="minorHAnsi" w:hAnsiTheme="minorHAnsi" w:cstheme="minorHAnsi"/>
          <w:lang w:val="en-AU"/>
        </w:rPr>
        <w:t>the estimated number</w:t>
      </w:r>
      <w:r w:rsidRPr="00CB10AD">
        <w:rPr>
          <w:rFonts w:asciiTheme="minorHAnsi" w:hAnsiTheme="minorHAnsi" w:cstheme="minorHAnsi"/>
          <w:lang w:val="en-AU"/>
        </w:rPr>
        <w:t xml:space="preserve"> of schools to be built set at 3</w:t>
      </w:r>
      <w:r w:rsidR="003D2DAC" w:rsidRPr="00CB10AD">
        <w:rPr>
          <w:rFonts w:asciiTheme="minorHAnsi" w:hAnsiTheme="minorHAnsi" w:cstheme="minorHAnsi"/>
          <w:lang w:val="en-AU"/>
        </w:rPr>
        <w:t>16</w:t>
      </w:r>
      <w:r w:rsidRPr="00CB10AD">
        <w:rPr>
          <w:rFonts w:asciiTheme="minorHAnsi" w:hAnsiTheme="minorHAnsi" w:cstheme="minorHAnsi"/>
          <w:lang w:val="en-AU"/>
        </w:rPr>
        <w:t xml:space="preserve"> in 2013-14 (</w:t>
      </w:r>
      <w:r w:rsidR="00B05FA7" w:rsidRPr="00CB10AD">
        <w:rPr>
          <w:rFonts w:asciiTheme="minorHAnsi" w:hAnsiTheme="minorHAnsi" w:cstheme="minorHAnsi"/>
          <w:lang w:val="en-AU"/>
        </w:rPr>
        <w:t>C</w:t>
      </w:r>
      <w:r w:rsidRPr="00CB10AD">
        <w:rPr>
          <w:rFonts w:asciiTheme="minorHAnsi" w:hAnsiTheme="minorHAnsi" w:cstheme="minorHAnsi"/>
          <w:lang w:val="en-AU"/>
        </w:rPr>
        <w:t>ycle 2), 3</w:t>
      </w:r>
      <w:r w:rsidR="003D2DAC" w:rsidRPr="00CB10AD">
        <w:rPr>
          <w:rFonts w:asciiTheme="minorHAnsi" w:hAnsiTheme="minorHAnsi" w:cstheme="minorHAnsi"/>
          <w:lang w:val="en-AU"/>
        </w:rPr>
        <w:t>10</w:t>
      </w:r>
      <w:r w:rsidRPr="00CB10AD">
        <w:rPr>
          <w:rFonts w:asciiTheme="minorHAnsi" w:hAnsiTheme="minorHAnsi" w:cstheme="minorHAnsi"/>
          <w:lang w:val="en-AU"/>
        </w:rPr>
        <w:t xml:space="preserve"> in 2014-15 (</w:t>
      </w:r>
      <w:r w:rsidR="00B05FA7" w:rsidRPr="00CB10AD">
        <w:rPr>
          <w:rFonts w:asciiTheme="minorHAnsi" w:hAnsiTheme="minorHAnsi" w:cstheme="minorHAnsi"/>
          <w:lang w:val="en-AU"/>
        </w:rPr>
        <w:t>C</w:t>
      </w:r>
      <w:r w:rsidRPr="00CB10AD">
        <w:rPr>
          <w:rFonts w:asciiTheme="minorHAnsi" w:hAnsiTheme="minorHAnsi" w:cstheme="minorHAnsi"/>
          <w:lang w:val="en-AU"/>
        </w:rPr>
        <w:t>ycle 3), and 337 in 2015-16 (</w:t>
      </w:r>
      <w:r w:rsidR="00B05FA7" w:rsidRPr="00CB10AD">
        <w:rPr>
          <w:rFonts w:asciiTheme="minorHAnsi" w:hAnsiTheme="minorHAnsi" w:cstheme="minorHAnsi"/>
          <w:lang w:val="en-AU"/>
        </w:rPr>
        <w:t>C</w:t>
      </w:r>
      <w:r w:rsidRPr="00CB10AD">
        <w:rPr>
          <w:rFonts w:asciiTheme="minorHAnsi" w:hAnsiTheme="minorHAnsi" w:cstheme="minorHAnsi"/>
          <w:lang w:val="en-AU"/>
        </w:rPr>
        <w:t>ycle 4)</w:t>
      </w:r>
      <w:r w:rsidR="000109F7" w:rsidRPr="00CB10AD">
        <w:rPr>
          <w:rStyle w:val="FootnoteReference"/>
          <w:rFonts w:cstheme="minorHAnsi"/>
          <w:lang w:val="en-AU"/>
        </w:rPr>
        <w:footnoteReference w:id="6"/>
      </w:r>
      <w:r w:rsidRPr="00CB10AD">
        <w:rPr>
          <w:rFonts w:asciiTheme="minorHAnsi" w:hAnsiTheme="minorHAnsi" w:cstheme="minorHAnsi"/>
          <w:lang w:val="en-AU"/>
        </w:rPr>
        <w:t xml:space="preserve">. </w:t>
      </w:r>
    </w:p>
    <w:p w:rsidR="00AA3CE8" w:rsidRPr="00CB10AD" w:rsidRDefault="002A2C82" w:rsidP="00E73BA8">
      <w:pPr>
        <w:pStyle w:val="Caption"/>
        <w:keepNext/>
        <w:rPr>
          <w:rFonts w:asciiTheme="minorHAnsi" w:hAnsiTheme="minorHAnsi" w:cstheme="minorHAnsi"/>
          <w:lang w:val="en-AU"/>
        </w:rPr>
      </w:pPr>
      <w:bookmarkStart w:id="21" w:name="_Toc379884229"/>
      <w:r w:rsidRPr="00CB10AD">
        <w:rPr>
          <w:lang w:val="en-AU"/>
        </w:rPr>
        <w:lastRenderedPageBreak/>
        <w:t xml:space="preserve">Figure </w:t>
      </w:r>
      <w:r w:rsidRPr="00CB10AD">
        <w:rPr>
          <w:lang w:val="en-AU"/>
        </w:rPr>
        <w:fldChar w:fldCharType="begin"/>
      </w:r>
      <w:r w:rsidRPr="00CB10AD">
        <w:rPr>
          <w:lang w:val="en-AU"/>
        </w:rPr>
        <w:instrText xml:space="preserve"> SEQ Figure \* ARABIC </w:instrText>
      </w:r>
      <w:r w:rsidRPr="00CB10AD">
        <w:rPr>
          <w:lang w:val="en-AU"/>
        </w:rPr>
        <w:fldChar w:fldCharType="separate"/>
      </w:r>
      <w:r w:rsidR="00662AF4">
        <w:rPr>
          <w:noProof/>
          <w:lang w:val="en-AU"/>
        </w:rPr>
        <w:t>1</w:t>
      </w:r>
      <w:r w:rsidRPr="00CB10AD">
        <w:rPr>
          <w:lang w:val="en-AU"/>
        </w:rPr>
        <w:fldChar w:fldCharType="end"/>
      </w:r>
      <w:r w:rsidR="00AA3CE8" w:rsidRPr="00CB10AD">
        <w:rPr>
          <w:lang w:val="en-AU"/>
        </w:rPr>
        <w:t xml:space="preserve">: </w:t>
      </w:r>
      <w:r w:rsidR="008F6896" w:rsidRPr="00CB10AD">
        <w:rPr>
          <w:lang w:val="en-AU"/>
        </w:rPr>
        <w:t>Schools construction in 2012-13</w:t>
      </w:r>
      <w:r w:rsidR="00BD2528" w:rsidRPr="00CB10AD">
        <w:rPr>
          <w:lang w:val="en-AU"/>
        </w:rPr>
        <w:t xml:space="preserve"> (Cycle 1</w:t>
      </w:r>
      <w:r w:rsidR="00196F93">
        <w:rPr>
          <w:lang w:val="en-AU"/>
        </w:rPr>
        <w:t xml:space="preserve"> and 2</w:t>
      </w:r>
      <w:r w:rsidR="00BD2528" w:rsidRPr="00CB10AD">
        <w:rPr>
          <w:lang w:val="en-AU"/>
        </w:rPr>
        <w:t>)</w:t>
      </w:r>
      <w:bookmarkEnd w:id="21"/>
    </w:p>
    <w:p w:rsidR="00F6127C" w:rsidRPr="00CB10AD" w:rsidRDefault="004755C0" w:rsidP="00E73BA8">
      <w:pPr>
        <w:keepNext/>
        <w:rPr>
          <w:lang w:val="en-AU"/>
        </w:rPr>
      </w:pPr>
      <w:r w:rsidRPr="00196F93">
        <w:rPr>
          <w:rFonts w:asciiTheme="minorHAnsi" w:hAnsiTheme="minorHAnsi" w:cstheme="minorHAnsi"/>
          <w:noProof/>
          <w:lang w:val="en-AU" w:eastAsia="en-AU"/>
        </w:rPr>
        <w:drawing>
          <wp:anchor distT="0" distB="0" distL="114300" distR="114300" simplePos="0" relativeHeight="251687936" behindDoc="0" locked="0" layoutInCell="1" allowOverlap="1" wp14:anchorId="660C087D" wp14:editId="76AE8809">
            <wp:simplePos x="0" y="0"/>
            <wp:positionH relativeFrom="column">
              <wp:posOffset>4533900</wp:posOffset>
            </wp:positionH>
            <wp:positionV relativeFrom="paragraph">
              <wp:posOffset>125095</wp:posOffset>
            </wp:positionV>
            <wp:extent cx="1171575" cy="769578"/>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1171575" cy="769578"/>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755C0">
        <w:rPr>
          <w:noProof/>
          <w:lang w:val="en-AU" w:eastAsia="en-AU"/>
        </w:rPr>
        <w:drawing>
          <wp:inline distT="0" distB="0" distL="0" distR="0" wp14:anchorId="20A5BF4D" wp14:editId="11A8B462">
            <wp:extent cx="5733415" cy="2614339"/>
            <wp:effectExtent l="57150" t="57150" r="114935" b="1098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733415" cy="261433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F6127C" w:rsidRPr="00CB10AD" w:rsidRDefault="00F6127C" w:rsidP="00E73BA8">
      <w:pPr>
        <w:keepNext/>
        <w:rPr>
          <w:lang w:val="en-AU"/>
        </w:rPr>
      </w:pPr>
    </w:p>
    <w:p w:rsidR="000109F7" w:rsidRPr="00CB10AD" w:rsidRDefault="00615BB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w:t>
      </w:r>
      <w:r w:rsidR="00F6127C" w:rsidRPr="00CB10AD">
        <w:rPr>
          <w:rFonts w:asciiTheme="minorHAnsi" w:hAnsiTheme="minorHAnsi" w:cstheme="minorHAnsi"/>
          <w:lang w:val="en-AU"/>
        </w:rPr>
        <w:t xml:space="preserve"> 45</w:t>
      </w:r>
      <w:r w:rsidR="006E7C38" w:rsidRPr="00CB10AD">
        <w:rPr>
          <w:rFonts w:asciiTheme="minorHAnsi" w:hAnsiTheme="minorHAnsi" w:cstheme="minorHAnsi"/>
          <w:lang w:val="en-AU"/>
        </w:rPr>
        <w:t>0</w:t>
      </w:r>
      <w:r w:rsidR="00F6127C" w:rsidRPr="00CB10AD">
        <w:rPr>
          <w:rFonts w:asciiTheme="minorHAnsi" w:hAnsiTheme="minorHAnsi" w:cstheme="minorHAnsi"/>
          <w:lang w:val="en-AU"/>
        </w:rPr>
        <w:t xml:space="preserve"> schools </w:t>
      </w:r>
      <w:r w:rsidRPr="00CB10AD">
        <w:rPr>
          <w:rFonts w:asciiTheme="minorHAnsi" w:hAnsiTheme="minorHAnsi" w:cstheme="minorHAnsi"/>
          <w:lang w:val="en-AU"/>
        </w:rPr>
        <w:t xml:space="preserve">constructed in </w:t>
      </w:r>
      <w:r w:rsidR="00F6127C" w:rsidRPr="00CB10AD">
        <w:rPr>
          <w:rFonts w:asciiTheme="minorHAnsi" w:hAnsiTheme="minorHAnsi" w:cstheme="minorHAnsi"/>
          <w:lang w:val="en-AU"/>
        </w:rPr>
        <w:t xml:space="preserve">Cycle 1 </w:t>
      </w:r>
      <w:r w:rsidRPr="00CB10AD">
        <w:rPr>
          <w:rFonts w:asciiTheme="minorHAnsi" w:hAnsiTheme="minorHAnsi" w:cstheme="minorHAnsi"/>
          <w:lang w:val="en-AU"/>
        </w:rPr>
        <w:t>offer a</w:t>
      </w:r>
      <w:r w:rsidR="00DB3B32" w:rsidRPr="00CB10AD">
        <w:rPr>
          <w:rFonts w:asciiTheme="minorHAnsi" w:hAnsiTheme="minorHAnsi" w:cstheme="minorHAnsi"/>
          <w:lang w:val="en-AU"/>
        </w:rPr>
        <w:t xml:space="preserve"> total of </w:t>
      </w:r>
      <w:r w:rsidR="0012581B" w:rsidRPr="00CB10AD">
        <w:rPr>
          <w:rFonts w:asciiTheme="minorHAnsi" w:hAnsiTheme="minorHAnsi" w:cstheme="minorHAnsi"/>
          <w:lang w:val="en-AU"/>
        </w:rPr>
        <w:t>58,656</w:t>
      </w:r>
      <w:r w:rsidR="00DB3B32" w:rsidRPr="00CB10AD">
        <w:rPr>
          <w:rFonts w:asciiTheme="minorHAnsi" w:hAnsiTheme="minorHAnsi" w:cstheme="minorHAnsi"/>
          <w:lang w:val="en-AU"/>
        </w:rPr>
        <w:t xml:space="preserve"> new school places with a</w:t>
      </w:r>
      <w:r w:rsidRPr="00CB10AD">
        <w:rPr>
          <w:rFonts w:asciiTheme="minorHAnsi" w:hAnsiTheme="minorHAnsi" w:cstheme="minorHAnsi"/>
          <w:lang w:val="en-AU"/>
        </w:rPr>
        <w:t xml:space="preserve">n </w:t>
      </w:r>
      <w:r w:rsidR="00F6127C" w:rsidRPr="00CB10AD">
        <w:rPr>
          <w:rFonts w:asciiTheme="minorHAnsi" w:hAnsiTheme="minorHAnsi" w:cstheme="minorHAnsi"/>
          <w:lang w:val="en-AU"/>
        </w:rPr>
        <w:t>estimated 19,</w:t>
      </w:r>
      <w:r w:rsidR="0012581B" w:rsidRPr="00CB10AD">
        <w:rPr>
          <w:rFonts w:asciiTheme="minorHAnsi" w:hAnsiTheme="minorHAnsi" w:cstheme="minorHAnsi"/>
          <w:lang w:val="en-AU"/>
        </w:rPr>
        <w:t>552</w:t>
      </w:r>
      <w:r w:rsidR="00F6127C" w:rsidRPr="00CB10AD">
        <w:rPr>
          <w:rFonts w:asciiTheme="minorHAnsi" w:hAnsiTheme="minorHAnsi" w:cstheme="minorHAnsi"/>
          <w:lang w:val="en-AU"/>
        </w:rPr>
        <w:t xml:space="preserve"> new places for first grade enrolment </w:t>
      </w:r>
      <w:r w:rsidRPr="00CB10AD">
        <w:rPr>
          <w:rFonts w:asciiTheme="minorHAnsi" w:hAnsiTheme="minorHAnsi" w:cstheme="minorHAnsi"/>
          <w:lang w:val="en-AU"/>
        </w:rPr>
        <w:t xml:space="preserve">in </w:t>
      </w:r>
      <w:r w:rsidR="00F6127C" w:rsidRPr="00CB10AD">
        <w:rPr>
          <w:rFonts w:asciiTheme="minorHAnsi" w:hAnsiTheme="minorHAnsi" w:cstheme="minorHAnsi"/>
          <w:lang w:val="en-AU"/>
        </w:rPr>
        <w:t>2013/2014</w:t>
      </w:r>
      <w:r w:rsidR="00F6127C" w:rsidRPr="00CB10AD">
        <w:rPr>
          <w:rFonts w:ascii="Times New Roman" w:hAnsi="Times New Roman" w:cstheme="minorHAnsi"/>
          <w:vertAlign w:val="superscript"/>
          <w:lang w:val="en-AU"/>
        </w:rPr>
        <w:footnoteReference w:id="7"/>
      </w:r>
      <w:r w:rsidR="00F6127C" w:rsidRPr="00CB10AD">
        <w:rPr>
          <w:rFonts w:asciiTheme="minorHAnsi" w:hAnsiTheme="minorHAnsi" w:cstheme="minorHAnsi"/>
          <w:lang w:val="en-AU"/>
        </w:rPr>
        <w:t>.</w:t>
      </w:r>
      <w:r w:rsidR="00E02DA1" w:rsidRPr="00CB10AD">
        <w:rPr>
          <w:rFonts w:asciiTheme="minorHAnsi" w:hAnsiTheme="minorHAnsi" w:cstheme="minorHAnsi"/>
          <w:lang w:val="en-AU"/>
        </w:rPr>
        <w:t xml:space="preserve"> </w:t>
      </w:r>
    </w:p>
    <w:p w:rsidR="00F6127C" w:rsidRPr="00CB10AD" w:rsidRDefault="00615BB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C</w:t>
      </w:r>
      <w:r w:rsidR="00F6127C" w:rsidRPr="00CB10AD">
        <w:rPr>
          <w:rFonts w:asciiTheme="minorHAnsi" w:hAnsiTheme="minorHAnsi" w:cstheme="minorHAnsi"/>
          <w:lang w:val="en-AU"/>
        </w:rPr>
        <w:t>oncerns</w:t>
      </w:r>
      <w:r w:rsidRPr="00CB10AD">
        <w:rPr>
          <w:rFonts w:asciiTheme="minorHAnsi" w:hAnsiTheme="minorHAnsi" w:cstheme="minorHAnsi"/>
          <w:lang w:val="en-AU"/>
        </w:rPr>
        <w:t xml:space="preserve"> were raised by DFAT about site selection </w:t>
      </w:r>
      <w:r w:rsidR="00F6127C" w:rsidRPr="00CB10AD">
        <w:rPr>
          <w:rFonts w:asciiTheme="minorHAnsi" w:hAnsiTheme="minorHAnsi" w:cstheme="minorHAnsi"/>
          <w:lang w:val="en-AU"/>
        </w:rPr>
        <w:t>during Cycle 1</w:t>
      </w:r>
      <w:r w:rsidR="000C7E2C">
        <w:rPr>
          <w:rFonts w:asciiTheme="minorHAnsi" w:hAnsiTheme="minorHAnsi" w:cstheme="minorHAnsi"/>
          <w:lang w:val="en-AU"/>
        </w:rPr>
        <w:t xml:space="preserve"> and Cycle 2</w:t>
      </w:r>
      <w:r w:rsidRPr="00CB10AD">
        <w:rPr>
          <w:rFonts w:asciiTheme="minorHAnsi" w:hAnsiTheme="minorHAnsi" w:cstheme="minorHAnsi"/>
          <w:lang w:val="en-AU"/>
        </w:rPr>
        <w:t xml:space="preserve">, specifically about the </w:t>
      </w:r>
      <w:r w:rsidR="00F6127C" w:rsidRPr="00CB10AD">
        <w:rPr>
          <w:rFonts w:asciiTheme="minorHAnsi" w:hAnsiTheme="minorHAnsi" w:cstheme="minorHAnsi"/>
          <w:lang w:val="en-AU"/>
        </w:rPr>
        <w:t xml:space="preserve">limited number of </w:t>
      </w:r>
      <w:r w:rsidR="00B12E02">
        <w:rPr>
          <w:rFonts w:asciiTheme="minorHAnsi" w:hAnsiTheme="minorHAnsi" w:cstheme="minorHAnsi"/>
          <w:lang w:val="en-AU"/>
        </w:rPr>
        <w:t xml:space="preserve">eligible </w:t>
      </w:r>
      <w:r w:rsidR="00F6127C" w:rsidRPr="00CB10AD">
        <w:rPr>
          <w:rFonts w:asciiTheme="minorHAnsi" w:hAnsiTheme="minorHAnsi" w:cstheme="minorHAnsi"/>
          <w:lang w:val="en-AU"/>
        </w:rPr>
        <w:t xml:space="preserve">proposals received from low </w:t>
      </w:r>
      <w:r w:rsidR="005A6E38">
        <w:rPr>
          <w:rFonts w:asciiTheme="minorHAnsi" w:hAnsiTheme="minorHAnsi" w:cstheme="minorHAnsi"/>
          <w:lang w:val="en-AU"/>
        </w:rPr>
        <w:t xml:space="preserve">JSE </w:t>
      </w:r>
      <w:r w:rsidR="00F6127C" w:rsidRPr="00CB10AD">
        <w:rPr>
          <w:rFonts w:asciiTheme="minorHAnsi" w:hAnsiTheme="minorHAnsi" w:cstheme="minorHAnsi"/>
          <w:lang w:val="en-AU"/>
        </w:rPr>
        <w:t>GER districts</w:t>
      </w:r>
      <w:r w:rsidR="00DB09CE">
        <w:rPr>
          <w:rStyle w:val="FootnoteReference"/>
          <w:rFonts w:cstheme="minorHAnsi"/>
          <w:lang w:val="en-AU"/>
        </w:rPr>
        <w:footnoteReference w:id="8"/>
      </w:r>
      <w:r w:rsidR="00F6127C" w:rsidRPr="00CB10AD">
        <w:rPr>
          <w:rFonts w:asciiTheme="minorHAnsi" w:hAnsiTheme="minorHAnsi" w:cstheme="minorHAnsi"/>
          <w:lang w:val="en-AU"/>
        </w:rPr>
        <w:t>. To a</w:t>
      </w:r>
      <w:r w:rsidR="00E02DA1" w:rsidRPr="00CB10AD">
        <w:rPr>
          <w:rFonts w:asciiTheme="minorHAnsi" w:hAnsiTheme="minorHAnsi" w:cstheme="minorHAnsi"/>
          <w:lang w:val="en-AU"/>
        </w:rPr>
        <w:t>ddress these concerns</w:t>
      </w:r>
      <w:r w:rsidR="00F6127C" w:rsidRPr="00CB10AD">
        <w:rPr>
          <w:rFonts w:asciiTheme="minorHAnsi" w:hAnsiTheme="minorHAnsi" w:cstheme="minorHAnsi"/>
          <w:lang w:val="en-AU"/>
        </w:rPr>
        <w:t>, C1</w:t>
      </w:r>
      <w:r w:rsidRPr="00CB10AD">
        <w:rPr>
          <w:rFonts w:asciiTheme="minorHAnsi" w:hAnsiTheme="minorHAnsi" w:cstheme="minorHAnsi"/>
          <w:lang w:val="en-AU"/>
        </w:rPr>
        <w:t xml:space="preserve"> partners</w:t>
      </w:r>
      <w:r w:rsidR="00F6127C" w:rsidRPr="00CB10AD">
        <w:rPr>
          <w:rFonts w:asciiTheme="minorHAnsi" w:hAnsiTheme="minorHAnsi" w:cstheme="minorHAnsi"/>
          <w:lang w:val="en-AU"/>
        </w:rPr>
        <w:t xml:space="preserve"> </w:t>
      </w:r>
      <w:r w:rsidRPr="00CB10AD">
        <w:rPr>
          <w:rFonts w:asciiTheme="minorHAnsi" w:hAnsiTheme="minorHAnsi" w:cstheme="minorHAnsi"/>
          <w:lang w:val="en-AU"/>
        </w:rPr>
        <w:t>(with s</w:t>
      </w:r>
      <w:r w:rsidR="00E02DA1" w:rsidRPr="00CB10AD">
        <w:rPr>
          <w:rFonts w:asciiTheme="minorHAnsi" w:hAnsiTheme="minorHAnsi" w:cstheme="minorHAnsi"/>
          <w:lang w:val="en-AU"/>
        </w:rPr>
        <w:t>upport from the C2 SSQ team) have</w:t>
      </w:r>
      <w:r w:rsidRPr="00CB10AD">
        <w:rPr>
          <w:rFonts w:asciiTheme="minorHAnsi" w:hAnsiTheme="minorHAnsi" w:cstheme="minorHAnsi"/>
          <w:lang w:val="en-AU"/>
        </w:rPr>
        <w:t xml:space="preserve"> invested considerable energy in implementing acc</w:t>
      </w:r>
      <w:r w:rsidR="00F6127C" w:rsidRPr="00CB10AD">
        <w:rPr>
          <w:rFonts w:asciiTheme="minorHAnsi" w:hAnsiTheme="minorHAnsi" w:cstheme="minorHAnsi"/>
          <w:lang w:val="en-AU"/>
        </w:rPr>
        <w:t>ess planning training in 88 districts with low GER.</w:t>
      </w:r>
      <w:r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The training </w:t>
      </w:r>
      <w:r w:rsidRPr="00CB10AD">
        <w:rPr>
          <w:rFonts w:asciiTheme="minorHAnsi" w:hAnsiTheme="minorHAnsi" w:cstheme="minorHAnsi"/>
          <w:lang w:val="en-AU"/>
        </w:rPr>
        <w:t xml:space="preserve">is </w:t>
      </w:r>
      <w:r w:rsidR="00F6127C" w:rsidRPr="00CB10AD">
        <w:rPr>
          <w:rFonts w:asciiTheme="minorHAnsi" w:hAnsiTheme="minorHAnsi" w:cstheme="minorHAnsi"/>
          <w:lang w:val="en-AU"/>
        </w:rPr>
        <w:t xml:space="preserve">designed to </w:t>
      </w:r>
      <w:r w:rsidRPr="00CB10AD">
        <w:rPr>
          <w:rFonts w:asciiTheme="minorHAnsi" w:hAnsiTheme="minorHAnsi" w:cstheme="minorHAnsi"/>
          <w:lang w:val="en-AU"/>
        </w:rPr>
        <w:t>support</w:t>
      </w:r>
      <w:r w:rsidR="007579B4" w:rsidRPr="00CB10AD">
        <w:rPr>
          <w:rFonts w:asciiTheme="minorHAnsi" w:hAnsiTheme="minorHAnsi" w:cstheme="minorHAnsi"/>
          <w:lang w:val="en-AU"/>
        </w:rPr>
        <w:t xml:space="preserve"> target</w:t>
      </w:r>
      <w:r w:rsidR="00F6127C" w:rsidRPr="00CB10AD">
        <w:rPr>
          <w:rFonts w:asciiTheme="minorHAnsi" w:hAnsiTheme="minorHAnsi" w:cstheme="minorHAnsi"/>
          <w:lang w:val="en-AU"/>
        </w:rPr>
        <w:t xml:space="preserve"> districts</w:t>
      </w:r>
      <w:r w:rsidRPr="00CB10AD">
        <w:rPr>
          <w:rFonts w:asciiTheme="minorHAnsi" w:hAnsiTheme="minorHAnsi" w:cstheme="minorHAnsi"/>
          <w:lang w:val="en-AU"/>
        </w:rPr>
        <w:t xml:space="preserve"> to </w:t>
      </w:r>
      <w:r w:rsidR="007579B4" w:rsidRPr="00CB10AD">
        <w:rPr>
          <w:rFonts w:asciiTheme="minorHAnsi" w:hAnsiTheme="minorHAnsi" w:cstheme="minorHAnsi"/>
          <w:lang w:val="en-AU"/>
        </w:rPr>
        <w:t xml:space="preserve">accurately </w:t>
      </w:r>
      <w:r w:rsidRPr="00CB10AD">
        <w:rPr>
          <w:rFonts w:asciiTheme="minorHAnsi" w:hAnsiTheme="minorHAnsi" w:cstheme="minorHAnsi"/>
          <w:lang w:val="en-AU"/>
        </w:rPr>
        <w:t>determine their</w:t>
      </w:r>
      <w:r w:rsidR="00F6127C" w:rsidRPr="00CB10AD">
        <w:rPr>
          <w:rFonts w:asciiTheme="minorHAnsi" w:hAnsiTheme="minorHAnsi" w:cstheme="minorHAnsi"/>
          <w:lang w:val="en-AU"/>
        </w:rPr>
        <w:t xml:space="preserve"> enrolment rates,</w:t>
      </w:r>
      <w:r w:rsidRPr="00CB10AD">
        <w:rPr>
          <w:rFonts w:asciiTheme="minorHAnsi" w:hAnsiTheme="minorHAnsi" w:cstheme="minorHAnsi"/>
          <w:lang w:val="en-AU"/>
        </w:rPr>
        <w:t xml:space="preserve"> to assess options for </w:t>
      </w:r>
      <w:r w:rsidR="00F6127C" w:rsidRPr="00CB10AD">
        <w:rPr>
          <w:rFonts w:asciiTheme="minorHAnsi" w:hAnsiTheme="minorHAnsi" w:cstheme="minorHAnsi"/>
          <w:lang w:val="en-AU"/>
        </w:rPr>
        <w:t>tackl</w:t>
      </w:r>
      <w:r w:rsidRPr="00CB10AD">
        <w:rPr>
          <w:rFonts w:asciiTheme="minorHAnsi" w:hAnsiTheme="minorHAnsi" w:cstheme="minorHAnsi"/>
          <w:lang w:val="en-AU"/>
        </w:rPr>
        <w:t>ing</w:t>
      </w:r>
      <w:r w:rsidR="00F6127C" w:rsidRPr="00CB10AD">
        <w:rPr>
          <w:rFonts w:asciiTheme="minorHAnsi" w:hAnsiTheme="minorHAnsi" w:cstheme="minorHAnsi"/>
          <w:lang w:val="en-AU"/>
        </w:rPr>
        <w:t xml:space="preserve"> low GER, and</w:t>
      </w:r>
      <w:r w:rsidR="007579B4" w:rsidRPr="00CB10AD">
        <w:rPr>
          <w:rFonts w:asciiTheme="minorHAnsi" w:hAnsiTheme="minorHAnsi" w:cstheme="minorHAnsi"/>
          <w:lang w:val="en-AU"/>
        </w:rPr>
        <w:t xml:space="preserve"> then</w:t>
      </w:r>
      <w:r w:rsidRPr="00CB10AD">
        <w:rPr>
          <w:rFonts w:asciiTheme="minorHAnsi" w:hAnsiTheme="minorHAnsi" w:cstheme="minorHAnsi"/>
          <w:lang w:val="en-AU"/>
        </w:rPr>
        <w:t xml:space="preserve"> </w:t>
      </w:r>
      <w:r w:rsidR="00E02DA1" w:rsidRPr="00CB10AD">
        <w:rPr>
          <w:rFonts w:asciiTheme="minorHAnsi" w:hAnsiTheme="minorHAnsi" w:cstheme="minorHAnsi"/>
          <w:lang w:val="en-AU"/>
        </w:rPr>
        <w:t>to</w:t>
      </w:r>
      <w:r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make informed decisions based on the </w:t>
      </w:r>
      <w:r w:rsidRPr="00CB10AD">
        <w:rPr>
          <w:rFonts w:asciiTheme="minorHAnsi" w:hAnsiTheme="minorHAnsi" w:cstheme="minorHAnsi"/>
          <w:lang w:val="en-AU"/>
        </w:rPr>
        <w:t>options available</w:t>
      </w:r>
      <w:r w:rsidR="00F6127C" w:rsidRPr="00CB10AD">
        <w:rPr>
          <w:rFonts w:asciiTheme="minorHAnsi" w:hAnsiTheme="minorHAnsi" w:cstheme="minorHAnsi"/>
          <w:lang w:val="en-AU"/>
        </w:rPr>
        <w:t>.</w:t>
      </w:r>
      <w:r w:rsidR="00B05FA7"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Anecdotal </w:t>
      </w:r>
      <w:r w:rsidRPr="00CB10AD">
        <w:rPr>
          <w:rFonts w:asciiTheme="minorHAnsi" w:hAnsiTheme="minorHAnsi" w:cstheme="minorHAnsi"/>
          <w:lang w:val="en-AU"/>
        </w:rPr>
        <w:t>feedback has been</w:t>
      </w:r>
      <w:r w:rsidR="00F6127C" w:rsidRPr="00CB10AD">
        <w:rPr>
          <w:rFonts w:asciiTheme="minorHAnsi" w:hAnsiTheme="minorHAnsi" w:cstheme="minorHAnsi"/>
          <w:lang w:val="en-AU"/>
        </w:rPr>
        <w:t xml:space="preserve"> positive with some of the districts submitting </w:t>
      </w:r>
      <w:r w:rsidR="007579B4" w:rsidRPr="00CB10AD">
        <w:rPr>
          <w:rFonts w:asciiTheme="minorHAnsi" w:hAnsiTheme="minorHAnsi" w:cstheme="minorHAnsi"/>
          <w:lang w:val="en-AU"/>
        </w:rPr>
        <w:t xml:space="preserve">a greater number and improved quality of proposals to the EP. </w:t>
      </w:r>
      <w:r w:rsidR="00EA2794" w:rsidRPr="00CB10AD">
        <w:rPr>
          <w:rFonts w:asciiTheme="minorHAnsi" w:hAnsiTheme="minorHAnsi" w:cstheme="minorHAnsi"/>
          <w:lang w:val="en-AU"/>
        </w:rPr>
        <w:t xml:space="preserve">In addition, improvements </w:t>
      </w:r>
      <w:r w:rsidR="00137F40" w:rsidRPr="00CB10AD">
        <w:rPr>
          <w:rFonts w:asciiTheme="minorHAnsi" w:hAnsiTheme="minorHAnsi" w:cstheme="minorHAnsi"/>
          <w:lang w:val="en-AU"/>
        </w:rPr>
        <w:t xml:space="preserve">have been made to the new school proposal form and to the analysis of new school proposals. </w:t>
      </w:r>
      <w:r w:rsidR="007579B4" w:rsidRPr="00CB10AD">
        <w:rPr>
          <w:rFonts w:asciiTheme="minorHAnsi" w:hAnsiTheme="minorHAnsi" w:cstheme="minorHAnsi"/>
          <w:lang w:val="en-AU"/>
        </w:rPr>
        <w:t xml:space="preserve">This should benefit the </w:t>
      </w:r>
      <w:r w:rsidR="00BD2528" w:rsidRPr="00CB10AD">
        <w:rPr>
          <w:rFonts w:asciiTheme="minorHAnsi" w:hAnsiTheme="minorHAnsi" w:cstheme="minorHAnsi"/>
          <w:lang w:val="en-AU"/>
        </w:rPr>
        <w:t>third cy</w:t>
      </w:r>
      <w:r w:rsidR="007579B4" w:rsidRPr="00CB10AD">
        <w:rPr>
          <w:rFonts w:asciiTheme="minorHAnsi" w:hAnsiTheme="minorHAnsi" w:cstheme="minorHAnsi"/>
          <w:lang w:val="en-AU"/>
        </w:rPr>
        <w:t xml:space="preserve">cle </w:t>
      </w:r>
      <w:r w:rsidR="00BD2528" w:rsidRPr="00CB10AD">
        <w:rPr>
          <w:rFonts w:asciiTheme="minorHAnsi" w:hAnsiTheme="minorHAnsi" w:cstheme="minorHAnsi"/>
          <w:lang w:val="en-AU"/>
        </w:rPr>
        <w:t>of</w:t>
      </w:r>
      <w:r w:rsidR="007579B4" w:rsidRPr="00CB10AD">
        <w:rPr>
          <w:rFonts w:asciiTheme="minorHAnsi" w:hAnsiTheme="minorHAnsi" w:cstheme="minorHAnsi"/>
          <w:lang w:val="en-AU"/>
        </w:rPr>
        <w:t xml:space="preserve"> construction </w:t>
      </w:r>
      <w:r w:rsidR="00BD2528" w:rsidRPr="00CB10AD">
        <w:rPr>
          <w:rFonts w:asciiTheme="minorHAnsi" w:hAnsiTheme="minorHAnsi" w:cstheme="minorHAnsi"/>
          <w:lang w:val="en-AU"/>
        </w:rPr>
        <w:t>planned in 2014-2015</w:t>
      </w:r>
      <w:r w:rsidR="007579B4" w:rsidRPr="00CB10AD">
        <w:rPr>
          <w:rFonts w:asciiTheme="minorHAnsi" w:hAnsiTheme="minorHAnsi" w:cstheme="minorHAnsi"/>
          <w:lang w:val="en-AU"/>
        </w:rPr>
        <w:t xml:space="preserve"> (though it should be noted that whilst the access planning training provided by the EP helps districts to identify appropriate planning solutions to low GER, the EP</w:t>
      </w:r>
      <w:r w:rsidR="001714A0">
        <w:rPr>
          <w:rFonts w:asciiTheme="minorHAnsi" w:hAnsiTheme="minorHAnsi" w:cstheme="minorHAnsi"/>
          <w:lang w:val="en-AU"/>
        </w:rPr>
        <w:t>, in line with its original design, can only</w:t>
      </w:r>
      <w:r w:rsidR="007579B4" w:rsidRPr="00CB10AD">
        <w:rPr>
          <w:rFonts w:asciiTheme="minorHAnsi" w:hAnsiTheme="minorHAnsi" w:cstheme="minorHAnsi"/>
          <w:lang w:val="en-AU"/>
        </w:rPr>
        <w:t xml:space="preserve"> offer one solution: the construction of new </w:t>
      </w:r>
      <w:r w:rsidR="001714A0">
        <w:rPr>
          <w:rFonts w:asciiTheme="minorHAnsi" w:hAnsiTheme="minorHAnsi" w:cstheme="minorHAnsi"/>
          <w:lang w:val="en-AU"/>
        </w:rPr>
        <w:t xml:space="preserve">USB or SATAP </w:t>
      </w:r>
      <w:r w:rsidR="007579B4" w:rsidRPr="00CB10AD">
        <w:rPr>
          <w:rFonts w:asciiTheme="minorHAnsi" w:hAnsiTheme="minorHAnsi" w:cstheme="minorHAnsi"/>
          <w:lang w:val="en-AU"/>
        </w:rPr>
        <w:t>schools).</w:t>
      </w:r>
      <w:r w:rsidR="00946EBD" w:rsidRPr="00CB10AD">
        <w:rPr>
          <w:rFonts w:asciiTheme="minorHAnsi" w:hAnsiTheme="minorHAnsi" w:cstheme="minorHAnsi"/>
          <w:lang w:val="en-AU"/>
        </w:rPr>
        <w:t xml:space="preserve"> </w:t>
      </w:r>
    </w:p>
    <w:p w:rsidR="00F6127C" w:rsidRPr="00CB10AD" w:rsidRDefault="00F6127C" w:rsidP="002F6BDF">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SSQ</w:t>
      </w:r>
      <w:r w:rsidR="007579B4" w:rsidRPr="00CB10AD">
        <w:rPr>
          <w:rFonts w:asciiTheme="minorHAnsi" w:hAnsiTheme="minorHAnsi" w:cstheme="minorHAnsi"/>
          <w:lang w:val="en-AU"/>
        </w:rPr>
        <w:t xml:space="preserve">’s </w:t>
      </w:r>
      <w:r w:rsidRPr="00CB10AD">
        <w:rPr>
          <w:rFonts w:asciiTheme="minorHAnsi" w:hAnsiTheme="minorHAnsi" w:cstheme="minorHAnsi"/>
          <w:lang w:val="en-AU"/>
        </w:rPr>
        <w:t xml:space="preserve">Field Monitors (FM) </w:t>
      </w:r>
      <w:r w:rsidR="007579B4" w:rsidRPr="00CB10AD">
        <w:rPr>
          <w:rFonts w:asciiTheme="minorHAnsi" w:hAnsiTheme="minorHAnsi" w:cstheme="minorHAnsi"/>
          <w:lang w:val="en-AU"/>
        </w:rPr>
        <w:t>are tasked to support MoEC in the monitoring of the school construction process. Their role was expanded in 2013 s</w:t>
      </w:r>
      <w:r w:rsidR="00527513" w:rsidRPr="00CB10AD">
        <w:rPr>
          <w:rFonts w:asciiTheme="minorHAnsi" w:hAnsiTheme="minorHAnsi" w:cstheme="minorHAnsi"/>
          <w:lang w:val="en-AU"/>
        </w:rPr>
        <w:t>o</w:t>
      </w:r>
      <w:r w:rsidR="007579B4" w:rsidRPr="00CB10AD">
        <w:rPr>
          <w:rFonts w:asciiTheme="minorHAnsi" w:hAnsiTheme="minorHAnsi" w:cstheme="minorHAnsi"/>
          <w:lang w:val="en-AU"/>
        </w:rPr>
        <w:t xml:space="preserve"> that they are now involved in site selection verification. They have also been given authority to </w:t>
      </w:r>
      <w:r w:rsidR="002F6BDF" w:rsidRPr="00CB10AD">
        <w:rPr>
          <w:rFonts w:asciiTheme="minorHAnsi" w:hAnsiTheme="minorHAnsi" w:cstheme="minorHAnsi"/>
          <w:lang w:val="en-AU"/>
        </w:rPr>
        <w:t>recommend</w:t>
      </w:r>
      <w:r w:rsidR="007579B4" w:rsidRPr="00CB10AD">
        <w:rPr>
          <w:rFonts w:asciiTheme="minorHAnsi" w:hAnsiTheme="minorHAnsi" w:cstheme="minorHAnsi"/>
          <w:lang w:val="en-AU"/>
        </w:rPr>
        <w:t xml:space="preserve"> remedial action where construction issues have been identified. It is hoped that the FMs will offer </w:t>
      </w:r>
      <w:r w:rsidRPr="00CB10AD">
        <w:rPr>
          <w:rFonts w:asciiTheme="minorHAnsi" w:hAnsiTheme="minorHAnsi" w:cstheme="minorHAnsi"/>
          <w:lang w:val="en-AU"/>
        </w:rPr>
        <w:t xml:space="preserve">continuous coordination and </w:t>
      </w:r>
      <w:r w:rsidR="007579B4" w:rsidRPr="00CB10AD">
        <w:rPr>
          <w:rFonts w:asciiTheme="minorHAnsi" w:hAnsiTheme="minorHAnsi" w:cstheme="minorHAnsi"/>
          <w:lang w:val="en-AU"/>
        </w:rPr>
        <w:t xml:space="preserve">improved </w:t>
      </w:r>
      <w:r w:rsidRPr="00CB10AD">
        <w:rPr>
          <w:rFonts w:asciiTheme="minorHAnsi" w:hAnsiTheme="minorHAnsi" w:cstheme="minorHAnsi"/>
          <w:lang w:val="en-AU"/>
        </w:rPr>
        <w:t>communication among stakeholders</w:t>
      </w:r>
      <w:r w:rsidR="007579B4" w:rsidRPr="00CB10AD">
        <w:rPr>
          <w:rFonts w:asciiTheme="minorHAnsi" w:hAnsiTheme="minorHAnsi" w:cstheme="minorHAnsi"/>
          <w:lang w:val="en-AU"/>
        </w:rPr>
        <w:t>, with upsides for risk identification and management and the proactive</w:t>
      </w:r>
      <w:r w:rsidR="002F6BDF" w:rsidRPr="00CB10AD">
        <w:rPr>
          <w:rFonts w:asciiTheme="minorHAnsi" w:hAnsiTheme="minorHAnsi" w:cstheme="minorHAnsi"/>
          <w:lang w:val="en-AU"/>
        </w:rPr>
        <w:t xml:space="preserve"> and timely solution o</w:t>
      </w:r>
      <w:r w:rsidR="007E5A15" w:rsidRPr="00CB10AD">
        <w:rPr>
          <w:rFonts w:asciiTheme="minorHAnsi" w:hAnsiTheme="minorHAnsi" w:cstheme="minorHAnsi"/>
          <w:lang w:val="en-AU"/>
        </w:rPr>
        <w:t>f</w:t>
      </w:r>
      <w:r w:rsidR="002F6BDF" w:rsidRPr="00CB10AD">
        <w:rPr>
          <w:rFonts w:asciiTheme="minorHAnsi" w:hAnsiTheme="minorHAnsi" w:cstheme="minorHAnsi"/>
          <w:lang w:val="en-AU"/>
        </w:rPr>
        <w:t xml:space="preserve"> issues on-site</w:t>
      </w:r>
      <w:r w:rsidR="007E5A15" w:rsidRPr="00CB10AD">
        <w:rPr>
          <w:rFonts w:asciiTheme="minorHAnsi" w:hAnsiTheme="minorHAnsi" w:cstheme="minorHAnsi"/>
          <w:lang w:val="en-AU"/>
        </w:rPr>
        <w:t>.</w:t>
      </w:r>
      <w:r w:rsidR="007579B4" w:rsidRPr="00CB10AD">
        <w:rPr>
          <w:rFonts w:asciiTheme="minorHAnsi" w:hAnsiTheme="minorHAnsi" w:cstheme="minorHAnsi"/>
          <w:lang w:val="en-AU"/>
        </w:rPr>
        <w:t xml:space="preserve"> </w:t>
      </w:r>
      <w:r w:rsidR="002F6BDF" w:rsidRPr="00CB10AD">
        <w:rPr>
          <w:rFonts w:asciiTheme="minorHAnsi" w:hAnsiTheme="minorHAnsi" w:cstheme="minorHAnsi"/>
          <w:lang w:val="en-AU"/>
        </w:rPr>
        <w:t xml:space="preserve">Early indications are positive. SSQ, for example, reports that FMs have </w:t>
      </w:r>
      <w:r w:rsidRPr="00CB10AD">
        <w:rPr>
          <w:rFonts w:asciiTheme="minorHAnsi" w:hAnsiTheme="minorHAnsi" w:cstheme="minorHAnsi"/>
          <w:lang w:val="en-AU"/>
        </w:rPr>
        <w:t>made a significant contribution to the quality of the school construction program and that their monetary value exceeded their cost to the program</w:t>
      </w:r>
      <w:r w:rsidR="002F6BDF" w:rsidRPr="00CB10AD">
        <w:rPr>
          <w:rStyle w:val="EndnoteReference"/>
          <w:rFonts w:asciiTheme="minorHAnsi" w:hAnsiTheme="minorHAnsi" w:cstheme="minorHAnsi"/>
          <w:lang w:val="en-AU"/>
        </w:rPr>
        <w:endnoteReference w:id="7"/>
      </w:r>
      <w:r w:rsidRPr="00CB10AD">
        <w:rPr>
          <w:rFonts w:asciiTheme="minorHAnsi" w:hAnsiTheme="minorHAnsi" w:cstheme="minorHAnsi"/>
          <w:lang w:val="en-AU"/>
        </w:rPr>
        <w:t>.</w:t>
      </w:r>
    </w:p>
    <w:p w:rsidR="00F6127C" w:rsidRPr="00CB10AD" w:rsidRDefault="002F6BDF" w:rsidP="002F6BDF">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lastRenderedPageBreak/>
        <w:t xml:space="preserve">At a central level, </w:t>
      </w:r>
      <w:r w:rsidR="00F6127C" w:rsidRPr="00CB10AD">
        <w:rPr>
          <w:rFonts w:asciiTheme="minorHAnsi" w:hAnsiTheme="minorHAnsi" w:cstheme="minorHAnsi"/>
          <w:lang w:val="en-AU"/>
        </w:rPr>
        <w:t>C1</w:t>
      </w:r>
      <w:r w:rsidRPr="00CB10AD">
        <w:rPr>
          <w:rFonts w:asciiTheme="minorHAnsi" w:hAnsiTheme="minorHAnsi" w:cstheme="minorHAnsi"/>
          <w:lang w:val="en-AU"/>
        </w:rPr>
        <w:t xml:space="preserve"> partners have</w:t>
      </w:r>
      <w:r w:rsidR="00B05FA7"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established a Construction Reporting System (CRS) to </w:t>
      </w:r>
      <w:r w:rsidRPr="00CB10AD">
        <w:rPr>
          <w:rFonts w:asciiTheme="minorHAnsi" w:hAnsiTheme="minorHAnsi" w:cstheme="minorHAnsi"/>
          <w:lang w:val="en-AU"/>
        </w:rPr>
        <w:t xml:space="preserve">collate, </w:t>
      </w:r>
      <w:r w:rsidR="00F6127C" w:rsidRPr="00CB10AD">
        <w:rPr>
          <w:rFonts w:asciiTheme="minorHAnsi" w:hAnsiTheme="minorHAnsi" w:cstheme="minorHAnsi"/>
          <w:lang w:val="en-AU"/>
        </w:rPr>
        <w:t>manage</w:t>
      </w:r>
      <w:r w:rsidRPr="00CB10AD">
        <w:rPr>
          <w:rFonts w:asciiTheme="minorHAnsi" w:hAnsiTheme="minorHAnsi" w:cstheme="minorHAnsi"/>
          <w:lang w:val="en-AU"/>
        </w:rPr>
        <w:t xml:space="preserve">, verify and </w:t>
      </w:r>
      <w:r w:rsidR="00CB10AD" w:rsidRPr="00CB10AD">
        <w:rPr>
          <w:rFonts w:asciiTheme="minorHAnsi" w:hAnsiTheme="minorHAnsi" w:cstheme="minorHAnsi"/>
          <w:lang w:val="en-AU"/>
        </w:rPr>
        <w:t>analyse</w:t>
      </w:r>
      <w:r w:rsidRPr="00CB10AD">
        <w:rPr>
          <w:rFonts w:asciiTheme="minorHAnsi" w:hAnsiTheme="minorHAnsi" w:cstheme="minorHAnsi"/>
          <w:lang w:val="en-AU"/>
        </w:rPr>
        <w:t xml:space="preserve"> </w:t>
      </w:r>
      <w:r w:rsidR="00F6127C" w:rsidRPr="00CB10AD">
        <w:rPr>
          <w:rFonts w:asciiTheme="minorHAnsi" w:hAnsiTheme="minorHAnsi" w:cstheme="minorHAnsi"/>
          <w:lang w:val="en-AU"/>
        </w:rPr>
        <w:t>construction data.</w:t>
      </w:r>
      <w:r w:rsidRPr="00CB10AD">
        <w:rPr>
          <w:rFonts w:asciiTheme="minorHAnsi" w:hAnsiTheme="minorHAnsi" w:cstheme="minorHAnsi"/>
          <w:lang w:val="en-AU"/>
        </w:rPr>
        <w:t xml:space="preserve"> A </w:t>
      </w:r>
      <w:r w:rsidR="00F6127C" w:rsidRPr="00CB10AD">
        <w:rPr>
          <w:rFonts w:asciiTheme="minorHAnsi" w:hAnsiTheme="minorHAnsi" w:cstheme="minorHAnsi"/>
          <w:lang w:val="en-AU"/>
        </w:rPr>
        <w:t xml:space="preserve">Joint Technical Unit (JTU) </w:t>
      </w:r>
      <w:r w:rsidRPr="00CB10AD">
        <w:rPr>
          <w:rFonts w:asciiTheme="minorHAnsi" w:hAnsiTheme="minorHAnsi" w:cstheme="minorHAnsi"/>
          <w:lang w:val="en-AU"/>
        </w:rPr>
        <w:t>has also been established</w:t>
      </w:r>
      <w:r w:rsidR="00F6127C" w:rsidRPr="00CB10AD">
        <w:rPr>
          <w:rFonts w:asciiTheme="minorHAnsi" w:hAnsiTheme="minorHAnsi" w:cstheme="minorHAnsi"/>
          <w:lang w:val="en-AU"/>
        </w:rPr>
        <w:t xml:space="preserve">, with the </w:t>
      </w:r>
      <w:r w:rsidRPr="00CB10AD">
        <w:rPr>
          <w:rFonts w:asciiTheme="minorHAnsi" w:hAnsiTheme="minorHAnsi" w:cstheme="minorHAnsi"/>
          <w:lang w:val="en-AU"/>
        </w:rPr>
        <w:t xml:space="preserve">objective of enabling improved information flow between SSQ and MoEC and therefore more effective and timely </w:t>
      </w:r>
      <w:r w:rsidR="00F6127C" w:rsidRPr="00CB10AD">
        <w:rPr>
          <w:rFonts w:asciiTheme="minorHAnsi" w:hAnsiTheme="minorHAnsi" w:cstheme="minorHAnsi"/>
          <w:lang w:val="en-AU"/>
        </w:rPr>
        <w:t xml:space="preserve">resolution of issues. </w:t>
      </w:r>
    </w:p>
    <w:p w:rsidR="00F6127C" w:rsidRPr="00CB10AD" w:rsidRDefault="00F6127C" w:rsidP="00F6127C">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Analysis</w:t>
      </w:r>
    </w:p>
    <w:p w:rsidR="00F22148" w:rsidRPr="00CB10AD" w:rsidRDefault="00F22148" w:rsidP="00F22148">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Relevance</w:t>
      </w:r>
    </w:p>
    <w:p w:rsidR="00F22148" w:rsidRPr="00CB10AD" w:rsidRDefault="00F22148" w:rsidP="00F2214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From a sector perspective, EP investments in JSE school construction remain in line with MoEC’s current championing of an access agenda. </w:t>
      </w:r>
      <w:r w:rsidR="007C6065" w:rsidRPr="00CB10AD">
        <w:rPr>
          <w:rFonts w:asciiTheme="minorHAnsi" w:hAnsiTheme="minorHAnsi" w:cstheme="minorHAnsi"/>
          <w:lang w:val="en-AU"/>
        </w:rPr>
        <w:t xml:space="preserve">Moreover, as Figure 2, below, shows, the number of known districts with a GER of &lt;90% has steadily increased since 2008/09. </w:t>
      </w:r>
      <w:r w:rsidRPr="00CB10AD">
        <w:rPr>
          <w:rFonts w:asciiTheme="minorHAnsi" w:hAnsiTheme="minorHAnsi" w:cstheme="minorHAnsi"/>
          <w:lang w:val="en-AU"/>
        </w:rPr>
        <w:t xml:space="preserve">Therefore, if correctly targeted, the EP’s construction agenda should contribute to incremental gains in enrolment figures in targeted districts. </w:t>
      </w:r>
    </w:p>
    <w:p w:rsidR="00110205" w:rsidRPr="00CB10AD" w:rsidRDefault="00110205" w:rsidP="00F22148">
      <w:pPr>
        <w:spacing w:before="120" w:after="120" w:line="276" w:lineRule="auto"/>
        <w:jc w:val="both"/>
        <w:rPr>
          <w:rFonts w:asciiTheme="minorHAnsi" w:hAnsiTheme="minorHAnsi" w:cstheme="minorHAnsi"/>
          <w:lang w:val="en-AU"/>
        </w:rPr>
      </w:pPr>
    </w:p>
    <w:p w:rsidR="00F22148" w:rsidRPr="00CB10AD" w:rsidRDefault="00F22148" w:rsidP="00F22148">
      <w:pPr>
        <w:pStyle w:val="Caption"/>
        <w:keepNext/>
        <w:rPr>
          <w:lang w:val="en-AU"/>
        </w:rPr>
      </w:pPr>
      <w:bookmarkStart w:id="22" w:name="_Toc379884230"/>
      <w:r w:rsidRPr="00CB10AD">
        <w:rPr>
          <w:lang w:val="en-AU"/>
        </w:rPr>
        <w:t xml:space="preserve">Figure </w:t>
      </w:r>
      <w:r w:rsidRPr="00CB10AD">
        <w:rPr>
          <w:lang w:val="en-AU"/>
        </w:rPr>
        <w:fldChar w:fldCharType="begin"/>
      </w:r>
      <w:r w:rsidRPr="00CB10AD">
        <w:rPr>
          <w:lang w:val="en-AU"/>
        </w:rPr>
        <w:instrText xml:space="preserve"> SEQ Figure \* ARABIC </w:instrText>
      </w:r>
      <w:r w:rsidRPr="00CB10AD">
        <w:rPr>
          <w:lang w:val="en-AU"/>
        </w:rPr>
        <w:fldChar w:fldCharType="separate"/>
      </w:r>
      <w:r w:rsidR="00662AF4">
        <w:rPr>
          <w:noProof/>
          <w:lang w:val="en-AU"/>
        </w:rPr>
        <w:t>2</w:t>
      </w:r>
      <w:r w:rsidRPr="00CB10AD">
        <w:rPr>
          <w:lang w:val="en-AU"/>
        </w:rPr>
        <w:fldChar w:fldCharType="end"/>
      </w:r>
      <w:r w:rsidRPr="00CB10AD">
        <w:rPr>
          <w:lang w:val="en-AU"/>
        </w:rPr>
        <w:t>: Proportion of districts nationwide with low/high GER</w:t>
      </w:r>
      <w:bookmarkEnd w:id="22"/>
      <w:r w:rsidRPr="00CB10AD">
        <w:rPr>
          <w:lang w:val="en-AU"/>
        </w:rPr>
        <w:t xml:space="preserve"> </w:t>
      </w:r>
    </w:p>
    <w:p w:rsidR="00110205" w:rsidRPr="00CB10AD" w:rsidRDefault="00110205" w:rsidP="00110205">
      <w:pPr>
        <w:keepNext/>
        <w:jc w:val="center"/>
        <w:rPr>
          <w:lang w:val="en-AU" w:eastAsia="en-GB"/>
        </w:rPr>
      </w:pPr>
      <w:r w:rsidRPr="00CB10AD">
        <w:rPr>
          <w:noProof/>
          <w:lang w:val="en-AU" w:eastAsia="en-AU"/>
        </w:rPr>
        <w:drawing>
          <wp:inline distT="0" distB="0" distL="0" distR="0" wp14:anchorId="101CCB0D" wp14:editId="3BA67515">
            <wp:extent cx="5400676" cy="3228976"/>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2148" w:rsidRPr="00CB10AD" w:rsidRDefault="00110205" w:rsidP="00F22148">
      <w:pPr>
        <w:keepNext/>
        <w:spacing w:before="120" w:after="120"/>
        <w:jc w:val="center"/>
        <w:rPr>
          <w:i/>
          <w:sz w:val="20"/>
          <w:szCs w:val="20"/>
          <w:lang w:val="en-AU"/>
        </w:rPr>
      </w:pPr>
      <w:r w:rsidRPr="00CB10AD">
        <w:rPr>
          <w:i/>
          <w:sz w:val="20"/>
          <w:szCs w:val="20"/>
          <w:lang w:val="en-AU"/>
        </w:rPr>
        <w:t>So</w:t>
      </w:r>
      <w:r w:rsidR="00F22148" w:rsidRPr="00CB10AD">
        <w:rPr>
          <w:i/>
          <w:sz w:val="20"/>
          <w:szCs w:val="20"/>
          <w:lang w:val="en-AU"/>
        </w:rPr>
        <w:t>urce: PDSP data</w:t>
      </w:r>
    </w:p>
    <w:p w:rsidR="00F22148" w:rsidRPr="00CB10AD" w:rsidRDefault="00F22148" w:rsidP="00F22148">
      <w:pPr>
        <w:spacing w:before="120" w:after="120" w:line="276" w:lineRule="auto"/>
        <w:jc w:val="both"/>
        <w:rPr>
          <w:rFonts w:asciiTheme="minorHAnsi" w:hAnsiTheme="minorHAnsi" w:cstheme="minorHAnsi"/>
          <w:lang w:val="en-AU"/>
        </w:rPr>
      </w:pPr>
    </w:p>
    <w:p w:rsidR="00F22148" w:rsidRPr="00196F93" w:rsidRDefault="00F22148" w:rsidP="00196F93">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Whilst access challenges remain in JSE (which speaks broadly favourably to the Australian investment), the </w:t>
      </w:r>
      <w:r w:rsidRPr="00CB10AD">
        <w:rPr>
          <w:rFonts w:asciiTheme="minorHAnsi" w:hAnsiTheme="minorHAnsi" w:cstheme="minorHAnsi"/>
          <w:i/>
          <w:lang w:val="en-AU"/>
        </w:rPr>
        <w:t>relative</w:t>
      </w:r>
      <w:r w:rsidRPr="00CB10AD">
        <w:rPr>
          <w:rFonts w:asciiTheme="minorHAnsi" w:hAnsiTheme="minorHAnsi" w:cstheme="minorHAnsi"/>
          <w:lang w:val="en-AU"/>
        </w:rPr>
        <w:t xml:space="preserve"> importance of EP investments vis-à-vis MoEC’s emerging priorities is less certain</w:t>
      </w:r>
      <w:r w:rsidR="00486BE8">
        <w:rPr>
          <w:rFonts w:asciiTheme="minorHAnsi" w:hAnsiTheme="minorHAnsi" w:cstheme="minorHAnsi"/>
          <w:lang w:val="en-AU"/>
        </w:rPr>
        <w:t xml:space="preserve">. </w:t>
      </w:r>
      <w:r w:rsidRPr="00196F93">
        <w:rPr>
          <w:rFonts w:asciiTheme="minorHAnsi" w:hAnsiTheme="minorHAnsi" w:cstheme="minorHAnsi"/>
          <w:lang w:val="en-AU"/>
        </w:rPr>
        <w:t xml:space="preserve">MoEC believes that its future role in school construction should be limited to a fund </w:t>
      </w:r>
      <w:r w:rsidR="00CB10AD" w:rsidRPr="00196F93">
        <w:rPr>
          <w:rFonts w:asciiTheme="minorHAnsi" w:hAnsiTheme="minorHAnsi" w:cstheme="minorHAnsi"/>
          <w:lang w:val="en-AU"/>
        </w:rPr>
        <w:t>channelling</w:t>
      </w:r>
      <w:r w:rsidRPr="00196F93">
        <w:rPr>
          <w:rFonts w:asciiTheme="minorHAnsi" w:hAnsiTheme="minorHAnsi" w:cstheme="minorHAnsi"/>
          <w:lang w:val="en-AU"/>
        </w:rPr>
        <w:t xml:space="preserve"> mechanism and sees districts as being ultimately responsible for initiating and providing technical and administrative oversight to school construction. This could call into question the long-term, sectoral relevance of the EP’s support to centralized decision-making and management of JSE construction between 2011 and 2016.</w:t>
      </w:r>
    </w:p>
    <w:p w:rsidR="00FD647F" w:rsidRDefault="00F22148" w:rsidP="00F2214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w:t>
      </w:r>
      <w:r w:rsidR="00F22EF5">
        <w:rPr>
          <w:rFonts w:asciiTheme="minorHAnsi" w:hAnsiTheme="minorHAnsi" w:cstheme="minorHAnsi"/>
          <w:lang w:val="en-AU"/>
        </w:rPr>
        <w:t>is</w:t>
      </w:r>
      <w:r w:rsidRPr="00CB10AD">
        <w:rPr>
          <w:rFonts w:asciiTheme="minorHAnsi" w:hAnsiTheme="minorHAnsi" w:cstheme="minorHAnsi"/>
          <w:lang w:val="en-AU"/>
        </w:rPr>
        <w:t xml:space="preserve"> assessment of relevance </w:t>
      </w:r>
      <w:r w:rsidR="00F22EF5">
        <w:rPr>
          <w:rFonts w:asciiTheme="minorHAnsi" w:hAnsiTheme="minorHAnsi" w:cstheme="minorHAnsi"/>
          <w:lang w:val="en-AU"/>
        </w:rPr>
        <w:t>covers not only</w:t>
      </w:r>
      <w:r w:rsidR="00F22EF5" w:rsidRPr="00CB10AD">
        <w:rPr>
          <w:rFonts w:asciiTheme="minorHAnsi" w:hAnsiTheme="minorHAnsi" w:cstheme="minorHAnsi"/>
          <w:lang w:val="en-AU"/>
        </w:rPr>
        <w:t xml:space="preserve"> </w:t>
      </w:r>
      <w:r w:rsidRPr="00CB10AD">
        <w:rPr>
          <w:rFonts w:asciiTheme="minorHAnsi" w:hAnsiTheme="minorHAnsi" w:cstheme="minorHAnsi"/>
          <w:lang w:val="en-AU"/>
        </w:rPr>
        <w:t xml:space="preserve">the extent to which an intervention is suited to national policies and priorities </w:t>
      </w:r>
      <w:r w:rsidR="00F22EF5">
        <w:rPr>
          <w:rFonts w:asciiTheme="minorHAnsi" w:hAnsiTheme="minorHAnsi" w:cstheme="minorHAnsi"/>
          <w:lang w:val="en-AU"/>
        </w:rPr>
        <w:t xml:space="preserve">but also </w:t>
      </w:r>
      <w:r w:rsidRPr="00CB10AD">
        <w:rPr>
          <w:rFonts w:asciiTheme="minorHAnsi" w:hAnsiTheme="minorHAnsi" w:cstheme="minorHAnsi"/>
          <w:lang w:val="en-AU"/>
        </w:rPr>
        <w:t xml:space="preserve">how </w:t>
      </w:r>
      <w:r w:rsidR="00EA01FF" w:rsidRPr="00CB10AD">
        <w:rPr>
          <w:rFonts w:asciiTheme="minorHAnsi" w:hAnsiTheme="minorHAnsi" w:cstheme="minorHAnsi"/>
          <w:lang w:val="en-AU"/>
        </w:rPr>
        <w:t xml:space="preserve">applicable </w:t>
      </w:r>
      <w:r w:rsidRPr="00CB10AD">
        <w:rPr>
          <w:rFonts w:asciiTheme="minorHAnsi" w:hAnsiTheme="minorHAnsi" w:cstheme="minorHAnsi"/>
          <w:lang w:val="en-AU"/>
        </w:rPr>
        <w:t xml:space="preserve">the intervention activities are to the achievement of its objectives. The </w:t>
      </w:r>
      <w:r w:rsidR="00F22EF5">
        <w:rPr>
          <w:rFonts w:asciiTheme="minorHAnsi" w:hAnsiTheme="minorHAnsi" w:cstheme="minorHAnsi"/>
          <w:lang w:val="en-AU"/>
        </w:rPr>
        <w:t xml:space="preserve">original </w:t>
      </w:r>
      <w:r w:rsidRPr="00CB10AD">
        <w:rPr>
          <w:rFonts w:asciiTheme="minorHAnsi" w:hAnsiTheme="minorHAnsi" w:cstheme="minorHAnsi"/>
          <w:lang w:val="en-AU"/>
        </w:rPr>
        <w:t xml:space="preserve">design of C1 </w:t>
      </w:r>
      <w:r w:rsidR="00F22EF5">
        <w:rPr>
          <w:rFonts w:asciiTheme="minorHAnsi" w:hAnsiTheme="minorHAnsi" w:cstheme="minorHAnsi"/>
          <w:lang w:val="en-AU"/>
        </w:rPr>
        <w:t xml:space="preserve">features </w:t>
      </w:r>
      <w:r w:rsidR="00814744" w:rsidRPr="00CB10AD">
        <w:rPr>
          <w:rFonts w:asciiTheme="minorHAnsi" w:hAnsiTheme="minorHAnsi" w:cstheme="minorHAnsi"/>
          <w:lang w:val="en-AU"/>
        </w:rPr>
        <w:t>only a</w:t>
      </w:r>
      <w:r w:rsidRPr="00CB10AD">
        <w:rPr>
          <w:rFonts w:asciiTheme="minorHAnsi" w:hAnsiTheme="minorHAnsi" w:cstheme="minorHAnsi"/>
          <w:lang w:val="en-AU"/>
        </w:rPr>
        <w:t xml:space="preserve"> supply-side approach </w:t>
      </w:r>
      <w:r w:rsidR="00525BEF">
        <w:rPr>
          <w:rFonts w:asciiTheme="minorHAnsi" w:hAnsiTheme="minorHAnsi" w:cstheme="minorHAnsi"/>
          <w:lang w:val="en-AU"/>
        </w:rPr>
        <w:t xml:space="preserve">to the </w:t>
      </w:r>
      <w:r w:rsidR="00525BEF">
        <w:rPr>
          <w:rFonts w:asciiTheme="minorHAnsi" w:hAnsiTheme="minorHAnsi" w:cstheme="minorHAnsi"/>
          <w:lang w:val="en-AU"/>
        </w:rPr>
        <w:lastRenderedPageBreak/>
        <w:t xml:space="preserve">multidimensional issue of JSE access.  Whilst it is understood </w:t>
      </w:r>
      <w:r w:rsidR="00F22EF5">
        <w:rPr>
          <w:rFonts w:asciiTheme="minorHAnsi" w:hAnsiTheme="minorHAnsi" w:cstheme="minorHAnsi"/>
          <w:lang w:val="en-AU"/>
        </w:rPr>
        <w:t xml:space="preserve">and accepted </w:t>
      </w:r>
      <w:r w:rsidR="008576B7">
        <w:rPr>
          <w:rFonts w:asciiTheme="minorHAnsi" w:hAnsiTheme="minorHAnsi" w:cstheme="minorHAnsi"/>
          <w:lang w:val="en-AU"/>
        </w:rPr>
        <w:t xml:space="preserve">that </w:t>
      </w:r>
      <w:r w:rsidR="00F22EF5">
        <w:rPr>
          <w:rFonts w:asciiTheme="minorHAnsi" w:hAnsiTheme="minorHAnsi" w:cstheme="minorHAnsi"/>
          <w:lang w:val="en-AU"/>
        </w:rPr>
        <w:t xml:space="preserve">the EP design took account of the fact that </w:t>
      </w:r>
      <w:r w:rsidR="008576B7">
        <w:rPr>
          <w:rFonts w:asciiTheme="minorHAnsi" w:hAnsiTheme="minorHAnsi" w:cstheme="minorHAnsi"/>
          <w:lang w:val="en-AU"/>
        </w:rPr>
        <w:t>other MOEC interventions cover</w:t>
      </w:r>
      <w:r w:rsidR="00950C7E" w:rsidRPr="00CB10AD">
        <w:rPr>
          <w:rFonts w:asciiTheme="minorHAnsi" w:hAnsiTheme="minorHAnsi" w:cstheme="minorHAnsi"/>
          <w:lang w:val="en-AU"/>
        </w:rPr>
        <w:t xml:space="preserve"> </w:t>
      </w:r>
      <w:r w:rsidR="008576B7">
        <w:rPr>
          <w:rFonts w:asciiTheme="minorHAnsi" w:hAnsiTheme="minorHAnsi" w:cstheme="minorHAnsi"/>
          <w:lang w:val="en-AU"/>
        </w:rPr>
        <w:t>other aspects of the access challenge, t</w:t>
      </w:r>
      <w:r w:rsidRPr="00CB10AD">
        <w:rPr>
          <w:rFonts w:asciiTheme="minorHAnsi" w:hAnsiTheme="minorHAnsi" w:cstheme="minorHAnsi"/>
          <w:lang w:val="en-AU"/>
        </w:rPr>
        <w:t xml:space="preserve">here are indications </w:t>
      </w:r>
      <w:r w:rsidR="00722245">
        <w:rPr>
          <w:rFonts w:asciiTheme="minorHAnsi" w:hAnsiTheme="minorHAnsi" w:cstheme="minorHAnsi"/>
          <w:lang w:val="en-AU"/>
        </w:rPr>
        <w:t>tha</w:t>
      </w:r>
      <w:r w:rsidR="00FD647F">
        <w:rPr>
          <w:rFonts w:asciiTheme="minorHAnsi" w:hAnsiTheme="minorHAnsi" w:cstheme="minorHAnsi"/>
          <w:lang w:val="en-AU"/>
        </w:rPr>
        <w:t xml:space="preserve">t </w:t>
      </w:r>
      <w:r w:rsidR="008576B7">
        <w:rPr>
          <w:rFonts w:asciiTheme="minorHAnsi" w:hAnsiTheme="minorHAnsi" w:cstheme="minorHAnsi"/>
          <w:lang w:val="en-AU"/>
        </w:rPr>
        <w:t>parents’</w:t>
      </w:r>
      <w:r w:rsidR="008576B7" w:rsidRPr="00CB10AD">
        <w:rPr>
          <w:rFonts w:asciiTheme="minorHAnsi" w:hAnsiTheme="minorHAnsi" w:cstheme="minorHAnsi"/>
          <w:lang w:val="en-AU"/>
        </w:rPr>
        <w:t xml:space="preserve"> choice </w:t>
      </w:r>
      <w:r w:rsidR="008576B7">
        <w:rPr>
          <w:rFonts w:asciiTheme="minorHAnsi" w:hAnsiTheme="minorHAnsi" w:cstheme="minorHAnsi"/>
          <w:lang w:val="en-AU"/>
        </w:rPr>
        <w:t xml:space="preserve">to </w:t>
      </w:r>
      <w:r w:rsidR="008576B7" w:rsidRPr="00CB10AD">
        <w:rPr>
          <w:rFonts w:asciiTheme="minorHAnsi" w:hAnsiTheme="minorHAnsi" w:cstheme="minorHAnsi"/>
          <w:lang w:val="en-AU"/>
        </w:rPr>
        <w:t>enrol</w:t>
      </w:r>
      <w:r w:rsidR="008576B7">
        <w:rPr>
          <w:rFonts w:asciiTheme="minorHAnsi" w:hAnsiTheme="minorHAnsi" w:cstheme="minorHAnsi"/>
          <w:lang w:val="en-AU"/>
        </w:rPr>
        <w:t xml:space="preserve"> their children in JSE is shaped</w:t>
      </w:r>
      <w:r w:rsidR="008576B7" w:rsidRPr="00CB10AD">
        <w:rPr>
          <w:rFonts w:asciiTheme="minorHAnsi" w:hAnsiTheme="minorHAnsi" w:cstheme="minorHAnsi"/>
          <w:lang w:val="en-AU"/>
        </w:rPr>
        <w:t xml:space="preserve"> </w:t>
      </w:r>
      <w:r w:rsidR="008576B7">
        <w:rPr>
          <w:rFonts w:asciiTheme="minorHAnsi" w:hAnsiTheme="minorHAnsi" w:cstheme="minorHAnsi"/>
          <w:lang w:val="en-AU"/>
        </w:rPr>
        <w:t xml:space="preserve">predominantly </w:t>
      </w:r>
      <w:r w:rsidR="008576B7" w:rsidRPr="00CB10AD">
        <w:rPr>
          <w:rFonts w:asciiTheme="minorHAnsi" w:hAnsiTheme="minorHAnsi" w:cstheme="minorHAnsi"/>
          <w:lang w:val="en-AU"/>
        </w:rPr>
        <w:t>by a range of demand-led variables</w:t>
      </w:r>
      <w:r w:rsidR="008576B7">
        <w:rPr>
          <w:rStyle w:val="FootnoteReference"/>
          <w:rFonts w:cstheme="minorHAnsi"/>
          <w:lang w:val="en-AU"/>
        </w:rPr>
        <w:footnoteReference w:id="9"/>
      </w:r>
      <w:r w:rsidR="008576B7" w:rsidRPr="00CB10AD">
        <w:rPr>
          <w:rFonts w:asciiTheme="minorHAnsi" w:hAnsiTheme="minorHAnsi" w:cstheme="minorHAnsi"/>
          <w:vertAlign w:val="superscript"/>
          <w:lang w:val="en-AU"/>
        </w:rPr>
        <w:endnoteReference w:id="8"/>
      </w:r>
      <w:r w:rsidR="008576B7" w:rsidRPr="00CB10AD">
        <w:rPr>
          <w:rFonts w:asciiTheme="minorHAnsi" w:hAnsiTheme="minorHAnsi" w:cstheme="minorHAnsi"/>
          <w:lang w:val="en-AU"/>
        </w:rPr>
        <w:t>.</w:t>
      </w:r>
      <w:r w:rsidR="008576B7" w:rsidDel="008576B7">
        <w:rPr>
          <w:rFonts w:asciiTheme="minorHAnsi" w:hAnsiTheme="minorHAnsi" w:cstheme="minorHAnsi"/>
          <w:lang w:val="en-AU"/>
        </w:rPr>
        <w:t xml:space="preserve"> </w:t>
      </w:r>
    </w:p>
    <w:p w:rsidR="00F22148" w:rsidRPr="00221ED7" w:rsidRDefault="00F22148" w:rsidP="00F22148">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 </w:t>
      </w:r>
      <w:r w:rsidR="00453F86">
        <w:rPr>
          <w:rFonts w:asciiTheme="minorHAnsi" w:hAnsiTheme="minorHAnsi" w:cstheme="minorHAnsi"/>
          <w:lang w:val="en-AU"/>
        </w:rPr>
        <w:t>Consequently, t</w:t>
      </w:r>
      <w:r w:rsidR="00CE547C">
        <w:rPr>
          <w:rFonts w:asciiTheme="minorHAnsi" w:hAnsiTheme="minorHAnsi" w:cstheme="minorHAnsi"/>
          <w:lang w:val="en-AU"/>
        </w:rPr>
        <w:t xml:space="preserve">o maximise </w:t>
      </w:r>
      <w:r w:rsidR="00DB2994" w:rsidRPr="00CB10AD">
        <w:rPr>
          <w:rFonts w:asciiTheme="minorHAnsi" w:hAnsiTheme="minorHAnsi" w:cstheme="minorHAnsi"/>
          <w:lang w:val="en-AU"/>
        </w:rPr>
        <w:t>increas</w:t>
      </w:r>
      <w:r w:rsidR="00CE547C">
        <w:rPr>
          <w:rFonts w:asciiTheme="minorHAnsi" w:hAnsiTheme="minorHAnsi" w:cstheme="minorHAnsi"/>
          <w:lang w:val="en-AU"/>
        </w:rPr>
        <w:t>ed</w:t>
      </w:r>
      <w:r w:rsidR="00DB2994" w:rsidRPr="00CB10AD">
        <w:rPr>
          <w:rFonts w:asciiTheme="minorHAnsi" w:hAnsiTheme="minorHAnsi" w:cstheme="minorHAnsi"/>
          <w:lang w:val="en-AU"/>
        </w:rPr>
        <w:t xml:space="preserve"> enrolment in participating districts</w:t>
      </w:r>
      <w:r w:rsidR="00CE547C">
        <w:rPr>
          <w:rFonts w:asciiTheme="minorHAnsi" w:hAnsiTheme="minorHAnsi" w:cstheme="minorHAnsi"/>
          <w:lang w:val="en-AU"/>
        </w:rPr>
        <w:t xml:space="preserve"> (</w:t>
      </w:r>
      <w:r w:rsidR="00CE547C" w:rsidRPr="00221ED7">
        <w:rPr>
          <w:rFonts w:asciiTheme="minorHAnsi" w:hAnsiTheme="minorHAnsi" w:cstheme="minorHAnsi"/>
          <w:lang w:val="en-AU"/>
        </w:rPr>
        <w:t>EOPO 1)</w:t>
      </w:r>
      <w:r w:rsidR="00DB2994" w:rsidRPr="00E015A8">
        <w:rPr>
          <w:rFonts w:asciiTheme="minorHAnsi" w:hAnsiTheme="minorHAnsi" w:cstheme="minorHAnsi"/>
          <w:lang w:val="en-AU"/>
        </w:rPr>
        <w:t xml:space="preserve">, a more </w:t>
      </w:r>
      <w:r w:rsidR="001743BA" w:rsidRPr="00E015A8">
        <w:rPr>
          <w:rFonts w:asciiTheme="minorHAnsi" w:hAnsiTheme="minorHAnsi" w:cstheme="minorHAnsi"/>
          <w:lang w:val="en-AU"/>
        </w:rPr>
        <w:t xml:space="preserve">comprehensive </w:t>
      </w:r>
      <w:r w:rsidR="00DB2994" w:rsidRPr="001B22AE">
        <w:rPr>
          <w:rFonts w:asciiTheme="minorHAnsi" w:hAnsiTheme="minorHAnsi" w:cstheme="minorHAnsi"/>
          <w:lang w:val="en-AU"/>
        </w:rPr>
        <w:t xml:space="preserve">investment response is indicated </w:t>
      </w:r>
      <w:r w:rsidR="008576B7" w:rsidRPr="00221ED7">
        <w:rPr>
          <w:rFonts w:asciiTheme="minorHAnsi" w:hAnsiTheme="minorHAnsi" w:cstheme="minorHAnsi"/>
          <w:lang w:val="en-AU"/>
        </w:rPr>
        <w:t>or</w:t>
      </w:r>
      <w:r w:rsidR="00453F86" w:rsidRPr="00221ED7">
        <w:rPr>
          <w:rFonts w:asciiTheme="minorHAnsi" w:hAnsiTheme="minorHAnsi" w:cstheme="minorHAnsi"/>
          <w:lang w:val="en-AU"/>
        </w:rPr>
        <w:t>,</w:t>
      </w:r>
      <w:r w:rsidR="008576B7" w:rsidRPr="00221ED7">
        <w:rPr>
          <w:rFonts w:asciiTheme="minorHAnsi" w:hAnsiTheme="minorHAnsi" w:cstheme="minorHAnsi"/>
          <w:lang w:val="en-AU"/>
        </w:rPr>
        <w:t xml:space="preserve"> at least</w:t>
      </w:r>
      <w:r w:rsidR="00453F86" w:rsidRPr="00221ED7">
        <w:rPr>
          <w:rFonts w:asciiTheme="minorHAnsi" w:hAnsiTheme="minorHAnsi" w:cstheme="minorHAnsi"/>
          <w:lang w:val="en-AU"/>
        </w:rPr>
        <w:t>,</w:t>
      </w:r>
      <w:r w:rsidR="008576B7" w:rsidRPr="00221ED7">
        <w:rPr>
          <w:rFonts w:asciiTheme="minorHAnsi" w:hAnsiTheme="minorHAnsi" w:cstheme="minorHAnsi"/>
          <w:lang w:val="en-AU"/>
        </w:rPr>
        <w:t xml:space="preserve"> </w:t>
      </w:r>
      <w:r w:rsidR="00CE547C" w:rsidRPr="00221ED7">
        <w:rPr>
          <w:rFonts w:asciiTheme="minorHAnsi" w:hAnsiTheme="minorHAnsi" w:cstheme="minorHAnsi"/>
          <w:lang w:val="en-AU"/>
        </w:rPr>
        <w:t xml:space="preserve">there should be </w:t>
      </w:r>
      <w:r w:rsidR="008576B7" w:rsidRPr="00221ED7">
        <w:rPr>
          <w:rFonts w:asciiTheme="minorHAnsi" w:hAnsiTheme="minorHAnsi" w:cstheme="minorHAnsi"/>
          <w:lang w:val="en-AU"/>
        </w:rPr>
        <w:t>an explicit coordination of school construction with other access-relat</w:t>
      </w:r>
      <w:r w:rsidR="00CE547C" w:rsidRPr="00221ED7">
        <w:rPr>
          <w:rFonts w:asciiTheme="minorHAnsi" w:hAnsiTheme="minorHAnsi" w:cstheme="minorHAnsi"/>
          <w:lang w:val="en-AU"/>
        </w:rPr>
        <w:t>ed initiatives within MOEC</w:t>
      </w:r>
      <w:r w:rsidR="008576B7" w:rsidRPr="00221ED7">
        <w:rPr>
          <w:rFonts w:asciiTheme="minorHAnsi" w:hAnsiTheme="minorHAnsi" w:cstheme="minorHAnsi"/>
          <w:lang w:val="en-AU"/>
        </w:rPr>
        <w:t xml:space="preserve">. </w:t>
      </w:r>
    </w:p>
    <w:p w:rsidR="00F22148" w:rsidRPr="00E015A8" w:rsidRDefault="00F22148" w:rsidP="00196F93">
      <w:pPr>
        <w:keepNext/>
        <w:spacing w:line="276" w:lineRule="auto"/>
        <w:outlineLvl w:val="2"/>
        <w:rPr>
          <w:bCs/>
          <w:color w:val="003880"/>
          <w:sz w:val="24"/>
          <w:szCs w:val="28"/>
          <w:lang w:val="en-AU"/>
        </w:rPr>
      </w:pPr>
    </w:p>
    <w:p w:rsidR="00F6127C" w:rsidRPr="001B22AE" w:rsidRDefault="00F6127C" w:rsidP="00F6127C">
      <w:pPr>
        <w:keepNext/>
        <w:numPr>
          <w:ilvl w:val="2"/>
          <w:numId w:val="9"/>
        </w:numPr>
        <w:spacing w:line="276" w:lineRule="auto"/>
        <w:ind w:left="720"/>
        <w:outlineLvl w:val="2"/>
        <w:rPr>
          <w:bCs/>
          <w:color w:val="003880"/>
          <w:sz w:val="24"/>
          <w:szCs w:val="28"/>
          <w:lang w:val="en-AU"/>
        </w:rPr>
      </w:pPr>
      <w:r w:rsidRPr="001B22AE">
        <w:rPr>
          <w:bCs/>
          <w:color w:val="003880"/>
          <w:sz w:val="24"/>
          <w:szCs w:val="28"/>
          <w:lang w:val="en-AU"/>
        </w:rPr>
        <w:t>Efficiency</w:t>
      </w:r>
    </w:p>
    <w:p w:rsidR="00F6127C" w:rsidRPr="00CB10AD" w:rsidRDefault="00F6127C" w:rsidP="00945147">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implementation of </w:t>
      </w:r>
      <w:r w:rsidR="00945147" w:rsidRPr="00CB10AD">
        <w:rPr>
          <w:rFonts w:asciiTheme="minorHAnsi" w:hAnsiTheme="minorHAnsi" w:cstheme="minorHAnsi"/>
          <w:lang w:val="en-AU"/>
        </w:rPr>
        <w:t>C1</w:t>
      </w:r>
      <w:r w:rsidRPr="00CB10AD">
        <w:rPr>
          <w:rFonts w:asciiTheme="minorHAnsi" w:hAnsiTheme="minorHAnsi" w:cstheme="minorHAnsi"/>
          <w:lang w:val="en-AU"/>
        </w:rPr>
        <w:t xml:space="preserve"> is managed by MoEC</w:t>
      </w:r>
      <w:r w:rsidR="000D0CD0" w:rsidRPr="00CB10AD">
        <w:rPr>
          <w:rFonts w:asciiTheme="minorHAnsi" w:hAnsiTheme="minorHAnsi" w:cstheme="minorHAnsi"/>
          <w:lang w:val="en-AU"/>
        </w:rPr>
        <w:t>,</w:t>
      </w:r>
      <w:r w:rsidRPr="00CB10AD">
        <w:rPr>
          <w:rFonts w:asciiTheme="minorHAnsi" w:hAnsiTheme="minorHAnsi" w:cstheme="minorHAnsi"/>
          <w:lang w:val="en-AU"/>
        </w:rPr>
        <w:t xml:space="preserve"> with technical support from SSQ. The first </w:t>
      </w:r>
      <w:r w:rsidR="00B05FA7" w:rsidRPr="00CB10AD">
        <w:rPr>
          <w:rFonts w:asciiTheme="minorHAnsi" w:hAnsiTheme="minorHAnsi" w:cstheme="minorHAnsi"/>
          <w:lang w:val="en-AU"/>
        </w:rPr>
        <w:t>cycle</w:t>
      </w:r>
      <w:r w:rsidRPr="00CB10AD">
        <w:rPr>
          <w:rFonts w:asciiTheme="minorHAnsi" w:hAnsiTheme="minorHAnsi" w:cstheme="minorHAnsi"/>
          <w:lang w:val="en-AU"/>
        </w:rPr>
        <w:t xml:space="preserve"> of </w:t>
      </w:r>
      <w:r w:rsidR="000D0CD0" w:rsidRPr="00CB10AD">
        <w:rPr>
          <w:rFonts w:asciiTheme="minorHAnsi" w:hAnsiTheme="minorHAnsi" w:cstheme="minorHAnsi"/>
          <w:lang w:val="en-AU"/>
        </w:rPr>
        <w:t>construction</w:t>
      </w:r>
      <w:r w:rsidRPr="00CB10AD">
        <w:rPr>
          <w:rFonts w:asciiTheme="minorHAnsi" w:hAnsiTheme="minorHAnsi" w:cstheme="minorHAnsi"/>
          <w:lang w:val="en-AU"/>
        </w:rPr>
        <w:t xml:space="preserve"> started in Sept</w:t>
      </w:r>
      <w:r w:rsidR="00B05FA7" w:rsidRPr="00CB10AD">
        <w:rPr>
          <w:rFonts w:asciiTheme="minorHAnsi" w:hAnsiTheme="minorHAnsi" w:cstheme="minorHAnsi"/>
          <w:lang w:val="en-AU"/>
        </w:rPr>
        <w:t>ember</w:t>
      </w:r>
      <w:r w:rsidRPr="00CB10AD">
        <w:rPr>
          <w:rFonts w:asciiTheme="minorHAnsi" w:hAnsiTheme="minorHAnsi" w:cstheme="minorHAnsi"/>
          <w:lang w:val="en-AU"/>
        </w:rPr>
        <w:t xml:space="preserve"> 2012 and </w:t>
      </w:r>
      <w:r w:rsidR="00B05FA7" w:rsidRPr="00CB10AD">
        <w:rPr>
          <w:rFonts w:asciiTheme="minorHAnsi" w:hAnsiTheme="minorHAnsi" w:cstheme="minorHAnsi"/>
          <w:lang w:val="en-AU"/>
        </w:rPr>
        <w:t>was</w:t>
      </w:r>
      <w:r w:rsidRPr="00CB10AD">
        <w:rPr>
          <w:rFonts w:asciiTheme="minorHAnsi" w:hAnsiTheme="minorHAnsi" w:cstheme="minorHAnsi"/>
          <w:lang w:val="en-AU"/>
        </w:rPr>
        <w:t xml:space="preserve"> </w:t>
      </w:r>
      <w:r w:rsidR="000D0CD0" w:rsidRPr="00CB10AD">
        <w:rPr>
          <w:rFonts w:asciiTheme="minorHAnsi" w:hAnsiTheme="minorHAnsi" w:cstheme="minorHAnsi"/>
          <w:lang w:val="en-AU"/>
        </w:rPr>
        <w:t xml:space="preserve">largely </w:t>
      </w:r>
      <w:r w:rsidRPr="00CB10AD">
        <w:rPr>
          <w:rFonts w:asciiTheme="minorHAnsi" w:hAnsiTheme="minorHAnsi" w:cstheme="minorHAnsi"/>
          <w:lang w:val="en-AU"/>
        </w:rPr>
        <w:t xml:space="preserve">finalized </w:t>
      </w:r>
      <w:r w:rsidR="000D0CD0" w:rsidRPr="00CB10AD">
        <w:rPr>
          <w:rFonts w:asciiTheme="minorHAnsi" w:hAnsiTheme="minorHAnsi" w:cstheme="minorHAnsi"/>
          <w:lang w:val="en-AU"/>
        </w:rPr>
        <w:t xml:space="preserve">by </w:t>
      </w:r>
      <w:r w:rsidRPr="00CB10AD">
        <w:rPr>
          <w:rFonts w:asciiTheme="minorHAnsi" w:hAnsiTheme="minorHAnsi" w:cstheme="minorHAnsi"/>
          <w:lang w:val="en-AU"/>
        </w:rPr>
        <w:t xml:space="preserve">May 2013. The second </w:t>
      </w:r>
      <w:r w:rsidR="00B05FA7" w:rsidRPr="00CB10AD">
        <w:rPr>
          <w:rFonts w:asciiTheme="minorHAnsi" w:hAnsiTheme="minorHAnsi" w:cstheme="minorHAnsi"/>
          <w:lang w:val="en-AU"/>
        </w:rPr>
        <w:t>cycle</w:t>
      </w:r>
      <w:r w:rsidRPr="00CB10AD">
        <w:rPr>
          <w:rFonts w:asciiTheme="minorHAnsi" w:hAnsiTheme="minorHAnsi" w:cstheme="minorHAnsi"/>
          <w:lang w:val="en-AU"/>
        </w:rPr>
        <w:t xml:space="preserve"> started in August 2013 </w:t>
      </w:r>
      <w:r w:rsidR="00751EA4" w:rsidRPr="00CB10AD">
        <w:rPr>
          <w:rFonts w:asciiTheme="minorHAnsi" w:hAnsiTheme="minorHAnsi" w:cstheme="minorHAnsi"/>
          <w:lang w:val="en-AU"/>
        </w:rPr>
        <w:t xml:space="preserve">and </w:t>
      </w:r>
      <w:r w:rsidRPr="00CB10AD">
        <w:rPr>
          <w:rFonts w:asciiTheme="minorHAnsi" w:hAnsiTheme="minorHAnsi" w:cstheme="minorHAnsi"/>
          <w:lang w:val="en-AU"/>
        </w:rPr>
        <w:t xml:space="preserve">is </w:t>
      </w:r>
      <w:r w:rsidR="00751EA4" w:rsidRPr="00CB10AD">
        <w:rPr>
          <w:rFonts w:asciiTheme="minorHAnsi" w:hAnsiTheme="minorHAnsi" w:cstheme="minorHAnsi"/>
          <w:lang w:val="en-AU"/>
        </w:rPr>
        <w:t>ongoing. T</w:t>
      </w:r>
      <w:r w:rsidRPr="00CB10AD">
        <w:rPr>
          <w:rFonts w:asciiTheme="minorHAnsi" w:hAnsiTheme="minorHAnsi" w:cstheme="minorHAnsi"/>
          <w:lang w:val="en-AU"/>
        </w:rPr>
        <w:t xml:space="preserve">he third </w:t>
      </w:r>
      <w:r w:rsidR="00751EA4" w:rsidRPr="00CB10AD">
        <w:rPr>
          <w:rFonts w:asciiTheme="minorHAnsi" w:hAnsiTheme="minorHAnsi" w:cstheme="minorHAnsi"/>
          <w:lang w:val="en-AU"/>
        </w:rPr>
        <w:t>cycle</w:t>
      </w:r>
      <w:r w:rsidRPr="00CB10AD">
        <w:rPr>
          <w:rFonts w:asciiTheme="minorHAnsi" w:hAnsiTheme="minorHAnsi" w:cstheme="minorHAnsi"/>
          <w:lang w:val="en-AU"/>
        </w:rPr>
        <w:t xml:space="preserve"> is being </w:t>
      </w:r>
      <w:r w:rsidR="000D0CD0" w:rsidRPr="00CB10AD">
        <w:rPr>
          <w:rFonts w:asciiTheme="minorHAnsi" w:hAnsiTheme="minorHAnsi" w:cstheme="minorHAnsi"/>
          <w:lang w:val="en-AU"/>
        </w:rPr>
        <w:t xml:space="preserve">planned, </w:t>
      </w:r>
      <w:r w:rsidRPr="00CB10AD">
        <w:rPr>
          <w:rFonts w:asciiTheme="minorHAnsi" w:hAnsiTheme="minorHAnsi" w:cstheme="minorHAnsi"/>
          <w:lang w:val="en-AU"/>
        </w:rPr>
        <w:t xml:space="preserve">with a </w:t>
      </w:r>
      <w:r w:rsidR="00751EA4" w:rsidRPr="00CB10AD">
        <w:rPr>
          <w:rFonts w:asciiTheme="minorHAnsi" w:hAnsiTheme="minorHAnsi" w:cstheme="minorHAnsi"/>
          <w:lang w:val="en-AU"/>
        </w:rPr>
        <w:t xml:space="preserve">scheduled </w:t>
      </w:r>
      <w:r w:rsidRPr="00CB10AD">
        <w:rPr>
          <w:rFonts w:asciiTheme="minorHAnsi" w:hAnsiTheme="minorHAnsi" w:cstheme="minorHAnsi"/>
          <w:lang w:val="en-AU"/>
        </w:rPr>
        <w:t>start</w:t>
      </w:r>
      <w:r w:rsidR="00751EA4" w:rsidRPr="00CB10AD">
        <w:rPr>
          <w:rFonts w:asciiTheme="minorHAnsi" w:hAnsiTheme="minorHAnsi" w:cstheme="minorHAnsi"/>
          <w:lang w:val="en-AU"/>
        </w:rPr>
        <w:t xml:space="preserve"> date of </w:t>
      </w:r>
      <w:r w:rsidR="00945147" w:rsidRPr="00CB10AD">
        <w:rPr>
          <w:rFonts w:asciiTheme="minorHAnsi" w:hAnsiTheme="minorHAnsi" w:cstheme="minorHAnsi"/>
          <w:lang w:val="en-AU"/>
        </w:rPr>
        <w:t xml:space="preserve">August 2014. As illustrated in </w:t>
      </w:r>
      <w:r w:rsidR="00751EA4" w:rsidRPr="00CB10AD">
        <w:rPr>
          <w:rFonts w:asciiTheme="minorHAnsi" w:hAnsiTheme="minorHAnsi" w:cstheme="minorHAnsi"/>
          <w:lang w:val="en-AU"/>
        </w:rPr>
        <w:t>Table 1</w:t>
      </w:r>
      <w:r w:rsidRPr="00CB10AD">
        <w:rPr>
          <w:rFonts w:asciiTheme="minorHAnsi" w:hAnsiTheme="minorHAnsi" w:cstheme="minorHAnsi"/>
          <w:lang w:val="en-AU"/>
        </w:rPr>
        <w:t>, 7</w:t>
      </w:r>
      <w:r w:rsidR="00720ED8" w:rsidRPr="00CB10AD">
        <w:rPr>
          <w:rFonts w:asciiTheme="minorHAnsi" w:hAnsiTheme="minorHAnsi" w:cstheme="minorHAnsi"/>
          <w:lang w:val="en-AU"/>
        </w:rPr>
        <w:t>6</w:t>
      </w:r>
      <w:r w:rsidRPr="00CB10AD">
        <w:rPr>
          <w:rFonts w:asciiTheme="minorHAnsi" w:hAnsiTheme="minorHAnsi" w:cstheme="minorHAnsi"/>
          <w:lang w:val="en-AU"/>
        </w:rPr>
        <w:t xml:space="preserve">7 schools have been </w:t>
      </w:r>
      <w:r w:rsidR="000D0CD0" w:rsidRPr="00CB10AD">
        <w:rPr>
          <w:rFonts w:asciiTheme="minorHAnsi" w:hAnsiTheme="minorHAnsi" w:cstheme="minorHAnsi"/>
          <w:lang w:val="en-AU"/>
        </w:rPr>
        <w:t xml:space="preserve">or </w:t>
      </w:r>
      <w:r w:rsidRPr="00CB10AD">
        <w:rPr>
          <w:rFonts w:asciiTheme="minorHAnsi" w:hAnsiTheme="minorHAnsi" w:cstheme="minorHAnsi"/>
          <w:lang w:val="en-AU"/>
        </w:rPr>
        <w:t xml:space="preserve">are being constructed. </w:t>
      </w:r>
    </w:p>
    <w:p w:rsidR="00F6127C" w:rsidRPr="00CB10AD" w:rsidRDefault="002A2C82" w:rsidP="002A2C82">
      <w:pPr>
        <w:pStyle w:val="Caption"/>
        <w:keepNext/>
        <w:rPr>
          <w:b w:val="0"/>
          <w:bCs/>
          <w:lang w:val="en-AU"/>
        </w:rPr>
      </w:pPr>
      <w:bookmarkStart w:id="23" w:name="_Ref379640536"/>
      <w:bookmarkStart w:id="24" w:name="_Toc379982269"/>
      <w:r w:rsidRPr="00CB10AD">
        <w:rPr>
          <w:lang w:val="en-AU"/>
        </w:rPr>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w:t>
      </w:r>
      <w:r w:rsidRPr="00CB10AD">
        <w:rPr>
          <w:lang w:val="en-AU"/>
        </w:rPr>
        <w:fldChar w:fldCharType="end"/>
      </w:r>
      <w:bookmarkEnd w:id="23"/>
      <w:r w:rsidR="00945147" w:rsidRPr="00CB10AD">
        <w:rPr>
          <w:lang w:val="en-AU"/>
        </w:rPr>
        <w:t xml:space="preserve">: </w:t>
      </w:r>
      <w:r w:rsidR="000D0CD0" w:rsidRPr="00CB10AD">
        <w:rPr>
          <w:lang w:val="en-AU"/>
        </w:rPr>
        <w:t>Confirmed schools in Cycles 1 and 2</w:t>
      </w:r>
      <w:bookmarkEnd w:id="24"/>
    </w:p>
    <w:tbl>
      <w:tblPr>
        <w:tblW w:w="0" w:type="auto"/>
        <w:jc w:val="center"/>
        <w:tblCellMar>
          <w:left w:w="0" w:type="dxa"/>
          <w:right w:w="0" w:type="dxa"/>
        </w:tblCellMar>
        <w:tblLook w:val="04A0" w:firstRow="1" w:lastRow="0" w:firstColumn="1" w:lastColumn="0" w:noHBand="0" w:noVBand="1"/>
      </w:tblPr>
      <w:tblGrid>
        <w:gridCol w:w="1825"/>
        <w:gridCol w:w="1754"/>
        <w:gridCol w:w="1754"/>
      </w:tblGrid>
      <w:tr w:rsidR="00F6127C" w:rsidRPr="00CB10AD" w:rsidTr="007F5BFF">
        <w:trPr>
          <w:trHeight w:val="447"/>
          <w:jc w:val="center"/>
        </w:trPr>
        <w:tc>
          <w:tcPr>
            <w:tcW w:w="1825" w:type="dxa"/>
            <w:vMerge w:val="restar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Cycles</w:t>
            </w:r>
          </w:p>
        </w:tc>
        <w:tc>
          <w:tcPr>
            <w:tcW w:w="3508" w:type="dxa"/>
            <w:gridSpan w:val="2"/>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School</w:t>
            </w:r>
            <w:r w:rsidR="00945147" w:rsidRPr="00CB10AD">
              <w:rPr>
                <w:b/>
                <w:bCs/>
                <w:lang w:val="en-AU"/>
              </w:rPr>
              <w:t>s</w:t>
            </w:r>
            <w:r w:rsidRPr="00CB10AD">
              <w:rPr>
                <w:b/>
                <w:bCs/>
                <w:lang w:val="en-AU"/>
              </w:rPr>
              <w:t xml:space="preserve"> constructed/under construction</w:t>
            </w:r>
          </w:p>
        </w:tc>
      </w:tr>
      <w:tr w:rsidR="00F6127C" w:rsidRPr="00CB10AD" w:rsidTr="007F5BFF">
        <w:trPr>
          <w:trHeight w:val="434"/>
          <w:jc w:val="center"/>
        </w:trPr>
        <w:tc>
          <w:tcPr>
            <w:tcW w:w="0" w:type="auto"/>
            <w:vMerge/>
            <w:tcBorders>
              <w:top w:val="single" w:sz="8" w:space="0" w:color="auto"/>
              <w:left w:val="single" w:sz="8" w:space="0" w:color="auto"/>
              <w:bottom w:val="single" w:sz="8" w:space="0" w:color="auto"/>
              <w:right w:val="single" w:sz="8" w:space="0" w:color="auto"/>
            </w:tcBorders>
            <w:shd w:val="clear" w:color="auto" w:fill="002060"/>
            <w:vAlign w:val="center"/>
            <w:hideMark/>
          </w:tcPr>
          <w:p w:rsidR="00F6127C" w:rsidRPr="00CB10AD" w:rsidRDefault="00F6127C" w:rsidP="002A2C82">
            <w:pPr>
              <w:keepNext/>
              <w:rPr>
                <w:rFonts w:eastAsiaTheme="minorHAnsi"/>
                <w:b/>
                <w:bCs/>
                <w:lang w:val="en-AU"/>
              </w:rPr>
            </w:pPr>
          </w:p>
        </w:tc>
        <w:tc>
          <w:tcPr>
            <w:tcW w:w="175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SATAP</w:t>
            </w:r>
          </w:p>
        </w:tc>
        <w:tc>
          <w:tcPr>
            <w:tcW w:w="1754" w:type="dxa"/>
            <w:tcBorders>
              <w:top w:val="nil"/>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USB</w:t>
            </w:r>
          </w:p>
        </w:tc>
      </w:tr>
      <w:tr w:rsidR="00F6127C" w:rsidRPr="00CB10AD" w:rsidTr="00C7786C">
        <w:trPr>
          <w:trHeight w:val="434"/>
          <w:jc w:val="center"/>
        </w:trPr>
        <w:tc>
          <w:tcPr>
            <w:tcW w:w="1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1</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lang w:val="en-AU"/>
              </w:rPr>
            </w:pPr>
            <w:r w:rsidRPr="00CB10AD">
              <w:rPr>
                <w:lang w:val="en-AU"/>
              </w:rPr>
              <w:t>289</w:t>
            </w:r>
          </w:p>
        </w:tc>
        <w:tc>
          <w:tcPr>
            <w:tcW w:w="1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lang w:val="en-AU"/>
              </w:rPr>
            </w:pPr>
            <w:r w:rsidRPr="00CB10AD">
              <w:rPr>
                <w:lang w:val="en-AU"/>
              </w:rPr>
              <w:t>162</w:t>
            </w:r>
          </w:p>
        </w:tc>
      </w:tr>
      <w:tr w:rsidR="00F6127C" w:rsidRPr="00CB10AD" w:rsidTr="00C7786C">
        <w:trPr>
          <w:trHeight w:val="447"/>
          <w:jc w:val="center"/>
        </w:trPr>
        <w:tc>
          <w:tcPr>
            <w:tcW w:w="1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2</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3D2DAC">
            <w:pPr>
              <w:keepNext/>
              <w:spacing w:before="60" w:after="60"/>
              <w:jc w:val="center"/>
              <w:rPr>
                <w:rFonts w:eastAsiaTheme="minorHAnsi"/>
                <w:lang w:val="en-AU"/>
              </w:rPr>
            </w:pPr>
            <w:r w:rsidRPr="00CB10AD">
              <w:rPr>
                <w:lang w:val="en-AU"/>
              </w:rPr>
              <w:t>1</w:t>
            </w:r>
            <w:r w:rsidR="003D2DAC" w:rsidRPr="00CB10AD">
              <w:rPr>
                <w:lang w:val="en-AU"/>
              </w:rPr>
              <w:t>50</w:t>
            </w:r>
          </w:p>
        </w:tc>
        <w:tc>
          <w:tcPr>
            <w:tcW w:w="1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6127C" w:rsidRPr="00CB10AD" w:rsidRDefault="00F6127C" w:rsidP="003D2DAC">
            <w:pPr>
              <w:keepNext/>
              <w:spacing w:before="60" w:after="60"/>
              <w:jc w:val="center"/>
              <w:rPr>
                <w:rFonts w:eastAsiaTheme="minorHAnsi"/>
                <w:lang w:val="en-AU"/>
              </w:rPr>
            </w:pPr>
            <w:r w:rsidRPr="00CB10AD">
              <w:rPr>
                <w:lang w:val="en-AU"/>
              </w:rPr>
              <w:t>1</w:t>
            </w:r>
            <w:r w:rsidR="003D2DAC" w:rsidRPr="00CB10AD">
              <w:rPr>
                <w:lang w:val="en-AU"/>
              </w:rPr>
              <w:t>66</w:t>
            </w:r>
          </w:p>
        </w:tc>
      </w:tr>
      <w:tr w:rsidR="00F6127C" w:rsidRPr="00CB10AD" w:rsidTr="00C7786C">
        <w:trPr>
          <w:trHeight w:val="447"/>
          <w:jc w:val="center"/>
        </w:trPr>
        <w:tc>
          <w:tcPr>
            <w:tcW w:w="1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2A2C82">
            <w:pPr>
              <w:keepNext/>
              <w:spacing w:before="60" w:after="60"/>
              <w:jc w:val="center"/>
              <w:rPr>
                <w:rFonts w:eastAsiaTheme="minorHAnsi"/>
                <w:b/>
                <w:bCs/>
                <w:lang w:val="en-AU"/>
              </w:rPr>
            </w:pPr>
            <w:r w:rsidRPr="00CB10AD">
              <w:rPr>
                <w:b/>
                <w:bCs/>
                <w:lang w:val="en-AU"/>
              </w:rPr>
              <w:t>TOTAL</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27C" w:rsidRPr="00CB10AD" w:rsidRDefault="00F6127C" w:rsidP="003D2DAC">
            <w:pPr>
              <w:keepNext/>
              <w:spacing w:before="60" w:after="60"/>
              <w:jc w:val="center"/>
              <w:rPr>
                <w:rFonts w:eastAsiaTheme="minorHAnsi"/>
                <w:lang w:val="en-AU"/>
              </w:rPr>
            </w:pPr>
            <w:r w:rsidRPr="00CB10AD">
              <w:rPr>
                <w:lang w:val="en-AU"/>
              </w:rPr>
              <w:t>4</w:t>
            </w:r>
            <w:r w:rsidR="003D2DAC" w:rsidRPr="00CB10AD">
              <w:rPr>
                <w:lang w:val="en-AU"/>
              </w:rPr>
              <w:t>39</w:t>
            </w:r>
          </w:p>
        </w:tc>
        <w:tc>
          <w:tcPr>
            <w:tcW w:w="1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6127C" w:rsidRPr="00CB10AD" w:rsidRDefault="00F6127C" w:rsidP="003D2DAC">
            <w:pPr>
              <w:keepNext/>
              <w:spacing w:before="60" w:after="60"/>
              <w:jc w:val="center"/>
              <w:rPr>
                <w:rFonts w:eastAsiaTheme="minorHAnsi"/>
                <w:lang w:val="en-AU"/>
              </w:rPr>
            </w:pPr>
            <w:r w:rsidRPr="00CB10AD">
              <w:rPr>
                <w:lang w:val="en-AU"/>
              </w:rPr>
              <w:t>3</w:t>
            </w:r>
            <w:r w:rsidR="003D2DAC" w:rsidRPr="00CB10AD">
              <w:rPr>
                <w:lang w:val="en-AU"/>
              </w:rPr>
              <w:t>28</w:t>
            </w:r>
          </w:p>
        </w:tc>
      </w:tr>
    </w:tbl>
    <w:p w:rsidR="00F6127C" w:rsidRPr="00CB10AD" w:rsidRDefault="00F6127C" w:rsidP="002A2C82">
      <w:pPr>
        <w:keepNext/>
        <w:spacing w:before="120" w:after="120"/>
        <w:jc w:val="center"/>
        <w:rPr>
          <w:rFonts w:eastAsiaTheme="minorHAnsi"/>
          <w:i/>
          <w:iCs/>
          <w:sz w:val="20"/>
          <w:szCs w:val="20"/>
          <w:lang w:val="en-AU"/>
        </w:rPr>
      </w:pPr>
      <w:r w:rsidRPr="00CB10AD">
        <w:rPr>
          <w:i/>
          <w:iCs/>
          <w:sz w:val="20"/>
          <w:szCs w:val="20"/>
          <w:lang w:val="en-AU"/>
        </w:rPr>
        <w:t>Source: SSQ Component 1 management team</w:t>
      </w:r>
    </w:p>
    <w:p w:rsidR="00F6127C" w:rsidRPr="00CB10AD" w:rsidRDefault="00F6127C" w:rsidP="00F6127C">
      <w:pPr>
        <w:spacing w:before="120" w:after="120"/>
        <w:jc w:val="both"/>
        <w:rPr>
          <w:rFonts w:asciiTheme="minorHAnsi" w:hAnsiTheme="minorHAnsi" w:cstheme="minorHAnsi"/>
          <w:lang w:val="en-AU"/>
        </w:rPr>
      </w:pPr>
    </w:p>
    <w:p w:rsidR="00F6127C" w:rsidRPr="00CB10AD" w:rsidRDefault="00F6127C" w:rsidP="00A50C1B">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In the second half of 2013, SSQ strengthened the monitoring and reporting of the school construction process by generating and providing detailed information about the construction process on a bi-weekly basis</w:t>
      </w:r>
      <w:r w:rsidR="000D0CD0" w:rsidRPr="00CB10AD">
        <w:rPr>
          <w:rFonts w:asciiTheme="minorHAnsi" w:hAnsiTheme="minorHAnsi" w:cstheme="minorHAnsi"/>
          <w:lang w:val="en-AU"/>
        </w:rPr>
        <w:t xml:space="preserve">. The report captures the </w:t>
      </w:r>
      <w:r w:rsidRPr="00CB10AD">
        <w:rPr>
          <w:rFonts w:asciiTheme="minorHAnsi" w:hAnsiTheme="minorHAnsi" w:cstheme="minorHAnsi"/>
          <w:lang w:val="en-AU"/>
        </w:rPr>
        <w:t>quality, quantity and nature of progress</w:t>
      </w:r>
      <w:r w:rsidR="00720ED8" w:rsidRPr="00CB10AD">
        <w:rPr>
          <w:rFonts w:asciiTheme="minorHAnsi" w:hAnsiTheme="minorHAnsi" w:cstheme="minorHAnsi"/>
          <w:lang w:val="en-AU"/>
        </w:rPr>
        <w:t xml:space="preserve"> as well as compliance with financial procedures</w:t>
      </w:r>
      <w:r w:rsidRPr="00CB10AD">
        <w:rPr>
          <w:rFonts w:asciiTheme="minorHAnsi" w:hAnsiTheme="minorHAnsi" w:cstheme="minorHAnsi"/>
          <w:lang w:val="en-AU"/>
        </w:rPr>
        <w:t>.</w:t>
      </w:r>
      <w:r w:rsidR="00ED2DDA" w:rsidRPr="00CB10AD">
        <w:rPr>
          <w:rFonts w:asciiTheme="minorHAnsi" w:hAnsiTheme="minorHAnsi" w:cstheme="minorHAnsi"/>
          <w:lang w:val="en-AU"/>
        </w:rPr>
        <w:t xml:space="preserve"> </w:t>
      </w:r>
      <w:r w:rsidRPr="00CB10AD">
        <w:rPr>
          <w:rFonts w:asciiTheme="minorHAnsi" w:hAnsiTheme="minorHAnsi" w:cstheme="minorHAnsi"/>
          <w:lang w:val="en-AU"/>
        </w:rPr>
        <w:t xml:space="preserve">This enables EP partners to gain </w:t>
      </w:r>
      <w:r w:rsidR="00751EA4" w:rsidRPr="00CB10AD">
        <w:rPr>
          <w:rFonts w:asciiTheme="minorHAnsi" w:hAnsiTheme="minorHAnsi" w:cstheme="minorHAnsi"/>
          <w:lang w:val="en-AU"/>
        </w:rPr>
        <w:t xml:space="preserve">an </w:t>
      </w:r>
      <w:r w:rsidRPr="00CB10AD">
        <w:rPr>
          <w:rFonts w:asciiTheme="minorHAnsi" w:hAnsiTheme="minorHAnsi" w:cstheme="minorHAnsi"/>
          <w:lang w:val="en-AU"/>
        </w:rPr>
        <w:t xml:space="preserve">accurate understanding of the pace of progress </w:t>
      </w:r>
      <w:r w:rsidR="00720ED8" w:rsidRPr="00CB10AD">
        <w:rPr>
          <w:rFonts w:asciiTheme="minorHAnsi" w:hAnsiTheme="minorHAnsi" w:cstheme="minorHAnsi"/>
          <w:lang w:val="en-AU"/>
        </w:rPr>
        <w:t xml:space="preserve">and accountability for Australian funds, </w:t>
      </w:r>
      <w:r w:rsidRPr="00CB10AD">
        <w:rPr>
          <w:rFonts w:asciiTheme="minorHAnsi" w:hAnsiTheme="minorHAnsi" w:cstheme="minorHAnsi"/>
          <w:lang w:val="en-AU"/>
        </w:rPr>
        <w:t>and to tackle issues in a timely fashion.</w:t>
      </w:r>
    </w:p>
    <w:p w:rsidR="00F6127C" w:rsidRPr="00CB10AD" w:rsidRDefault="00BF4C7E" w:rsidP="00A50C1B">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A</w:t>
      </w:r>
      <w:r w:rsidR="00F6127C" w:rsidRPr="00CB10AD">
        <w:rPr>
          <w:rFonts w:asciiTheme="minorHAnsi" w:hAnsiTheme="minorHAnsi" w:cstheme="minorHAnsi"/>
          <w:lang w:val="en-AU"/>
        </w:rPr>
        <w:t xml:space="preserve">n increase in </w:t>
      </w:r>
      <w:r w:rsidR="00720ED8" w:rsidRPr="00CB10AD">
        <w:rPr>
          <w:rFonts w:asciiTheme="minorHAnsi" w:hAnsiTheme="minorHAnsi" w:cstheme="minorHAnsi"/>
          <w:lang w:val="en-AU"/>
        </w:rPr>
        <w:t xml:space="preserve">school building </w:t>
      </w:r>
      <w:r w:rsidR="00453F86">
        <w:rPr>
          <w:rFonts w:asciiTheme="minorHAnsi" w:hAnsiTheme="minorHAnsi" w:cstheme="minorHAnsi"/>
          <w:lang w:val="en-AU"/>
        </w:rPr>
        <w:t xml:space="preserve">unit </w:t>
      </w:r>
      <w:r w:rsidR="00720ED8" w:rsidRPr="00CB10AD">
        <w:rPr>
          <w:rFonts w:asciiTheme="minorHAnsi" w:hAnsiTheme="minorHAnsi" w:cstheme="minorHAnsi"/>
          <w:lang w:val="en-AU"/>
        </w:rPr>
        <w:t>costs</w:t>
      </w:r>
      <w:r w:rsidR="00453F86">
        <w:rPr>
          <w:rFonts w:asciiTheme="minorHAnsi" w:hAnsiTheme="minorHAnsi" w:cstheme="minorHAnsi"/>
          <w:lang w:val="en-AU"/>
        </w:rPr>
        <w:t xml:space="preserve">, </w:t>
      </w:r>
      <w:r w:rsidR="00720ED8" w:rsidRPr="00CB10AD">
        <w:rPr>
          <w:rFonts w:asciiTheme="minorHAnsi" w:hAnsiTheme="minorHAnsi" w:cstheme="minorHAnsi"/>
          <w:lang w:val="en-AU"/>
        </w:rPr>
        <w:t xml:space="preserve">updated estimates of GoI </w:t>
      </w:r>
      <w:r w:rsidR="00453F86">
        <w:rPr>
          <w:rFonts w:asciiTheme="minorHAnsi" w:hAnsiTheme="minorHAnsi" w:cstheme="minorHAnsi"/>
          <w:lang w:val="en-AU"/>
        </w:rPr>
        <w:t xml:space="preserve">school requirements, and an adjustment of </w:t>
      </w:r>
      <w:r w:rsidR="00453F86">
        <w:rPr>
          <w:rFonts w:asciiTheme="minorHAnsi" w:hAnsiTheme="minorHAnsi"/>
          <w:szCs w:val="20"/>
          <w:lang w:val="en-AU"/>
        </w:rPr>
        <w:t>the desired standard number of classrooms in each school type</w:t>
      </w:r>
      <w:r w:rsidR="00486BE8">
        <w:rPr>
          <w:rFonts w:asciiTheme="minorHAnsi" w:hAnsiTheme="minorHAnsi" w:cstheme="minorHAnsi"/>
          <w:lang w:val="en-AU"/>
        </w:rPr>
        <w:t xml:space="preserve"> </w:t>
      </w:r>
      <w:r w:rsidR="00453F86">
        <w:rPr>
          <w:rFonts w:asciiTheme="minorHAnsi" w:hAnsiTheme="minorHAnsi" w:cstheme="minorHAnsi"/>
          <w:lang w:val="en-AU"/>
        </w:rPr>
        <w:t xml:space="preserve">all </w:t>
      </w:r>
      <w:r w:rsidR="00720ED8" w:rsidRPr="00CB10AD">
        <w:rPr>
          <w:rFonts w:asciiTheme="minorHAnsi" w:hAnsiTheme="minorHAnsi" w:cstheme="minorHAnsi"/>
          <w:lang w:val="en-AU"/>
        </w:rPr>
        <w:t>mean that the number of schools to be built is likely to be revised down to around 1,400 schools</w:t>
      </w:r>
      <w:r w:rsidR="00F6127C" w:rsidRPr="00CB10AD">
        <w:rPr>
          <w:rFonts w:asciiTheme="minorHAnsi" w:hAnsiTheme="minorHAnsi" w:cstheme="minorHAnsi"/>
          <w:lang w:val="en-AU"/>
        </w:rPr>
        <w:t xml:space="preserve">. </w:t>
      </w:r>
      <w:r w:rsidRPr="00CB10AD">
        <w:rPr>
          <w:rFonts w:asciiTheme="minorHAnsi" w:hAnsiTheme="minorHAnsi" w:cstheme="minorHAnsi"/>
          <w:lang w:val="en-AU"/>
        </w:rPr>
        <w:t xml:space="preserve">Whilst the downgrade may reflect an appropriate management response, it </w:t>
      </w:r>
      <w:r w:rsidR="00486BE8">
        <w:rPr>
          <w:rFonts w:asciiTheme="minorHAnsi" w:hAnsiTheme="minorHAnsi" w:cstheme="minorHAnsi"/>
          <w:lang w:val="en-AU"/>
        </w:rPr>
        <w:t xml:space="preserve">may </w:t>
      </w:r>
      <w:r w:rsidR="00453F86">
        <w:rPr>
          <w:rFonts w:asciiTheme="minorHAnsi" w:hAnsiTheme="minorHAnsi" w:cstheme="minorHAnsi"/>
          <w:lang w:val="en-AU"/>
        </w:rPr>
        <w:t xml:space="preserve">also </w:t>
      </w:r>
      <w:r w:rsidRPr="00CB10AD">
        <w:rPr>
          <w:rFonts w:asciiTheme="minorHAnsi" w:hAnsiTheme="minorHAnsi" w:cstheme="minorHAnsi"/>
          <w:lang w:val="en-AU"/>
        </w:rPr>
        <w:t xml:space="preserve">have a detrimental impact on the expected </w:t>
      </w:r>
      <w:r w:rsidR="00F6127C" w:rsidRPr="00CB10AD">
        <w:rPr>
          <w:rFonts w:asciiTheme="minorHAnsi" w:hAnsiTheme="minorHAnsi" w:cstheme="minorHAnsi"/>
          <w:lang w:val="en-AU"/>
        </w:rPr>
        <w:t xml:space="preserve">cost effectiveness of </w:t>
      </w:r>
      <w:r w:rsidRPr="00CB10AD">
        <w:rPr>
          <w:rFonts w:asciiTheme="minorHAnsi" w:hAnsiTheme="minorHAnsi" w:cstheme="minorHAnsi"/>
          <w:lang w:val="en-AU"/>
        </w:rPr>
        <w:t>C1</w:t>
      </w:r>
      <w:r w:rsidR="00486BE8">
        <w:rPr>
          <w:rFonts w:asciiTheme="minorHAnsi" w:hAnsiTheme="minorHAnsi" w:cstheme="minorHAnsi"/>
          <w:lang w:val="en-AU"/>
        </w:rPr>
        <w:t>.</w:t>
      </w:r>
    </w:p>
    <w:p w:rsidR="00F6127C" w:rsidRPr="00CB10AD" w:rsidRDefault="00751EA4"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Phase 1 of t</w:t>
      </w:r>
      <w:r w:rsidR="00F6127C" w:rsidRPr="00CB10AD">
        <w:rPr>
          <w:rFonts w:asciiTheme="minorHAnsi" w:hAnsiTheme="minorHAnsi" w:cstheme="minorHAnsi"/>
          <w:lang w:val="en-AU"/>
        </w:rPr>
        <w:t xml:space="preserve">he SCC Financial Compliance Audit </w:t>
      </w:r>
      <w:r w:rsidR="00DD4543" w:rsidRPr="00CB10AD">
        <w:rPr>
          <w:rFonts w:asciiTheme="minorHAnsi" w:hAnsiTheme="minorHAnsi" w:cstheme="minorHAnsi"/>
          <w:lang w:val="en-AU"/>
        </w:rPr>
        <w:t xml:space="preserve">undertaken through POM </w:t>
      </w:r>
      <w:r w:rsidR="00F6127C" w:rsidRPr="00CB10AD">
        <w:rPr>
          <w:rFonts w:asciiTheme="minorHAnsi" w:hAnsiTheme="minorHAnsi" w:cstheme="minorHAnsi"/>
          <w:lang w:val="en-AU"/>
        </w:rPr>
        <w:t>covered 45 construction sites (i.e. about 10% of the total) and found cases of non-compliance rang</w:t>
      </w:r>
      <w:r w:rsidR="004661BD" w:rsidRPr="00CB10AD">
        <w:rPr>
          <w:rFonts w:asciiTheme="minorHAnsi" w:hAnsiTheme="minorHAnsi" w:cstheme="minorHAnsi"/>
          <w:lang w:val="en-AU"/>
        </w:rPr>
        <w:t>ing</w:t>
      </w:r>
      <w:r w:rsidR="00F6127C" w:rsidRPr="00CB10AD">
        <w:rPr>
          <w:rFonts w:asciiTheme="minorHAnsi" w:hAnsiTheme="minorHAnsi" w:cstheme="minorHAnsi"/>
          <w:lang w:val="en-AU"/>
        </w:rPr>
        <w:t xml:space="preserve"> from low risk to high </w:t>
      </w:r>
      <w:r w:rsidR="00F6127C" w:rsidRPr="00CB10AD">
        <w:rPr>
          <w:rFonts w:asciiTheme="minorHAnsi" w:hAnsiTheme="minorHAnsi" w:cstheme="minorHAnsi"/>
          <w:lang w:val="en-AU"/>
        </w:rPr>
        <w:lastRenderedPageBreak/>
        <w:t xml:space="preserve">risk </w:t>
      </w:r>
      <w:r w:rsidR="004661BD" w:rsidRPr="00CB10AD">
        <w:rPr>
          <w:rFonts w:asciiTheme="minorHAnsi" w:hAnsiTheme="minorHAnsi" w:cstheme="minorHAnsi"/>
          <w:lang w:val="en-AU"/>
        </w:rPr>
        <w:t>at all sites</w:t>
      </w:r>
      <w:r w:rsidR="00F6127C" w:rsidRPr="00CB10AD">
        <w:rPr>
          <w:rFonts w:asciiTheme="minorHAnsi" w:hAnsiTheme="minorHAnsi" w:cstheme="minorHAnsi"/>
          <w:lang w:val="en-AU"/>
        </w:rPr>
        <w:t xml:space="preserve">. </w:t>
      </w:r>
      <w:r w:rsidR="004661BD" w:rsidRPr="00CB10AD">
        <w:rPr>
          <w:rFonts w:asciiTheme="minorHAnsi" w:hAnsiTheme="minorHAnsi" w:cstheme="minorHAnsi"/>
          <w:lang w:val="en-AU"/>
        </w:rPr>
        <w:t xml:space="preserve">However, only a very small number of cases (5 in total) were sufficiently suspicious for a fraud report to be lodged with DFAT. </w:t>
      </w:r>
      <w:r w:rsidR="00DD4543" w:rsidRPr="00CB10AD">
        <w:rPr>
          <w:rFonts w:asciiTheme="minorHAnsi" w:hAnsiTheme="minorHAnsi" w:cstheme="minorHAnsi"/>
          <w:lang w:val="en-AU"/>
        </w:rPr>
        <w:t xml:space="preserve">SSQ and MOEC are also proactive in identifying and reporting non-compliance issues and suspicion of fraud to DFAT. </w:t>
      </w:r>
      <w:r w:rsidR="00F6127C" w:rsidRPr="00CB10AD">
        <w:rPr>
          <w:rFonts w:asciiTheme="minorHAnsi" w:hAnsiTheme="minorHAnsi" w:cstheme="minorHAnsi"/>
          <w:lang w:val="en-AU"/>
        </w:rPr>
        <w:t xml:space="preserve">The </w:t>
      </w:r>
      <w:r w:rsidR="004661BD" w:rsidRPr="00CB10AD">
        <w:rPr>
          <w:rFonts w:asciiTheme="minorHAnsi" w:hAnsiTheme="minorHAnsi" w:cstheme="minorHAnsi"/>
          <w:lang w:val="en-AU"/>
        </w:rPr>
        <w:t xml:space="preserve">prevalence of </w:t>
      </w:r>
      <w:r w:rsidR="00A50C1B" w:rsidRPr="00CB10AD">
        <w:rPr>
          <w:rFonts w:asciiTheme="minorHAnsi" w:hAnsiTheme="minorHAnsi" w:cstheme="minorHAnsi"/>
          <w:lang w:val="en-AU"/>
        </w:rPr>
        <w:t>non-</w:t>
      </w:r>
      <w:r w:rsidR="00F6127C" w:rsidRPr="00CB10AD">
        <w:rPr>
          <w:rFonts w:asciiTheme="minorHAnsi" w:hAnsiTheme="minorHAnsi" w:cstheme="minorHAnsi"/>
          <w:lang w:val="en-AU"/>
        </w:rPr>
        <w:t xml:space="preserve">compliance issues </w:t>
      </w:r>
      <w:r w:rsidR="004661BD" w:rsidRPr="00CB10AD">
        <w:rPr>
          <w:rFonts w:asciiTheme="minorHAnsi" w:hAnsiTheme="minorHAnsi" w:cstheme="minorHAnsi"/>
          <w:lang w:val="en-AU"/>
        </w:rPr>
        <w:t>most likely reflect</w:t>
      </w:r>
      <w:r w:rsidR="00DD4543" w:rsidRPr="00CB10AD">
        <w:rPr>
          <w:rFonts w:asciiTheme="minorHAnsi" w:hAnsiTheme="minorHAnsi" w:cstheme="minorHAnsi"/>
          <w:lang w:val="en-AU"/>
        </w:rPr>
        <w:t>s</w:t>
      </w:r>
      <w:r w:rsidR="004661BD"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the low capacity of some SCC/CMC </w:t>
      </w:r>
      <w:r w:rsidR="004661BD" w:rsidRPr="00CB10AD">
        <w:rPr>
          <w:rFonts w:asciiTheme="minorHAnsi" w:hAnsiTheme="minorHAnsi" w:cstheme="minorHAnsi"/>
          <w:lang w:val="en-AU"/>
        </w:rPr>
        <w:t xml:space="preserve">to administer funds in line with detailed procedures manuals rather than </w:t>
      </w:r>
      <w:r w:rsidR="00DD4543" w:rsidRPr="00CB10AD">
        <w:rPr>
          <w:rFonts w:asciiTheme="minorHAnsi" w:hAnsiTheme="minorHAnsi" w:cstheme="minorHAnsi"/>
          <w:lang w:val="en-AU"/>
        </w:rPr>
        <w:t xml:space="preserve">systemic fraud. The extensive audit function within the EP provides recommendations on how non-compliance can be tackled and it is anticipated that incidence rates will decrease over time. </w:t>
      </w: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Effectiveness</w:t>
      </w:r>
    </w:p>
    <w:p w:rsidR="00F6127C" w:rsidRPr="00CB10AD" w:rsidRDefault="00F6127C" w:rsidP="00A50C1B">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The EP expects to deliver an additional 187,000 places</w:t>
      </w:r>
      <w:r w:rsidR="00746680" w:rsidRPr="00CB10AD">
        <w:rPr>
          <w:rStyle w:val="FootnoteReference"/>
          <w:rFonts w:cstheme="minorHAnsi"/>
          <w:lang w:val="en-AU"/>
        </w:rPr>
        <w:footnoteReference w:id="10"/>
      </w:r>
      <w:r w:rsidRPr="00CB10AD">
        <w:rPr>
          <w:rFonts w:asciiTheme="minorHAnsi" w:hAnsiTheme="minorHAnsi" w:cstheme="minorHAnsi"/>
          <w:lang w:val="en-AU"/>
        </w:rPr>
        <w:t xml:space="preserve"> for JSE students by mid-2016 (EOCO)</w:t>
      </w:r>
      <w:r w:rsidR="00746680" w:rsidRPr="00CB10AD">
        <w:rPr>
          <w:rStyle w:val="EndnoteReference"/>
          <w:rFonts w:asciiTheme="minorHAnsi" w:hAnsiTheme="minorHAnsi" w:cstheme="minorHAnsi"/>
          <w:lang w:val="en-AU"/>
        </w:rPr>
        <w:endnoteReference w:id="9"/>
      </w:r>
      <w:r w:rsidRPr="00CB10AD">
        <w:rPr>
          <w:rFonts w:asciiTheme="minorHAnsi" w:hAnsiTheme="minorHAnsi" w:cstheme="minorHAnsi"/>
          <w:lang w:val="en-AU"/>
        </w:rPr>
        <w:t>. So far, the construction of 45</w:t>
      </w:r>
      <w:r w:rsidR="00CF02C2" w:rsidRPr="00CB10AD">
        <w:rPr>
          <w:rFonts w:asciiTheme="minorHAnsi" w:hAnsiTheme="minorHAnsi" w:cstheme="minorHAnsi"/>
          <w:lang w:val="en-AU"/>
        </w:rPr>
        <w:t>0</w:t>
      </w:r>
      <w:r w:rsidRPr="00CB10AD">
        <w:rPr>
          <w:rFonts w:asciiTheme="minorHAnsi" w:hAnsiTheme="minorHAnsi" w:cstheme="minorHAnsi"/>
          <w:lang w:val="en-AU"/>
        </w:rPr>
        <w:t xml:space="preserve"> schools</w:t>
      </w:r>
      <w:r w:rsidR="00A50C1B" w:rsidRPr="00CB10AD">
        <w:rPr>
          <w:rFonts w:asciiTheme="minorHAnsi" w:hAnsiTheme="minorHAnsi" w:cstheme="minorHAnsi"/>
          <w:lang w:val="en-AU"/>
        </w:rPr>
        <w:t xml:space="preserve"> </w:t>
      </w:r>
      <w:r w:rsidRPr="00CB10AD">
        <w:rPr>
          <w:rFonts w:asciiTheme="minorHAnsi" w:hAnsiTheme="minorHAnsi" w:cstheme="minorHAnsi"/>
          <w:lang w:val="en-AU"/>
        </w:rPr>
        <w:t xml:space="preserve">in Cycle 1 </w:t>
      </w:r>
      <w:r w:rsidR="00751EA4" w:rsidRPr="00CB10AD">
        <w:rPr>
          <w:rFonts w:asciiTheme="minorHAnsi" w:hAnsiTheme="minorHAnsi" w:cstheme="minorHAnsi"/>
          <w:lang w:val="en-AU"/>
        </w:rPr>
        <w:t xml:space="preserve">has </w:t>
      </w:r>
      <w:r w:rsidRPr="00CB10AD">
        <w:rPr>
          <w:rFonts w:asciiTheme="minorHAnsi" w:hAnsiTheme="minorHAnsi" w:cstheme="minorHAnsi"/>
          <w:lang w:val="en-AU"/>
        </w:rPr>
        <w:t>generated</w:t>
      </w:r>
      <w:r w:rsidR="00F206E8" w:rsidRPr="00CB10AD">
        <w:rPr>
          <w:rFonts w:asciiTheme="minorHAnsi" w:hAnsiTheme="minorHAnsi" w:cstheme="minorHAnsi"/>
          <w:lang w:val="en-AU"/>
        </w:rPr>
        <w:t xml:space="preserve"> up to</w:t>
      </w:r>
      <w:r w:rsidRPr="00CB10AD">
        <w:rPr>
          <w:rFonts w:asciiTheme="minorHAnsi" w:hAnsiTheme="minorHAnsi" w:cstheme="minorHAnsi"/>
          <w:lang w:val="en-AU"/>
        </w:rPr>
        <w:t xml:space="preserve"> an additional 58,</w:t>
      </w:r>
      <w:r w:rsidR="00CF02C2" w:rsidRPr="00CB10AD">
        <w:rPr>
          <w:rFonts w:asciiTheme="minorHAnsi" w:hAnsiTheme="minorHAnsi" w:cstheme="minorHAnsi"/>
          <w:lang w:val="en-AU"/>
        </w:rPr>
        <w:t>656</w:t>
      </w:r>
      <w:r w:rsidRPr="00CB10AD">
        <w:rPr>
          <w:rFonts w:asciiTheme="minorHAnsi" w:hAnsiTheme="minorHAnsi" w:cstheme="minorHAnsi"/>
          <w:lang w:val="en-AU"/>
        </w:rPr>
        <w:t xml:space="preserve"> places for JSE students across 142 districts</w:t>
      </w:r>
      <w:r w:rsidRPr="00CB10AD">
        <w:rPr>
          <w:rFonts w:asciiTheme="minorHAnsi" w:hAnsiTheme="minorHAnsi" w:cstheme="minorHAnsi"/>
          <w:vertAlign w:val="superscript"/>
          <w:lang w:val="en-AU"/>
        </w:rPr>
        <w:footnoteReference w:id="11"/>
      </w:r>
      <w:r w:rsidRPr="00CB10AD">
        <w:rPr>
          <w:rFonts w:asciiTheme="minorHAnsi" w:hAnsiTheme="minorHAnsi" w:cstheme="minorHAnsi"/>
          <w:lang w:val="en-AU"/>
        </w:rPr>
        <w:t>. Should subsequent cycles be delivered in an equally efficient manner, it is probable that the EOCO target</w:t>
      </w:r>
      <w:r w:rsidR="00F206E8" w:rsidRPr="00CB10AD">
        <w:rPr>
          <w:rFonts w:asciiTheme="minorHAnsi" w:hAnsiTheme="minorHAnsi" w:cstheme="minorHAnsi"/>
          <w:lang w:val="en-AU"/>
        </w:rPr>
        <w:t xml:space="preserve"> </w:t>
      </w:r>
      <w:r w:rsidRPr="00CB10AD">
        <w:rPr>
          <w:rFonts w:asciiTheme="minorHAnsi" w:hAnsiTheme="minorHAnsi" w:cstheme="minorHAnsi"/>
          <w:lang w:val="en-AU"/>
        </w:rPr>
        <w:t xml:space="preserve">will be achieved. </w:t>
      </w:r>
    </w:p>
    <w:p w:rsidR="00F50347" w:rsidRPr="00CB10AD" w:rsidRDefault="00F6127C" w:rsidP="00A50C1B">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attainment of the EOPO (i.e. </w:t>
      </w:r>
      <w:r w:rsidR="00DD3CF4" w:rsidRPr="00CB10AD">
        <w:rPr>
          <w:rFonts w:asciiTheme="minorHAnsi" w:hAnsiTheme="minorHAnsi" w:cstheme="minorHAnsi"/>
          <w:lang w:val="en-AU"/>
        </w:rPr>
        <w:t xml:space="preserve">an </w:t>
      </w:r>
      <w:r w:rsidRPr="00CB10AD">
        <w:rPr>
          <w:rFonts w:asciiTheme="minorHAnsi" w:hAnsiTheme="minorHAnsi" w:cstheme="minorHAnsi"/>
          <w:lang w:val="en-AU"/>
        </w:rPr>
        <w:t>increase in JSE enrolment</w:t>
      </w:r>
      <w:r w:rsidR="00C362E0" w:rsidRPr="00CB10AD">
        <w:rPr>
          <w:rFonts w:asciiTheme="minorHAnsi" w:hAnsiTheme="minorHAnsi" w:cstheme="minorHAnsi"/>
          <w:lang w:val="en-AU"/>
        </w:rPr>
        <w:t>)</w:t>
      </w:r>
      <w:r w:rsidRPr="00CB10AD">
        <w:rPr>
          <w:rFonts w:asciiTheme="minorHAnsi" w:hAnsiTheme="minorHAnsi" w:cstheme="minorHAnsi"/>
          <w:lang w:val="en-AU"/>
        </w:rPr>
        <w:t xml:space="preserve"> is, however, less c</w:t>
      </w:r>
      <w:r w:rsidR="0007056A">
        <w:rPr>
          <w:rFonts w:asciiTheme="minorHAnsi" w:hAnsiTheme="minorHAnsi" w:cstheme="minorHAnsi"/>
          <w:lang w:val="en-AU"/>
        </w:rPr>
        <w:t xml:space="preserve">lear cut and it is not yet </w:t>
      </w:r>
      <w:r w:rsidR="00B24B37" w:rsidRPr="00CB10AD">
        <w:rPr>
          <w:rFonts w:asciiTheme="minorHAnsi" w:hAnsiTheme="minorHAnsi" w:cstheme="minorHAnsi"/>
          <w:lang w:val="en-AU"/>
        </w:rPr>
        <w:t xml:space="preserve">possible </w:t>
      </w:r>
      <w:r w:rsidRPr="00CB10AD">
        <w:rPr>
          <w:rFonts w:asciiTheme="minorHAnsi" w:hAnsiTheme="minorHAnsi" w:cstheme="minorHAnsi"/>
          <w:lang w:val="en-AU"/>
        </w:rPr>
        <w:t xml:space="preserve">to </w:t>
      </w:r>
      <w:r w:rsidR="00751EA4" w:rsidRPr="00CB10AD">
        <w:rPr>
          <w:rFonts w:asciiTheme="minorHAnsi" w:hAnsiTheme="minorHAnsi" w:cstheme="minorHAnsi"/>
          <w:lang w:val="en-AU"/>
        </w:rPr>
        <w:t>make a definitive judgment</w:t>
      </w:r>
      <w:r w:rsidR="00B24B37" w:rsidRPr="0007056A">
        <w:rPr>
          <w:rStyle w:val="FootnoteReference"/>
          <w:rFonts w:cstheme="minorHAnsi"/>
          <w:lang w:val="en-AU"/>
        </w:rPr>
        <w:footnoteReference w:id="12"/>
      </w:r>
      <w:r w:rsidR="0007056A">
        <w:rPr>
          <w:rFonts w:asciiTheme="minorHAnsi" w:hAnsiTheme="minorHAnsi" w:cstheme="minorHAnsi"/>
          <w:lang w:val="en-AU"/>
        </w:rPr>
        <w:t xml:space="preserve">. Whilst it is recognised that considerable improvements to site selection processes have been made since AIBEP and indeed between Cycles 1 and 2 of the EP, there remain indications of </w:t>
      </w:r>
      <w:r w:rsidRPr="0007056A">
        <w:rPr>
          <w:rFonts w:asciiTheme="minorHAnsi" w:hAnsiTheme="minorHAnsi" w:cstheme="minorHAnsi"/>
          <w:lang w:val="en-AU"/>
        </w:rPr>
        <w:t>sub</w:t>
      </w:r>
      <w:r w:rsidR="00751EA4" w:rsidRPr="0007056A">
        <w:rPr>
          <w:rFonts w:asciiTheme="minorHAnsi" w:hAnsiTheme="minorHAnsi" w:cstheme="minorHAnsi"/>
          <w:lang w:val="en-AU"/>
        </w:rPr>
        <w:t>-</w:t>
      </w:r>
      <w:r w:rsidRPr="0007056A">
        <w:rPr>
          <w:rFonts w:asciiTheme="minorHAnsi" w:hAnsiTheme="minorHAnsi" w:cstheme="minorHAnsi"/>
          <w:lang w:val="en-AU"/>
        </w:rPr>
        <w:t>optimal location of some</w:t>
      </w:r>
      <w:r w:rsidR="007723CA" w:rsidRPr="0007056A">
        <w:rPr>
          <w:rFonts w:asciiTheme="minorHAnsi" w:hAnsiTheme="minorHAnsi" w:cstheme="minorHAnsi"/>
          <w:lang w:val="en-AU"/>
        </w:rPr>
        <w:t xml:space="preserve"> of the</w:t>
      </w:r>
      <w:r w:rsidRPr="0007056A">
        <w:rPr>
          <w:rFonts w:asciiTheme="minorHAnsi" w:hAnsiTheme="minorHAnsi" w:cstheme="minorHAnsi"/>
          <w:lang w:val="en-AU"/>
        </w:rPr>
        <w:t xml:space="preserve"> selected sites. Based on a typology built on proxy measures of JSE demand and supply, a preliminary analysis of the appropriateness of site locations from the </w:t>
      </w:r>
      <w:r w:rsidR="00E73BA8" w:rsidRPr="0007056A">
        <w:rPr>
          <w:rFonts w:asciiTheme="minorHAnsi" w:hAnsiTheme="minorHAnsi" w:cstheme="minorHAnsi"/>
          <w:lang w:val="en-AU"/>
        </w:rPr>
        <w:t xml:space="preserve">EOPO 1 </w:t>
      </w:r>
      <w:r w:rsidRPr="0007056A">
        <w:rPr>
          <w:rFonts w:asciiTheme="minorHAnsi" w:hAnsiTheme="minorHAnsi" w:cstheme="minorHAnsi"/>
          <w:lang w:val="en-AU"/>
        </w:rPr>
        <w:t>evaluation base</w:t>
      </w:r>
      <w:r w:rsidR="00C362E0" w:rsidRPr="0007056A">
        <w:rPr>
          <w:rFonts w:asciiTheme="minorHAnsi" w:hAnsiTheme="minorHAnsi" w:cstheme="minorHAnsi"/>
          <w:lang w:val="en-AU"/>
        </w:rPr>
        <w:t>line sample</w:t>
      </w:r>
      <w:r w:rsidR="00DD3CF4" w:rsidRPr="0007056A">
        <w:rPr>
          <w:rStyle w:val="FootnoteReference"/>
          <w:rFonts w:cstheme="minorHAnsi"/>
          <w:lang w:val="en-AU"/>
        </w:rPr>
        <w:footnoteReference w:id="13"/>
      </w:r>
      <w:r w:rsidRPr="0007056A">
        <w:rPr>
          <w:rFonts w:asciiTheme="minorHAnsi" w:hAnsiTheme="minorHAnsi" w:cstheme="minorHAnsi"/>
          <w:lang w:val="en-AU"/>
        </w:rPr>
        <w:t xml:space="preserve"> </w:t>
      </w:r>
      <w:r w:rsidR="007723CA" w:rsidRPr="0007056A">
        <w:rPr>
          <w:rFonts w:asciiTheme="minorHAnsi" w:hAnsiTheme="minorHAnsi" w:cstheme="minorHAnsi"/>
          <w:lang w:val="en-AU"/>
        </w:rPr>
        <w:t xml:space="preserve">suggests that </w:t>
      </w:r>
      <w:r w:rsidR="0061272A" w:rsidRPr="0007056A">
        <w:rPr>
          <w:rFonts w:asciiTheme="minorHAnsi" w:hAnsiTheme="minorHAnsi" w:cstheme="minorHAnsi"/>
          <w:lang w:val="en-AU"/>
        </w:rPr>
        <w:t xml:space="preserve">just under </w:t>
      </w:r>
      <w:r w:rsidR="009B47B3" w:rsidRPr="0007056A">
        <w:rPr>
          <w:rFonts w:asciiTheme="minorHAnsi" w:hAnsiTheme="minorHAnsi" w:cstheme="minorHAnsi"/>
          <w:lang w:val="en-AU"/>
        </w:rPr>
        <w:t xml:space="preserve">half </w:t>
      </w:r>
      <w:r w:rsidR="0061272A" w:rsidRPr="0007056A">
        <w:rPr>
          <w:rFonts w:asciiTheme="minorHAnsi" w:hAnsiTheme="minorHAnsi" w:cstheme="minorHAnsi"/>
          <w:lang w:val="en-AU"/>
        </w:rPr>
        <w:t xml:space="preserve">of </w:t>
      </w:r>
      <w:r w:rsidR="009B47B3" w:rsidRPr="0007056A">
        <w:rPr>
          <w:rFonts w:asciiTheme="minorHAnsi" w:hAnsiTheme="minorHAnsi" w:cstheme="minorHAnsi"/>
          <w:lang w:val="en-AU"/>
        </w:rPr>
        <w:t>the sampled school</w:t>
      </w:r>
      <w:r w:rsidR="00D51353" w:rsidRPr="0007056A">
        <w:rPr>
          <w:rFonts w:asciiTheme="minorHAnsi" w:hAnsiTheme="minorHAnsi" w:cstheme="minorHAnsi"/>
          <w:lang w:val="en-AU"/>
        </w:rPr>
        <w:t>s</w:t>
      </w:r>
      <w:r w:rsidR="007723CA" w:rsidRPr="0007056A">
        <w:rPr>
          <w:rFonts w:asciiTheme="minorHAnsi" w:hAnsiTheme="minorHAnsi" w:cstheme="minorHAnsi"/>
          <w:lang w:val="en-AU"/>
        </w:rPr>
        <w:t xml:space="preserve"> have been constructed in </w:t>
      </w:r>
      <w:r w:rsidR="0061272A" w:rsidRPr="0007056A">
        <w:rPr>
          <w:rFonts w:asciiTheme="minorHAnsi" w:hAnsiTheme="minorHAnsi" w:cstheme="minorHAnsi"/>
          <w:lang w:val="en-AU"/>
        </w:rPr>
        <w:t xml:space="preserve">locations of low supply and high demand and are therefore likely to contribute to increased enrolment. Conversely, </w:t>
      </w:r>
      <w:r w:rsidR="00545FF0">
        <w:rPr>
          <w:rFonts w:asciiTheme="minorHAnsi" w:hAnsiTheme="minorHAnsi" w:cstheme="minorHAnsi"/>
          <w:lang w:val="en-AU"/>
        </w:rPr>
        <w:t xml:space="preserve">the analysis indicates that around one tenth </w:t>
      </w:r>
      <w:r w:rsidR="009B47B3" w:rsidRPr="0007056A">
        <w:rPr>
          <w:rFonts w:asciiTheme="minorHAnsi" w:hAnsiTheme="minorHAnsi" w:cstheme="minorHAnsi"/>
          <w:lang w:val="en-AU"/>
        </w:rPr>
        <w:t xml:space="preserve">of schools </w:t>
      </w:r>
      <w:r w:rsidR="00D51353" w:rsidRPr="0007056A">
        <w:rPr>
          <w:rFonts w:asciiTheme="minorHAnsi" w:hAnsiTheme="minorHAnsi" w:cstheme="minorHAnsi"/>
          <w:lang w:val="en-AU"/>
        </w:rPr>
        <w:t>are located in s</w:t>
      </w:r>
      <w:r w:rsidR="009B47B3" w:rsidRPr="0007056A">
        <w:rPr>
          <w:rFonts w:asciiTheme="minorHAnsi" w:hAnsiTheme="minorHAnsi" w:cstheme="minorHAnsi"/>
          <w:lang w:val="en-AU"/>
        </w:rPr>
        <w:t>ites with both low demand and high supply</w:t>
      </w:r>
      <w:r w:rsidR="0061272A" w:rsidRPr="0007056A">
        <w:rPr>
          <w:rFonts w:asciiTheme="minorHAnsi" w:hAnsiTheme="minorHAnsi" w:cstheme="minorHAnsi"/>
          <w:lang w:val="en-AU"/>
        </w:rPr>
        <w:t xml:space="preserve"> which </w:t>
      </w:r>
      <w:r w:rsidR="00CB10AD" w:rsidRPr="0007056A">
        <w:rPr>
          <w:rFonts w:asciiTheme="minorHAnsi" w:hAnsiTheme="minorHAnsi" w:cstheme="minorHAnsi"/>
          <w:lang w:val="en-AU"/>
        </w:rPr>
        <w:t>would negatively</w:t>
      </w:r>
      <w:r w:rsidR="007723CA" w:rsidRPr="0007056A">
        <w:rPr>
          <w:rFonts w:asciiTheme="minorHAnsi" w:hAnsiTheme="minorHAnsi" w:cstheme="minorHAnsi"/>
          <w:lang w:val="en-AU"/>
        </w:rPr>
        <w:t xml:space="preserve"> affect expected enrolment figures (and, in time, the sustainability of the schools themselves). On a positive note, however, the exercise also </w:t>
      </w:r>
      <w:r w:rsidRPr="0007056A">
        <w:rPr>
          <w:rFonts w:asciiTheme="minorHAnsi" w:hAnsiTheme="minorHAnsi" w:cstheme="minorHAnsi"/>
          <w:lang w:val="en-AU"/>
        </w:rPr>
        <w:t>indicates that improv</w:t>
      </w:r>
      <w:r w:rsidR="007723CA" w:rsidRPr="0007056A">
        <w:rPr>
          <w:rFonts w:asciiTheme="minorHAnsi" w:hAnsiTheme="minorHAnsi" w:cstheme="minorHAnsi"/>
          <w:lang w:val="en-AU"/>
        </w:rPr>
        <w:t xml:space="preserve">ed </w:t>
      </w:r>
      <w:r w:rsidRPr="0007056A">
        <w:rPr>
          <w:rFonts w:asciiTheme="minorHAnsi" w:hAnsiTheme="minorHAnsi" w:cstheme="minorHAnsi"/>
          <w:lang w:val="en-AU"/>
        </w:rPr>
        <w:t xml:space="preserve">site selection is both possible and desirable, </w:t>
      </w:r>
      <w:r w:rsidR="007723CA" w:rsidRPr="0007056A">
        <w:rPr>
          <w:rFonts w:asciiTheme="minorHAnsi" w:hAnsiTheme="minorHAnsi" w:cstheme="minorHAnsi"/>
          <w:lang w:val="en-AU"/>
        </w:rPr>
        <w:t>and</w:t>
      </w:r>
      <w:r w:rsidR="007723CA" w:rsidRPr="00CB10AD">
        <w:rPr>
          <w:rFonts w:asciiTheme="minorHAnsi" w:hAnsiTheme="minorHAnsi" w:cstheme="minorHAnsi"/>
          <w:lang w:val="en-AU"/>
        </w:rPr>
        <w:t xml:space="preserve"> that this can be achieved </w:t>
      </w:r>
      <w:r w:rsidRPr="00CB10AD">
        <w:rPr>
          <w:rFonts w:asciiTheme="minorHAnsi" w:hAnsiTheme="minorHAnsi" w:cstheme="minorHAnsi"/>
          <w:lang w:val="en-AU"/>
        </w:rPr>
        <w:t xml:space="preserve">by </w:t>
      </w:r>
      <w:r w:rsidR="00486BE8">
        <w:rPr>
          <w:rFonts w:asciiTheme="minorHAnsi" w:hAnsiTheme="minorHAnsi" w:cstheme="minorHAnsi"/>
          <w:lang w:val="en-AU"/>
        </w:rPr>
        <w:t xml:space="preserve">refining the </w:t>
      </w:r>
      <w:r w:rsidRPr="00CB10AD">
        <w:rPr>
          <w:rFonts w:asciiTheme="minorHAnsi" w:hAnsiTheme="minorHAnsi" w:cstheme="minorHAnsi"/>
          <w:lang w:val="en-AU"/>
        </w:rPr>
        <w:t xml:space="preserve">factors of </w:t>
      </w:r>
      <w:r w:rsidR="00F50347" w:rsidRPr="00CB10AD">
        <w:rPr>
          <w:rFonts w:asciiTheme="minorHAnsi" w:hAnsiTheme="minorHAnsi" w:cstheme="minorHAnsi"/>
          <w:lang w:val="en-AU"/>
        </w:rPr>
        <w:t xml:space="preserve">supply </w:t>
      </w:r>
      <w:r w:rsidR="00F50347" w:rsidRPr="00CB10AD">
        <w:rPr>
          <w:rFonts w:asciiTheme="minorHAnsi" w:hAnsiTheme="minorHAnsi" w:cstheme="minorHAnsi"/>
          <w:i/>
          <w:lang w:val="en-AU"/>
        </w:rPr>
        <w:t xml:space="preserve">and </w:t>
      </w:r>
      <w:r w:rsidRPr="00CB10AD">
        <w:rPr>
          <w:rFonts w:asciiTheme="minorHAnsi" w:hAnsiTheme="minorHAnsi" w:cstheme="minorHAnsi"/>
          <w:lang w:val="en-AU"/>
        </w:rPr>
        <w:t>demand in the selection criteria.</w:t>
      </w:r>
      <w:r w:rsidR="00545FF0">
        <w:rPr>
          <w:rFonts w:asciiTheme="minorHAnsi" w:hAnsiTheme="minorHAnsi" w:cstheme="minorHAnsi"/>
          <w:lang w:val="en-AU"/>
        </w:rPr>
        <w:t xml:space="preserve"> Given the critical importance of site selection in the realisation of the EOPO, a more robust and expanded analysis is indicated.</w:t>
      </w:r>
    </w:p>
    <w:p w:rsidR="00F6127C" w:rsidRPr="00CB10AD" w:rsidRDefault="00DA390B" w:rsidP="00C362E0">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T</w:t>
      </w:r>
      <w:r w:rsidR="007723CA" w:rsidRPr="00CB10AD">
        <w:rPr>
          <w:rFonts w:asciiTheme="minorHAnsi" w:hAnsiTheme="minorHAnsi" w:cstheme="minorHAnsi"/>
          <w:lang w:val="en-AU"/>
        </w:rPr>
        <w:t xml:space="preserve">he number of construction sites that are situated in low GER (&lt;90%) districts has reduced significantly between Cycle 1 and </w:t>
      </w:r>
      <w:r w:rsidR="00F50347" w:rsidRPr="00CB10AD">
        <w:rPr>
          <w:rFonts w:asciiTheme="minorHAnsi" w:hAnsiTheme="minorHAnsi" w:cstheme="minorHAnsi"/>
          <w:lang w:val="en-AU"/>
        </w:rPr>
        <w:t xml:space="preserve">Cycle </w:t>
      </w:r>
      <w:r w:rsidR="007723CA" w:rsidRPr="00CB10AD">
        <w:rPr>
          <w:rFonts w:asciiTheme="minorHAnsi" w:hAnsiTheme="minorHAnsi" w:cstheme="minorHAnsi"/>
          <w:lang w:val="en-AU"/>
        </w:rPr>
        <w:t>2, both in terms of actual numbers (264 to 102) and percentage (59% to 35%). This speaks to the importance of applying appropriate targeting mechanisms for site selection. However, it is possible that</w:t>
      </w:r>
      <w:r w:rsidR="007F5BFF" w:rsidRPr="00CB10AD">
        <w:rPr>
          <w:rFonts w:asciiTheme="minorHAnsi" w:hAnsiTheme="minorHAnsi" w:cstheme="minorHAnsi"/>
          <w:lang w:val="en-AU"/>
        </w:rPr>
        <w:t>,</w:t>
      </w:r>
      <w:r w:rsidR="007723CA" w:rsidRPr="00CB10AD">
        <w:rPr>
          <w:rFonts w:asciiTheme="minorHAnsi" w:hAnsiTheme="minorHAnsi" w:cstheme="minorHAnsi"/>
          <w:lang w:val="en-AU"/>
        </w:rPr>
        <w:t xml:space="preserve"> </w:t>
      </w:r>
      <w:r w:rsidR="00F6127C" w:rsidRPr="00CB10AD">
        <w:rPr>
          <w:rFonts w:asciiTheme="minorHAnsi" w:hAnsiTheme="minorHAnsi" w:cstheme="minorHAnsi"/>
          <w:lang w:val="en-AU"/>
        </w:rPr>
        <w:t>as cycles progress, the proportion of low GER districts decreases, as well as the opportunity of selecting appropriate sites within these districts, i.e</w:t>
      </w:r>
      <w:r w:rsidR="00C362E0" w:rsidRPr="00CB10AD">
        <w:rPr>
          <w:rFonts w:asciiTheme="minorHAnsi" w:hAnsiTheme="minorHAnsi" w:cstheme="minorHAnsi"/>
          <w:lang w:val="en-AU"/>
        </w:rPr>
        <w:t>.</w:t>
      </w:r>
      <w:r w:rsidR="00F6127C" w:rsidRPr="00CB10AD">
        <w:rPr>
          <w:rFonts w:asciiTheme="minorHAnsi" w:hAnsiTheme="minorHAnsi" w:cstheme="minorHAnsi"/>
          <w:lang w:val="en-AU"/>
        </w:rPr>
        <w:t xml:space="preserve"> it is getting harder and harder to select appropriate sites. </w:t>
      </w:r>
    </w:p>
    <w:p w:rsidR="00F6127C" w:rsidRPr="00CB10AD" w:rsidRDefault="00F6127C" w:rsidP="00F6127C">
      <w:pPr>
        <w:keepNext/>
        <w:numPr>
          <w:ilvl w:val="2"/>
          <w:numId w:val="9"/>
        </w:numPr>
        <w:spacing w:line="276" w:lineRule="auto"/>
        <w:ind w:left="720"/>
        <w:outlineLvl w:val="2"/>
        <w:rPr>
          <w:rFonts w:asciiTheme="minorHAnsi" w:hAnsiTheme="minorHAnsi"/>
          <w:bCs/>
          <w:color w:val="003880"/>
          <w:sz w:val="24"/>
          <w:szCs w:val="28"/>
          <w:lang w:val="en-AU"/>
        </w:rPr>
      </w:pPr>
      <w:r w:rsidRPr="00CB10AD">
        <w:rPr>
          <w:bCs/>
          <w:color w:val="003880"/>
          <w:sz w:val="24"/>
          <w:szCs w:val="28"/>
          <w:lang w:val="en-AU"/>
        </w:rPr>
        <w:lastRenderedPageBreak/>
        <w:t>Impact</w:t>
      </w:r>
    </w:p>
    <w:p w:rsidR="00F6127C" w:rsidRPr="00CB10AD" w:rsidRDefault="00F6127C" w:rsidP="00F6127C">
      <w:pPr>
        <w:spacing w:before="120" w:after="120" w:line="276" w:lineRule="auto"/>
        <w:jc w:val="both"/>
        <w:rPr>
          <w:highlight w:val="yellow"/>
          <w:lang w:val="en-AU"/>
        </w:rPr>
      </w:pPr>
      <w:r w:rsidRPr="00CB10AD">
        <w:rPr>
          <w:lang w:val="en-AU"/>
        </w:rPr>
        <w:t xml:space="preserve">It is </w:t>
      </w:r>
      <w:r w:rsidR="004236E1" w:rsidRPr="00CB10AD">
        <w:rPr>
          <w:lang w:val="en-AU"/>
        </w:rPr>
        <w:t xml:space="preserve">estimated </w:t>
      </w:r>
      <w:r w:rsidRPr="00CB10AD">
        <w:rPr>
          <w:lang w:val="en-AU"/>
        </w:rPr>
        <w:t>that 84</w:t>
      </w:r>
      <w:r w:rsidR="00C362E0" w:rsidRPr="00CB10AD">
        <w:rPr>
          <w:lang w:val="en-AU"/>
        </w:rPr>
        <w:t>,</w:t>
      </w:r>
      <w:r w:rsidR="004236E1" w:rsidRPr="00CB10AD">
        <w:rPr>
          <w:lang w:val="en-AU"/>
        </w:rPr>
        <w:t>204</w:t>
      </w:r>
      <w:r w:rsidRPr="00CB10AD">
        <w:rPr>
          <w:lang w:val="en-AU"/>
        </w:rPr>
        <w:t xml:space="preserve"> students </w:t>
      </w:r>
      <w:r w:rsidR="00C362E0" w:rsidRPr="00CB10AD">
        <w:rPr>
          <w:lang w:val="en-AU"/>
        </w:rPr>
        <w:t xml:space="preserve">will </w:t>
      </w:r>
      <w:r w:rsidRPr="00CB10AD">
        <w:rPr>
          <w:lang w:val="en-AU"/>
        </w:rPr>
        <w:t>be enrolled in EP funded schools by June 2016</w:t>
      </w:r>
      <w:r w:rsidR="002A1FB8" w:rsidRPr="00CB10AD">
        <w:rPr>
          <w:rStyle w:val="FootnoteReference"/>
          <w:lang w:val="en-AU"/>
        </w:rPr>
        <w:footnoteReference w:id="14"/>
      </w:r>
      <w:r w:rsidRPr="00CB10AD">
        <w:rPr>
          <w:lang w:val="en-AU"/>
        </w:rPr>
        <w:t xml:space="preserve">. It is too early to assess the progress towards that </w:t>
      </w:r>
      <w:r w:rsidR="000109F7" w:rsidRPr="00CB10AD">
        <w:rPr>
          <w:lang w:val="en-AU"/>
        </w:rPr>
        <w:t>target</w:t>
      </w:r>
      <w:r w:rsidRPr="00CB10AD">
        <w:rPr>
          <w:lang w:val="en-AU"/>
        </w:rPr>
        <w:t xml:space="preserve">. Only schools built under </w:t>
      </w:r>
      <w:r w:rsidR="00C362E0" w:rsidRPr="00CB10AD">
        <w:rPr>
          <w:lang w:val="en-AU"/>
        </w:rPr>
        <w:t>C</w:t>
      </w:r>
      <w:r w:rsidRPr="00CB10AD">
        <w:rPr>
          <w:lang w:val="en-AU"/>
        </w:rPr>
        <w:t>ycle 1 have open</w:t>
      </w:r>
      <w:r w:rsidR="00E8365F" w:rsidRPr="00CB10AD">
        <w:rPr>
          <w:lang w:val="en-AU"/>
        </w:rPr>
        <w:t>ed</w:t>
      </w:r>
      <w:r w:rsidRPr="00CB10AD">
        <w:rPr>
          <w:lang w:val="en-AU"/>
        </w:rPr>
        <w:t xml:space="preserve"> their doors and</w:t>
      </w:r>
      <w:r w:rsidR="00E8365F" w:rsidRPr="00CB10AD">
        <w:rPr>
          <w:lang w:val="en-AU"/>
        </w:rPr>
        <w:t xml:space="preserve"> </w:t>
      </w:r>
      <w:r w:rsidRPr="00CB10AD">
        <w:rPr>
          <w:lang w:val="en-AU"/>
        </w:rPr>
        <w:t xml:space="preserve">most students have </w:t>
      </w:r>
      <w:r w:rsidR="00E8365F" w:rsidRPr="00CB10AD">
        <w:rPr>
          <w:lang w:val="en-AU"/>
        </w:rPr>
        <w:t xml:space="preserve">only </w:t>
      </w:r>
      <w:r w:rsidRPr="00CB10AD">
        <w:rPr>
          <w:lang w:val="en-AU"/>
        </w:rPr>
        <w:t>been enrolled in</w:t>
      </w:r>
      <w:r w:rsidR="00E8365F" w:rsidRPr="00CB10AD">
        <w:rPr>
          <w:lang w:val="en-AU"/>
        </w:rPr>
        <w:t xml:space="preserve"> the first grade of SMP. I</w:t>
      </w:r>
      <w:r w:rsidRPr="00CB10AD">
        <w:rPr>
          <w:lang w:val="en-AU"/>
        </w:rPr>
        <w:t xml:space="preserve">t is expected to take three years </w:t>
      </w:r>
      <w:r w:rsidR="00E8365F" w:rsidRPr="00CB10AD">
        <w:rPr>
          <w:lang w:val="en-AU"/>
        </w:rPr>
        <w:t>for</w:t>
      </w:r>
      <w:r w:rsidRPr="00CB10AD">
        <w:rPr>
          <w:lang w:val="en-AU"/>
        </w:rPr>
        <w:t xml:space="preserve"> a newly built school to reach its capacity of enrolment. </w:t>
      </w:r>
    </w:p>
    <w:p w:rsidR="00F6127C" w:rsidRPr="00CB10AD" w:rsidRDefault="00F6127C" w:rsidP="00F6127C">
      <w:pPr>
        <w:spacing w:before="120" w:after="120" w:line="276" w:lineRule="auto"/>
        <w:jc w:val="both"/>
        <w:rPr>
          <w:lang w:val="en-AU"/>
        </w:rPr>
      </w:pPr>
      <w:r w:rsidRPr="00CB10AD">
        <w:rPr>
          <w:lang w:val="en-AU"/>
        </w:rPr>
        <w:t xml:space="preserve">Two risks to the attainment of intended impact targets can be foreseen: (a) the additional places created (EOCO) do not necessarily lead to the enrolment of “new” children (EOPO) but instead may be filled </w:t>
      </w:r>
      <w:r w:rsidR="00F76057">
        <w:rPr>
          <w:lang w:val="en-AU"/>
        </w:rPr>
        <w:t xml:space="preserve">partially or exclusively </w:t>
      </w:r>
      <w:r w:rsidRPr="00CB10AD">
        <w:rPr>
          <w:lang w:val="en-AU"/>
        </w:rPr>
        <w:t xml:space="preserve">by children who move from existing schools; and (b) the construction of the new school offers a supply-side response that may </w:t>
      </w:r>
      <w:r w:rsidR="00F76057">
        <w:rPr>
          <w:lang w:val="en-AU"/>
        </w:rPr>
        <w:t>need to be coordinated with demand-side initiatives offered through MOEC</w:t>
      </w:r>
      <w:r w:rsidRPr="00CB10AD">
        <w:rPr>
          <w:lang w:val="en-AU"/>
        </w:rPr>
        <w:t>.</w:t>
      </w:r>
      <w:r w:rsidRPr="00CB10AD" w:rsidDel="00727934">
        <w:rPr>
          <w:lang w:val="en-AU"/>
        </w:rPr>
        <w:t xml:space="preserve"> </w:t>
      </w:r>
      <w:r w:rsidRPr="00CB10AD">
        <w:rPr>
          <w:lang w:val="en-AU"/>
        </w:rPr>
        <w:t xml:space="preserve">It must be noted </w:t>
      </w:r>
      <w:r w:rsidR="00E8365F" w:rsidRPr="00CB10AD">
        <w:rPr>
          <w:lang w:val="en-AU"/>
        </w:rPr>
        <w:t xml:space="preserve">that </w:t>
      </w:r>
      <w:r w:rsidRPr="00CB10AD">
        <w:rPr>
          <w:lang w:val="en-AU"/>
        </w:rPr>
        <w:t>the occurrence of the first risk would not necessarily be a bad outcome from an education perspective or indeed a developmental perspective</w:t>
      </w:r>
      <w:r w:rsidR="00961896" w:rsidRPr="00CB10AD">
        <w:rPr>
          <w:lang w:val="en-AU"/>
        </w:rPr>
        <w:t xml:space="preserve">: </w:t>
      </w:r>
      <w:r w:rsidRPr="00CB10AD">
        <w:rPr>
          <w:lang w:val="en-AU"/>
        </w:rPr>
        <w:t xml:space="preserve">reduced travel time might </w:t>
      </w:r>
      <w:r w:rsidR="00060735" w:rsidRPr="00CB10AD">
        <w:rPr>
          <w:lang w:val="en-AU"/>
        </w:rPr>
        <w:t xml:space="preserve">perhaps </w:t>
      </w:r>
      <w:r w:rsidRPr="00CB10AD">
        <w:rPr>
          <w:lang w:val="en-AU"/>
        </w:rPr>
        <w:t xml:space="preserve">lead to better attendance, reduced fatigue and better learning quality. From a development perspective, there </w:t>
      </w:r>
      <w:r w:rsidR="00060735" w:rsidRPr="00CB10AD">
        <w:rPr>
          <w:lang w:val="en-AU"/>
        </w:rPr>
        <w:t>may</w:t>
      </w:r>
      <w:r w:rsidR="00BB60D2" w:rsidRPr="00CB10AD">
        <w:rPr>
          <w:lang w:val="en-AU"/>
        </w:rPr>
        <w:t xml:space="preserve"> be</w:t>
      </w:r>
      <w:r w:rsidRPr="00CB10AD">
        <w:rPr>
          <w:lang w:val="en-AU"/>
        </w:rPr>
        <w:t xml:space="preserve"> upsides in terms of less expenditure on transport. </w:t>
      </w:r>
    </w:p>
    <w:p w:rsidR="00F6127C" w:rsidRPr="00CB10AD" w:rsidRDefault="00F6127C" w:rsidP="00F6127C">
      <w:pPr>
        <w:spacing w:before="120" w:after="120" w:line="276" w:lineRule="auto"/>
        <w:jc w:val="both"/>
        <w:rPr>
          <w:lang w:val="en-AU"/>
        </w:rPr>
      </w:pPr>
      <w:r w:rsidRPr="00CB10AD">
        <w:rPr>
          <w:lang w:val="en-AU"/>
        </w:rPr>
        <w:t xml:space="preserve">From a systems perspective, </w:t>
      </w:r>
      <w:r w:rsidR="00E8365F" w:rsidRPr="00CB10AD">
        <w:rPr>
          <w:lang w:val="en-AU"/>
        </w:rPr>
        <w:t xml:space="preserve">however, </w:t>
      </w:r>
      <w:r w:rsidRPr="00CB10AD">
        <w:rPr>
          <w:lang w:val="en-AU"/>
        </w:rPr>
        <w:t xml:space="preserve">there is also </w:t>
      </w:r>
      <w:r w:rsidR="00E8365F" w:rsidRPr="00CB10AD">
        <w:rPr>
          <w:lang w:val="en-AU"/>
        </w:rPr>
        <w:t>the</w:t>
      </w:r>
      <w:r w:rsidRPr="00CB10AD">
        <w:rPr>
          <w:lang w:val="en-AU"/>
        </w:rPr>
        <w:t xml:space="preserve"> risk of a proliferation of small schools leading to inefficiencies of teachers and management resource allocation (e.g. low student / teacher ratio), compounded by limited BOS funding for each school. This might impact on the quality of the education provided. This risk can be mitigated by </w:t>
      </w:r>
      <w:r w:rsidR="00E8365F" w:rsidRPr="00CB10AD">
        <w:rPr>
          <w:lang w:val="en-AU"/>
        </w:rPr>
        <w:t xml:space="preserve">carefully </w:t>
      </w:r>
      <w:r w:rsidRPr="00CB10AD">
        <w:rPr>
          <w:lang w:val="en-AU"/>
        </w:rPr>
        <w:t>selecting sites in location</w:t>
      </w:r>
      <w:r w:rsidR="00E8365F" w:rsidRPr="00CB10AD">
        <w:rPr>
          <w:lang w:val="en-AU"/>
        </w:rPr>
        <w:t>s</w:t>
      </w:r>
      <w:r w:rsidRPr="00CB10AD">
        <w:rPr>
          <w:lang w:val="en-AU"/>
        </w:rPr>
        <w:t xml:space="preserve"> where demand for additional JSE school</w:t>
      </w:r>
      <w:r w:rsidR="00C362E0" w:rsidRPr="00CB10AD">
        <w:rPr>
          <w:lang w:val="en-AU"/>
        </w:rPr>
        <w:t xml:space="preserve">s </w:t>
      </w:r>
      <w:r w:rsidRPr="00CB10AD">
        <w:rPr>
          <w:lang w:val="en-AU"/>
        </w:rPr>
        <w:t xml:space="preserve">is high. </w:t>
      </w:r>
      <w:r w:rsidR="00DC1156">
        <w:rPr>
          <w:lang w:val="en-AU"/>
        </w:rPr>
        <w:t xml:space="preserve">Where proposals that </w:t>
      </w:r>
      <w:r w:rsidR="00F76057">
        <w:rPr>
          <w:lang w:val="en-AU"/>
        </w:rPr>
        <w:t xml:space="preserve">have been </w:t>
      </w:r>
      <w:r w:rsidR="00DC1156">
        <w:rPr>
          <w:lang w:val="en-AU"/>
        </w:rPr>
        <w:t xml:space="preserve">submitted </w:t>
      </w:r>
      <w:r w:rsidR="00F76057">
        <w:rPr>
          <w:lang w:val="en-AU"/>
        </w:rPr>
        <w:t>are</w:t>
      </w:r>
      <w:r w:rsidR="00DC1156">
        <w:rPr>
          <w:lang w:val="en-AU"/>
        </w:rPr>
        <w:t xml:space="preserve"> not considered suitable for school construction, </w:t>
      </w:r>
      <w:r w:rsidR="00F76057">
        <w:rPr>
          <w:lang w:val="en-AU"/>
        </w:rPr>
        <w:t xml:space="preserve">it makes sense for other access initiatives to be considered as a viable response for the proposal. Whilst this clearly falls outside the current mandate of the EP, the promotion of access planning through the EP is a positive indicator of the integration of the EP within the broader GoI access agenda. </w:t>
      </w: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Sustainability</w:t>
      </w:r>
    </w:p>
    <w:p w:rsidR="00F6127C" w:rsidRPr="00CB10AD" w:rsidRDefault="00F6127C" w:rsidP="00F6127C">
      <w:pPr>
        <w:spacing w:before="120" w:after="120" w:line="276" w:lineRule="auto"/>
        <w:jc w:val="both"/>
        <w:rPr>
          <w:lang w:val="en-AU"/>
        </w:rPr>
      </w:pPr>
      <w:r w:rsidRPr="00CB10AD">
        <w:rPr>
          <w:lang w:val="en-AU"/>
        </w:rPr>
        <w:t>The sustainability analysis considers two issues: (a) the sustainability of the constructed schools; and</w:t>
      </w:r>
      <w:r w:rsidR="00961896" w:rsidRPr="00CB10AD">
        <w:rPr>
          <w:lang w:val="en-AU"/>
        </w:rPr>
        <w:t>,</w:t>
      </w:r>
      <w:r w:rsidRPr="00CB10AD">
        <w:rPr>
          <w:lang w:val="en-AU"/>
        </w:rPr>
        <w:t xml:space="preserve"> (b) the sustainability of the community-based school construction system.</w:t>
      </w:r>
      <w:r w:rsidR="00C362E0" w:rsidRPr="00CB10AD">
        <w:rPr>
          <w:lang w:val="en-AU"/>
        </w:rPr>
        <w:t xml:space="preserve"> </w:t>
      </w:r>
      <w:r w:rsidRPr="00CB10AD">
        <w:rPr>
          <w:lang w:val="en-AU"/>
        </w:rPr>
        <w:t xml:space="preserve">The sustainability of the schools strongly depends on the quality of their </w:t>
      </w:r>
      <w:r w:rsidR="0043467C" w:rsidRPr="00CB10AD">
        <w:rPr>
          <w:lang w:val="en-AU"/>
        </w:rPr>
        <w:t>construction</w:t>
      </w:r>
      <w:r w:rsidRPr="00CB10AD">
        <w:rPr>
          <w:lang w:val="en-AU"/>
        </w:rPr>
        <w:t xml:space="preserve"> and their location, i.e. schools need to be </w:t>
      </w:r>
      <w:r w:rsidR="0043467C" w:rsidRPr="00CB10AD">
        <w:rPr>
          <w:lang w:val="en-AU"/>
        </w:rPr>
        <w:t>well constructed</w:t>
      </w:r>
      <w:r w:rsidRPr="00CB10AD">
        <w:rPr>
          <w:lang w:val="en-AU"/>
        </w:rPr>
        <w:t xml:space="preserve"> and </w:t>
      </w:r>
      <w:r w:rsidR="0043467C" w:rsidRPr="00CB10AD">
        <w:rPr>
          <w:lang w:val="en-AU"/>
        </w:rPr>
        <w:t xml:space="preserve">be </w:t>
      </w:r>
      <w:r w:rsidRPr="00CB10AD">
        <w:rPr>
          <w:lang w:val="en-AU"/>
        </w:rPr>
        <w:t xml:space="preserve">attracting students, not least to generate the BOS funds necessary to operate and maintain the schools. The consolidation of the SSQ construction monitoring system provides a solid foundation for ensuring construction quality is up to required standards. However, as previously discussed, there are some schools that appear to be in locations of low demand or in locations seemingly displaying high demand </w:t>
      </w:r>
      <w:r w:rsidRPr="00CB10AD">
        <w:rPr>
          <w:i/>
          <w:lang w:val="en-AU"/>
        </w:rPr>
        <w:t>and</w:t>
      </w:r>
      <w:r w:rsidR="0043467C" w:rsidRPr="00CB10AD">
        <w:rPr>
          <w:lang w:val="en-AU"/>
        </w:rPr>
        <w:t xml:space="preserve"> high supply, in which case</w:t>
      </w:r>
      <w:r w:rsidRPr="00CB10AD">
        <w:rPr>
          <w:lang w:val="en-AU"/>
        </w:rPr>
        <w:t xml:space="preserve"> enrolment numbers and BOS receipts may be lower than required for optimal performance.</w:t>
      </w:r>
      <w:r w:rsidR="00ED2DDA" w:rsidRPr="00CB10AD">
        <w:rPr>
          <w:lang w:val="en-AU"/>
        </w:rPr>
        <w:t xml:space="preserve"> </w:t>
      </w:r>
      <w:r w:rsidRPr="00CB10AD">
        <w:rPr>
          <w:lang w:val="en-AU"/>
        </w:rPr>
        <w:t xml:space="preserve">Further analysis of existing demand and supply around construction sites </w:t>
      </w:r>
      <w:r w:rsidR="0043467C" w:rsidRPr="00CB10AD">
        <w:rPr>
          <w:lang w:val="en-AU"/>
        </w:rPr>
        <w:t>should help to</w:t>
      </w:r>
      <w:r w:rsidRPr="00CB10AD">
        <w:rPr>
          <w:lang w:val="en-AU"/>
        </w:rPr>
        <w:t xml:space="preserve"> clarify the sustainability of the constructed schools. </w:t>
      </w:r>
    </w:p>
    <w:p w:rsidR="00F6127C" w:rsidRPr="00CB10AD" w:rsidRDefault="00F6127C" w:rsidP="00F6127C">
      <w:pPr>
        <w:spacing w:before="120" w:after="120" w:line="276" w:lineRule="auto"/>
        <w:jc w:val="both"/>
        <w:rPr>
          <w:lang w:val="en-AU"/>
        </w:rPr>
      </w:pPr>
      <w:r w:rsidRPr="00CB10AD">
        <w:rPr>
          <w:lang w:val="en-AU"/>
        </w:rPr>
        <w:t xml:space="preserve">From a construction system perspective, the upcoming focus on senior secondary construction offers an opportunity for further </w:t>
      </w:r>
      <w:r w:rsidR="00961896" w:rsidRPr="00CB10AD">
        <w:rPr>
          <w:lang w:val="en-AU"/>
        </w:rPr>
        <w:t>utilization</w:t>
      </w:r>
      <w:r w:rsidRPr="00CB10AD">
        <w:rPr>
          <w:lang w:val="en-AU"/>
        </w:rPr>
        <w:t xml:space="preserve"> of the community-based construction model.</w:t>
      </w:r>
      <w:r w:rsidR="00ED2DDA" w:rsidRPr="00CB10AD">
        <w:rPr>
          <w:lang w:val="en-AU"/>
        </w:rPr>
        <w:t xml:space="preserve"> </w:t>
      </w:r>
      <w:r w:rsidRPr="00CB10AD">
        <w:rPr>
          <w:lang w:val="en-AU"/>
        </w:rPr>
        <w:t xml:space="preserve">Lessons </w:t>
      </w:r>
      <w:r w:rsidRPr="00CB10AD">
        <w:rPr>
          <w:lang w:val="en-AU"/>
        </w:rPr>
        <w:lastRenderedPageBreak/>
        <w:t xml:space="preserve">learned in </w:t>
      </w:r>
      <w:r w:rsidR="0043467C" w:rsidRPr="00CB10AD">
        <w:rPr>
          <w:lang w:val="en-AU"/>
        </w:rPr>
        <w:t xml:space="preserve">the </w:t>
      </w:r>
      <w:r w:rsidRPr="00CB10AD">
        <w:rPr>
          <w:lang w:val="en-AU"/>
        </w:rPr>
        <w:t>EP school construction process – including the necessity for robust monitoring - could and should be disseminated for future school construction efforts.</w:t>
      </w:r>
      <w:r w:rsidR="00ED2DDA" w:rsidRPr="00CB10AD">
        <w:rPr>
          <w:lang w:val="en-AU"/>
        </w:rPr>
        <w:t xml:space="preserve"> </w:t>
      </w:r>
    </w:p>
    <w:p w:rsidR="0024400F" w:rsidRPr="00CB10AD" w:rsidRDefault="0024400F" w:rsidP="00F6127C">
      <w:pPr>
        <w:spacing w:before="120" w:after="120" w:line="276" w:lineRule="auto"/>
        <w:jc w:val="both"/>
        <w:rPr>
          <w:lang w:val="en-AU"/>
        </w:rPr>
      </w:pPr>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 xml:space="preserve">What does this mean for the EP? The bottom-line </w:t>
      </w:r>
    </w:p>
    <w:p w:rsidR="0024400F" w:rsidRPr="00CB10AD" w:rsidRDefault="008F2D9C" w:rsidP="0024400F">
      <w:pPr>
        <w:spacing w:before="120" w:after="120" w:line="276" w:lineRule="auto"/>
        <w:jc w:val="both"/>
        <w:rPr>
          <w:lang w:val="en-AU"/>
        </w:rPr>
      </w:pPr>
      <w:r w:rsidRPr="00CB10AD">
        <w:rPr>
          <w:lang w:val="en-AU"/>
        </w:rPr>
        <w:t xml:space="preserve">A summary table of component performance by DAC criteria is presented in </w:t>
      </w:r>
      <w:r w:rsidRPr="00CB10AD">
        <w:rPr>
          <w:lang w:val="en-AU"/>
        </w:rPr>
        <w:fldChar w:fldCharType="begin"/>
      </w:r>
      <w:r w:rsidRPr="00CB10AD">
        <w:rPr>
          <w:lang w:val="en-AU"/>
        </w:rPr>
        <w:instrText xml:space="preserve"> REF _Ref379640491 \h </w:instrText>
      </w:r>
      <w:r w:rsidRPr="00CB10AD">
        <w:rPr>
          <w:lang w:val="en-AU"/>
        </w:rPr>
      </w:r>
      <w:r w:rsidRPr="00CB10AD">
        <w:rPr>
          <w:lang w:val="en-AU"/>
        </w:rPr>
        <w:fldChar w:fldCharType="separate"/>
      </w:r>
      <w:r w:rsidR="00662AF4" w:rsidRPr="00CB10AD">
        <w:rPr>
          <w:lang w:val="en-AU"/>
        </w:rPr>
        <w:t xml:space="preserve">Table </w:t>
      </w:r>
      <w:r w:rsidR="00662AF4">
        <w:rPr>
          <w:noProof/>
          <w:lang w:val="en-AU"/>
        </w:rPr>
        <w:t>2</w:t>
      </w:r>
      <w:r w:rsidRPr="00CB10AD">
        <w:rPr>
          <w:lang w:val="en-AU"/>
        </w:rPr>
        <w:fldChar w:fldCharType="end"/>
      </w:r>
      <w:r w:rsidRPr="00CB10AD">
        <w:rPr>
          <w:lang w:val="en-AU"/>
        </w:rPr>
        <w:t xml:space="preserve">. </w:t>
      </w:r>
      <w:r w:rsidR="006D587D" w:rsidRPr="00CB10AD">
        <w:rPr>
          <w:lang w:val="en-AU"/>
        </w:rPr>
        <w:t xml:space="preserve">The ratings scale used with the </w:t>
      </w:r>
      <w:r w:rsidR="00F22148" w:rsidRPr="00CB10AD">
        <w:rPr>
          <w:iCs/>
          <w:lang w:val="en-AU"/>
        </w:rPr>
        <w:t xml:space="preserve">DFAT QRS (QAI and ICR) </w:t>
      </w:r>
      <w:r w:rsidR="006D587D" w:rsidRPr="00CB10AD">
        <w:rPr>
          <w:lang w:val="en-AU"/>
        </w:rPr>
        <w:t>has been adopted.</w:t>
      </w:r>
      <w:r w:rsidR="002219F1" w:rsidRPr="00CB10AD">
        <w:rPr>
          <w:lang w:val="en-AU"/>
        </w:rPr>
        <w:t xml:space="preserve"> </w:t>
      </w:r>
      <w:r w:rsidR="00BB60D2" w:rsidRPr="00CB10AD">
        <w:rPr>
          <w:lang w:val="en-AU"/>
        </w:rPr>
        <w:t xml:space="preserve">Recommendations </w:t>
      </w:r>
      <w:r w:rsidR="005A3270" w:rsidRPr="00CB10AD">
        <w:rPr>
          <w:lang w:val="en-AU"/>
        </w:rPr>
        <w:t>for improvement</w:t>
      </w:r>
      <w:r w:rsidR="00BB60D2" w:rsidRPr="00CB10AD">
        <w:rPr>
          <w:lang w:val="en-AU"/>
        </w:rPr>
        <w:t xml:space="preserve"> and, in particular, on increasing the likelihood of achieving EOPO 1</w:t>
      </w:r>
      <w:r w:rsidR="005A3270" w:rsidRPr="00CB10AD">
        <w:rPr>
          <w:lang w:val="en-AU"/>
        </w:rPr>
        <w:t xml:space="preserve"> are </w:t>
      </w:r>
      <w:r w:rsidR="00BB60D2" w:rsidRPr="00CB10AD">
        <w:rPr>
          <w:lang w:val="en-AU"/>
        </w:rPr>
        <w:t>made in</w:t>
      </w:r>
      <w:r w:rsidR="00EF63B1" w:rsidRPr="00CB10AD">
        <w:rPr>
          <w:lang w:val="en-AU"/>
        </w:rPr>
        <w:t xml:space="preserve"> </w:t>
      </w:r>
      <w:r w:rsidR="00EF63B1" w:rsidRPr="00CB10AD">
        <w:rPr>
          <w:lang w:val="en-AU"/>
        </w:rPr>
        <w:fldChar w:fldCharType="begin"/>
      </w:r>
      <w:r w:rsidR="00EF63B1" w:rsidRPr="00CB10AD">
        <w:rPr>
          <w:lang w:val="en-AU"/>
        </w:rPr>
        <w:instrText xml:space="preserve"> REF _Ref379884397 \h </w:instrText>
      </w:r>
      <w:r w:rsidR="00EF63B1" w:rsidRPr="00CB10AD">
        <w:rPr>
          <w:lang w:val="en-AU"/>
        </w:rPr>
      </w:r>
      <w:r w:rsidR="00EF63B1" w:rsidRPr="00CB10AD">
        <w:rPr>
          <w:lang w:val="en-AU"/>
        </w:rPr>
        <w:fldChar w:fldCharType="separate"/>
      </w:r>
      <w:r w:rsidR="00662AF4" w:rsidRPr="00CB10AD">
        <w:rPr>
          <w:lang w:val="en-AU"/>
        </w:rPr>
        <w:t xml:space="preserve">Table </w:t>
      </w:r>
      <w:r w:rsidR="00662AF4">
        <w:rPr>
          <w:noProof/>
          <w:lang w:val="en-AU"/>
        </w:rPr>
        <w:t>3</w:t>
      </w:r>
      <w:r w:rsidR="00EF63B1" w:rsidRPr="00CB10AD">
        <w:rPr>
          <w:lang w:val="en-AU"/>
        </w:rPr>
        <w:fldChar w:fldCharType="end"/>
      </w:r>
      <w:r w:rsidR="00EF63B1" w:rsidRPr="00CB10AD">
        <w:rPr>
          <w:lang w:val="en-AU"/>
        </w:rPr>
        <w:t xml:space="preserve"> </w:t>
      </w:r>
      <w:r w:rsidR="005A3270" w:rsidRPr="00CB10AD">
        <w:rPr>
          <w:lang w:val="en-AU"/>
        </w:rPr>
        <w:t>below.</w:t>
      </w:r>
    </w:p>
    <w:p w:rsidR="0024400F" w:rsidRPr="00CB10AD" w:rsidRDefault="0024400F" w:rsidP="0043467C">
      <w:pPr>
        <w:spacing w:before="120" w:after="120" w:line="276" w:lineRule="auto"/>
        <w:jc w:val="both"/>
        <w:rPr>
          <w:lang w:val="en-AU"/>
        </w:rPr>
      </w:pPr>
    </w:p>
    <w:p w:rsidR="0024400F" w:rsidRPr="00CB10AD" w:rsidRDefault="0024400F" w:rsidP="0043467C">
      <w:pPr>
        <w:spacing w:before="120" w:after="120" w:line="276" w:lineRule="auto"/>
        <w:jc w:val="both"/>
        <w:rPr>
          <w:lang w:val="en-AU"/>
        </w:rPr>
        <w:sectPr w:rsidR="0024400F" w:rsidRPr="00CB10AD" w:rsidSect="00DE0C5D">
          <w:headerReference w:type="default" r:id="rId30"/>
          <w:endnotePr>
            <w:numRestart w:val="eachSect"/>
          </w:endnotePr>
          <w:type w:val="oddPage"/>
          <w:pgSz w:w="11909" w:h="16834" w:code="9"/>
          <w:pgMar w:top="1440" w:right="1440" w:bottom="1440" w:left="1440" w:header="432" w:footer="720" w:gutter="0"/>
          <w:cols w:space="720"/>
          <w:noEndnote/>
          <w:docGrid w:linePitch="360"/>
        </w:sectPr>
      </w:pPr>
    </w:p>
    <w:p w:rsidR="00F6127C" w:rsidRPr="00CB10AD" w:rsidRDefault="0084073A" w:rsidP="0084073A">
      <w:pPr>
        <w:pStyle w:val="Caption"/>
        <w:rPr>
          <w:lang w:val="en-AU"/>
        </w:rPr>
      </w:pPr>
      <w:bookmarkStart w:id="25" w:name="_Ref379640491"/>
      <w:bookmarkStart w:id="26" w:name="_Ref379884305"/>
      <w:bookmarkStart w:id="27" w:name="_Toc379982270"/>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2</w:t>
      </w:r>
      <w:r w:rsidRPr="00CB10AD">
        <w:rPr>
          <w:lang w:val="en-AU"/>
        </w:rPr>
        <w:fldChar w:fldCharType="end"/>
      </w:r>
      <w:bookmarkEnd w:id="25"/>
      <w:r w:rsidR="00C362E0" w:rsidRPr="00CB10AD">
        <w:rPr>
          <w:lang w:val="en-AU"/>
        </w:rPr>
        <w:t xml:space="preserve">: </w:t>
      </w:r>
      <w:r w:rsidRPr="00CB10AD">
        <w:rPr>
          <w:lang w:val="en-AU"/>
        </w:rPr>
        <w:t>Component 1 s</w:t>
      </w:r>
      <w:r w:rsidR="00F6127C" w:rsidRPr="00CB10AD">
        <w:rPr>
          <w:lang w:val="en-AU"/>
        </w:rPr>
        <w:t>corecard</w:t>
      </w:r>
      <w:bookmarkEnd w:id="26"/>
      <w:bookmarkEnd w:id="27"/>
    </w:p>
    <w:tbl>
      <w:tblPr>
        <w:tblStyle w:val="TableGrid15"/>
        <w:tblW w:w="0" w:type="auto"/>
        <w:jc w:val="center"/>
        <w:tblInd w:w="-5228" w:type="dxa"/>
        <w:tblLook w:val="04A0" w:firstRow="1" w:lastRow="0" w:firstColumn="1" w:lastColumn="0" w:noHBand="0" w:noVBand="1"/>
      </w:tblPr>
      <w:tblGrid>
        <w:gridCol w:w="1449"/>
        <w:gridCol w:w="1276"/>
        <w:gridCol w:w="5528"/>
        <w:gridCol w:w="4062"/>
      </w:tblGrid>
      <w:tr w:rsidR="00F6127C" w:rsidRPr="00CB10AD" w:rsidTr="00C7786C">
        <w:trPr>
          <w:trHeight w:val="434"/>
          <w:jc w:val="center"/>
        </w:trPr>
        <w:tc>
          <w:tcPr>
            <w:tcW w:w="1449" w:type="dxa"/>
            <w:shd w:val="clear" w:color="auto" w:fill="244061" w:themeFill="accent1" w:themeFillShade="80"/>
            <w:vAlign w:val="center"/>
          </w:tcPr>
          <w:p w:rsidR="00F6127C" w:rsidRPr="00CB10AD" w:rsidRDefault="00F6127C" w:rsidP="00F6127C">
            <w:pPr>
              <w:jc w:val="center"/>
              <w:rPr>
                <w:rFonts w:asciiTheme="minorHAnsi" w:hAnsiTheme="minorHAnsi"/>
                <w:sz w:val="20"/>
                <w:szCs w:val="20"/>
                <w:lang w:val="en-AU"/>
              </w:rPr>
            </w:pPr>
            <w:r w:rsidRPr="00CB10AD">
              <w:rPr>
                <w:rFonts w:asciiTheme="minorHAnsi" w:hAnsiTheme="minorHAnsi"/>
                <w:b/>
                <w:sz w:val="20"/>
                <w:szCs w:val="20"/>
                <w:lang w:val="en-AU"/>
              </w:rPr>
              <w:t>DAC Criterion</w:t>
            </w:r>
          </w:p>
        </w:tc>
        <w:tc>
          <w:tcPr>
            <w:tcW w:w="1276" w:type="dxa"/>
            <w:tcBorders>
              <w:bottom w:val="single" w:sz="4" w:space="0" w:color="auto"/>
            </w:tcBorders>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Score</w:t>
            </w:r>
          </w:p>
        </w:tc>
        <w:tc>
          <w:tcPr>
            <w:tcW w:w="5528" w:type="dxa"/>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Justification</w:t>
            </w:r>
          </w:p>
        </w:tc>
        <w:tc>
          <w:tcPr>
            <w:tcW w:w="4062" w:type="dxa"/>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Comments</w:t>
            </w:r>
          </w:p>
        </w:tc>
      </w:tr>
      <w:tr w:rsidR="003B5F6B" w:rsidRPr="00CB10AD" w:rsidTr="00196F93">
        <w:trPr>
          <w:trHeight w:val="447"/>
          <w:jc w:val="center"/>
        </w:trPr>
        <w:tc>
          <w:tcPr>
            <w:tcW w:w="1449" w:type="dxa"/>
            <w:vAlign w:val="center"/>
          </w:tcPr>
          <w:p w:rsidR="003B5F6B" w:rsidRPr="00CB10AD" w:rsidRDefault="003B5F6B" w:rsidP="001441F4">
            <w:pPr>
              <w:spacing w:before="60" w:after="60"/>
              <w:rPr>
                <w:rFonts w:asciiTheme="minorHAnsi" w:hAnsiTheme="minorHAnsi"/>
                <w:b/>
                <w:sz w:val="20"/>
                <w:szCs w:val="20"/>
                <w:lang w:val="en-AU"/>
              </w:rPr>
            </w:pPr>
            <w:r w:rsidRPr="00CB10AD">
              <w:rPr>
                <w:rFonts w:asciiTheme="minorHAnsi" w:hAnsiTheme="minorHAnsi"/>
                <w:b/>
                <w:sz w:val="20"/>
                <w:szCs w:val="20"/>
                <w:lang w:val="en-AU"/>
              </w:rPr>
              <w:t>Relevance</w:t>
            </w:r>
          </w:p>
        </w:tc>
        <w:tc>
          <w:tcPr>
            <w:tcW w:w="1276" w:type="dxa"/>
            <w:tcBorders>
              <w:bottom w:val="single" w:sz="4" w:space="0" w:color="auto"/>
            </w:tcBorders>
            <w:shd w:val="clear" w:color="auto" w:fill="FFFF00"/>
            <w:vAlign w:val="center"/>
          </w:tcPr>
          <w:p w:rsidR="003B5F6B" w:rsidRPr="00CB10AD" w:rsidRDefault="001B22AE" w:rsidP="001B22AE">
            <w:pPr>
              <w:spacing w:before="60" w:after="60"/>
              <w:jc w:val="center"/>
              <w:rPr>
                <w:rFonts w:asciiTheme="minorHAnsi" w:hAnsiTheme="minorHAnsi"/>
                <w:sz w:val="20"/>
                <w:szCs w:val="20"/>
                <w:lang w:val="en-AU"/>
              </w:rPr>
            </w:pPr>
            <w:r>
              <w:rPr>
                <w:rFonts w:asciiTheme="minorHAnsi" w:hAnsiTheme="minorHAnsi"/>
                <w:sz w:val="20"/>
                <w:szCs w:val="20"/>
                <w:lang w:val="en-AU"/>
              </w:rPr>
              <w:t>4</w:t>
            </w:r>
          </w:p>
        </w:tc>
        <w:tc>
          <w:tcPr>
            <w:tcW w:w="5528" w:type="dxa"/>
            <w:shd w:val="clear" w:color="auto" w:fill="FFFFFF" w:themeFill="background1"/>
          </w:tcPr>
          <w:p w:rsidR="003B5F6B" w:rsidRPr="00CB10AD" w:rsidRDefault="003B5F6B" w:rsidP="001441F4">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School construction is still relevant to MoEC Strategic Planning access targets</w:t>
            </w:r>
            <w:r w:rsidR="000109F7" w:rsidRPr="00CB10AD">
              <w:rPr>
                <w:rFonts w:asciiTheme="minorHAnsi" w:eastAsia="Calibri" w:hAnsiTheme="minorHAnsi"/>
                <w:sz w:val="20"/>
                <w:szCs w:val="20"/>
                <w:lang w:val="en-AU"/>
              </w:rPr>
              <w:t>.</w:t>
            </w:r>
            <w:r w:rsidRPr="00CB10AD">
              <w:rPr>
                <w:rFonts w:asciiTheme="minorHAnsi" w:eastAsia="Calibri" w:hAnsiTheme="minorHAnsi"/>
                <w:sz w:val="20"/>
                <w:szCs w:val="20"/>
                <w:lang w:val="en-AU"/>
              </w:rPr>
              <w:t xml:space="preserve"> </w:t>
            </w:r>
          </w:p>
          <w:p w:rsidR="003B5F6B" w:rsidRPr="00CB10AD" w:rsidRDefault="00E015A8" w:rsidP="00196F93">
            <w:pPr>
              <w:numPr>
                <w:ilvl w:val="0"/>
                <w:numId w:val="23"/>
              </w:numPr>
              <w:spacing w:before="60" w:after="60" w:line="276" w:lineRule="auto"/>
              <w:ind w:left="398"/>
              <w:contextualSpacing/>
              <w:rPr>
                <w:rFonts w:asciiTheme="minorHAnsi" w:eastAsia="Calibri" w:hAnsiTheme="minorHAnsi"/>
                <w:sz w:val="20"/>
                <w:szCs w:val="20"/>
                <w:lang w:val="en-AU"/>
              </w:rPr>
            </w:pPr>
            <w:r>
              <w:rPr>
                <w:rFonts w:asciiTheme="minorHAnsi" w:eastAsia="Calibri" w:hAnsiTheme="minorHAnsi"/>
                <w:sz w:val="20"/>
                <w:szCs w:val="20"/>
                <w:lang w:val="en-AU"/>
              </w:rPr>
              <w:t>Whilst t</w:t>
            </w:r>
            <w:r w:rsidR="003B5F6B" w:rsidRPr="00CB10AD">
              <w:rPr>
                <w:rFonts w:asciiTheme="minorHAnsi" w:eastAsia="Calibri" w:hAnsiTheme="minorHAnsi"/>
                <w:sz w:val="20"/>
                <w:szCs w:val="20"/>
                <w:lang w:val="en-AU"/>
              </w:rPr>
              <w:t xml:space="preserve">he relevance of </w:t>
            </w:r>
            <w:r>
              <w:rPr>
                <w:rFonts w:asciiTheme="minorHAnsi" w:eastAsia="Calibri" w:hAnsiTheme="minorHAnsi"/>
                <w:sz w:val="20"/>
                <w:szCs w:val="20"/>
                <w:lang w:val="en-AU"/>
              </w:rPr>
              <w:t xml:space="preserve">the </w:t>
            </w:r>
            <w:r w:rsidR="00221ED7">
              <w:rPr>
                <w:rFonts w:asciiTheme="minorHAnsi" w:eastAsia="Calibri" w:hAnsiTheme="minorHAnsi"/>
                <w:sz w:val="20"/>
                <w:szCs w:val="20"/>
                <w:lang w:val="en-AU"/>
              </w:rPr>
              <w:t>C1</w:t>
            </w:r>
            <w:r w:rsidR="003B5F6B" w:rsidRPr="00CB10AD">
              <w:rPr>
                <w:rFonts w:asciiTheme="minorHAnsi" w:eastAsia="Calibri" w:hAnsiTheme="minorHAnsi"/>
                <w:sz w:val="20"/>
                <w:szCs w:val="20"/>
                <w:lang w:val="en-AU"/>
              </w:rPr>
              <w:t xml:space="preserve"> design is constrained by its supply</w:t>
            </w:r>
            <w:r w:rsidR="00221ED7">
              <w:rPr>
                <w:rFonts w:asciiTheme="minorHAnsi" w:eastAsia="Calibri" w:hAnsiTheme="minorHAnsi"/>
                <w:sz w:val="20"/>
                <w:szCs w:val="20"/>
                <w:lang w:val="en-AU"/>
              </w:rPr>
              <w:t>-</w:t>
            </w:r>
            <w:r w:rsidR="00DC1156">
              <w:rPr>
                <w:rFonts w:asciiTheme="minorHAnsi" w:eastAsia="Calibri" w:hAnsiTheme="minorHAnsi"/>
                <w:sz w:val="20"/>
                <w:szCs w:val="20"/>
                <w:lang w:val="en-AU"/>
              </w:rPr>
              <w:t>only</w:t>
            </w:r>
            <w:r w:rsidR="003B5F6B" w:rsidRPr="00CB10AD">
              <w:rPr>
                <w:rFonts w:asciiTheme="minorHAnsi" w:eastAsia="Calibri" w:hAnsiTheme="minorHAnsi"/>
                <w:sz w:val="20"/>
                <w:szCs w:val="20"/>
                <w:lang w:val="en-AU"/>
              </w:rPr>
              <w:t xml:space="preserve"> approach</w:t>
            </w:r>
            <w:r>
              <w:rPr>
                <w:rFonts w:asciiTheme="minorHAnsi" w:eastAsia="Calibri" w:hAnsiTheme="minorHAnsi"/>
                <w:sz w:val="20"/>
                <w:szCs w:val="20"/>
                <w:lang w:val="en-AU"/>
              </w:rPr>
              <w:t xml:space="preserve">, good integration of school construction with </w:t>
            </w:r>
            <w:r w:rsidR="001B22AE">
              <w:rPr>
                <w:rFonts w:asciiTheme="minorHAnsi" w:eastAsia="Calibri" w:hAnsiTheme="minorHAnsi"/>
                <w:sz w:val="20"/>
                <w:szCs w:val="20"/>
                <w:lang w:val="en-AU"/>
              </w:rPr>
              <w:t xml:space="preserve">parallel </w:t>
            </w:r>
            <w:r>
              <w:rPr>
                <w:rFonts w:asciiTheme="minorHAnsi" w:eastAsia="Calibri" w:hAnsiTheme="minorHAnsi"/>
                <w:sz w:val="20"/>
                <w:szCs w:val="20"/>
                <w:lang w:val="en-AU"/>
              </w:rPr>
              <w:t xml:space="preserve">demand-led </w:t>
            </w:r>
            <w:r w:rsidR="001B22AE">
              <w:rPr>
                <w:rFonts w:asciiTheme="minorHAnsi" w:eastAsia="Calibri" w:hAnsiTheme="minorHAnsi"/>
                <w:sz w:val="20"/>
                <w:szCs w:val="20"/>
                <w:lang w:val="en-AU"/>
              </w:rPr>
              <w:t xml:space="preserve">GoI </w:t>
            </w:r>
            <w:r>
              <w:rPr>
                <w:rFonts w:asciiTheme="minorHAnsi" w:eastAsia="Calibri" w:hAnsiTheme="minorHAnsi"/>
                <w:sz w:val="20"/>
                <w:szCs w:val="20"/>
                <w:lang w:val="en-AU"/>
              </w:rPr>
              <w:t xml:space="preserve">initiatives </w:t>
            </w:r>
            <w:r w:rsidR="001B22AE">
              <w:rPr>
                <w:rFonts w:asciiTheme="minorHAnsi" w:eastAsia="Calibri" w:hAnsiTheme="minorHAnsi"/>
                <w:sz w:val="20"/>
                <w:szCs w:val="20"/>
                <w:lang w:val="en-AU"/>
              </w:rPr>
              <w:t>should allow for a holistic approach to access</w:t>
            </w:r>
            <w:r w:rsidR="003B5F6B" w:rsidRPr="00CB10AD">
              <w:rPr>
                <w:rFonts w:asciiTheme="minorHAnsi" w:eastAsia="Calibri" w:hAnsiTheme="minorHAnsi"/>
                <w:sz w:val="20"/>
                <w:szCs w:val="20"/>
                <w:lang w:val="en-AU"/>
              </w:rPr>
              <w:t>.</w:t>
            </w:r>
            <w:r w:rsidR="00221ED7">
              <w:rPr>
                <w:rFonts w:asciiTheme="minorHAnsi" w:eastAsia="Calibri" w:hAnsiTheme="minorHAnsi"/>
                <w:sz w:val="20"/>
                <w:szCs w:val="20"/>
                <w:lang w:val="en-AU"/>
              </w:rPr>
              <w:t xml:space="preserve"> </w:t>
            </w:r>
          </w:p>
        </w:tc>
        <w:tc>
          <w:tcPr>
            <w:tcW w:w="4062" w:type="dxa"/>
            <w:shd w:val="clear" w:color="auto" w:fill="FFFFFF" w:themeFill="background1"/>
          </w:tcPr>
          <w:p w:rsidR="003B5F6B" w:rsidRPr="00CB10AD" w:rsidRDefault="003B5F6B" w:rsidP="001441F4">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The relevance to GoI is based on current government policies</w:t>
            </w:r>
            <w:r w:rsidR="000109F7" w:rsidRPr="00CB10AD">
              <w:rPr>
                <w:rFonts w:asciiTheme="minorHAnsi" w:eastAsia="Calibri" w:hAnsiTheme="minorHAnsi"/>
                <w:sz w:val="20"/>
                <w:szCs w:val="20"/>
                <w:lang w:val="en-AU"/>
              </w:rPr>
              <w:t>.</w:t>
            </w:r>
          </w:p>
          <w:p w:rsidR="003B5F6B" w:rsidRPr="00CB10AD" w:rsidRDefault="003B5F6B" w:rsidP="00CA4141">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Incoming government may change</w:t>
            </w:r>
            <w:r w:rsidR="00CA4141" w:rsidRPr="00CB10AD">
              <w:rPr>
                <w:rFonts w:asciiTheme="minorHAnsi" w:eastAsia="Calibri" w:hAnsiTheme="minorHAnsi"/>
                <w:sz w:val="20"/>
                <w:szCs w:val="20"/>
                <w:lang w:val="en-AU"/>
              </w:rPr>
              <w:t>/</w:t>
            </w:r>
            <w:r w:rsidRPr="00CB10AD">
              <w:rPr>
                <w:rFonts w:asciiTheme="minorHAnsi" w:eastAsia="Calibri" w:hAnsiTheme="minorHAnsi"/>
                <w:sz w:val="20"/>
                <w:szCs w:val="20"/>
                <w:lang w:val="en-AU"/>
              </w:rPr>
              <w:t>pursue new priorities</w:t>
            </w:r>
            <w:r w:rsidR="00CB10AD" w:rsidRPr="00CB10AD">
              <w:rPr>
                <w:rFonts w:asciiTheme="minorHAnsi" w:eastAsia="Calibri" w:hAnsiTheme="minorHAnsi"/>
                <w:sz w:val="20"/>
                <w:szCs w:val="20"/>
                <w:lang w:val="en-AU"/>
              </w:rPr>
              <w:t>.</w:t>
            </w:r>
          </w:p>
        </w:tc>
      </w:tr>
      <w:tr w:rsidR="00F6127C" w:rsidRPr="00CB10AD" w:rsidTr="00C7786C">
        <w:trPr>
          <w:trHeight w:val="434"/>
          <w:jc w:val="center"/>
        </w:trPr>
        <w:tc>
          <w:tcPr>
            <w:tcW w:w="1449" w:type="dxa"/>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Efficiency</w:t>
            </w:r>
          </w:p>
        </w:tc>
        <w:tc>
          <w:tcPr>
            <w:tcW w:w="1276" w:type="dxa"/>
            <w:tcBorders>
              <w:bottom w:val="single" w:sz="4" w:space="0" w:color="auto"/>
            </w:tcBorders>
            <w:shd w:val="clear" w:color="auto" w:fill="92D050"/>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5</w:t>
            </w:r>
          </w:p>
        </w:tc>
        <w:tc>
          <w:tcPr>
            <w:tcW w:w="5528" w:type="dxa"/>
            <w:tcBorders>
              <w:bottom w:val="single" w:sz="4" w:space="0" w:color="auto"/>
            </w:tcBorders>
            <w:shd w:val="clear" w:color="auto" w:fill="FFFFFF" w:themeFill="background1"/>
          </w:tcPr>
          <w:p w:rsidR="00F6127C" w:rsidRPr="00CB10AD" w:rsidRDefault="00F6127C"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Almost all targeted schools of </w:t>
            </w:r>
            <w:r w:rsidR="002976F2" w:rsidRPr="00CB10AD">
              <w:rPr>
                <w:rFonts w:asciiTheme="minorHAnsi" w:eastAsia="Calibri" w:hAnsiTheme="minorHAnsi"/>
                <w:sz w:val="20"/>
                <w:szCs w:val="20"/>
                <w:lang w:val="en-AU"/>
              </w:rPr>
              <w:t>C</w:t>
            </w:r>
            <w:r w:rsidRPr="00CB10AD">
              <w:rPr>
                <w:rFonts w:asciiTheme="minorHAnsi" w:eastAsia="Calibri" w:hAnsiTheme="minorHAnsi"/>
                <w:sz w:val="20"/>
                <w:szCs w:val="20"/>
                <w:lang w:val="en-AU"/>
              </w:rPr>
              <w:t>ycle 1</w:t>
            </w:r>
            <w:r w:rsidR="002976F2" w:rsidRPr="00CB10AD">
              <w:rPr>
                <w:rFonts w:asciiTheme="minorHAnsi" w:eastAsia="Calibri" w:hAnsiTheme="minorHAnsi"/>
                <w:sz w:val="20"/>
                <w:szCs w:val="20"/>
                <w:lang w:val="en-AU"/>
              </w:rPr>
              <w:t xml:space="preserve"> </w:t>
            </w:r>
            <w:r w:rsidRPr="00CB10AD">
              <w:rPr>
                <w:rFonts w:asciiTheme="minorHAnsi" w:eastAsia="Calibri" w:hAnsiTheme="minorHAnsi"/>
                <w:sz w:val="20"/>
                <w:szCs w:val="20"/>
                <w:lang w:val="en-AU"/>
              </w:rPr>
              <w:t xml:space="preserve">(450 of 451) </w:t>
            </w:r>
            <w:r w:rsidR="00CC1237" w:rsidRPr="00CB10AD">
              <w:rPr>
                <w:rFonts w:asciiTheme="minorHAnsi" w:eastAsia="Calibri" w:hAnsiTheme="minorHAnsi"/>
                <w:sz w:val="20"/>
                <w:szCs w:val="20"/>
                <w:lang w:val="en-AU"/>
              </w:rPr>
              <w:t xml:space="preserve">were </w:t>
            </w:r>
            <w:r w:rsidRPr="00CB10AD">
              <w:rPr>
                <w:rFonts w:asciiTheme="minorHAnsi" w:eastAsia="Calibri" w:hAnsiTheme="minorHAnsi"/>
                <w:sz w:val="20"/>
                <w:szCs w:val="20"/>
                <w:lang w:val="en-AU"/>
              </w:rPr>
              <w:t xml:space="preserve">completed and operational by December 2013. </w:t>
            </w:r>
          </w:p>
          <w:p w:rsidR="00F6127C" w:rsidRPr="00CB10AD" w:rsidRDefault="00F6127C"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Monitoring of construction process has been strengthened and </w:t>
            </w:r>
            <w:r w:rsidR="00CC1237" w:rsidRPr="00CB10AD">
              <w:rPr>
                <w:rFonts w:asciiTheme="minorHAnsi" w:eastAsia="Calibri" w:hAnsiTheme="minorHAnsi"/>
                <w:sz w:val="20"/>
                <w:szCs w:val="20"/>
                <w:lang w:val="en-AU"/>
              </w:rPr>
              <w:t xml:space="preserve">has </w:t>
            </w:r>
            <w:r w:rsidRPr="00CB10AD">
              <w:rPr>
                <w:rFonts w:asciiTheme="minorHAnsi" w:eastAsia="Calibri" w:hAnsiTheme="minorHAnsi"/>
                <w:sz w:val="20"/>
                <w:szCs w:val="20"/>
                <w:lang w:val="en-AU"/>
              </w:rPr>
              <w:t>reportedly led to significant saving</w:t>
            </w:r>
            <w:r w:rsidR="00CC1237" w:rsidRPr="00CB10AD">
              <w:rPr>
                <w:rFonts w:asciiTheme="minorHAnsi" w:eastAsia="Calibri" w:hAnsiTheme="minorHAnsi"/>
                <w:sz w:val="20"/>
                <w:szCs w:val="20"/>
                <w:lang w:val="en-AU"/>
              </w:rPr>
              <w:t>s</w:t>
            </w:r>
            <w:r w:rsidR="000109F7" w:rsidRPr="00CB10AD">
              <w:rPr>
                <w:rFonts w:asciiTheme="minorHAnsi" w:eastAsia="Calibri" w:hAnsiTheme="minorHAnsi"/>
                <w:sz w:val="20"/>
                <w:szCs w:val="20"/>
                <w:lang w:val="en-AU"/>
              </w:rPr>
              <w:t>.</w:t>
            </w:r>
            <w:r w:rsidRPr="00CB10AD">
              <w:rPr>
                <w:rFonts w:asciiTheme="minorHAnsi" w:eastAsia="Calibri" w:hAnsiTheme="minorHAnsi"/>
                <w:sz w:val="20"/>
                <w:szCs w:val="20"/>
                <w:lang w:val="en-AU"/>
              </w:rPr>
              <w:t xml:space="preserve"> </w:t>
            </w:r>
          </w:p>
          <w:p w:rsidR="00F6127C" w:rsidRPr="00CB10AD" w:rsidRDefault="00F6127C"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The result</w:t>
            </w:r>
            <w:r w:rsidR="005E136C" w:rsidRPr="00CB10AD">
              <w:rPr>
                <w:rFonts w:asciiTheme="minorHAnsi" w:eastAsia="Calibri" w:hAnsiTheme="minorHAnsi"/>
                <w:sz w:val="20"/>
                <w:szCs w:val="20"/>
                <w:lang w:val="en-AU"/>
              </w:rPr>
              <w:t>s</w:t>
            </w:r>
            <w:r w:rsidRPr="00CB10AD">
              <w:rPr>
                <w:rFonts w:asciiTheme="minorHAnsi" w:eastAsia="Calibri" w:hAnsiTheme="minorHAnsi"/>
                <w:sz w:val="20"/>
                <w:szCs w:val="20"/>
                <w:lang w:val="en-AU"/>
              </w:rPr>
              <w:t xml:space="preserve"> of </w:t>
            </w:r>
            <w:r w:rsidR="005E136C" w:rsidRPr="00CB10AD">
              <w:rPr>
                <w:rFonts w:asciiTheme="minorHAnsi" w:eastAsia="Calibri" w:hAnsiTheme="minorHAnsi"/>
                <w:sz w:val="20"/>
                <w:szCs w:val="20"/>
                <w:lang w:val="en-AU"/>
              </w:rPr>
              <w:t xml:space="preserve">improved </w:t>
            </w:r>
            <w:r w:rsidRPr="00CB10AD">
              <w:rPr>
                <w:rFonts w:asciiTheme="minorHAnsi" w:eastAsia="Calibri" w:hAnsiTheme="minorHAnsi"/>
                <w:sz w:val="20"/>
                <w:szCs w:val="20"/>
                <w:lang w:val="en-AU"/>
              </w:rPr>
              <w:t xml:space="preserve">monitoring </w:t>
            </w:r>
            <w:r w:rsidR="005E136C" w:rsidRPr="00CB10AD">
              <w:rPr>
                <w:rFonts w:asciiTheme="minorHAnsi" w:eastAsia="Calibri" w:hAnsiTheme="minorHAnsi"/>
                <w:sz w:val="20"/>
                <w:szCs w:val="20"/>
                <w:lang w:val="en-AU"/>
              </w:rPr>
              <w:t>activities are</w:t>
            </w:r>
            <w:r w:rsidRPr="00CB10AD">
              <w:rPr>
                <w:rFonts w:asciiTheme="minorHAnsi" w:eastAsia="Calibri" w:hAnsiTheme="minorHAnsi"/>
                <w:sz w:val="20"/>
                <w:szCs w:val="20"/>
                <w:lang w:val="en-AU"/>
              </w:rPr>
              <w:t xml:space="preserve"> being used jointly by SSQ and MoEC to better respond to reported issues from the construction processes</w:t>
            </w:r>
            <w:r w:rsidR="000109F7" w:rsidRPr="00CB10AD">
              <w:rPr>
                <w:rFonts w:asciiTheme="minorHAnsi" w:eastAsia="Calibri" w:hAnsiTheme="minorHAnsi"/>
                <w:sz w:val="20"/>
                <w:szCs w:val="20"/>
                <w:lang w:val="en-AU"/>
              </w:rPr>
              <w:t>.</w:t>
            </w:r>
          </w:p>
        </w:tc>
        <w:tc>
          <w:tcPr>
            <w:tcW w:w="4062" w:type="dxa"/>
            <w:tcBorders>
              <w:bottom w:val="single" w:sz="4" w:space="0" w:color="auto"/>
            </w:tcBorders>
            <w:shd w:val="clear" w:color="auto" w:fill="FFFFFF" w:themeFill="background1"/>
          </w:tcPr>
          <w:p w:rsidR="00F6127C" w:rsidRPr="00CB10AD" w:rsidRDefault="00F6127C" w:rsidP="005E136C">
            <w:pPr>
              <w:spacing w:before="60" w:after="60" w:line="276" w:lineRule="auto"/>
              <w:ind w:left="360"/>
              <w:contextualSpacing/>
              <w:rPr>
                <w:rFonts w:asciiTheme="minorHAnsi" w:eastAsia="Calibri" w:hAnsiTheme="minorHAnsi"/>
                <w:sz w:val="20"/>
                <w:szCs w:val="20"/>
                <w:lang w:val="en-AU"/>
              </w:rPr>
            </w:pPr>
          </w:p>
        </w:tc>
      </w:tr>
      <w:tr w:rsidR="00F6127C" w:rsidRPr="00CB10AD" w:rsidTr="00C7786C">
        <w:trPr>
          <w:trHeight w:val="447"/>
          <w:jc w:val="center"/>
        </w:trPr>
        <w:tc>
          <w:tcPr>
            <w:tcW w:w="1449" w:type="dxa"/>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Effectiveness</w:t>
            </w:r>
          </w:p>
        </w:tc>
        <w:tc>
          <w:tcPr>
            <w:tcW w:w="1276" w:type="dxa"/>
            <w:tcBorders>
              <w:bottom w:val="single" w:sz="4" w:space="0" w:color="auto"/>
            </w:tcBorders>
            <w:shd w:val="clear" w:color="auto" w:fill="FFC000"/>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3</w:t>
            </w:r>
          </w:p>
        </w:tc>
        <w:tc>
          <w:tcPr>
            <w:tcW w:w="5528" w:type="dxa"/>
            <w:shd w:val="clear" w:color="auto" w:fill="FFFFFF" w:themeFill="background1"/>
          </w:tcPr>
          <w:p w:rsidR="00F6127C" w:rsidRPr="00CB10AD" w:rsidRDefault="00F6127C"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It is probable that C1 will achieve the EOCO, i.e. an “increase </w:t>
            </w:r>
            <w:r w:rsidR="00F50347" w:rsidRPr="00CB10AD">
              <w:rPr>
                <w:rFonts w:asciiTheme="minorHAnsi" w:eastAsia="Calibri" w:hAnsiTheme="minorHAnsi"/>
                <w:sz w:val="20"/>
                <w:szCs w:val="20"/>
                <w:lang w:val="en-AU"/>
              </w:rPr>
              <w:t>in</w:t>
            </w:r>
            <w:r w:rsidRPr="00CB10AD">
              <w:rPr>
                <w:rFonts w:asciiTheme="minorHAnsi" w:eastAsia="Calibri" w:hAnsiTheme="minorHAnsi"/>
                <w:sz w:val="20"/>
                <w:szCs w:val="20"/>
                <w:lang w:val="en-AU"/>
              </w:rPr>
              <w:t xml:space="preserve"> availability of places in JSE”. </w:t>
            </w:r>
          </w:p>
          <w:p w:rsidR="00F6127C" w:rsidRPr="00CB10AD" w:rsidRDefault="00F6127C" w:rsidP="00196F93">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The extent </w:t>
            </w:r>
            <w:r w:rsidR="008F2D9C" w:rsidRPr="00CB10AD">
              <w:rPr>
                <w:rFonts w:asciiTheme="minorHAnsi" w:eastAsia="Calibri" w:hAnsiTheme="minorHAnsi"/>
                <w:sz w:val="20"/>
                <w:szCs w:val="20"/>
                <w:lang w:val="en-AU"/>
              </w:rPr>
              <w:t xml:space="preserve">(i.e. the prescribed targets) </w:t>
            </w:r>
            <w:r w:rsidRPr="00CB10AD">
              <w:rPr>
                <w:rFonts w:asciiTheme="minorHAnsi" w:eastAsia="Calibri" w:hAnsiTheme="minorHAnsi"/>
                <w:sz w:val="20"/>
                <w:szCs w:val="20"/>
                <w:lang w:val="en-AU"/>
              </w:rPr>
              <w:t>to which the EOPO will be achieved is uncertain</w:t>
            </w:r>
            <w:r w:rsidR="00E015A8">
              <w:rPr>
                <w:rFonts w:asciiTheme="minorHAnsi" w:eastAsia="Calibri" w:hAnsiTheme="minorHAnsi"/>
                <w:sz w:val="20"/>
                <w:szCs w:val="20"/>
                <w:lang w:val="en-AU"/>
              </w:rPr>
              <w:t xml:space="preserve">. Optimising </w:t>
            </w:r>
            <w:r w:rsidR="00DC1156">
              <w:rPr>
                <w:rFonts w:asciiTheme="minorHAnsi" w:eastAsia="Calibri" w:hAnsiTheme="minorHAnsi"/>
                <w:sz w:val="20"/>
                <w:szCs w:val="20"/>
                <w:lang w:val="en-AU"/>
              </w:rPr>
              <w:t>site selection and coordinati</w:t>
            </w:r>
            <w:r w:rsidR="00E015A8">
              <w:rPr>
                <w:rFonts w:asciiTheme="minorHAnsi" w:eastAsia="Calibri" w:hAnsiTheme="minorHAnsi"/>
                <w:sz w:val="20"/>
                <w:szCs w:val="20"/>
                <w:lang w:val="en-AU"/>
              </w:rPr>
              <w:t xml:space="preserve">ng school construction with </w:t>
            </w:r>
            <w:r w:rsidR="00DC1156">
              <w:rPr>
                <w:rFonts w:asciiTheme="minorHAnsi" w:eastAsia="Calibri" w:hAnsiTheme="minorHAnsi"/>
                <w:sz w:val="20"/>
                <w:szCs w:val="20"/>
                <w:lang w:val="en-AU"/>
              </w:rPr>
              <w:t xml:space="preserve">other access related initiatives is necessary to </w:t>
            </w:r>
            <w:r w:rsidR="00E015A8">
              <w:rPr>
                <w:rFonts w:asciiTheme="minorHAnsi" w:eastAsia="Calibri" w:hAnsiTheme="minorHAnsi"/>
                <w:sz w:val="20"/>
                <w:szCs w:val="20"/>
                <w:lang w:val="en-AU"/>
              </w:rPr>
              <w:t xml:space="preserve">maximise </w:t>
            </w:r>
            <w:r w:rsidR="00DC1156">
              <w:rPr>
                <w:rFonts w:asciiTheme="minorHAnsi" w:eastAsia="Calibri" w:hAnsiTheme="minorHAnsi"/>
                <w:sz w:val="20"/>
                <w:szCs w:val="20"/>
                <w:lang w:val="en-AU"/>
              </w:rPr>
              <w:t>EOPO achievement</w:t>
            </w:r>
          </w:p>
        </w:tc>
        <w:tc>
          <w:tcPr>
            <w:tcW w:w="4062" w:type="dxa"/>
            <w:shd w:val="clear" w:color="auto" w:fill="FFFFFF" w:themeFill="background1"/>
          </w:tcPr>
          <w:p w:rsidR="00F6127C" w:rsidRPr="00CB10AD" w:rsidRDefault="00F6127C" w:rsidP="007B17D5">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The information used </w:t>
            </w:r>
            <w:r w:rsidR="00CA4141" w:rsidRPr="00CB10AD">
              <w:rPr>
                <w:rFonts w:asciiTheme="minorHAnsi" w:eastAsia="Calibri" w:hAnsiTheme="minorHAnsi"/>
                <w:sz w:val="20"/>
                <w:szCs w:val="20"/>
                <w:lang w:val="en-AU"/>
              </w:rPr>
              <w:t>i</w:t>
            </w:r>
            <w:r w:rsidRPr="00CB10AD">
              <w:rPr>
                <w:rFonts w:asciiTheme="minorHAnsi" w:eastAsia="Calibri" w:hAnsiTheme="minorHAnsi"/>
                <w:sz w:val="20"/>
                <w:szCs w:val="20"/>
                <w:lang w:val="en-AU"/>
              </w:rPr>
              <w:t>n this section is based on POM EOPO 1 Evaluation Study</w:t>
            </w:r>
            <w:r w:rsidR="000109F7" w:rsidRPr="00CB10AD">
              <w:rPr>
                <w:rFonts w:asciiTheme="minorHAnsi" w:eastAsia="Calibri" w:hAnsiTheme="minorHAnsi"/>
                <w:sz w:val="20"/>
                <w:szCs w:val="20"/>
                <w:lang w:val="en-AU"/>
              </w:rPr>
              <w:t>.</w:t>
            </w:r>
          </w:p>
          <w:p w:rsidR="00F6127C" w:rsidRPr="00CB10AD" w:rsidRDefault="00F6127C" w:rsidP="007B17D5">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Thus the concluding remarks may only </w:t>
            </w:r>
            <w:r w:rsidR="00CA4141" w:rsidRPr="00CB10AD">
              <w:rPr>
                <w:rFonts w:asciiTheme="minorHAnsi" w:eastAsia="Calibri" w:hAnsiTheme="minorHAnsi"/>
                <w:sz w:val="20"/>
                <w:szCs w:val="20"/>
                <w:lang w:val="en-AU"/>
              </w:rPr>
              <w:t xml:space="preserve">be </w:t>
            </w:r>
            <w:r w:rsidRPr="00CB10AD">
              <w:rPr>
                <w:rFonts w:asciiTheme="minorHAnsi" w:eastAsia="Calibri" w:hAnsiTheme="minorHAnsi"/>
                <w:sz w:val="20"/>
                <w:szCs w:val="20"/>
                <w:lang w:val="en-AU"/>
              </w:rPr>
              <w:t>applied to Cycle 1 schools</w:t>
            </w:r>
            <w:r w:rsidR="000109F7" w:rsidRPr="00CB10AD">
              <w:rPr>
                <w:rFonts w:asciiTheme="minorHAnsi" w:eastAsia="Calibri" w:hAnsiTheme="minorHAnsi"/>
                <w:sz w:val="20"/>
                <w:szCs w:val="20"/>
                <w:lang w:val="en-AU"/>
              </w:rPr>
              <w:t>.</w:t>
            </w:r>
          </w:p>
        </w:tc>
      </w:tr>
      <w:tr w:rsidR="00F6127C" w:rsidRPr="00CB10AD" w:rsidTr="00C7786C">
        <w:trPr>
          <w:trHeight w:val="447"/>
          <w:jc w:val="center"/>
        </w:trPr>
        <w:tc>
          <w:tcPr>
            <w:tcW w:w="1449" w:type="dxa"/>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Impact</w:t>
            </w:r>
          </w:p>
        </w:tc>
        <w:tc>
          <w:tcPr>
            <w:tcW w:w="1276" w:type="dxa"/>
            <w:tcBorders>
              <w:bottom w:val="single" w:sz="4" w:space="0" w:color="auto"/>
            </w:tcBorders>
            <w:shd w:val="clear" w:color="auto" w:fill="auto"/>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5528" w:type="dxa"/>
            <w:shd w:val="clear" w:color="auto" w:fill="FFFFFF" w:themeFill="background1"/>
          </w:tcPr>
          <w:p w:rsidR="00F6127C" w:rsidRPr="00CB10AD" w:rsidRDefault="00F6127C"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Too early to make informed judgement.</w:t>
            </w:r>
            <w:r w:rsidR="00ED2DDA" w:rsidRPr="00CB10AD">
              <w:rPr>
                <w:rFonts w:asciiTheme="minorHAnsi" w:eastAsia="Calibri" w:hAnsiTheme="minorHAnsi"/>
                <w:sz w:val="20"/>
                <w:szCs w:val="20"/>
                <w:lang w:val="en-AU"/>
              </w:rPr>
              <w:t xml:space="preserve"> </w:t>
            </w:r>
          </w:p>
        </w:tc>
        <w:tc>
          <w:tcPr>
            <w:tcW w:w="4062" w:type="dxa"/>
            <w:shd w:val="clear" w:color="auto" w:fill="FFFFFF" w:themeFill="background1"/>
          </w:tcPr>
          <w:p w:rsidR="00F6127C" w:rsidRPr="00CB10AD" w:rsidRDefault="00F6127C" w:rsidP="007B17D5">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The question of impact will be answered by EOPO 1 Evaluation but</w:t>
            </w:r>
            <w:r w:rsidR="008F6896" w:rsidRPr="00CB10AD">
              <w:rPr>
                <w:rFonts w:asciiTheme="minorHAnsi" w:eastAsia="Calibri" w:hAnsiTheme="minorHAnsi"/>
                <w:sz w:val="20"/>
                <w:szCs w:val="20"/>
                <w:lang w:val="en-AU"/>
              </w:rPr>
              <w:t xml:space="preserve"> only</w:t>
            </w:r>
            <w:r w:rsidRPr="00CB10AD">
              <w:rPr>
                <w:rFonts w:asciiTheme="minorHAnsi" w:eastAsia="Calibri" w:hAnsiTheme="minorHAnsi"/>
                <w:sz w:val="20"/>
                <w:szCs w:val="20"/>
                <w:lang w:val="en-AU"/>
              </w:rPr>
              <w:t xml:space="preserve"> after endline in 2015</w:t>
            </w:r>
            <w:r w:rsidR="000109F7" w:rsidRPr="00CB10AD">
              <w:rPr>
                <w:rFonts w:asciiTheme="minorHAnsi" w:eastAsia="Calibri" w:hAnsiTheme="minorHAnsi"/>
                <w:sz w:val="20"/>
                <w:szCs w:val="20"/>
                <w:lang w:val="en-AU"/>
              </w:rPr>
              <w:t>.</w:t>
            </w:r>
          </w:p>
        </w:tc>
      </w:tr>
      <w:tr w:rsidR="00F6127C" w:rsidRPr="00CB10AD" w:rsidTr="00196F93">
        <w:trPr>
          <w:trHeight w:val="1212"/>
          <w:jc w:val="center"/>
        </w:trPr>
        <w:tc>
          <w:tcPr>
            <w:tcW w:w="1449" w:type="dxa"/>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Sustainability</w:t>
            </w:r>
          </w:p>
        </w:tc>
        <w:tc>
          <w:tcPr>
            <w:tcW w:w="1276" w:type="dxa"/>
            <w:shd w:val="clear" w:color="auto" w:fill="FFFF00"/>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5528" w:type="dxa"/>
            <w:shd w:val="clear" w:color="auto" w:fill="FFFFFF" w:themeFill="background1"/>
          </w:tcPr>
          <w:p w:rsidR="00F6127C" w:rsidRPr="00CB10AD" w:rsidRDefault="008F6896" w:rsidP="00196F93">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S</w:t>
            </w:r>
            <w:r w:rsidR="00F6127C" w:rsidRPr="00CB10AD">
              <w:rPr>
                <w:rFonts w:asciiTheme="minorHAnsi" w:eastAsia="Calibri" w:hAnsiTheme="minorHAnsi"/>
                <w:sz w:val="20"/>
                <w:szCs w:val="20"/>
                <w:lang w:val="en-AU"/>
              </w:rPr>
              <w:t>ustainability is dependent on site selection,</w:t>
            </w:r>
            <w:r w:rsidRPr="00CB10AD">
              <w:rPr>
                <w:rFonts w:asciiTheme="minorHAnsi" w:eastAsia="Calibri" w:hAnsiTheme="minorHAnsi"/>
                <w:sz w:val="20"/>
                <w:szCs w:val="20"/>
                <w:lang w:val="en-AU"/>
              </w:rPr>
              <w:t xml:space="preserve"> i.e. schools are dependent on BOS funding and therefore having the necessary number of enrolled learners for the school </w:t>
            </w:r>
            <w:r w:rsidR="00CA4141" w:rsidRPr="00CB10AD">
              <w:rPr>
                <w:rFonts w:asciiTheme="minorHAnsi" w:eastAsia="Calibri" w:hAnsiTheme="minorHAnsi"/>
                <w:sz w:val="20"/>
                <w:szCs w:val="20"/>
                <w:lang w:val="en-AU"/>
              </w:rPr>
              <w:t xml:space="preserve">to </w:t>
            </w:r>
            <w:r w:rsidR="00F6127C" w:rsidRPr="00CB10AD">
              <w:rPr>
                <w:rFonts w:asciiTheme="minorHAnsi" w:eastAsia="Calibri" w:hAnsiTheme="minorHAnsi"/>
                <w:sz w:val="20"/>
                <w:szCs w:val="20"/>
                <w:lang w:val="en-AU"/>
              </w:rPr>
              <w:t xml:space="preserve">operate </w:t>
            </w:r>
            <w:r w:rsidR="00CA4141" w:rsidRPr="00CB10AD">
              <w:rPr>
                <w:rFonts w:asciiTheme="minorHAnsi" w:eastAsia="Calibri" w:hAnsiTheme="minorHAnsi"/>
                <w:sz w:val="20"/>
                <w:szCs w:val="20"/>
                <w:lang w:val="en-AU"/>
              </w:rPr>
              <w:t>at</w:t>
            </w:r>
            <w:r w:rsidRPr="00CB10AD">
              <w:rPr>
                <w:rFonts w:asciiTheme="minorHAnsi" w:eastAsia="Calibri" w:hAnsiTheme="minorHAnsi"/>
                <w:sz w:val="20"/>
                <w:szCs w:val="20"/>
                <w:lang w:val="en-AU"/>
              </w:rPr>
              <w:t xml:space="preserve"> an </w:t>
            </w:r>
            <w:r w:rsidR="00F6127C" w:rsidRPr="00CB10AD">
              <w:rPr>
                <w:rFonts w:asciiTheme="minorHAnsi" w:eastAsia="Calibri" w:hAnsiTheme="minorHAnsi"/>
                <w:sz w:val="20"/>
                <w:szCs w:val="20"/>
                <w:lang w:val="en-AU"/>
              </w:rPr>
              <w:t>acceptable level of quality.</w:t>
            </w:r>
          </w:p>
        </w:tc>
        <w:tc>
          <w:tcPr>
            <w:tcW w:w="4062" w:type="dxa"/>
            <w:shd w:val="clear" w:color="auto" w:fill="FFFFFF" w:themeFill="background1"/>
          </w:tcPr>
          <w:p w:rsidR="00F6127C" w:rsidRPr="00CB10AD" w:rsidRDefault="008F2D9C" w:rsidP="008F2D9C">
            <w:pPr>
              <w:numPr>
                <w:ilvl w:val="0"/>
                <w:numId w:val="23"/>
              </w:numPr>
              <w:spacing w:before="60" w:after="60" w:line="276" w:lineRule="auto"/>
              <w:ind w:left="360"/>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Lessons learned about </w:t>
            </w:r>
            <w:r w:rsidR="00CA4141" w:rsidRPr="00CB10AD">
              <w:rPr>
                <w:rFonts w:asciiTheme="minorHAnsi" w:eastAsia="Calibri" w:hAnsiTheme="minorHAnsi"/>
                <w:sz w:val="20"/>
                <w:szCs w:val="20"/>
                <w:lang w:val="en-AU"/>
              </w:rPr>
              <w:t xml:space="preserve">the </w:t>
            </w:r>
            <w:r w:rsidRPr="00CB10AD">
              <w:rPr>
                <w:rFonts w:asciiTheme="minorHAnsi" w:eastAsia="Calibri" w:hAnsiTheme="minorHAnsi"/>
                <w:sz w:val="20"/>
                <w:szCs w:val="20"/>
                <w:lang w:val="en-AU"/>
              </w:rPr>
              <w:t>community-based school construction system should be captured and shared with other agencies</w:t>
            </w:r>
            <w:r w:rsidR="000109F7" w:rsidRPr="00CB10AD">
              <w:rPr>
                <w:rFonts w:asciiTheme="minorHAnsi" w:eastAsia="Calibri" w:hAnsiTheme="minorHAnsi"/>
                <w:sz w:val="20"/>
                <w:szCs w:val="20"/>
                <w:lang w:val="en-AU"/>
              </w:rPr>
              <w:t>.</w:t>
            </w:r>
            <w:r w:rsidR="00946EBD" w:rsidRPr="00CB10AD">
              <w:rPr>
                <w:rFonts w:asciiTheme="minorHAnsi" w:eastAsia="Calibri" w:hAnsiTheme="minorHAnsi"/>
                <w:sz w:val="20"/>
                <w:szCs w:val="20"/>
                <w:lang w:val="en-AU"/>
              </w:rPr>
              <w:t xml:space="preserve"> </w:t>
            </w:r>
          </w:p>
        </w:tc>
      </w:tr>
    </w:tbl>
    <w:p w:rsidR="008F2D9C" w:rsidRPr="00CB10AD" w:rsidRDefault="008F2D9C">
      <w:pPr>
        <w:rPr>
          <w:b/>
          <w:lang w:val="en-AU"/>
        </w:rPr>
      </w:pPr>
      <w:bookmarkStart w:id="28" w:name="_Ref379640543"/>
      <w:r w:rsidRPr="00CB10AD">
        <w:rPr>
          <w:lang w:val="en-AU"/>
        </w:rPr>
        <w:br w:type="page"/>
      </w:r>
    </w:p>
    <w:p w:rsidR="00F6127C" w:rsidRPr="00CB10AD" w:rsidRDefault="0084073A" w:rsidP="0084073A">
      <w:pPr>
        <w:pStyle w:val="Caption"/>
        <w:rPr>
          <w:lang w:val="en-AU"/>
        </w:rPr>
      </w:pPr>
      <w:bookmarkStart w:id="29" w:name="_Ref379884397"/>
      <w:bookmarkStart w:id="30" w:name="_Toc379982271"/>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3</w:t>
      </w:r>
      <w:r w:rsidRPr="00CB10AD">
        <w:rPr>
          <w:lang w:val="en-AU"/>
        </w:rPr>
        <w:fldChar w:fldCharType="end"/>
      </w:r>
      <w:bookmarkEnd w:id="28"/>
      <w:bookmarkEnd w:id="29"/>
      <w:r w:rsidR="00F6127C" w:rsidRPr="00CB10AD">
        <w:rPr>
          <w:lang w:val="en-AU"/>
        </w:rPr>
        <w:t>: Component 1 key findings and recommendations</w:t>
      </w:r>
      <w:bookmarkEnd w:id="30"/>
    </w:p>
    <w:p w:rsidR="004623D7" w:rsidRPr="00CB10AD" w:rsidRDefault="004623D7" w:rsidP="004623D7">
      <w:pPr>
        <w:rPr>
          <w:lang w:val="en-AU"/>
        </w:rPr>
      </w:pPr>
    </w:p>
    <w:tbl>
      <w:tblPr>
        <w:tblStyle w:val="TableGrid31"/>
        <w:tblW w:w="5000" w:type="pct"/>
        <w:tblLook w:val="04A0" w:firstRow="1" w:lastRow="0" w:firstColumn="1" w:lastColumn="0" w:noHBand="0" w:noVBand="1"/>
      </w:tblPr>
      <w:tblGrid>
        <w:gridCol w:w="4307"/>
        <w:gridCol w:w="5501"/>
        <w:gridCol w:w="896"/>
        <w:gridCol w:w="3466"/>
      </w:tblGrid>
      <w:tr w:rsidR="004623D7" w:rsidRPr="00CB10AD" w:rsidTr="004623D7">
        <w:trPr>
          <w:trHeight w:val="567"/>
          <w:tblHeader/>
        </w:trPr>
        <w:tc>
          <w:tcPr>
            <w:tcW w:w="1520"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Findings</w:t>
            </w:r>
          </w:p>
        </w:tc>
        <w:tc>
          <w:tcPr>
            <w:tcW w:w="1941"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Recommendations</w:t>
            </w:r>
          </w:p>
        </w:tc>
        <w:tc>
          <w:tcPr>
            <w:tcW w:w="316"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Level of urgency</w:t>
            </w:r>
          </w:p>
        </w:tc>
        <w:tc>
          <w:tcPr>
            <w:tcW w:w="1223"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Prime Responsibility</w:t>
            </w:r>
          </w:p>
        </w:tc>
      </w:tr>
      <w:tr w:rsidR="00486BE8" w:rsidRPr="00CB10AD" w:rsidTr="00E369C9">
        <w:trPr>
          <w:trHeight w:val="719"/>
        </w:trPr>
        <w:tc>
          <w:tcPr>
            <w:tcW w:w="1520" w:type="pct"/>
            <w:vMerge w:val="restart"/>
            <w:shd w:val="clear" w:color="auto" w:fill="FFFFFF" w:themeFill="background1"/>
          </w:tcPr>
          <w:p w:rsidR="00486BE8" w:rsidRPr="00CB10AD" w:rsidRDefault="00486BE8" w:rsidP="00E369C9">
            <w:pPr>
              <w:spacing w:before="120"/>
              <w:rPr>
                <w:sz w:val="20"/>
                <w:szCs w:val="20"/>
                <w:lang w:val="en-AU"/>
              </w:rPr>
            </w:pPr>
            <w:r>
              <w:rPr>
                <w:sz w:val="20"/>
                <w:szCs w:val="20"/>
                <w:lang w:val="en-AU"/>
              </w:rPr>
              <w:t>The extent to which the EOPO is achieved will depend upon maximising EOCO contribution as well as encouraging the contribution of other access-related initiatives (see §2.4.3 and 2.4.4)</w:t>
            </w:r>
          </w:p>
        </w:tc>
        <w:tc>
          <w:tcPr>
            <w:tcW w:w="1941" w:type="pct"/>
            <w:shd w:val="clear" w:color="auto" w:fill="FFFFFF" w:themeFill="background1"/>
          </w:tcPr>
          <w:p w:rsidR="00486BE8" w:rsidRPr="00CB10AD" w:rsidRDefault="00486BE8" w:rsidP="00075365">
            <w:pPr>
              <w:spacing w:before="120"/>
              <w:ind w:left="371" w:hanging="362"/>
              <w:rPr>
                <w:sz w:val="20"/>
                <w:szCs w:val="20"/>
                <w:lang w:val="en-AU"/>
              </w:rPr>
            </w:pPr>
            <w:r>
              <w:rPr>
                <w:sz w:val="20"/>
                <w:szCs w:val="20"/>
                <w:lang w:val="en-AU"/>
              </w:rPr>
              <w:t>R1:</w:t>
            </w:r>
            <w:r>
              <w:rPr>
                <w:sz w:val="20"/>
                <w:szCs w:val="20"/>
                <w:lang w:val="en-AU"/>
              </w:rPr>
              <w:tab/>
              <w:t xml:space="preserve">DFAT and MoEC should reaffirm their commitment to the current EOPO. </w:t>
            </w:r>
          </w:p>
        </w:tc>
        <w:tc>
          <w:tcPr>
            <w:tcW w:w="316" w:type="pct"/>
            <w:tcBorders>
              <w:bottom w:val="single" w:sz="4" w:space="0" w:color="auto"/>
            </w:tcBorders>
            <w:shd w:val="clear" w:color="auto" w:fill="FF0000"/>
            <w:vAlign w:val="center"/>
          </w:tcPr>
          <w:p w:rsidR="00486BE8" w:rsidRPr="00CB10AD" w:rsidRDefault="00486BE8" w:rsidP="00DA1B0C">
            <w:pPr>
              <w:spacing w:before="60" w:after="60"/>
              <w:jc w:val="center"/>
              <w:rPr>
                <w:sz w:val="20"/>
                <w:szCs w:val="20"/>
                <w:lang w:val="en-AU"/>
              </w:rPr>
            </w:pPr>
            <w:r w:rsidRPr="00CB10AD">
              <w:rPr>
                <w:sz w:val="20"/>
                <w:szCs w:val="20"/>
                <w:lang w:val="en-AU"/>
              </w:rPr>
              <w:t>***</w:t>
            </w:r>
          </w:p>
        </w:tc>
        <w:tc>
          <w:tcPr>
            <w:tcW w:w="1223" w:type="pct"/>
          </w:tcPr>
          <w:p w:rsidR="00486BE8" w:rsidRPr="00CB10AD" w:rsidRDefault="00486BE8" w:rsidP="000649AC">
            <w:pPr>
              <w:spacing w:before="120"/>
              <w:ind w:left="371" w:hanging="362"/>
              <w:rPr>
                <w:sz w:val="20"/>
                <w:szCs w:val="20"/>
                <w:lang w:val="en-AU"/>
              </w:rPr>
            </w:pPr>
            <w:r w:rsidRPr="00CB10AD">
              <w:rPr>
                <w:sz w:val="20"/>
                <w:szCs w:val="20"/>
                <w:lang w:val="en-AU"/>
              </w:rPr>
              <w:t xml:space="preserve">DFAT and MoEC </w:t>
            </w:r>
          </w:p>
        </w:tc>
      </w:tr>
      <w:tr w:rsidR="00486BE8" w:rsidRPr="00CB10AD" w:rsidTr="00DA1B0C">
        <w:trPr>
          <w:trHeight w:val="987"/>
        </w:trPr>
        <w:tc>
          <w:tcPr>
            <w:tcW w:w="1520" w:type="pct"/>
            <w:vMerge/>
            <w:shd w:val="clear" w:color="auto" w:fill="FFFFFF" w:themeFill="background1"/>
          </w:tcPr>
          <w:p w:rsidR="00486BE8" w:rsidRPr="00CB10AD" w:rsidRDefault="00486BE8" w:rsidP="00E369C9">
            <w:pPr>
              <w:spacing w:before="120"/>
              <w:rPr>
                <w:sz w:val="20"/>
                <w:szCs w:val="20"/>
                <w:lang w:val="en-AU"/>
              </w:rPr>
            </w:pPr>
          </w:p>
        </w:tc>
        <w:tc>
          <w:tcPr>
            <w:tcW w:w="1941" w:type="pct"/>
            <w:shd w:val="clear" w:color="auto" w:fill="FFFFFF" w:themeFill="background1"/>
          </w:tcPr>
          <w:p w:rsidR="00486BE8" w:rsidRPr="00CB10AD" w:rsidRDefault="00486BE8" w:rsidP="00EE18A4">
            <w:pPr>
              <w:spacing w:before="120"/>
              <w:ind w:left="371" w:hanging="362"/>
              <w:rPr>
                <w:sz w:val="20"/>
                <w:szCs w:val="20"/>
                <w:lang w:val="en-AU"/>
              </w:rPr>
            </w:pPr>
            <w:r>
              <w:rPr>
                <w:sz w:val="20"/>
                <w:szCs w:val="20"/>
                <w:lang w:val="en-AU"/>
              </w:rPr>
              <w:t>R2:</w:t>
            </w:r>
            <w:r>
              <w:rPr>
                <w:sz w:val="20"/>
                <w:szCs w:val="20"/>
                <w:lang w:val="en-AU"/>
              </w:rPr>
              <w:tab/>
              <w:t>Critically appraise coordination of school construction with other access-related initiatives within MOEC with a view to maximising the extent of EOPO achievement.</w:t>
            </w:r>
          </w:p>
        </w:tc>
        <w:tc>
          <w:tcPr>
            <w:tcW w:w="316" w:type="pct"/>
            <w:tcBorders>
              <w:bottom w:val="single" w:sz="4" w:space="0" w:color="auto"/>
            </w:tcBorders>
            <w:shd w:val="clear" w:color="auto" w:fill="FF0000"/>
            <w:vAlign w:val="center"/>
          </w:tcPr>
          <w:p w:rsidR="00486BE8" w:rsidRPr="00CB10AD" w:rsidRDefault="00486BE8" w:rsidP="00DA1B0C">
            <w:pPr>
              <w:spacing w:before="60" w:after="60"/>
              <w:jc w:val="center"/>
              <w:rPr>
                <w:sz w:val="20"/>
                <w:szCs w:val="20"/>
                <w:lang w:val="en-AU"/>
              </w:rPr>
            </w:pPr>
            <w:r w:rsidRPr="00CB10AD">
              <w:rPr>
                <w:sz w:val="20"/>
                <w:szCs w:val="20"/>
                <w:lang w:val="en-AU"/>
              </w:rPr>
              <w:t>***</w:t>
            </w:r>
          </w:p>
        </w:tc>
        <w:tc>
          <w:tcPr>
            <w:tcW w:w="1223" w:type="pct"/>
          </w:tcPr>
          <w:p w:rsidR="00486BE8" w:rsidRPr="00CB10AD" w:rsidRDefault="00486BE8" w:rsidP="000649AC">
            <w:pPr>
              <w:spacing w:before="120"/>
              <w:ind w:left="69" w:hanging="60"/>
              <w:rPr>
                <w:sz w:val="20"/>
                <w:szCs w:val="20"/>
                <w:lang w:val="en-AU"/>
              </w:rPr>
            </w:pPr>
            <w:r w:rsidRPr="00CB10AD">
              <w:rPr>
                <w:sz w:val="20"/>
                <w:szCs w:val="20"/>
                <w:lang w:val="en-AU"/>
              </w:rPr>
              <w:t xml:space="preserve">DFAT and MoEC (with SSQ </w:t>
            </w:r>
            <w:r w:rsidR="00EE4207">
              <w:rPr>
                <w:sz w:val="20"/>
                <w:szCs w:val="20"/>
                <w:lang w:val="en-AU"/>
              </w:rPr>
              <w:t xml:space="preserve">and POM </w:t>
            </w:r>
            <w:r w:rsidRPr="00CB10AD">
              <w:rPr>
                <w:sz w:val="20"/>
                <w:szCs w:val="20"/>
                <w:lang w:val="en-AU"/>
              </w:rPr>
              <w:t>support)</w:t>
            </w:r>
          </w:p>
        </w:tc>
      </w:tr>
      <w:tr w:rsidR="00486BE8" w:rsidRPr="00CB10AD" w:rsidTr="00E369C9">
        <w:trPr>
          <w:trHeight w:val="758"/>
        </w:trPr>
        <w:tc>
          <w:tcPr>
            <w:tcW w:w="1520" w:type="pct"/>
            <w:vMerge w:val="restart"/>
            <w:shd w:val="clear" w:color="auto" w:fill="FFFFFF" w:themeFill="background1"/>
          </w:tcPr>
          <w:p w:rsidR="00486BE8" w:rsidRPr="00CB10AD" w:rsidRDefault="00486BE8" w:rsidP="00E369C9">
            <w:pPr>
              <w:spacing w:before="120"/>
              <w:rPr>
                <w:sz w:val="20"/>
                <w:szCs w:val="20"/>
                <w:lang w:val="en-AU"/>
              </w:rPr>
            </w:pPr>
            <w:r w:rsidRPr="00CB10AD">
              <w:rPr>
                <w:sz w:val="20"/>
                <w:szCs w:val="20"/>
                <w:lang w:val="en-AU"/>
              </w:rPr>
              <w:t>There is evidence of sub-optimal location of some selected sites and improving site selection is both poss</w:t>
            </w:r>
            <w:r>
              <w:rPr>
                <w:sz w:val="20"/>
                <w:szCs w:val="20"/>
                <w:lang w:val="en-AU"/>
              </w:rPr>
              <w:t>ible and desirable (see §2.4.3)</w:t>
            </w:r>
          </w:p>
        </w:tc>
        <w:tc>
          <w:tcPr>
            <w:tcW w:w="1941" w:type="pct"/>
            <w:shd w:val="clear" w:color="auto" w:fill="FFFFFF" w:themeFill="background1"/>
          </w:tcPr>
          <w:p w:rsidR="00486BE8" w:rsidRPr="00CB10AD" w:rsidRDefault="00486BE8" w:rsidP="00EE18A4">
            <w:pPr>
              <w:spacing w:before="120"/>
              <w:ind w:left="371" w:hanging="362"/>
              <w:rPr>
                <w:sz w:val="20"/>
                <w:szCs w:val="20"/>
                <w:lang w:val="en-AU"/>
              </w:rPr>
            </w:pPr>
            <w:r>
              <w:rPr>
                <w:sz w:val="20"/>
                <w:szCs w:val="20"/>
                <w:lang w:val="en-AU"/>
              </w:rPr>
              <w:t xml:space="preserve">R3: </w:t>
            </w:r>
            <w:r>
              <w:rPr>
                <w:sz w:val="20"/>
                <w:szCs w:val="20"/>
                <w:lang w:val="en-AU"/>
              </w:rPr>
              <w:tab/>
              <w:t>Further analysis of site selection outcomes should be undertaken to provide a robust basis to</w:t>
            </w:r>
            <w:r w:rsidR="000649AC">
              <w:rPr>
                <w:sz w:val="20"/>
                <w:szCs w:val="20"/>
                <w:lang w:val="en-AU"/>
              </w:rPr>
              <w:t xml:space="preserve"> continue to</w:t>
            </w:r>
            <w:r>
              <w:rPr>
                <w:sz w:val="20"/>
                <w:szCs w:val="20"/>
                <w:lang w:val="en-AU"/>
              </w:rPr>
              <w:t xml:space="preserve"> improve the selection process.</w:t>
            </w:r>
          </w:p>
        </w:tc>
        <w:tc>
          <w:tcPr>
            <w:tcW w:w="316" w:type="pct"/>
            <w:tcBorders>
              <w:bottom w:val="single" w:sz="4" w:space="0" w:color="auto"/>
            </w:tcBorders>
            <w:shd w:val="clear" w:color="auto" w:fill="FF0000"/>
            <w:vAlign w:val="center"/>
          </w:tcPr>
          <w:p w:rsidR="00486BE8" w:rsidRPr="00CB10AD" w:rsidRDefault="00486BE8" w:rsidP="00DA1B0C">
            <w:pPr>
              <w:spacing w:before="60" w:after="60"/>
              <w:jc w:val="center"/>
              <w:rPr>
                <w:sz w:val="20"/>
                <w:szCs w:val="20"/>
                <w:lang w:val="en-AU"/>
              </w:rPr>
            </w:pPr>
            <w:r w:rsidRPr="00CB10AD">
              <w:rPr>
                <w:sz w:val="20"/>
                <w:szCs w:val="20"/>
                <w:lang w:val="en-AU"/>
              </w:rPr>
              <w:t>***</w:t>
            </w:r>
          </w:p>
        </w:tc>
        <w:tc>
          <w:tcPr>
            <w:tcW w:w="1223" w:type="pct"/>
          </w:tcPr>
          <w:p w:rsidR="00486BE8" w:rsidRPr="00CB10AD" w:rsidRDefault="00486BE8" w:rsidP="00CE29C1">
            <w:pPr>
              <w:spacing w:before="120"/>
              <w:ind w:left="371" w:hanging="362"/>
              <w:rPr>
                <w:sz w:val="20"/>
                <w:szCs w:val="20"/>
                <w:lang w:val="en-AU"/>
              </w:rPr>
            </w:pPr>
            <w:r w:rsidRPr="00CB10AD">
              <w:rPr>
                <w:sz w:val="20"/>
                <w:szCs w:val="20"/>
                <w:lang w:val="en-AU"/>
              </w:rPr>
              <w:t xml:space="preserve">POM </w:t>
            </w:r>
            <w:r w:rsidR="00CE29C1">
              <w:rPr>
                <w:sz w:val="20"/>
                <w:szCs w:val="20"/>
                <w:lang w:val="en-AU"/>
              </w:rPr>
              <w:t>(with MoEC and SSQ support)</w:t>
            </w:r>
          </w:p>
        </w:tc>
      </w:tr>
      <w:tr w:rsidR="00486BE8" w:rsidRPr="00CB10AD" w:rsidTr="00DA1B0C">
        <w:trPr>
          <w:trHeight w:val="758"/>
        </w:trPr>
        <w:tc>
          <w:tcPr>
            <w:tcW w:w="1520" w:type="pct"/>
            <w:vMerge/>
            <w:shd w:val="clear" w:color="auto" w:fill="FFFFFF" w:themeFill="background1"/>
          </w:tcPr>
          <w:p w:rsidR="00486BE8" w:rsidRPr="00CB10AD" w:rsidRDefault="00486BE8" w:rsidP="00E369C9">
            <w:pPr>
              <w:spacing w:before="120"/>
              <w:rPr>
                <w:sz w:val="20"/>
                <w:szCs w:val="20"/>
                <w:lang w:val="en-AU"/>
              </w:rPr>
            </w:pPr>
          </w:p>
        </w:tc>
        <w:tc>
          <w:tcPr>
            <w:tcW w:w="1941" w:type="pct"/>
            <w:shd w:val="clear" w:color="auto" w:fill="FFFFFF" w:themeFill="background1"/>
          </w:tcPr>
          <w:p w:rsidR="00486BE8" w:rsidRPr="00CB10AD" w:rsidRDefault="00486BE8" w:rsidP="008576B7">
            <w:pPr>
              <w:spacing w:before="120"/>
              <w:ind w:left="371" w:hanging="362"/>
              <w:rPr>
                <w:sz w:val="20"/>
                <w:szCs w:val="20"/>
                <w:lang w:val="en-AU"/>
              </w:rPr>
            </w:pPr>
            <w:r>
              <w:rPr>
                <w:sz w:val="20"/>
                <w:szCs w:val="20"/>
                <w:lang w:val="en-AU"/>
              </w:rPr>
              <w:t>R4:</w:t>
            </w:r>
            <w:r>
              <w:rPr>
                <w:sz w:val="20"/>
                <w:szCs w:val="20"/>
                <w:lang w:val="en-AU"/>
              </w:rPr>
              <w:tab/>
              <w:t xml:space="preserve">DFAT and MoEC should strengthen the site selection process by </w:t>
            </w:r>
            <w:r w:rsidR="008576B7">
              <w:rPr>
                <w:sz w:val="20"/>
                <w:szCs w:val="20"/>
                <w:lang w:val="en-AU"/>
              </w:rPr>
              <w:t>refin</w:t>
            </w:r>
            <w:r>
              <w:rPr>
                <w:sz w:val="20"/>
                <w:szCs w:val="20"/>
                <w:lang w:val="en-AU"/>
              </w:rPr>
              <w:t>ing factors of JSE demand and supply in the selection criteria, and ensuring a strict application of these criteria.</w:t>
            </w:r>
          </w:p>
        </w:tc>
        <w:tc>
          <w:tcPr>
            <w:tcW w:w="316" w:type="pct"/>
            <w:tcBorders>
              <w:bottom w:val="single" w:sz="4" w:space="0" w:color="auto"/>
            </w:tcBorders>
            <w:shd w:val="clear" w:color="auto" w:fill="FF0000"/>
            <w:vAlign w:val="center"/>
          </w:tcPr>
          <w:p w:rsidR="00486BE8" w:rsidRPr="00CB10AD" w:rsidRDefault="00486BE8" w:rsidP="00DA1B0C">
            <w:pPr>
              <w:spacing w:before="60" w:after="60"/>
              <w:jc w:val="center"/>
              <w:rPr>
                <w:sz w:val="20"/>
                <w:szCs w:val="20"/>
                <w:lang w:val="en-AU"/>
              </w:rPr>
            </w:pPr>
            <w:r w:rsidRPr="00CB10AD">
              <w:rPr>
                <w:sz w:val="20"/>
                <w:szCs w:val="20"/>
                <w:lang w:val="en-AU"/>
              </w:rPr>
              <w:t>***</w:t>
            </w:r>
          </w:p>
        </w:tc>
        <w:tc>
          <w:tcPr>
            <w:tcW w:w="1223" w:type="pct"/>
          </w:tcPr>
          <w:p w:rsidR="00486BE8" w:rsidRPr="00CB10AD" w:rsidRDefault="00486BE8" w:rsidP="000649AC">
            <w:pPr>
              <w:spacing w:before="120"/>
              <w:ind w:left="371" w:hanging="362"/>
              <w:rPr>
                <w:sz w:val="20"/>
                <w:szCs w:val="20"/>
                <w:lang w:val="en-AU"/>
              </w:rPr>
            </w:pPr>
            <w:r w:rsidRPr="00CB10AD">
              <w:rPr>
                <w:sz w:val="20"/>
                <w:szCs w:val="20"/>
                <w:lang w:val="en-AU"/>
              </w:rPr>
              <w:t>DFAT and MoEC (with SSQ</w:t>
            </w:r>
            <w:r>
              <w:rPr>
                <w:sz w:val="20"/>
                <w:szCs w:val="20"/>
                <w:lang w:val="en-AU"/>
              </w:rPr>
              <w:t xml:space="preserve"> support</w:t>
            </w:r>
            <w:r w:rsidRPr="00CB10AD">
              <w:rPr>
                <w:sz w:val="20"/>
                <w:szCs w:val="20"/>
                <w:lang w:val="en-AU"/>
              </w:rPr>
              <w:t>)</w:t>
            </w:r>
          </w:p>
        </w:tc>
      </w:tr>
      <w:tr w:rsidR="007C6065" w:rsidRPr="00CB10AD" w:rsidTr="00DA1B0C">
        <w:trPr>
          <w:trHeight w:val="1048"/>
        </w:trPr>
        <w:tc>
          <w:tcPr>
            <w:tcW w:w="1520" w:type="pct"/>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A number of lessons on community-based construction processes are being learned through the EP investment (see §2.4.5)</w:t>
            </w:r>
          </w:p>
        </w:tc>
        <w:tc>
          <w:tcPr>
            <w:tcW w:w="1941" w:type="pct"/>
            <w:shd w:val="clear" w:color="auto" w:fill="FFFFFF" w:themeFill="background1"/>
          </w:tcPr>
          <w:p w:rsidR="007C6065" w:rsidRPr="00CB10AD" w:rsidRDefault="007C6065" w:rsidP="00EE18A4">
            <w:pPr>
              <w:spacing w:before="120"/>
              <w:ind w:left="371" w:hanging="362"/>
              <w:rPr>
                <w:sz w:val="20"/>
                <w:szCs w:val="20"/>
                <w:lang w:val="en-AU"/>
              </w:rPr>
            </w:pPr>
            <w:r w:rsidRPr="00CB10AD">
              <w:rPr>
                <w:sz w:val="20"/>
                <w:szCs w:val="20"/>
                <w:lang w:val="en-AU"/>
              </w:rPr>
              <w:t xml:space="preserve">R5: </w:t>
            </w:r>
            <w:r w:rsidRPr="00CB10AD">
              <w:rPr>
                <w:sz w:val="20"/>
                <w:szCs w:val="20"/>
                <w:lang w:val="en-AU"/>
              </w:rPr>
              <w:tab/>
              <w:t>Lessons learned from EP implementation (e.g. regarding monitoring process) should be synthesised and disseminated to interested parties (e.g. MoEC and other GoI institutions/agencies involved in construction processes), should there be merit or demand</w:t>
            </w:r>
            <w:r w:rsidR="00EE18A4">
              <w:rPr>
                <w:sz w:val="20"/>
                <w:szCs w:val="20"/>
                <w:lang w:val="en-AU"/>
              </w:rPr>
              <w:t>.</w:t>
            </w:r>
          </w:p>
        </w:tc>
        <w:tc>
          <w:tcPr>
            <w:tcW w:w="316" w:type="pct"/>
            <w:shd w:val="clear" w:color="auto" w:fill="00B05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EE18A4" w:rsidRDefault="006A4918" w:rsidP="006A4918">
            <w:pPr>
              <w:spacing w:before="120"/>
              <w:ind w:left="371" w:hanging="362"/>
              <w:rPr>
                <w:sz w:val="20"/>
                <w:szCs w:val="20"/>
                <w:lang w:val="en-AU"/>
              </w:rPr>
            </w:pPr>
            <w:r>
              <w:rPr>
                <w:sz w:val="20"/>
                <w:szCs w:val="20"/>
                <w:lang w:val="en-AU"/>
              </w:rPr>
              <w:t xml:space="preserve">MoEC and </w:t>
            </w:r>
            <w:r w:rsidR="007C6065" w:rsidRPr="00EE18A4">
              <w:rPr>
                <w:sz w:val="20"/>
                <w:szCs w:val="20"/>
                <w:lang w:val="en-AU"/>
              </w:rPr>
              <w:t>SSQ</w:t>
            </w:r>
          </w:p>
        </w:tc>
      </w:tr>
    </w:tbl>
    <w:p w:rsidR="004623D7" w:rsidRPr="00CB10AD" w:rsidRDefault="004623D7" w:rsidP="004623D7">
      <w:pPr>
        <w:rPr>
          <w:i/>
          <w:lang w:val="en-AU"/>
        </w:rPr>
      </w:pPr>
    </w:p>
    <w:p w:rsidR="002B6C03" w:rsidRPr="00CB10AD" w:rsidRDefault="004623D7" w:rsidP="004623D7">
      <w:pPr>
        <w:rPr>
          <w:i/>
          <w:lang w:val="en-AU"/>
        </w:rPr>
      </w:pPr>
      <w:r w:rsidRPr="00CB10AD">
        <w:rPr>
          <w:i/>
          <w:lang w:val="en-AU"/>
        </w:rPr>
        <w:t>NB: Red</w:t>
      </w:r>
      <w:r w:rsidR="005F2662" w:rsidRPr="00CB10AD">
        <w:rPr>
          <w:i/>
          <w:lang w:val="en-AU"/>
        </w:rPr>
        <w:t xml:space="preserve"> (***)</w:t>
      </w:r>
      <w:r w:rsidRPr="00CB10AD">
        <w:rPr>
          <w:i/>
          <w:lang w:val="en-AU"/>
        </w:rPr>
        <w:t xml:space="preserve"> -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p>
    <w:p w:rsidR="002B6C03" w:rsidRPr="00CB10AD" w:rsidRDefault="002B6C03" w:rsidP="002B6C03">
      <w:pPr>
        <w:rPr>
          <w:rStyle w:val="Strong"/>
          <w:b w:val="0"/>
          <w:lang w:val="en-AU"/>
        </w:rPr>
      </w:pPr>
    </w:p>
    <w:p w:rsidR="002B6C03" w:rsidRPr="00CB10AD" w:rsidRDefault="002B6C03" w:rsidP="002B6C03">
      <w:pPr>
        <w:rPr>
          <w:lang w:val="en-AU"/>
        </w:rPr>
      </w:pPr>
    </w:p>
    <w:p w:rsidR="00A42AA1" w:rsidRPr="00CB10AD" w:rsidRDefault="00E259CD">
      <w:pPr>
        <w:rPr>
          <w:lang w:val="en-AU"/>
        </w:rPr>
        <w:sectPr w:rsidR="00A42AA1" w:rsidRPr="00CB10AD" w:rsidSect="00A42AA1">
          <w:headerReference w:type="default" r:id="rId31"/>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r w:rsidRPr="00CB10AD">
        <w:rPr>
          <w:lang w:val="en-AU"/>
        </w:rPr>
        <w:br w:type="page"/>
      </w:r>
    </w:p>
    <w:p w:rsidR="00F6127C" w:rsidRPr="00CB10AD" w:rsidRDefault="00F6127C" w:rsidP="00C362E0">
      <w:pPr>
        <w:keepNext/>
        <w:numPr>
          <w:ilvl w:val="0"/>
          <w:numId w:val="9"/>
        </w:numPr>
        <w:spacing w:before="120" w:after="120"/>
        <w:ind w:hanging="720"/>
        <w:outlineLvl w:val="0"/>
        <w:rPr>
          <w:rFonts w:asciiTheme="minorHAnsi" w:hAnsiTheme="minorHAnsi" w:cstheme="minorHAnsi"/>
          <w:b/>
          <w:bCs/>
          <w:color w:val="003880"/>
          <w:kern w:val="32"/>
          <w:sz w:val="28"/>
          <w:szCs w:val="28"/>
          <w:lang w:val="en-AU"/>
        </w:rPr>
      </w:pPr>
      <w:bookmarkStart w:id="31" w:name="_Toc388253137"/>
      <w:r w:rsidRPr="00CB10AD">
        <w:rPr>
          <w:rFonts w:asciiTheme="minorHAnsi" w:hAnsiTheme="minorHAnsi" w:cstheme="minorHAnsi"/>
          <w:b/>
          <w:bCs/>
          <w:color w:val="003880"/>
          <w:kern w:val="32"/>
          <w:sz w:val="28"/>
          <w:szCs w:val="28"/>
          <w:lang w:val="en-AU"/>
        </w:rPr>
        <w:lastRenderedPageBreak/>
        <w:t>Component 2: School and District Management</w:t>
      </w:r>
      <w:bookmarkEnd w:id="31"/>
    </w:p>
    <w:p w:rsidR="00F6127C" w:rsidRPr="00CB10AD" w:rsidRDefault="00F6127C" w:rsidP="00C362E0">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 xml:space="preserve">Introduction </w:t>
      </w: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 xml:space="preserve">The EP investment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lang w:val="en-AU"/>
        </w:rPr>
        <w:t>Component 2 seeks to improve the management of schools and Madrasah. Specifically, it focuses on the professional developm</w:t>
      </w:r>
      <w:r w:rsidR="0043467C" w:rsidRPr="00CB10AD">
        <w:rPr>
          <w:lang w:val="en-AU"/>
        </w:rPr>
        <w:t>ent (PD) of education personnel</w:t>
      </w:r>
      <w:r w:rsidRPr="00CB10AD">
        <w:rPr>
          <w:lang w:val="en-AU"/>
        </w:rPr>
        <w:t xml:space="preserve"> and</w:t>
      </w:r>
      <w:r w:rsidR="007622D6" w:rsidRPr="00CB10AD">
        <w:rPr>
          <w:lang w:val="en-AU"/>
        </w:rPr>
        <w:t xml:space="preserve">, in particular, </w:t>
      </w:r>
      <w:r w:rsidRPr="00CB10AD">
        <w:rPr>
          <w:lang w:val="en-AU"/>
        </w:rPr>
        <w:t xml:space="preserve">school principals, supervisors, and district and provincial education officials. </w:t>
      </w:r>
      <w:r w:rsidRPr="00CB10AD">
        <w:rPr>
          <w:rFonts w:asciiTheme="minorHAnsi" w:hAnsiTheme="minorHAnsi" w:cstheme="minorHAnsi"/>
          <w:lang w:val="en-AU"/>
        </w:rPr>
        <w:t xml:space="preserve">The GoA seeks to support Indonesia’s efforts to develop its existing PD systems into a nationwide accredited training system. </w:t>
      </w:r>
    </w:p>
    <w:p w:rsidR="00F6127C" w:rsidRPr="00CB10AD" w:rsidRDefault="00F6127C" w:rsidP="00F6127C">
      <w:pPr>
        <w:spacing w:before="120" w:after="120" w:line="276" w:lineRule="auto"/>
        <w:jc w:val="both"/>
        <w:rPr>
          <w:lang w:val="en-AU"/>
        </w:rPr>
      </w:pPr>
      <w:r w:rsidRPr="00CB10AD">
        <w:rPr>
          <w:rFonts w:asciiTheme="minorHAnsi" w:hAnsiTheme="minorHAnsi" w:cstheme="minorHAnsi"/>
          <w:lang w:val="en-AU"/>
        </w:rPr>
        <w:t>T</w:t>
      </w:r>
      <w:r w:rsidRPr="00CB10AD">
        <w:rPr>
          <w:lang w:val="en-AU"/>
        </w:rPr>
        <w:t xml:space="preserve">he EP investment </w:t>
      </w:r>
      <w:r w:rsidRPr="00CB10AD">
        <w:rPr>
          <w:rFonts w:asciiTheme="minorHAnsi" w:hAnsiTheme="minorHAnsi" w:cstheme="minorHAnsi"/>
          <w:lang w:val="en-AU"/>
        </w:rPr>
        <w:t>is deemed to be strategically important</w:t>
      </w:r>
      <w:r w:rsidRPr="00CB10AD">
        <w:rPr>
          <w:lang w:val="en-AU"/>
        </w:rPr>
        <w:t xml:space="preserve">. Decentralization processes increasingly allocate greater responsibility for managing education resources to the district and school level. As such, the prevalence of weak competencies amongst the country’s estimated 293,000 principals, supervisors and district officials is deemed to be </w:t>
      </w:r>
      <w:r w:rsidR="007622D6" w:rsidRPr="00CB10AD">
        <w:rPr>
          <w:lang w:val="en-AU"/>
        </w:rPr>
        <w:t xml:space="preserve">a </w:t>
      </w:r>
      <w:r w:rsidRPr="00CB10AD">
        <w:rPr>
          <w:lang w:val="en-AU"/>
        </w:rPr>
        <w:t>crucial barrier to improved education quality</w:t>
      </w:r>
      <w:r w:rsidRPr="00CB10AD">
        <w:rPr>
          <w:vertAlign w:val="superscript"/>
          <w:lang w:val="en-AU"/>
        </w:rPr>
        <w:endnoteReference w:id="10"/>
      </w:r>
      <w:r w:rsidRPr="00CB10AD">
        <w:rPr>
          <w:lang w:val="en-AU"/>
        </w:rPr>
        <w:t xml:space="preserve">. </w:t>
      </w:r>
    </w:p>
    <w:p w:rsidR="00F6127C" w:rsidRPr="00CB10AD" w:rsidRDefault="00F6127C" w:rsidP="00F6127C">
      <w:pPr>
        <w:spacing w:before="120" w:after="120" w:line="276" w:lineRule="auto"/>
        <w:jc w:val="both"/>
        <w:rPr>
          <w:lang w:val="en-AU"/>
        </w:rPr>
      </w:pPr>
      <w:r w:rsidRPr="00CB10AD">
        <w:rPr>
          <w:lang w:val="en-AU"/>
        </w:rPr>
        <w:t xml:space="preserve">The </w:t>
      </w:r>
      <w:r w:rsidR="00634D91" w:rsidRPr="00CB10AD">
        <w:rPr>
          <w:lang w:val="en-AU"/>
        </w:rPr>
        <w:t xml:space="preserve">EP </w:t>
      </w:r>
      <w:r w:rsidRPr="00CB10AD">
        <w:rPr>
          <w:lang w:val="en-AU"/>
        </w:rPr>
        <w:t xml:space="preserve">PD system </w:t>
      </w:r>
      <w:r w:rsidR="00634D91" w:rsidRPr="00CB10AD">
        <w:rPr>
          <w:lang w:val="en-AU"/>
        </w:rPr>
        <w:t xml:space="preserve">(hereafter referred to as “the system” </w:t>
      </w:r>
      <w:r w:rsidRPr="00CB10AD">
        <w:rPr>
          <w:lang w:val="en-AU"/>
        </w:rPr>
        <w:t>comprises a number of sub-systems:</w:t>
      </w:r>
    </w:p>
    <w:p w:rsidR="00F6127C" w:rsidRPr="00CB10AD" w:rsidRDefault="00F6127C" w:rsidP="00F6127C">
      <w:pPr>
        <w:numPr>
          <w:ilvl w:val="0"/>
          <w:numId w:val="1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A </w:t>
      </w:r>
      <w:r w:rsidRPr="00CB10AD">
        <w:rPr>
          <w:rFonts w:asciiTheme="minorHAnsi" w:eastAsia="Calibri" w:hAnsiTheme="minorHAnsi" w:cstheme="minorHAnsi"/>
          <w:i/>
          <w:lang w:val="en-AU"/>
        </w:rPr>
        <w:t>Continuing Professional Development</w:t>
      </w:r>
      <w:r w:rsidRPr="00CB10AD">
        <w:rPr>
          <w:rFonts w:asciiTheme="minorHAnsi" w:eastAsia="Calibri" w:hAnsiTheme="minorHAnsi" w:cstheme="minorHAnsi"/>
          <w:lang w:val="en-AU"/>
        </w:rPr>
        <w:t xml:space="preserve"> (CPD)</w:t>
      </w:r>
      <w:r w:rsidRPr="00CB10AD">
        <w:rPr>
          <w:rFonts w:eastAsia="Calibri"/>
          <w:lang w:val="en-AU"/>
        </w:rPr>
        <w:t xml:space="preserve"> system for school principals</w:t>
      </w:r>
      <w:r w:rsidRPr="00CB10AD">
        <w:rPr>
          <w:rFonts w:asciiTheme="minorHAnsi" w:eastAsia="Calibri" w:hAnsiTheme="minorHAnsi" w:cstheme="minorHAnsi"/>
          <w:lang w:val="en-AU"/>
        </w:rPr>
        <w:t xml:space="preserve">, which contains a suite of graduated learning modules appropriate to different skill-sets, experience and job requirements. </w:t>
      </w:r>
    </w:p>
    <w:p w:rsidR="00F6127C" w:rsidRPr="00CB10AD" w:rsidRDefault="00F6127C" w:rsidP="00F6127C">
      <w:pPr>
        <w:numPr>
          <w:ilvl w:val="0"/>
          <w:numId w:val="14"/>
        </w:numPr>
        <w:spacing w:after="40" w:line="276" w:lineRule="auto"/>
        <w:jc w:val="both"/>
        <w:rPr>
          <w:rFonts w:asciiTheme="minorHAnsi" w:eastAsia="Calibri" w:hAnsiTheme="minorHAnsi" w:cstheme="minorHAnsi"/>
          <w:lang w:val="en-AU"/>
        </w:rPr>
      </w:pPr>
      <w:r w:rsidRPr="00CB10AD">
        <w:rPr>
          <w:rFonts w:eastAsia="Calibri"/>
          <w:lang w:val="en-AU"/>
        </w:rPr>
        <w:t xml:space="preserve">A </w:t>
      </w:r>
      <w:r w:rsidRPr="00CB10AD">
        <w:rPr>
          <w:rFonts w:eastAsia="Calibri"/>
          <w:i/>
          <w:lang w:val="en-AU"/>
        </w:rPr>
        <w:t>Principal Preparation Program</w:t>
      </w:r>
      <w:r w:rsidRPr="00CB10AD">
        <w:rPr>
          <w:rFonts w:eastAsia="Calibri"/>
          <w:lang w:val="en-AU"/>
        </w:rPr>
        <w:t xml:space="preserve"> (PPP) for aspiring principals, which </w:t>
      </w:r>
      <w:r w:rsidRPr="00CB10AD">
        <w:rPr>
          <w:rFonts w:asciiTheme="minorHAnsi" w:eastAsia="Calibri" w:hAnsiTheme="minorHAnsi" w:cstheme="minorHAnsi"/>
          <w:lang w:val="en-AU"/>
        </w:rPr>
        <w:t>improves the skills and competencies of potential future principals, and, in principle, should enable district authorities to consider test scores when choosing principals of MoEC schools.</w:t>
      </w:r>
    </w:p>
    <w:p w:rsidR="00F6127C" w:rsidRPr="00CB10AD" w:rsidRDefault="00F6127C" w:rsidP="00F6127C">
      <w:pPr>
        <w:numPr>
          <w:ilvl w:val="0"/>
          <w:numId w:val="1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The </w:t>
      </w:r>
      <w:r w:rsidRPr="00CB10AD">
        <w:rPr>
          <w:rFonts w:asciiTheme="minorHAnsi" w:eastAsia="Calibri" w:hAnsiTheme="minorHAnsi" w:cstheme="minorHAnsi"/>
          <w:i/>
          <w:lang w:val="en-AU"/>
        </w:rPr>
        <w:t>Supervisor Professional Development (SPD) Program</w:t>
      </w:r>
      <w:r w:rsidRPr="00CB10AD">
        <w:rPr>
          <w:rFonts w:asciiTheme="minorHAnsi" w:eastAsia="Calibri" w:hAnsiTheme="minorHAnsi" w:cstheme="minorHAnsi"/>
          <w:lang w:val="en-AU"/>
        </w:rPr>
        <w:t xml:space="preserve">, which seeks to improve the capability of the education </w:t>
      </w:r>
      <w:r w:rsidR="00BA5FED" w:rsidRPr="00CB10AD">
        <w:rPr>
          <w:rFonts w:asciiTheme="minorHAnsi" w:eastAsia="Calibri" w:hAnsiTheme="minorHAnsi" w:cstheme="minorHAnsi"/>
          <w:lang w:val="en-AU"/>
        </w:rPr>
        <w:t xml:space="preserve">supervisor </w:t>
      </w:r>
      <w:r w:rsidR="00634D91" w:rsidRPr="00CB10AD">
        <w:rPr>
          <w:rFonts w:asciiTheme="minorHAnsi" w:eastAsia="Calibri" w:hAnsiTheme="minorHAnsi" w:cstheme="minorHAnsi"/>
          <w:lang w:val="en-AU"/>
        </w:rPr>
        <w:t xml:space="preserve">cadre </w:t>
      </w:r>
      <w:r w:rsidRPr="00CB10AD">
        <w:rPr>
          <w:rFonts w:asciiTheme="minorHAnsi" w:eastAsia="Calibri" w:hAnsiTheme="minorHAnsi" w:cstheme="minorHAnsi"/>
          <w:lang w:val="en-AU"/>
        </w:rPr>
        <w:t>to support school principals.</w:t>
      </w:r>
      <w:r w:rsidR="00ED2DDA" w:rsidRPr="00CB10AD">
        <w:rPr>
          <w:rFonts w:asciiTheme="minorHAnsi" w:eastAsia="Calibri" w:hAnsiTheme="minorHAnsi" w:cstheme="minorHAnsi"/>
          <w:lang w:val="en-AU"/>
        </w:rPr>
        <w:t xml:space="preserve"> </w:t>
      </w:r>
    </w:p>
    <w:p w:rsidR="00F6127C" w:rsidRPr="00CB10AD" w:rsidRDefault="00F6127C" w:rsidP="00F6127C">
      <w:pPr>
        <w:numPr>
          <w:ilvl w:val="0"/>
          <w:numId w:val="1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i/>
          <w:lang w:val="en-AU"/>
        </w:rPr>
        <w:t>District and Provincial Official training programs</w:t>
      </w:r>
      <w:r w:rsidRPr="00CB10AD">
        <w:rPr>
          <w:rFonts w:asciiTheme="minorHAnsi" w:eastAsia="Calibri" w:hAnsiTheme="minorHAnsi" w:cstheme="minorHAnsi"/>
          <w:lang w:val="en-AU"/>
        </w:rPr>
        <w:t xml:space="preserve">, which contain up to three modules: </w:t>
      </w:r>
      <w:r w:rsidRPr="00CB10AD">
        <w:rPr>
          <w:rFonts w:eastAsia="Calibri"/>
          <w:lang w:val="en-AU"/>
        </w:rPr>
        <w:t xml:space="preserve">Human Resource Development and Management, Strategic Planning and Financial Management, and Access Planning (the latter being targeted at those 88 districts with a JSE GER of </w:t>
      </w:r>
      <w:r w:rsidRPr="00CB10AD">
        <w:rPr>
          <w:rFonts w:asciiTheme="minorHAnsi" w:eastAsia="Calibri" w:hAnsiTheme="minorHAnsi" w:cstheme="minorHAnsi"/>
          <w:lang w:val="en-AU"/>
        </w:rPr>
        <w:t xml:space="preserve">&lt; 90%). </w:t>
      </w:r>
    </w:p>
    <w:p w:rsidR="00F6127C" w:rsidRPr="00CB10AD" w:rsidRDefault="00F6127C" w:rsidP="00F6127C">
      <w:pPr>
        <w:numPr>
          <w:ilvl w:val="0"/>
          <w:numId w:val="14"/>
        </w:numPr>
        <w:spacing w:after="40" w:line="276" w:lineRule="auto"/>
        <w:jc w:val="both"/>
        <w:rPr>
          <w:rFonts w:eastAsia="Calibri"/>
          <w:lang w:val="en-AU"/>
        </w:rPr>
      </w:pPr>
      <w:r w:rsidRPr="00CB10AD">
        <w:rPr>
          <w:rFonts w:eastAsia="Calibri"/>
          <w:lang w:val="en-AU"/>
        </w:rPr>
        <w:t>Induction training in School-Based Management (SBM) for principals and school committees of schools built with EP funding.</w:t>
      </w:r>
    </w:p>
    <w:p w:rsidR="00F6127C" w:rsidRPr="00CB10AD" w:rsidRDefault="00F6127C" w:rsidP="00F6127C">
      <w:pPr>
        <w:numPr>
          <w:ilvl w:val="0"/>
          <w:numId w:val="14"/>
        </w:numPr>
        <w:spacing w:after="160" w:line="276" w:lineRule="auto"/>
        <w:jc w:val="both"/>
        <w:rPr>
          <w:rFonts w:eastAsia="Calibri"/>
          <w:lang w:val="en-AU"/>
        </w:rPr>
      </w:pPr>
      <w:r w:rsidRPr="00CB10AD">
        <w:rPr>
          <w:rFonts w:eastAsia="Calibri"/>
          <w:lang w:val="en-AU"/>
        </w:rPr>
        <w:t xml:space="preserve">A one-off training in the use of BOS funds for all school principals, relevant DEOs and school committee members.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By June 2016, </w:t>
      </w:r>
      <w:r w:rsidRPr="00CB10AD">
        <w:rPr>
          <w:rFonts w:asciiTheme="minorHAnsi" w:hAnsiTheme="minorHAnsi" w:cstheme="minorHAnsi"/>
          <w:bCs/>
          <w:iCs/>
          <w:lang w:val="en-AU"/>
        </w:rPr>
        <w:t>the system is expected to be operational and accessible</w:t>
      </w:r>
      <w:r w:rsidRPr="00CB10AD">
        <w:rPr>
          <w:rFonts w:ascii="Times New Roman" w:hAnsi="Times New Roman" w:cstheme="minorHAnsi"/>
          <w:bCs/>
          <w:iCs/>
          <w:vertAlign w:val="superscript"/>
          <w:lang w:val="en-AU"/>
        </w:rPr>
        <w:footnoteReference w:id="15"/>
      </w:r>
      <w:r w:rsidRPr="00CB10AD">
        <w:rPr>
          <w:rFonts w:asciiTheme="minorHAnsi" w:hAnsiTheme="minorHAnsi" w:cstheme="minorHAnsi"/>
          <w:bCs/>
          <w:iCs/>
          <w:lang w:val="en-AU"/>
        </w:rPr>
        <w:t xml:space="preserve"> in all provinces, with </w:t>
      </w:r>
      <w:r w:rsidR="006A3730" w:rsidRPr="00CB10AD">
        <w:rPr>
          <w:rFonts w:asciiTheme="minorHAnsi" w:hAnsiTheme="minorHAnsi" w:cstheme="minorHAnsi"/>
          <w:bCs/>
          <w:iCs/>
          <w:lang w:val="en-AU"/>
        </w:rPr>
        <w:t>s</w:t>
      </w:r>
      <w:r w:rsidRPr="00CB10AD">
        <w:rPr>
          <w:rFonts w:asciiTheme="minorHAnsi" w:hAnsiTheme="minorHAnsi" w:cstheme="minorHAnsi"/>
          <w:bCs/>
          <w:iCs/>
          <w:lang w:val="en-AU"/>
        </w:rPr>
        <w:t>chool and madrasah principals, supervisors and education officials</w:t>
      </w:r>
      <w:r w:rsidRPr="00CB10AD">
        <w:rPr>
          <w:rFonts w:asciiTheme="minorHAnsi" w:hAnsiTheme="minorHAnsi" w:cstheme="minorHAnsi"/>
          <w:lang w:val="en-AU"/>
        </w:rPr>
        <w:t xml:space="preserve"> in </w:t>
      </w:r>
      <w:r w:rsidR="00BA5FED" w:rsidRPr="00CB10AD">
        <w:rPr>
          <w:rFonts w:asciiTheme="minorHAnsi" w:hAnsiTheme="minorHAnsi" w:cstheme="minorHAnsi"/>
          <w:lang w:val="en-AU"/>
        </w:rPr>
        <w:t xml:space="preserve">up to </w:t>
      </w:r>
      <w:r w:rsidRPr="00CB10AD">
        <w:rPr>
          <w:rFonts w:asciiTheme="minorHAnsi" w:hAnsiTheme="minorHAnsi" w:cstheme="minorHAnsi"/>
          <w:lang w:val="en-AU"/>
        </w:rPr>
        <w:t xml:space="preserve">250 districts – approximately half of the country – expected to have enrolled and participated in </w:t>
      </w:r>
      <w:r w:rsidR="00BA5FED" w:rsidRPr="00CB10AD">
        <w:rPr>
          <w:rFonts w:asciiTheme="minorHAnsi" w:hAnsiTheme="minorHAnsi" w:cstheme="minorHAnsi"/>
          <w:lang w:val="en-AU"/>
        </w:rPr>
        <w:t xml:space="preserve">grant-funded </w:t>
      </w:r>
      <w:r w:rsidRPr="00CB10AD">
        <w:rPr>
          <w:rFonts w:asciiTheme="minorHAnsi" w:hAnsiTheme="minorHAnsi" w:cstheme="minorHAnsi"/>
          <w:lang w:val="en-AU"/>
        </w:rPr>
        <w:t xml:space="preserve">PD. At least 15% of the participants should </w:t>
      </w:r>
      <w:r w:rsidR="00CB43F5" w:rsidRPr="00CB10AD">
        <w:rPr>
          <w:rFonts w:asciiTheme="minorHAnsi" w:hAnsiTheme="minorHAnsi" w:cstheme="minorHAnsi"/>
          <w:lang w:val="en-AU"/>
        </w:rPr>
        <w:t xml:space="preserve">come </w:t>
      </w:r>
      <w:r w:rsidRPr="00CB10AD">
        <w:rPr>
          <w:rFonts w:asciiTheme="minorHAnsi" w:hAnsiTheme="minorHAnsi" w:cstheme="minorHAnsi"/>
          <w:lang w:val="en-AU"/>
        </w:rPr>
        <w:t>from the Islamic Education Sector (except in PPP)</w:t>
      </w:r>
      <w:r w:rsidRPr="00CB10AD">
        <w:rPr>
          <w:rFonts w:asciiTheme="minorHAnsi" w:hAnsiTheme="minorHAnsi" w:cstheme="minorHAnsi"/>
          <w:vertAlign w:val="superscript"/>
          <w:lang w:val="en-AU"/>
        </w:rPr>
        <w:endnoteReference w:id="11"/>
      </w:r>
      <w:r w:rsidRPr="00CB10AD">
        <w:rPr>
          <w:rFonts w:asciiTheme="minorHAnsi" w:hAnsiTheme="minorHAnsi" w:cstheme="minorHAnsi"/>
          <w:lang w:val="en-AU"/>
        </w:rPr>
        <w:t>.</w:t>
      </w:r>
    </w:p>
    <w:p w:rsidR="00F6127C" w:rsidRPr="00CB10AD" w:rsidRDefault="00F6127C" w:rsidP="00F6127C">
      <w:pPr>
        <w:spacing w:before="120" w:after="120" w:line="276" w:lineRule="auto"/>
        <w:jc w:val="both"/>
        <w:rPr>
          <w:rFonts w:asciiTheme="minorHAnsi" w:hAnsiTheme="minorHAnsi" w:cstheme="minorHAnsi"/>
          <w:bCs/>
          <w:iCs/>
          <w:lang w:val="en-AU"/>
        </w:rPr>
      </w:pPr>
      <w:r w:rsidRPr="00CB10AD">
        <w:rPr>
          <w:rFonts w:asciiTheme="minorHAnsi" w:hAnsiTheme="minorHAnsi" w:cstheme="minorHAnsi"/>
          <w:lang w:val="en-AU"/>
        </w:rPr>
        <w:t>The system is expected to improve the professional competencies of school and madrasah principals, supervisors and education officials</w:t>
      </w:r>
      <w:r w:rsidR="000F1AA4" w:rsidRPr="00CB10AD">
        <w:rPr>
          <w:rFonts w:cstheme="minorHAnsi"/>
          <w:vertAlign w:val="superscript"/>
          <w:lang w:val="en-AU"/>
        </w:rPr>
        <w:footnoteReference w:id="16"/>
      </w:r>
      <w:r w:rsidR="000F1AA4" w:rsidRPr="00CB10AD">
        <w:rPr>
          <w:rFonts w:asciiTheme="minorHAnsi" w:hAnsiTheme="minorHAnsi" w:cstheme="minorHAnsi"/>
          <w:lang w:val="en-AU"/>
        </w:rPr>
        <w:t xml:space="preserve"> </w:t>
      </w:r>
      <w:r w:rsidRPr="00CB10AD">
        <w:rPr>
          <w:rFonts w:asciiTheme="minorHAnsi" w:hAnsiTheme="minorHAnsi" w:cstheme="minorHAnsi"/>
          <w:vertAlign w:val="superscript"/>
          <w:lang w:val="en-AU"/>
        </w:rPr>
        <w:endnoteReference w:id="12"/>
      </w:r>
      <w:r w:rsidRPr="00CB10AD">
        <w:rPr>
          <w:rFonts w:asciiTheme="minorHAnsi" w:hAnsiTheme="minorHAnsi" w:cstheme="minorHAnsi"/>
          <w:lang w:val="en-AU"/>
        </w:rPr>
        <w:t>. When implemented, the system will enable staff to reach base-level accreditation in school and district management, leaving them better able to perform professional duties</w:t>
      </w:r>
      <w:r w:rsidRPr="00CB10AD">
        <w:rPr>
          <w:rFonts w:asciiTheme="minorHAnsi" w:hAnsiTheme="minorHAnsi" w:cstheme="minorHAnsi"/>
          <w:bCs/>
          <w:iCs/>
          <w:vertAlign w:val="superscript"/>
          <w:lang w:val="en-AU"/>
        </w:rPr>
        <w:endnoteReference w:id="13"/>
      </w:r>
      <w:r w:rsidRPr="00CB10AD">
        <w:rPr>
          <w:rFonts w:asciiTheme="minorHAnsi" w:hAnsiTheme="minorHAnsi" w:cstheme="minorHAnsi"/>
          <w:lang w:val="en-AU"/>
        </w:rPr>
        <w:t>. The management of schools and madrasah is expected to improve as a “direct consequence”</w:t>
      </w:r>
      <w:r w:rsidRPr="00CB10AD">
        <w:rPr>
          <w:rFonts w:asciiTheme="minorHAnsi" w:hAnsiTheme="minorHAnsi" w:cstheme="minorHAnsi"/>
          <w:vertAlign w:val="superscript"/>
          <w:lang w:val="en-AU"/>
        </w:rPr>
        <w:endnoteReference w:id="14"/>
      </w:r>
      <w:r w:rsidRPr="00CB10AD">
        <w:rPr>
          <w:rFonts w:asciiTheme="minorHAnsi" w:hAnsiTheme="minorHAnsi" w:cstheme="minorHAnsi"/>
          <w:lang w:val="en-AU"/>
        </w:rPr>
        <w:t xml:space="preserve">. This, in turn, is expected to contribute </w:t>
      </w:r>
      <w:r w:rsidRPr="00CB10AD">
        <w:rPr>
          <w:rFonts w:asciiTheme="minorHAnsi" w:hAnsiTheme="minorHAnsi" w:cstheme="minorHAnsi"/>
          <w:bCs/>
          <w:iCs/>
          <w:lang w:val="en-AU"/>
        </w:rPr>
        <w:t xml:space="preserve">to an improvement in the quality of the education provided in targeted schools and districts, and to improved education service delivery </w:t>
      </w:r>
      <w:r w:rsidRPr="00CB10AD">
        <w:rPr>
          <w:rFonts w:asciiTheme="minorHAnsi" w:hAnsiTheme="minorHAnsi" w:cstheme="minorHAnsi"/>
          <w:bCs/>
          <w:iCs/>
          <w:lang w:val="en-AU"/>
        </w:rPr>
        <w:lastRenderedPageBreak/>
        <w:t>nationwide</w:t>
      </w:r>
      <w:r w:rsidRPr="00CB10AD">
        <w:rPr>
          <w:rFonts w:asciiTheme="minorHAnsi" w:hAnsiTheme="minorHAnsi" w:cstheme="minorHAnsi"/>
          <w:bCs/>
          <w:iCs/>
          <w:vertAlign w:val="superscript"/>
          <w:lang w:val="en-AU"/>
        </w:rPr>
        <w:endnoteReference w:id="15"/>
      </w:r>
      <w:r w:rsidRPr="00CB10AD">
        <w:rPr>
          <w:rFonts w:asciiTheme="minorHAnsi" w:hAnsiTheme="minorHAnsi" w:cstheme="minorHAnsi"/>
          <w:bCs/>
          <w:iCs/>
          <w:lang w:val="en-AU"/>
        </w:rPr>
        <w:t xml:space="preserve">. Ultimately, the EP is expected to make an important contribution to the </w:t>
      </w:r>
      <w:r w:rsidRPr="00CB10AD">
        <w:rPr>
          <w:rFonts w:asciiTheme="minorHAnsi" w:hAnsiTheme="minorHAnsi" w:cstheme="minorHAnsi"/>
          <w:lang w:val="en-AU"/>
        </w:rPr>
        <w:t>Renstra target of improving the quality of basic education (for all children).</w:t>
      </w:r>
      <w:r w:rsidRPr="00CB10AD">
        <w:rPr>
          <w:rFonts w:asciiTheme="minorHAnsi" w:hAnsiTheme="minorHAnsi" w:cstheme="minorHAnsi"/>
          <w:bCs/>
          <w:iCs/>
          <w:lang w:val="en-AU"/>
        </w:rPr>
        <w:t xml:space="preserve"> </w:t>
      </w: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The delivery mechanisms and support provided by the EP</w:t>
      </w:r>
    </w:p>
    <w:p w:rsidR="00F6127C" w:rsidRPr="00CB10AD" w:rsidRDefault="00F6127C" w:rsidP="00F6127C">
      <w:pPr>
        <w:spacing w:before="120" w:after="120" w:line="276" w:lineRule="auto"/>
        <w:jc w:val="both"/>
        <w:rPr>
          <w:rFonts w:asciiTheme="minorHAnsi" w:hAnsiTheme="minorHAnsi" w:cstheme="minorHAnsi"/>
          <w:bCs/>
          <w:iCs/>
          <w:lang w:val="en-AU"/>
        </w:rPr>
      </w:pPr>
      <w:r w:rsidRPr="00CB10AD">
        <w:rPr>
          <w:rFonts w:asciiTheme="minorHAnsi" w:hAnsiTheme="minorHAnsi" w:cstheme="minorHAnsi"/>
          <w:lang w:val="en-AU"/>
        </w:rPr>
        <w:t>Component 2 is delivered through a combination of technical assistance and, from late 2013, earmarked budget support in line with the Grant Agreement between the Governments of Indonesia and Australia</w:t>
      </w:r>
      <w:r w:rsidRPr="00CB10AD">
        <w:rPr>
          <w:rFonts w:cstheme="minorHAnsi"/>
          <w:vertAlign w:val="superscript"/>
          <w:lang w:val="en-AU"/>
        </w:rPr>
        <w:endnoteReference w:id="16"/>
      </w:r>
      <w:r w:rsidRPr="00CB10AD">
        <w:rPr>
          <w:rFonts w:asciiTheme="minorHAnsi" w:hAnsiTheme="minorHAnsi" w:cstheme="minorHAnsi"/>
          <w:lang w:val="en-AU"/>
        </w:rPr>
        <w:t xml:space="preserve">. </w:t>
      </w:r>
      <w:r w:rsidRPr="00CB10AD">
        <w:rPr>
          <w:rFonts w:asciiTheme="minorHAnsi" w:hAnsiTheme="minorHAnsi" w:cstheme="minorHAnsi"/>
          <w:bCs/>
          <w:iCs/>
          <w:lang w:val="en-AU"/>
        </w:rPr>
        <w:t xml:space="preserve">From late 2013 MoEC, </w:t>
      </w:r>
      <w:r w:rsidRPr="00CB10AD">
        <w:rPr>
          <w:lang w:val="en-AU"/>
        </w:rPr>
        <w:t xml:space="preserve">and specifically the Board of Education and Culture – Human Resources Development and Education Quality Assurance and its </w:t>
      </w:r>
      <w:r w:rsidRPr="00CB10AD">
        <w:rPr>
          <w:i/>
          <w:lang w:val="en-AU"/>
        </w:rPr>
        <w:t>Pusbangtendik</w:t>
      </w:r>
      <w:r w:rsidRPr="00CB10AD">
        <w:rPr>
          <w:lang w:val="en-AU"/>
        </w:rPr>
        <w:t xml:space="preserve">, </w:t>
      </w:r>
      <w:r w:rsidRPr="00CB10AD">
        <w:rPr>
          <w:rFonts w:asciiTheme="minorHAnsi" w:hAnsiTheme="minorHAnsi" w:cstheme="minorHAnsi"/>
          <w:bCs/>
          <w:iCs/>
          <w:lang w:val="en-AU"/>
        </w:rPr>
        <w:t xml:space="preserve">will be responsible for implementing the system. GoA will finance the delivery of the system until 2016 and has allocated AUD 110m for this purpose. </w:t>
      </w:r>
    </w:p>
    <w:p w:rsidR="00F6127C" w:rsidRPr="00CB10AD" w:rsidRDefault="00F6127C" w:rsidP="00C362E0">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Context</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focus on quality improvements in the MoEC and MoRA Renstras remains important and timely since </w:t>
      </w:r>
      <w:r w:rsidR="004F2287" w:rsidRPr="00CB10AD">
        <w:rPr>
          <w:rFonts w:asciiTheme="minorHAnsi" w:hAnsiTheme="minorHAnsi" w:cstheme="minorHAnsi"/>
          <w:lang w:val="en-AU"/>
        </w:rPr>
        <w:t xml:space="preserve">the sector’s ability to deliver improved </w:t>
      </w:r>
      <w:r w:rsidRPr="00CB10AD">
        <w:rPr>
          <w:rFonts w:asciiTheme="minorHAnsi" w:hAnsiTheme="minorHAnsi" w:cstheme="minorHAnsi"/>
          <w:lang w:val="en-AU"/>
        </w:rPr>
        <w:t>learning outcomes has remained stubbornly poor. Of the 65 countries surveyed in the most recent PISA report (2013), Indonesia ranked 60th in reading, and 64th in mathematics and</w:t>
      </w:r>
      <w:r w:rsidR="004F2287" w:rsidRPr="00CB10AD">
        <w:rPr>
          <w:rFonts w:asciiTheme="minorHAnsi" w:hAnsiTheme="minorHAnsi" w:cstheme="minorHAnsi"/>
          <w:lang w:val="en-AU"/>
        </w:rPr>
        <w:t xml:space="preserve"> 64</w:t>
      </w:r>
      <w:r w:rsidR="004F2287" w:rsidRPr="00CB10AD">
        <w:rPr>
          <w:rFonts w:asciiTheme="minorHAnsi" w:hAnsiTheme="minorHAnsi" w:cstheme="minorHAnsi"/>
          <w:vertAlign w:val="superscript"/>
          <w:lang w:val="en-AU"/>
        </w:rPr>
        <w:t>th</w:t>
      </w:r>
      <w:r w:rsidR="004F2287" w:rsidRPr="00CB10AD">
        <w:rPr>
          <w:rFonts w:asciiTheme="minorHAnsi" w:hAnsiTheme="minorHAnsi" w:cstheme="minorHAnsi"/>
          <w:lang w:val="en-AU"/>
        </w:rPr>
        <w:t xml:space="preserve"> in</w:t>
      </w:r>
      <w:r w:rsidRPr="00CB10AD">
        <w:rPr>
          <w:rFonts w:asciiTheme="minorHAnsi" w:hAnsiTheme="minorHAnsi" w:cstheme="minorHAnsi"/>
          <w:lang w:val="en-AU"/>
        </w:rPr>
        <w:t xml:space="preserve"> science.</w:t>
      </w:r>
      <w:r w:rsidRPr="00CB10AD">
        <w:rPr>
          <w:rFonts w:asciiTheme="minorHAnsi" w:hAnsiTheme="minorHAnsi" w:cstheme="minorHAnsi"/>
          <w:vertAlign w:val="superscript"/>
          <w:lang w:val="en-AU"/>
        </w:rPr>
        <w:endnoteReference w:id="17"/>
      </w:r>
      <w:r w:rsidRPr="00CB10AD">
        <w:rPr>
          <w:rFonts w:asciiTheme="minorHAnsi" w:hAnsiTheme="minorHAnsi" w:cstheme="minorHAnsi"/>
          <w:lang w:val="en-AU"/>
        </w:rPr>
        <w:t xml:space="preserve"> Neither the scores nor the ranking has progressed much since 2009. </w:t>
      </w:r>
    </w:p>
    <w:p w:rsidR="00F6127C" w:rsidRPr="00CB10AD" w:rsidRDefault="00F6127C" w:rsidP="00C362E0">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Achievements</w:t>
      </w:r>
    </w:p>
    <w:p w:rsidR="00BB5AEC" w:rsidRPr="00CB10AD" w:rsidRDefault="00F6127C" w:rsidP="00DA1B0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C</w:t>
      </w:r>
      <w:r w:rsidR="00634D91" w:rsidRPr="00CB10AD">
        <w:rPr>
          <w:rFonts w:asciiTheme="minorHAnsi" w:hAnsiTheme="minorHAnsi" w:cstheme="minorHAnsi"/>
          <w:lang w:val="en-AU"/>
        </w:rPr>
        <w:t xml:space="preserve">omponent </w:t>
      </w:r>
      <w:r w:rsidR="0043467C" w:rsidRPr="00CB10AD">
        <w:rPr>
          <w:rFonts w:asciiTheme="minorHAnsi" w:hAnsiTheme="minorHAnsi" w:cstheme="minorHAnsi"/>
          <w:lang w:val="en-AU"/>
        </w:rPr>
        <w:t>2</w:t>
      </w:r>
      <w:r w:rsidRPr="00CB10AD">
        <w:rPr>
          <w:rFonts w:asciiTheme="minorHAnsi" w:hAnsiTheme="minorHAnsi" w:cstheme="minorHAnsi"/>
          <w:lang w:val="en-AU"/>
        </w:rPr>
        <w:t xml:space="preserve"> registered several significant achievements in 2013, which </w:t>
      </w:r>
      <w:r w:rsidR="004F2287" w:rsidRPr="00CB10AD">
        <w:rPr>
          <w:rFonts w:asciiTheme="minorHAnsi" w:hAnsiTheme="minorHAnsi" w:cstheme="minorHAnsi"/>
          <w:lang w:val="en-AU"/>
        </w:rPr>
        <w:t xml:space="preserve">will lay </w:t>
      </w:r>
      <w:r w:rsidRPr="00CB10AD">
        <w:rPr>
          <w:rFonts w:asciiTheme="minorHAnsi" w:hAnsiTheme="minorHAnsi" w:cstheme="minorHAnsi"/>
          <w:lang w:val="en-AU"/>
        </w:rPr>
        <w:t xml:space="preserve">the foundations for GoI-led implementation in 2014 and beyond. </w:t>
      </w:r>
      <w:r w:rsidR="00BB5AEC" w:rsidRPr="00CB10AD">
        <w:rPr>
          <w:rFonts w:asciiTheme="minorHAnsi" w:hAnsiTheme="minorHAnsi" w:cstheme="minorHAnsi"/>
          <w:lang w:val="en-AU"/>
        </w:rPr>
        <w:t xml:space="preserve">These achievements were a culmination of series of steps identified in the original design document that were necessary to </w:t>
      </w:r>
      <w:r w:rsidR="00634D91" w:rsidRPr="00CB10AD">
        <w:rPr>
          <w:rFonts w:asciiTheme="minorHAnsi" w:hAnsiTheme="minorHAnsi" w:cstheme="minorHAnsi"/>
          <w:lang w:val="en-AU"/>
        </w:rPr>
        <w:t>rele</w:t>
      </w:r>
      <w:r w:rsidR="00BB5AEC" w:rsidRPr="00CB10AD">
        <w:rPr>
          <w:rFonts w:asciiTheme="minorHAnsi" w:hAnsiTheme="minorHAnsi" w:cstheme="minorHAnsi"/>
          <w:lang w:val="en-AU"/>
        </w:rPr>
        <w:t xml:space="preserve">ase Australian funds. These included: a review of existing training systems and institutions; a review of related public financial management systems; the piloting and testing of the proposed system; the development of operational and financial guidelines; and the development of the </w:t>
      </w:r>
      <w:r w:rsidR="00634D91" w:rsidRPr="00CB10AD">
        <w:rPr>
          <w:rFonts w:asciiTheme="minorHAnsi" w:hAnsiTheme="minorHAnsi" w:cstheme="minorHAnsi"/>
          <w:lang w:val="en-AU"/>
        </w:rPr>
        <w:t>G</w:t>
      </w:r>
      <w:r w:rsidR="00BB5AEC" w:rsidRPr="00CB10AD">
        <w:rPr>
          <w:rFonts w:asciiTheme="minorHAnsi" w:hAnsiTheme="minorHAnsi" w:cstheme="minorHAnsi"/>
          <w:lang w:val="en-AU"/>
        </w:rPr>
        <w:t xml:space="preserve">rant </w:t>
      </w:r>
      <w:r w:rsidR="00634D91" w:rsidRPr="00CB10AD">
        <w:rPr>
          <w:rFonts w:asciiTheme="minorHAnsi" w:hAnsiTheme="minorHAnsi" w:cstheme="minorHAnsi"/>
          <w:lang w:val="en-AU"/>
        </w:rPr>
        <w:t>A</w:t>
      </w:r>
      <w:r w:rsidR="00BB5AEC" w:rsidRPr="00CB10AD">
        <w:rPr>
          <w:rFonts w:asciiTheme="minorHAnsi" w:hAnsiTheme="minorHAnsi" w:cstheme="minorHAnsi"/>
          <w:lang w:val="en-AU"/>
        </w:rPr>
        <w:t>greement for the program.</w:t>
      </w:r>
    </w:p>
    <w:p w:rsidR="004F2287"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Of particular note</w:t>
      </w:r>
      <w:r w:rsidR="00BB5AEC" w:rsidRPr="00CB10AD">
        <w:rPr>
          <w:rFonts w:asciiTheme="minorHAnsi" w:hAnsiTheme="minorHAnsi" w:cstheme="minorHAnsi"/>
          <w:lang w:val="en-AU"/>
        </w:rPr>
        <w:t>, therefore, was</w:t>
      </w:r>
      <w:r w:rsidRPr="00CB10AD">
        <w:rPr>
          <w:rFonts w:asciiTheme="minorHAnsi" w:hAnsiTheme="minorHAnsi" w:cstheme="minorHAnsi"/>
          <w:lang w:val="en-AU"/>
        </w:rPr>
        <w:t xml:space="preserve"> the signature on 04 July 2013 of the Grant Agreement Deed between the Governments of Australia and of Indonesia relating to the Professional Development for Education Personnel. MoEC, SSQ and DFAT further developed or finalized key supporting documents, such as the overarching Procedures Manual, a Procurement Manual and a Management Information System. In addition, the PAF</w:t>
      </w:r>
      <w:r w:rsidR="004F2287" w:rsidRPr="00CB10AD">
        <w:rPr>
          <w:rFonts w:asciiTheme="minorHAnsi" w:hAnsiTheme="minorHAnsi" w:cstheme="minorHAnsi"/>
          <w:lang w:val="en-AU"/>
        </w:rPr>
        <w:t>,</w:t>
      </w:r>
      <w:r w:rsidRPr="00CB10AD">
        <w:rPr>
          <w:rFonts w:asciiTheme="minorHAnsi" w:hAnsiTheme="minorHAnsi" w:cstheme="minorHAnsi"/>
          <w:lang w:val="en-AU"/>
        </w:rPr>
        <w:t xml:space="preserve"> which is part of the GA</w:t>
      </w:r>
      <w:r w:rsidR="004F2287" w:rsidRPr="00CB10AD">
        <w:rPr>
          <w:rFonts w:asciiTheme="minorHAnsi" w:hAnsiTheme="minorHAnsi" w:cstheme="minorHAnsi"/>
          <w:lang w:val="en-AU"/>
        </w:rPr>
        <w:t>,</w:t>
      </w:r>
      <w:r w:rsidRPr="00CB10AD">
        <w:rPr>
          <w:rFonts w:asciiTheme="minorHAnsi" w:hAnsiTheme="minorHAnsi" w:cstheme="minorHAnsi"/>
          <w:lang w:val="en-AU"/>
        </w:rPr>
        <w:t xml:space="preserve"> has been developed (draft version) and has been used to draft the M&amp;E plan of activities of the system</w:t>
      </w:r>
      <w:r w:rsidRPr="00CB10AD">
        <w:rPr>
          <w:rFonts w:asciiTheme="minorHAnsi" w:hAnsiTheme="minorHAnsi" w:cstheme="minorHAnsi"/>
          <w:vertAlign w:val="superscript"/>
          <w:lang w:val="en-AU"/>
        </w:rPr>
        <w:endnoteReference w:id="18"/>
      </w:r>
      <w:r w:rsidR="005E136C" w:rsidRPr="00CB10AD">
        <w:rPr>
          <w:rFonts w:asciiTheme="minorHAnsi" w:hAnsiTheme="minorHAnsi" w:cstheme="minorHAnsi"/>
          <w:lang w:val="en-AU"/>
        </w:rPr>
        <w:t>.</w:t>
      </w:r>
      <w:r w:rsidRPr="00CB10AD">
        <w:rPr>
          <w:rFonts w:asciiTheme="minorHAnsi" w:hAnsiTheme="minorHAnsi" w:cstheme="minorHAnsi"/>
          <w:lang w:val="en-AU"/>
        </w:rPr>
        <w:t xml:space="preserve"> </w:t>
      </w:r>
    </w:p>
    <w:p w:rsidR="00BB36B2" w:rsidRPr="00CB10AD" w:rsidRDefault="004F2287" w:rsidP="00BB36B2">
      <w:pPr>
        <w:spacing w:before="120" w:after="120" w:line="276" w:lineRule="auto"/>
        <w:jc w:val="both"/>
        <w:rPr>
          <w:lang w:val="en-AU"/>
        </w:rPr>
      </w:pPr>
      <w:r w:rsidRPr="00CB10AD">
        <w:rPr>
          <w:rFonts w:asciiTheme="minorHAnsi" w:hAnsiTheme="minorHAnsi" w:cstheme="minorHAnsi"/>
          <w:lang w:val="en-AU"/>
        </w:rPr>
        <w:t>Progress has been made by MoEC in preparing the legal framework</w:t>
      </w:r>
      <w:r w:rsidRPr="00CB10AD">
        <w:rPr>
          <w:rFonts w:asciiTheme="minorHAnsi" w:hAnsiTheme="minorHAnsi" w:cstheme="minorHAnsi"/>
          <w:vertAlign w:val="superscript"/>
          <w:lang w:val="en-AU"/>
        </w:rPr>
        <w:endnoteReference w:id="19"/>
      </w:r>
      <w:r w:rsidRPr="00CB10AD">
        <w:rPr>
          <w:rFonts w:asciiTheme="minorHAnsi" w:hAnsiTheme="minorHAnsi" w:cstheme="minorHAnsi"/>
          <w:lang w:val="en-AU"/>
        </w:rPr>
        <w:t xml:space="preserve"> for rolling out the system (</w:t>
      </w:r>
      <w:r w:rsidRPr="00CB10AD">
        <w:rPr>
          <w:rFonts w:asciiTheme="minorHAnsi" w:hAnsiTheme="minorHAnsi" w:cstheme="minorHAnsi"/>
          <w:i/>
          <w:lang w:val="en-AU"/>
        </w:rPr>
        <w:t>juklak</w:t>
      </w:r>
      <w:r w:rsidRPr="00CB10AD">
        <w:rPr>
          <w:rFonts w:asciiTheme="minorHAnsi" w:hAnsiTheme="minorHAnsi" w:cstheme="minorHAnsi"/>
          <w:lang w:val="en-AU"/>
        </w:rPr>
        <w:t>)</w:t>
      </w:r>
      <w:r w:rsidRPr="00CB10AD">
        <w:rPr>
          <w:rFonts w:ascii="Times New Roman" w:hAnsi="Times New Roman" w:cstheme="minorHAnsi"/>
          <w:vertAlign w:val="superscript"/>
          <w:lang w:val="en-AU"/>
        </w:rPr>
        <w:footnoteReference w:id="17"/>
      </w:r>
      <w:r w:rsidRPr="00CB10AD">
        <w:rPr>
          <w:rFonts w:asciiTheme="minorHAnsi" w:hAnsiTheme="minorHAnsi" w:cstheme="minorHAnsi"/>
          <w:lang w:val="en-AU"/>
        </w:rPr>
        <w:t>.</w:t>
      </w:r>
      <w:r w:rsidRPr="00CB10AD">
        <w:rPr>
          <w:rFonts w:asciiTheme="minorHAnsi" w:hAnsiTheme="minorHAnsi"/>
          <w:lang w:val="en-AU"/>
        </w:rPr>
        <w:t xml:space="preserve"> SSQ has facilitated workshops and provided technical assistance in drafting the new Supervisor Regulation</w:t>
      </w:r>
      <w:r w:rsidR="005E136C" w:rsidRPr="00CB10AD">
        <w:rPr>
          <w:rFonts w:asciiTheme="minorHAnsi" w:hAnsiTheme="minorHAnsi"/>
          <w:lang w:val="en-AU"/>
        </w:rPr>
        <w:t xml:space="preserve"> </w:t>
      </w:r>
      <w:r w:rsidRPr="00CB10AD">
        <w:rPr>
          <w:rFonts w:asciiTheme="minorHAnsi" w:hAnsiTheme="minorHAnsi"/>
          <w:lang w:val="en-AU"/>
        </w:rPr>
        <w:t xml:space="preserve">and it was reported that the draft has been tested through a number of </w:t>
      </w:r>
      <w:r w:rsidRPr="00CB10AD">
        <w:rPr>
          <w:rFonts w:asciiTheme="minorHAnsi" w:hAnsiTheme="minorHAnsi" w:cstheme="minorHAnsi"/>
          <w:lang w:val="en-AU"/>
        </w:rPr>
        <w:t>workshops in several provinces</w:t>
      </w:r>
      <w:r w:rsidRPr="00CB10AD">
        <w:rPr>
          <w:rFonts w:asciiTheme="minorHAnsi" w:hAnsiTheme="minorHAnsi" w:cstheme="minorHAnsi"/>
          <w:vertAlign w:val="superscript"/>
          <w:lang w:val="en-AU"/>
        </w:rPr>
        <w:endnoteReference w:id="20"/>
      </w:r>
      <w:r w:rsidRPr="00CB10AD">
        <w:rPr>
          <w:rFonts w:asciiTheme="minorHAnsi" w:hAnsiTheme="minorHAnsi" w:cstheme="minorHAnsi"/>
          <w:lang w:val="en-AU"/>
        </w:rPr>
        <w:t xml:space="preserve">. </w:t>
      </w:r>
      <w:r w:rsidR="00BB36B2" w:rsidRPr="00CB10AD">
        <w:rPr>
          <w:rFonts w:asciiTheme="minorHAnsi" w:hAnsiTheme="minorHAnsi" w:cstheme="minorHAnsi"/>
          <w:lang w:val="en-AU"/>
        </w:rPr>
        <w:t xml:space="preserve">In addition, </w:t>
      </w:r>
      <w:r w:rsidR="00BB36B2" w:rsidRPr="00CB10AD">
        <w:rPr>
          <w:lang w:val="en-AU"/>
        </w:rPr>
        <w:t>the MoF regulation</w:t>
      </w:r>
      <w:r w:rsidR="00BB36B2" w:rsidRPr="00CB10AD">
        <w:rPr>
          <w:rStyle w:val="FootnoteReference"/>
          <w:lang w:val="en-AU"/>
        </w:rPr>
        <w:footnoteReference w:id="18"/>
      </w:r>
      <w:r w:rsidR="00BB36B2" w:rsidRPr="00CB10AD">
        <w:rPr>
          <w:lang w:val="en-AU"/>
        </w:rPr>
        <w:t xml:space="preserve"> required to allow MoEC to implement activities of the system through special account funds was signed on 17 December 2013. Activities can be funded once the MoEC </w:t>
      </w:r>
      <w:r w:rsidR="007269E9" w:rsidRPr="00196F93">
        <w:rPr>
          <w:i/>
          <w:lang w:val="en-AU"/>
        </w:rPr>
        <w:t>Daftar Isian Pelaksanaan Anggaran</w:t>
      </w:r>
      <w:r w:rsidR="007269E9" w:rsidRPr="00CB10AD">
        <w:rPr>
          <w:lang w:val="en-AU"/>
        </w:rPr>
        <w:t xml:space="preserve"> </w:t>
      </w:r>
      <w:r w:rsidR="007269E9">
        <w:rPr>
          <w:lang w:val="en-AU"/>
        </w:rPr>
        <w:t>(</w:t>
      </w:r>
      <w:r w:rsidR="00BB36B2" w:rsidRPr="00CB10AD">
        <w:rPr>
          <w:lang w:val="en-AU"/>
        </w:rPr>
        <w:t>DIPA</w:t>
      </w:r>
      <w:r w:rsidR="007269E9">
        <w:rPr>
          <w:lang w:val="en-AU"/>
        </w:rPr>
        <w:t>)</w:t>
      </w:r>
      <w:r w:rsidR="00BB36B2" w:rsidRPr="00CB10AD">
        <w:rPr>
          <w:lang w:val="en-AU"/>
        </w:rPr>
        <w:t xml:space="preserve"> is approved</w:t>
      </w:r>
      <w:r w:rsidR="00BB36B2" w:rsidRPr="00CB10AD">
        <w:rPr>
          <w:vertAlign w:val="superscript"/>
          <w:lang w:val="en-AU"/>
        </w:rPr>
        <w:endnoteReference w:id="21"/>
      </w:r>
      <w:r w:rsidR="00BB36B2" w:rsidRPr="00CB10AD">
        <w:rPr>
          <w:lang w:val="en-AU"/>
        </w:rPr>
        <w:t>.</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Besides the GA and supporting measures, technical modules were extensively piloted and trainers trained, whilst the SSQ C2 team</w:t>
      </w:r>
      <w:r w:rsidR="00634D91" w:rsidRPr="00CB10AD">
        <w:rPr>
          <w:rFonts w:asciiTheme="minorHAnsi" w:hAnsiTheme="minorHAnsi" w:cstheme="minorHAnsi"/>
          <w:lang w:val="en-AU"/>
        </w:rPr>
        <w:t xml:space="preserve">, with the support of </w:t>
      </w:r>
      <w:r w:rsidRPr="00CB10AD">
        <w:rPr>
          <w:rFonts w:asciiTheme="minorHAnsi" w:hAnsiTheme="minorHAnsi" w:cstheme="minorHAnsi"/>
          <w:lang w:val="en-AU"/>
        </w:rPr>
        <w:t>colleagues in C1</w:t>
      </w:r>
      <w:r w:rsidR="00634D91" w:rsidRPr="00CB10AD">
        <w:rPr>
          <w:rFonts w:asciiTheme="minorHAnsi" w:hAnsiTheme="minorHAnsi" w:cstheme="minorHAnsi"/>
          <w:lang w:val="en-AU"/>
        </w:rPr>
        <w:t xml:space="preserve">, </w:t>
      </w:r>
      <w:r w:rsidRPr="00CB10AD">
        <w:rPr>
          <w:rFonts w:asciiTheme="minorHAnsi" w:hAnsiTheme="minorHAnsi" w:cstheme="minorHAnsi"/>
          <w:lang w:val="en-AU"/>
        </w:rPr>
        <w:t>organiz</w:t>
      </w:r>
      <w:r w:rsidR="00634D91" w:rsidRPr="00CB10AD">
        <w:rPr>
          <w:rFonts w:asciiTheme="minorHAnsi" w:hAnsiTheme="minorHAnsi" w:cstheme="minorHAnsi"/>
          <w:lang w:val="en-AU"/>
        </w:rPr>
        <w:t>ed</w:t>
      </w:r>
      <w:r w:rsidRPr="00CB10AD">
        <w:rPr>
          <w:rFonts w:asciiTheme="minorHAnsi" w:hAnsiTheme="minorHAnsi" w:cstheme="minorHAnsi"/>
          <w:lang w:val="en-AU"/>
        </w:rPr>
        <w:t xml:space="preserve"> Access Planning and the New School Induction Program (see Table </w:t>
      </w:r>
      <w:r w:rsidR="00F32E50" w:rsidRPr="00CB10AD">
        <w:rPr>
          <w:rFonts w:asciiTheme="minorHAnsi" w:hAnsiTheme="minorHAnsi" w:cstheme="minorHAnsi"/>
          <w:lang w:val="en-AU"/>
        </w:rPr>
        <w:t>4</w:t>
      </w:r>
      <w:r w:rsidRPr="00CB10AD">
        <w:rPr>
          <w:rFonts w:asciiTheme="minorHAnsi" w:hAnsiTheme="minorHAnsi" w:cstheme="minorHAnsi"/>
          <w:lang w:val="en-AU"/>
        </w:rPr>
        <w:t xml:space="preserve">). </w:t>
      </w:r>
    </w:p>
    <w:p w:rsidR="00F6127C" w:rsidRPr="00CB10AD" w:rsidRDefault="0084073A" w:rsidP="0084073A">
      <w:pPr>
        <w:pStyle w:val="Caption"/>
        <w:keepNext/>
        <w:rPr>
          <w:b w:val="0"/>
          <w:lang w:val="en-AU"/>
        </w:rPr>
      </w:pPr>
      <w:bookmarkStart w:id="32" w:name="_Toc379982272"/>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4</w:t>
      </w:r>
      <w:r w:rsidRPr="00CB10AD">
        <w:rPr>
          <w:lang w:val="en-AU"/>
        </w:rPr>
        <w:fldChar w:fldCharType="end"/>
      </w:r>
      <w:r w:rsidR="00F6127C" w:rsidRPr="00CB10AD">
        <w:rPr>
          <w:b w:val="0"/>
          <w:lang w:val="en-AU"/>
        </w:rPr>
        <w:t xml:space="preserve">: </w:t>
      </w:r>
      <w:r w:rsidR="00F6127C" w:rsidRPr="00CB10AD">
        <w:rPr>
          <w:lang w:val="en-AU"/>
        </w:rPr>
        <w:t>Persons trained by C2 (to end of November 2013)</w:t>
      </w:r>
      <w:bookmarkEnd w:id="3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72"/>
        <w:gridCol w:w="1521"/>
        <w:gridCol w:w="2023"/>
        <w:gridCol w:w="1485"/>
      </w:tblGrid>
      <w:tr w:rsidR="00F6127C" w:rsidRPr="00CB10AD" w:rsidTr="005E136C">
        <w:trPr>
          <w:trHeight w:val="447"/>
          <w:jc w:val="center"/>
        </w:trPr>
        <w:tc>
          <w:tcPr>
            <w:tcW w:w="3372" w:type="dxa"/>
            <w:vMerge w:val="restart"/>
            <w:shd w:val="clear" w:color="auto" w:fill="244061" w:themeFill="accent1" w:themeFillShade="80"/>
            <w:vAlign w:val="center"/>
          </w:tcPr>
          <w:p w:rsidR="00F6127C" w:rsidRPr="00CB10AD" w:rsidRDefault="00F6127C" w:rsidP="0084073A">
            <w:pPr>
              <w:keepNext/>
              <w:spacing w:before="60" w:after="60"/>
              <w:jc w:val="center"/>
              <w:rPr>
                <w:rFonts w:asciiTheme="minorHAnsi" w:hAnsiTheme="minorHAnsi"/>
                <w:b/>
                <w:lang w:val="en-AU"/>
              </w:rPr>
            </w:pPr>
            <w:r w:rsidRPr="00CB10AD">
              <w:rPr>
                <w:rFonts w:asciiTheme="minorHAnsi" w:hAnsiTheme="minorHAnsi"/>
                <w:b/>
                <w:lang w:val="en-AU"/>
              </w:rPr>
              <w:t>Theme</w:t>
            </w:r>
          </w:p>
        </w:tc>
        <w:tc>
          <w:tcPr>
            <w:tcW w:w="3544" w:type="dxa"/>
            <w:gridSpan w:val="2"/>
            <w:shd w:val="clear" w:color="auto" w:fill="244061" w:themeFill="accent1" w:themeFillShade="80"/>
            <w:vAlign w:val="center"/>
          </w:tcPr>
          <w:p w:rsidR="00F6127C" w:rsidRPr="00CB10AD" w:rsidRDefault="00F6127C" w:rsidP="0084073A">
            <w:pPr>
              <w:keepNext/>
              <w:spacing w:before="60" w:after="60"/>
              <w:jc w:val="center"/>
              <w:rPr>
                <w:rFonts w:asciiTheme="minorHAnsi" w:hAnsiTheme="minorHAnsi"/>
                <w:b/>
                <w:lang w:val="en-AU"/>
              </w:rPr>
            </w:pPr>
            <w:r w:rsidRPr="00CB10AD">
              <w:rPr>
                <w:rFonts w:asciiTheme="minorHAnsi" w:hAnsiTheme="minorHAnsi"/>
                <w:b/>
                <w:lang w:val="en-AU"/>
              </w:rPr>
              <w:t>Persons trained (to November 2013)</w:t>
            </w:r>
          </w:p>
        </w:tc>
        <w:tc>
          <w:tcPr>
            <w:tcW w:w="1485" w:type="dxa"/>
            <w:vMerge w:val="restart"/>
            <w:shd w:val="clear" w:color="auto" w:fill="244061" w:themeFill="accent1" w:themeFillShade="80"/>
            <w:vAlign w:val="center"/>
          </w:tcPr>
          <w:p w:rsidR="00F6127C" w:rsidRPr="00CB10AD" w:rsidRDefault="00F6127C" w:rsidP="0084073A">
            <w:pPr>
              <w:keepNext/>
              <w:spacing w:before="60" w:after="60"/>
              <w:jc w:val="center"/>
              <w:rPr>
                <w:rFonts w:asciiTheme="minorHAnsi" w:hAnsiTheme="minorHAnsi"/>
                <w:b/>
                <w:lang w:val="en-AU"/>
              </w:rPr>
            </w:pPr>
            <w:r w:rsidRPr="00CB10AD">
              <w:rPr>
                <w:rFonts w:asciiTheme="minorHAnsi" w:hAnsiTheme="minorHAnsi"/>
                <w:b/>
                <w:lang w:val="en-AU"/>
              </w:rPr>
              <w:t>Total</w:t>
            </w:r>
          </w:p>
        </w:tc>
      </w:tr>
      <w:tr w:rsidR="00F6127C" w:rsidRPr="00CB10AD" w:rsidTr="005E136C">
        <w:trPr>
          <w:trHeight w:val="434"/>
          <w:jc w:val="center"/>
        </w:trPr>
        <w:tc>
          <w:tcPr>
            <w:tcW w:w="3372" w:type="dxa"/>
            <w:vMerge/>
            <w:shd w:val="clear" w:color="auto" w:fill="244061" w:themeFill="accent1" w:themeFillShade="80"/>
          </w:tcPr>
          <w:p w:rsidR="00F6127C" w:rsidRPr="00CB10AD" w:rsidRDefault="00F6127C" w:rsidP="0084073A">
            <w:pPr>
              <w:keepNext/>
              <w:spacing w:before="60" w:after="60"/>
              <w:jc w:val="both"/>
              <w:rPr>
                <w:rFonts w:asciiTheme="minorHAnsi" w:hAnsiTheme="minorHAnsi"/>
                <w:lang w:val="en-AU"/>
              </w:rPr>
            </w:pPr>
          </w:p>
        </w:tc>
        <w:tc>
          <w:tcPr>
            <w:tcW w:w="1521" w:type="dxa"/>
            <w:shd w:val="clear" w:color="auto" w:fill="95B3D7" w:themeFill="accent1" w:themeFillTint="99"/>
            <w:vAlign w:val="center"/>
          </w:tcPr>
          <w:p w:rsidR="00F6127C" w:rsidRPr="00CB10AD" w:rsidRDefault="00F6127C" w:rsidP="0084073A">
            <w:pPr>
              <w:keepNext/>
              <w:spacing w:before="60" w:after="60"/>
              <w:jc w:val="center"/>
              <w:rPr>
                <w:rFonts w:asciiTheme="minorHAnsi" w:hAnsiTheme="minorHAnsi"/>
                <w:b/>
                <w:lang w:val="en-AU"/>
              </w:rPr>
            </w:pPr>
            <w:r w:rsidRPr="00CB10AD">
              <w:rPr>
                <w:rFonts w:asciiTheme="minorHAnsi" w:hAnsiTheme="minorHAnsi"/>
                <w:b/>
                <w:lang w:val="en-AU"/>
              </w:rPr>
              <w:t>Male</w:t>
            </w:r>
          </w:p>
        </w:tc>
        <w:tc>
          <w:tcPr>
            <w:tcW w:w="2023" w:type="dxa"/>
            <w:shd w:val="clear" w:color="auto" w:fill="95B3D7" w:themeFill="accent1" w:themeFillTint="99"/>
            <w:vAlign w:val="center"/>
          </w:tcPr>
          <w:p w:rsidR="00F6127C" w:rsidRPr="00CB10AD" w:rsidRDefault="00F6127C" w:rsidP="0084073A">
            <w:pPr>
              <w:keepNext/>
              <w:spacing w:before="60" w:after="60"/>
              <w:jc w:val="center"/>
              <w:rPr>
                <w:rFonts w:asciiTheme="minorHAnsi" w:hAnsiTheme="minorHAnsi"/>
                <w:b/>
                <w:lang w:val="en-AU"/>
              </w:rPr>
            </w:pPr>
            <w:r w:rsidRPr="00CB10AD">
              <w:rPr>
                <w:rFonts w:asciiTheme="minorHAnsi" w:hAnsiTheme="minorHAnsi"/>
                <w:b/>
                <w:lang w:val="en-AU"/>
              </w:rPr>
              <w:t>Female</w:t>
            </w:r>
          </w:p>
        </w:tc>
        <w:tc>
          <w:tcPr>
            <w:tcW w:w="1485" w:type="dxa"/>
            <w:vMerge/>
            <w:shd w:val="clear" w:color="auto" w:fill="244061" w:themeFill="accent1" w:themeFillShade="80"/>
            <w:vAlign w:val="center"/>
          </w:tcPr>
          <w:p w:rsidR="00F6127C" w:rsidRPr="00CB10AD" w:rsidRDefault="00F6127C" w:rsidP="0084073A">
            <w:pPr>
              <w:keepNext/>
              <w:spacing w:before="60" w:after="60"/>
              <w:jc w:val="center"/>
              <w:rPr>
                <w:rFonts w:asciiTheme="minorHAnsi" w:hAnsiTheme="minorHAnsi"/>
                <w:lang w:val="en-AU"/>
              </w:rPr>
            </w:pPr>
          </w:p>
        </w:tc>
      </w:tr>
      <w:tr w:rsidR="00F6127C" w:rsidRPr="00CB10AD" w:rsidTr="00112EBB">
        <w:trPr>
          <w:trHeight w:val="434"/>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Principal CPD </w:t>
            </w:r>
            <w:r w:rsidRPr="00CB10AD">
              <w:rPr>
                <w:rFonts w:asciiTheme="minorHAnsi" w:hAnsiTheme="minorHAnsi"/>
                <w:b/>
                <w:vertAlign w:val="superscript"/>
                <w:lang w:val="en-AU"/>
              </w:rPr>
              <w:t>(a)</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672</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536</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1,208</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Supervisor PD </w:t>
            </w:r>
            <w:r w:rsidRPr="00CB10AD">
              <w:rPr>
                <w:rFonts w:asciiTheme="minorHAnsi" w:hAnsiTheme="minorHAnsi"/>
                <w:b/>
                <w:vertAlign w:val="superscript"/>
                <w:lang w:val="en-AU"/>
              </w:rPr>
              <w:t>(a)</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994</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308</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1,302</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DEO Competency Training </w:t>
            </w:r>
            <w:r w:rsidRPr="00CB10AD">
              <w:rPr>
                <w:rFonts w:asciiTheme="minorHAnsi" w:hAnsiTheme="minorHAnsi"/>
                <w:b/>
                <w:vertAlign w:val="superscript"/>
                <w:lang w:val="en-AU"/>
              </w:rPr>
              <w:t>(a)</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905</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148</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1,053</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PEO Competency Training </w:t>
            </w:r>
            <w:r w:rsidRPr="00CB10AD">
              <w:rPr>
                <w:rFonts w:asciiTheme="minorHAnsi" w:hAnsiTheme="minorHAnsi"/>
                <w:b/>
                <w:vertAlign w:val="superscript"/>
                <w:lang w:val="en-AU"/>
              </w:rPr>
              <w:t>(a)</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378</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96</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474</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Principal Preparation Program </w:t>
            </w:r>
            <w:r w:rsidRPr="00CB10AD">
              <w:rPr>
                <w:rFonts w:asciiTheme="minorHAnsi" w:hAnsiTheme="minorHAnsi"/>
                <w:b/>
                <w:vertAlign w:val="superscript"/>
                <w:lang w:val="en-AU"/>
              </w:rPr>
              <w:t>(b)</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3,154</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1,999</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5,153</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Access Planning </w:t>
            </w:r>
            <w:r w:rsidRPr="00CB10AD">
              <w:rPr>
                <w:rFonts w:asciiTheme="minorHAnsi" w:hAnsiTheme="minorHAnsi"/>
                <w:b/>
                <w:vertAlign w:val="superscript"/>
                <w:lang w:val="en-AU"/>
              </w:rPr>
              <w:t>(b)</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283</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34</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317</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 xml:space="preserve">New School Induction Program </w:t>
            </w:r>
            <w:r w:rsidRPr="00CB10AD">
              <w:rPr>
                <w:rFonts w:asciiTheme="minorHAnsi" w:hAnsiTheme="minorHAnsi"/>
                <w:b/>
                <w:vertAlign w:val="superscript"/>
                <w:lang w:val="en-AU"/>
              </w:rPr>
              <w:t>(b)</w:t>
            </w:r>
          </w:p>
        </w:tc>
        <w:tc>
          <w:tcPr>
            <w:tcW w:w="1521" w:type="dxa"/>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323</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138</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lang w:val="en-AU"/>
              </w:rPr>
            </w:pPr>
            <w:r w:rsidRPr="00CB10AD">
              <w:rPr>
                <w:rFonts w:asciiTheme="minorHAnsi" w:hAnsiTheme="minorHAnsi"/>
                <w:lang w:val="en-AU"/>
              </w:rPr>
              <w:t>461</w:t>
            </w:r>
          </w:p>
        </w:tc>
      </w:tr>
      <w:tr w:rsidR="00F6127C" w:rsidRPr="00CB10AD" w:rsidTr="00112EBB">
        <w:trPr>
          <w:trHeight w:val="447"/>
          <w:jc w:val="center"/>
        </w:trPr>
        <w:tc>
          <w:tcPr>
            <w:tcW w:w="3372" w:type="dxa"/>
            <w:vAlign w:val="center"/>
          </w:tcPr>
          <w:p w:rsidR="00F6127C" w:rsidRPr="00CB10AD" w:rsidRDefault="00F6127C" w:rsidP="0084073A">
            <w:pPr>
              <w:keepNext/>
              <w:spacing w:before="60" w:after="60"/>
              <w:rPr>
                <w:rFonts w:asciiTheme="minorHAnsi" w:hAnsiTheme="minorHAnsi"/>
                <w:b/>
                <w:lang w:val="en-AU"/>
              </w:rPr>
            </w:pPr>
            <w:r w:rsidRPr="00CB10AD">
              <w:rPr>
                <w:rFonts w:asciiTheme="minorHAnsi" w:hAnsiTheme="minorHAnsi"/>
                <w:b/>
                <w:lang w:val="en-AU"/>
              </w:rPr>
              <w:t>TOTAL</w:t>
            </w:r>
          </w:p>
        </w:tc>
        <w:tc>
          <w:tcPr>
            <w:tcW w:w="1521" w:type="dxa"/>
            <w:vAlign w:val="center"/>
          </w:tcPr>
          <w:p w:rsidR="00F6127C" w:rsidRPr="00CB10AD" w:rsidRDefault="00F6127C" w:rsidP="0084073A">
            <w:pPr>
              <w:keepNext/>
              <w:spacing w:before="60" w:after="60"/>
              <w:jc w:val="right"/>
              <w:rPr>
                <w:rFonts w:asciiTheme="minorHAnsi" w:hAnsiTheme="minorHAnsi"/>
                <w:b/>
                <w:lang w:val="en-AU"/>
              </w:rPr>
            </w:pPr>
            <w:r w:rsidRPr="00CB10AD">
              <w:rPr>
                <w:b/>
                <w:color w:val="000000"/>
                <w:lang w:val="en-AU"/>
              </w:rPr>
              <w:t>6,709</w:t>
            </w:r>
          </w:p>
        </w:tc>
        <w:tc>
          <w:tcPr>
            <w:tcW w:w="2023"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b/>
                <w:lang w:val="en-AU"/>
              </w:rPr>
            </w:pPr>
            <w:r w:rsidRPr="00CB10AD">
              <w:rPr>
                <w:b/>
                <w:color w:val="000000"/>
                <w:lang w:val="en-AU"/>
              </w:rPr>
              <w:t>3,259</w:t>
            </w:r>
          </w:p>
        </w:tc>
        <w:tc>
          <w:tcPr>
            <w:tcW w:w="1485" w:type="dxa"/>
            <w:shd w:val="clear" w:color="auto" w:fill="FFFFFF" w:themeFill="background1"/>
            <w:vAlign w:val="center"/>
          </w:tcPr>
          <w:p w:rsidR="00F6127C" w:rsidRPr="00CB10AD" w:rsidRDefault="00F6127C" w:rsidP="0084073A">
            <w:pPr>
              <w:keepNext/>
              <w:spacing w:before="60" w:after="60"/>
              <w:jc w:val="right"/>
              <w:rPr>
                <w:rFonts w:asciiTheme="minorHAnsi" w:hAnsiTheme="minorHAnsi"/>
                <w:b/>
                <w:lang w:val="en-AU"/>
              </w:rPr>
            </w:pPr>
            <w:r w:rsidRPr="00CB10AD">
              <w:rPr>
                <w:b/>
                <w:color w:val="000000"/>
                <w:lang w:val="en-AU"/>
              </w:rPr>
              <w:t>9,968</w:t>
            </w:r>
          </w:p>
        </w:tc>
      </w:tr>
    </w:tbl>
    <w:p w:rsidR="00F6127C" w:rsidRPr="00CB10AD" w:rsidRDefault="00F6127C" w:rsidP="0084073A">
      <w:pPr>
        <w:keepNext/>
        <w:spacing w:before="120" w:after="120"/>
        <w:jc w:val="center"/>
        <w:rPr>
          <w:rFonts w:asciiTheme="minorHAnsi" w:hAnsiTheme="minorHAnsi"/>
          <w:i/>
          <w:sz w:val="20"/>
          <w:szCs w:val="20"/>
          <w:lang w:val="en-AU"/>
        </w:rPr>
      </w:pPr>
      <w:r w:rsidRPr="00CB10AD">
        <w:rPr>
          <w:rFonts w:asciiTheme="minorHAnsi" w:hAnsiTheme="minorHAnsi"/>
          <w:i/>
          <w:sz w:val="20"/>
          <w:szCs w:val="20"/>
          <w:lang w:val="en-AU"/>
        </w:rPr>
        <w:t>Source: (a) SSQ online database; (b) Data from C2 per 29 November 2013</w:t>
      </w:r>
    </w:p>
    <w:p w:rsidR="00CB43F5" w:rsidRPr="00CB10AD" w:rsidRDefault="00CB43F5" w:rsidP="00F6127C">
      <w:pPr>
        <w:spacing w:before="120" w:after="120" w:line="276" w:lineRule="auto"/>
        <w:jc w:val="both"/>
        <w:rPr>
          <w:rFonts w:asciiTheme="minorHAnsi" w:hAnsiTheme="minorHAnsi"/>
          <w:lang w:val="en-AU"/>
        </w:rPr>
      </w:pPr>
    </w:p>
    <w:p w:rsidR="00F6127C" w:rsidRPr="00CB10AD" w:rsidRDefault="00F6127C" w:rsidP="00C362E0">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Analysis</w:t>
      </w:r>
    </w:p>
    <w:p w:rsidR="003B5F6B" w:rsidRPr="00CB10AD" w:rsidRDefault="003B5F6B" w:rsidP="003B5F6B">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Relevance</w:t>
      </w:r>
    </w:p>
    <w:p w:rsidR="003B5F6B" w:rsidRPr="00CB10AD" w:rsidRDefault="003B5F6B" w:rsidP="003B5F6B">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In general, the introduction of a continuous professional development system for principals and education officials is relevant: professional development is a Renstra objective and competency-based PD is well accepted internationally. Other training, such as the district and provincial HRMD, are deemed positive by participants due to their relevance to their day</w:t>
      </w:r>
      <w:r w:rsidR="00634D91" w:rsidRPr="00CB10AD">
        <w:rPr>
          <w:rFonts w:asciiTheme="minorHAnsi" w:hAnsiTheme="minorHAnsi" w:cstheme="minorHAnsi"/>
          <w:lang w:val="en-AU"/>
        </w:rPr>
        <w:t>-</w:t>
      </w:r>
      <w:r w:rsidRPr="00CB10AD">
        <w:rPr>
          <w:rFonts w:asciiTheme="minorHAnsi" w:hAnsiTheme="minorHAnsi" w:cstheme="minorHAnsi"/>
          <w:lang w:val="en-AU"/>
        </w:rPr>
        <w:t>to</w:t>
      </w:r>
      <w:r w:rsidR="00634D91" w:rsidRPr="00CB10AD">
        <w:rPr>
          <w:rFonts w:asciiTheme="minorHAnsi" w:hAnsiTheme="minorHAnsi" w:cstheme="minorHAnsi"/>
          <w:lang w:val="en-AU"/>
        </w:rPr>
        <w:t>-</w:t>
      </w:r>
      <w:r w:rsidRPr="00CB10AD">
        <w:rPr>
          <w:rFonts w:asciiTheme="minorHAnsi" w:hAnsiTheme="minorHAnsi" w:cstheme="minorHAnsi"/>
          <w:lang w:val="en-AU"/>
        </w:rPr>
        <w:t>day work</w:t>
      </w:r>
      <w:r w:rsidRPr="00CB10AD">
        <w:rPr>
          <w:rFonts w:asciiTheme="minorHAnsi" w:hAnsiTheme="minorHAnsi" w:cstheme="minorHAnsi"/>
          <w:vertAlign w:val="superscript"/>
          <w:lang w:val="en-AU"/>
        </w:rPr>
        <w:endnoteReference w:id="22"/>
      </w:r>
      <w:r w:rsidRPr="00CB10AD">
        <w:rPr>
          <w:rFonts w:asciiTheme="minorHAnsi" w:hAnsiTheme="minorHAnsi" w:cstheme="minorHAnsi"/>
          <w:lang w:val="en-AU"/>
        </w:rPr>
        <w:t xml:space="preserve">. </w:t>
      </w:r>
    </w:p>
    <w:p w:rsidR="003B5F6B" w:rsidRPr="00CB10AD" w:rsidRDefault="003B5F6B" w:rsidP="003B5F6B">
      <w:pPr>
        <w:spacing w:before="120" w:after="120" w:line="276" w:lineRule="auto"/>
        <w:jc w:val="both"/>
        <w:rPr>
          <w:lang w:val="en-AU"/>
        </w:rPr>
      </w:pPr>
      <w:r w:rsidRPr="00CB10AD">
        <w:rPr>
          <w:lang w:val="en-AU"/>
        </w:rPr>
        <w:t>SSQ ha</w:t>
      </w:r>
      <w:r w:rsidR="00634D91" w:rsidRPr="00CB10AD">
        <w:rPr>
          <w:lang w:val="en-AU"/>
        </w:rPr>
        <w:t>s</w:t>
      </w:r>
      <w:r w:rsidRPr="00CB10AD">
        <w:rPr>
          <w:lang w:val="en-AU"/>
        </w:rPr>
        <w:t xml:space="preserve"> successfully piloted a range of PD modules since the start of the EP and there exists broad agreement that a competency-based, continuous professional development system represents a high quality approach to improving the capacity of this cadre of education professionals. Furthermore, </w:t>
      </w:r>
      <w:r w:rsidRPr="00CB10AD">
        <w:rPr>
          <w:rFonts w:asciiTheme="minorHAnsi" w:hAnsiTheme="minorHAnsi" w:cstheme="minorHAnsi"/>
          <w:bCs/>
          <w:iCs/>
          <w:lang w:val="en-AU"/>
        </w:rPr>
        <w:t xml:space="preserve">EP investments in quality improvement measures remain aligned with stated GoI policy. Nevertheless, the relative </w:t>
      </w:r>
      <w:r w:rsidR="00BB2F08" w:rsidRPr="00CB10AD">
        <w:rPr>
          <w:rFonts w:asciiTheme="minorHAnsi" w:hAnsiTheme="minorHAnsi" w:cstheme="minorHAnsi"/>
          <w:bCs/>
          <w:iCs/>
          <w:lang w:val="en-AU"/>
        </w:rPr>
        <w:t xml:space="preserve">priority </w:t>
      </w:r>
      <w:r w:rsidRPr="00CB10AD">
        <w:rPr>
          <w:rFonts w:asciiTheme="minorHAnsi" w:hAnsiTheme="minorHAnsi" w:cstheme="minorHAnsi"/>
          <w:bCs/>
          <w:iCs/>
          <w:lang w:val="en-AU"/>
        </w:rPr>
        <w:t>of these investments may look doubtful when considered against</w:t>
      </w:r>
      <w:r w:rsidRPr="00CB10AD">
        <w:rPr>
          <w:lang w:val="en-AU"/>
        </w:rPr>
        <w:t xml:space="preserve"> t</w:t>
      </w:r>
      <w:r w:rsidRPr="00CB10AD">
        <w:rPr>
          <w:rFonts w:asciiTheme="minorHAnsi" w:hAnsiTheme="minorHAnsi" w:cstheme="minorHAnsi"/>
          <w:bCs/>
          <w:iCs/>
          <w:lang w:val="en-AU"/>
        </w:rPr>
        <w:t>hose priorities which will account for the lion’s share of ministerial attention in 2013-14 and beyond, e.g. the roll-out of Curriculum 2013, and ongoing teacher certification ahead of the 2015 deadline</w:t>
      </w:r>
      <w:r w:rsidRPr="00CB10AD">
        <w:rPr>
          <w:rFonts w:asciiTheme="minorHAnsi" w:hAnsiTheme="minorHAnsi" w:cstheme="minorHAnsi"/>
          <w:bCs/>
          <w:iCs/>
          <w:vertAlign w:val="superscript"/>
          <w:lang w:val="en-AU"/>
        </w:rPr>
        <w:endnoteReference w:id="23"/>
      </w:r>
      <w:r w:rsidRPr="00CB10AD">
        <w:rPr>
          <w:rFonts w:asciiTheme="minorHAnsi" w:hAnsiTheme="minorHAnsi" w:cstheme="minorHAnsi"/>
          <w:bCs/>
          <w:iCs/>
          <w:lang w:val="en-AU"/>
        </w:rPr>
        <w:t xml:space="preserve">. </w:t>
      </w:r>
    </w:p>
    <w:p w:rsidR="003B5F6B" w:rsidRPr="00CB10AD" w:rsidRDefault="003B5F6B" w:rsidP="003B5F6B">
      <w:pPr>
        <w:spacing w:before="120" w:after="120" w:line="276" w:lineRule="auto"/>
        <w:jc w:val="both"/>
        <w:rPr>
          <w:lang w:val="en-AU"/>
        </w:rPr>
      </w:pPr>
      <w:r w:rsidRPr="00CB10AD">
        <w:rPr>
          <w:lang w:val="en-AU"/>
        </w:rPr>
        <w:t>The future relevance of the PD system will inevitably depend upon the priorities of the next government and which will be defined in the subsequent Renstra. It seems that, even if CPD remains relevant in the international education sphere, the approach is struggling to retain priority status in the face of stiff competition from Curriculum 2013.</w:t>
      </w: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Efficiency</w:t>
      </w:r>
    </w:p>
    <w:p w:rsidR="0089151C" w:rsidRPr="00CB10AD" w:rsidRDefault="0094780E" w:rsidP="0089151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Whilst it</w:t>
      </w:r>
      <w:r w:rsidR="00F6127C" w:rsidRPr="00CB10AD">
        <w:rPr>
          <w:rFonts w:asciiTheme="minorHAnsi" w:hAnsiTheme="minorHAnsi" w:cstheme="minorHAnsi"/>
          <w:lang w:val="en-AU"/>
        </w:rPr>
        <w:t xml:space="preserve"> was </w:t>
      </w:r>
      <w:r w:rsidR="00BB2F08" w:rsidRPr="00CB10AD">
        <w:rPr>
          <w:rFonts w:asciiTheme="minorHAnsi" w:hAnsiTheme="minorHAnsi" w:cstheme="minorHAnsi"/>
          <w:lang w:val="en-AU"/>
        </w:rPr>
        <w:t xml:space="preserve">hoped </w:t>
      </w:r>
      <w:r w:rsidR="00D96BF0" w:rsidRPr="00CB10AD">
        <w:rPr>
          <w:rFonts w:asciiTheme="minorHAnsi" w:hAnsiTheme="minorHAnsi" w:cstheme="minorHAnsi"/>
          <w:lang w:val="en-AU"/>
        </w:rPr>
        <w:t xml:space="preserve">that </w:t>
      </w:r>
      <w:r w:rsidR="00F6127C" w:rsidRPr="00CB10AD">
        <w:rPr>
          <w:rFonts w:asciiTheme="minorHAnsi" w:hAnsiTheme="minorHAnsi" w:cstheme="minorHAnsi"/>
          <w:lang w:val="en-AU"/>
        </w:rPr>
        <w:t xml:space="preserve">the GA </w:t>
      </w:r>
      <w:r w:rsidR="00D96BF0" w:rsidRPr="00CB10AD">
        <w:rPr>
          <w:rFonts w:asciiTheme="minorHAnsi" w:hAnsiTheme="minorHAnsi" w:cstheme="minorHAnsi"/>
          <w:lang w:val="en-AU"/>
        </w:rPr>
        <w:t>would be signed in early</w:t>
      </w:r>
      <w:r w:rsidR="00F6127C" w:rsidRPr="00CB10AD">
        <w:rPr>
          <w:rFonts w:asciiTheme="minorHAnsi" w:hAnsiTheme="minorHAnsi" w:cstheme="minorHAnsi"/>
          <w:lang w:val="en-AU"/>
        </w:rPr>
        <w:t xml:space="preserve"> 2013</w:t>
      </w:r>
      <w:r w:rsidR="00F6127C" w:rsidRPr="00CB10AD">
        <w:rPr>
          <w:rFonts w:asciiTheme="minorHAnsi" w:hAnsiTheme="minorHAnsi" w:cstheme="minorHAnsi"/>
          <w:vertAlign w:val="superscript"/>
          <w:lang w:val="en-AU"/>
        </w:rPr>
        <w:endnoteReference w:id="24"/>
      </w:r>
      <w:r w:rsidR="00F6127C" w:rsidRPr="00CB10AD">
        <w:rPr>
          <w:rFonts w:asciiTheme="minorHAnsi" w:hAnsiTheme="minorHAnsi" w:cstheme="minorHAnsi"/>
          <w:lang w:val="en-AU"/>
        </w:rPr>
        <w:t xml:space="preserve">, </w:t>
      </w:r>
      <w:r w:rsidRPr="00CB10AD">
        <w:rPr>
          <w:rFonts w:asciiTheme="minorHAnsi" w:hAnsiTheme="minorHAnsi" w:cstheme="minorHAnsi"/>
          <w:lang w:val="en-AU"/>
        </w:rPr>
        <w:t>it was finally signed in July 2013</w:t>
      </w:r>
      <w:r w:rsidR="00CB315F" w:rsidRPr="00CB10AD">
        <w:rPr>
          <w:rFonts w:asciiTheme="minorHAnsi" w:hAnsiTheme="minorHAnsi" w:cstheme="minorHAnsi"/>
          <w:lang w:val="en-AU"/>
        </w:rPr>
        <w:t xml:space="preserve"> and </w:t>
      </w:r>
      <w:r w:rsidR="00E04939">
        <w:rPr>
          <w:rFonts w:asciiTheme="minorHAnsi" w:hAnsiTheme="minorHAnsi" w:cstheme="minorHAnsi"/>
          <w:lang w:val="en-AU"/>
        </w:rPr>
        <w:t xml:space="preserve">although </w:t>
      </w:r>
      <w:r w:rsidR="00CB315F" w:rsidRPr="00CB10AD">
        <w:rPr>
          <w:rFonts w:asciiTheme="minorHAnsi" w:hAnsiTheme="minorHAnsi" w:cstheme="minorHAnsi"/>
          <w:lang w:val="en-AU"/>
        </w:rPr>
        <w:t>funds had been disbursed by the end of the year</w:t>
      </w:r>
      <w:r w:rsidR="00E04939">
        <w:rPr>
          <w:rFonts w:asciiTheme="minorHAnsi" w:hAnsiTheme="minorHAnsi" w:cstheme="minorHAnsi"/>
          <w:lang w:val="en-AU"/>
        </w:rPr>
        <w:t>, no activities were implemented</w:t>
      </w:r>
      <w:r w:rsidRPr="00CB10AD">
        <w:rPr>
          <w:rFonts w:asciiTheme="minorHAnsi" w:hAnsiTheme="minorHAnsi" w:cstheme="minorHAnsi"/>
          <w:lang w:val="en-AU"/>
        </w:rPr>
        <w:t>. T</w:t>
      </w:r>
      <w:r w:rsidR="00F6127C" w:rsidRPr="00CB10AD">
        <w:rPr>
          <w:rFonts w:asciiTheme="minorHAnsi" w:hAnsiTheme="minorHAnsi" w:cstheme="minorHAnsi"/>
          <w:lang w:val="en-AU"/>
        </w:rPr>
        <w:t xml:space="preserve">he </w:t>
      </w:r>
      <w:r w:rsidR="00F3564F" w:rsidRPr="00CB10AD">
        <w:rPr>
          <w:rFonts w:asciiTheme="minorHAnsi" w:hAnsiTheme="minorHAnsi" w:cstheme="minorHAnsi"/>
          <w:lang w:val="en-AU"/>
        </w:rPr>
        <w:t xml:space="preserve">timeframe </w:t>
      </w:r>
      <w:r w:rsidR="00F6127C" w:rsidRPr="00CB10AD">
        <w:rPr>
          <w:rFonts w:asciiTheme="minorHAnsi" w:hAnsiTheme="minorHAnsi" w:cstheme="minorHAnsi"/>
          <w:lang w:val="en-AU"/>
        </w:rPr>
        <w:t>was longer than anticipated</w:t>
      </w:r>
      <w:r w:rsidR="00F32E50" w:rsidRPr="00CB10AD">
        <w:rPr>
          <w:rFonts w:asciiTheme="minorHAnsi" w:hAnsiTheme="minorHAnsi" w:cstheme="minorHAnsi"/>
          <w:lang w:val="en-AU"/>
        </w:rPr>
        <w:t xml:space="preserve"> and</w:t>
      </w:r>
      <w:r w:rsidR="00D96BF0" w:rsidRPr="00CB10AD">
        <w:rPr>
          <w:rFonts w:asciiTheme="minorHAnsi" w:hAnsiTheme="minorHAnsi" w:cstheme="minorHAnsi"/>
          <w:lang w:val="en-AU"/>
        </w:rPr>
        <w:t xml:space="preserve"> </w:t>
      </w:r>
      <w:r w:rsidR="00CF2EC6" w:rsidRPr="00CB10AD">
        <w:rPr>
          <w:rFonts w:asciiTheme="minorHAnsi" w:hAnsiTheme="minorHAnsi" w:cstheme="minorHAnsi"/>
          <w:lang w:val="en-AU"/>
        </w:rPr>
        <w:t>would suggest that the amount of preparatory work required prior to GA negotiations was under</w:t>
      </w:r>
      <w:r w:rsidR="00A50A12" w:rsidRPr="00CB10AD">
        <w:rPr>
          <w:rFonts w:asciiTheme="minorHAnsi" w:hAnsiTheme="minorHAnsi" w:cstheme="minorHAnsi"/>
          <w:lang w:val="en-AU"/>
        </w:rPr>
        <w:t>est</w:t>
      </w:r>
      <w:r w:rsidR="00CF2EC6" w:rsidRPr="00CB10AD">
        <w:rPr>
          <w:rFonts w:asciiTheme="minorHAnsi" w:hAnsiTheme="minorHAnsi" w:cstheme="minorHAnsi"/>
          <w:lang w:val="en-AU"/>
        </w:rPr>
        <w:t>imated</w:t>
      </w:r>
      <w:r w:rsidR="00F6127C" w:rsidRPr="00CB10AD">
        <w:rPr>
          <w:rFonts w:asciiTheme="minorHAnsi" w:hAnsiTheme="minorHAnsi" w:cstheme="minorHAnsi"/>
          <w:lang w:val="en-AU"/>
        </w:rPr>
        <w:t>.</w:t>
      </w:r>
      <w:r w:rsidRPr="00CB10AD">
        <w:rPr>
          <w:rFonts w:asciiTheme="minorHAnsi" w:hAnsiTheme="minorHAnsi" w:cstheme="minorHAnsi"/>
          <w:lang w:val="en-AU"/>
        </w:rPr>
        <w:t xml:space="preserve"> Th</w:t>
      </w:r>
      <w:r w:rsidR="00C662BC" w:rsidRPr="00CB10AD">
        <w:rPr>
          <w:rFonts w:asciiTheme="minorHAnsi" w:hAnsiTheme="minorHAnsi" w:cstheme="minorHAnsi"/>
          <w:lang w:val="en-AU"/>
        </w:rPr>
        <w:t>is</w:t>
      </w:r>
      <w:r w:rsidRPr="00CB10AD">
        <w:rPr>
          <w:rFonts w:asciiTheme="minorHAnsi" w:hAnsiTheme="minorHAnsi" w:cstheme="minorHAnsi"/>
          <w:lang w:val="en-AU"/>
        </w:rPr>
        <w:t xml:space="preserve"> postponed the expected</w:t>
      </w:r>
      <w:r w:rsidR="00ED2DDA" w:rsidRPr="00CB10AD">
        <w:rPr>
          <w:rFonts w:asciiTheme="minorHAnsi" w:hAnsiTheme="minorHAnsi" w:cstheme="minorHAnsi"/>
          <w:lang w:val="en-AU"/>
        </w:rPr>
        <w:t xml:space="preserve"> </w:t>
      </w:r>
      <w:r w:rsidR="00F6127C" w:rsidRPr="00CB10AD">
        <w:rPr>
          <w:rFonts w:asciiTheme="minorHAnsi" w:hAnsiTheme="minorHAnsi" w:cstheme="minorHAnsi"/>
          <w:lang w:val="en-AU"/>
        </w:rPr>
        <w:t xml:space="preserve">transition </w:t>
      </w:r>
      <w:r w:rsidRPr="00CB10AD">
        <w:rPr>
          <w:rFonts w:asciiTheme="minorHAnsi" w:hAnsiTheme="minorHAnsi" w:cstheme="minorHAnsi"/>
          <w:lang w:val="en-AU"/>
        </w:rPr>
        <w:t xml:space="preserve">of </w:t>
      </w:r>
      <w:r w:rsidRPr="00CB10AD">
        <w:rPr>
          <w:rFonts w:asciiTheme="minorHAnsi" w:hAnsiTheme="minorHAnsi" w:cstheme="minorHAnsi"/>
          <w:lang w:val="en-AU"/>
        </w:rPr>
        <w:lastRenderedPageBreak/>
        <w:t xml:space="preserve">lead responsibility </w:t>
      </w:r>
      <w:r w:rsidR="00F6127C" w:rsidRPr="00CB10AD">
        <w:rPr>
          <w:rFonts w:asciiTheme="minorHAnsi" w:hAnsiTheme="minorHAnsi" w:cstheme="minorHAnsi"/>
          <w:lang w:val="en-AU"/>
        </w:rPr>
        <w:t>from SSQ to GoI</w:t>
      </w:r>
      <w:r w:rsidRPr="00CB10AD">
        <w:rPr>
          <w:rFonts w:asciiTheme="minorHAnsi" w:hAnsiTheme="minorHAnsi" w:cstheme="minorHAnsi"/>
          <w:lang w:val="en-AU"/>
        </w:rPr>
        <w:t xml:space="preserve">, and the </w:t>
      </w:r>
      <w:r w:rsidR="0089151C" w:rsidRPr="00CB10AD">
        <w:rPr>
          <w:rFonts w:asciiTheme="minorHAnsi" w:hAnsiTheme="minorHAnsi" w:cstheme="minorHAnsi"/>
          <w:lang w:val="en-AU"/>
        </w:rPr>
        <w:t xml:space="preserve">implementation of associated </w:t>
      </w:r>
      <w:r w:rsidRPr="00CB10AD">
        <w:rPr>
          <w:rFonts w:asciiTheme="minorHAnsi" w:hAnsiTheme="minorHAnsi" w:cstheme="minorHAnsi"/>
          <w:lang w:val="en-AU"/>
        </w:rPr>
        <w:t>measures to support</w:t>
      </w:r>
      <w:r w:rsidR="00F6127C" w:rsidRPr="00CB10AD">
        <w:rPr>
          <w:rFonts w:asciiTheme="minorHAnsi" w:hAnsiTheme="minorHAnsi" w:cstheme="minorHAnsi"/>
          <w:lang w:val="en-AU"/>
        </w:rPr>
        <w:t xml:space="preserve"> capacity development for </w:t>
      </w:r>
      <w:r w:rsidR="00ED2DDA" w:rsidRPr="00CB10AD">
        <w:rPr>
          <w:rFonts w:asciiTheme="minorHAnsi" w:hAnsiTheme="minorHAnsi" w:cstheme="minorHAnsi"/>
          <w:i/>
          <w:lang w:val="en-AU"/>
        </w:rPr>
        <w:t>Pusbangtendik</w:t>
      </w:r>
      <w:r w:rsidR="00CB43F5" w:rsidRPr="00CB10AD">
        <w:rPr>
          <w:rFonts w:asciiTheme="minorHAnsi" w:hAnsiTheme="minorHAnsi" w:cstheme="minorHAnsi"/>
          <w:lang w:val="en-AU"/>
        </w:rPr>
        <w:t xml:space="preserve"> staff thereafter</w:t>
      </w:r>
      <w:r w:rsidR="00F6127C" w:rsidRPr="00CB10AD">
        <w:rPr>
          <w:rFonts w:asciiTheme="minorHAnsi" w:hAnsiTheme="minorHAnsi" w:cstheme="minorHAnsi"/>
          <w:vertAlign w:val="superscript"/>
          <w:lang w:val="en-AU"/>
        </w:rPr>
        <w:endnoteReference w:id="25"/>
      </w:r>
      <w:r w:rsidR="00CB43F5" w:rsidRPr="00CB10AD">
        <w:rPr>
          <w:rFonts w:asciiTheme="minorHAnsi" w:hAnsiTheme="minorHAnsi" w:cstheme="minorHAnsi"/>
          <w:lang w:val="en-AU"/>
        </w:rPr>
        <w:t>.</w:t>
      </w:r>
      <w:r w:rsidR="00F6127C" w:rsidRPr="00CB10AD">
        <w:rPr>
          <w:rFonts w:asciiTheme="minorHAnsi" w:hAnsiTheme="minorHAnsi" w:cstheme="minorHAnsi"/>
          <w:lang w:val="en-AU"/>
        </w:rPr>
        <w:t xml:space="preserve"> </w:t>
      </w:r>
      <w:r w:rsidR="0089151C" w:rsidRPr="00CB10AD">
        <w:rPr>
          <w:rFonts w:asciiTheme="minorHAnsi" w:hAnsiTheme="minorHAnsi" w:cstheme="minorHAnsi"/>
          <w:lang w:val="en-AU"/>
        </w:rPr>
        <w:t xml:space="preserve">SSQ responded favourably to the </w:t>
      </w:r>
      <w:r w:rsidR="00CF2EC6" w:rsidRPr="00CB10AD">
        <w:rPr>
          <w:rFonts w:asciiTheme="minorHAnsi" w:hAnsiTheme="minorHAnsi" w:cstheme="minorHAnsi"/>
          <w:lang w:val="en-AU"/>
        </w:rPr>
        <w:t xml:space="preserve">situation </w:t>
      </w:r>
      <w:r w:rsidR="0089151C" w:rsidRPr="00CB10AD">
        <w:rPr>
          <w:rFonts w:asciiTheme="minorHAnsi" w:hAnsiTheme="minorHAnsi" w:cstheme="minorHAnsi"/>
          <w:lang w:val="en-AU"/>
        </w:rPr>
        <w:t xml:space="preserve">by, </w:t>
      </w:r>
      <w:r w:rsidR="0089151C" w:rsidRPr="00CB10AD">
        <w:rPr>
          <w:rFonts w:asciiTheme="minorHAnsi" w:hAnsiTheme="minorHAnsi" w:cstheme="minorHAnsi"/>
          <w:i/>
          <w:lang w:val="en-AU"/>
        </w:rPr>
        <w:t>inter alia</w:t>
      </w:r>
      <w:r w:rsidR="0089151C" w:rsidRPr="00CB10AD">
        <w:rPr>
          <w:rFonts w:asciiTheme="minorHAnsi" w:hAnsiTheme="minorHAnsi" w:cstheme="minorHAnsi"/>
          <w:lang w:val="en-AU"/>
        </w:rPr>
        <w:t xml:space="preserve">, further </w:t>
      </w:r>
      <w:r w:rsidR="00CB10AD" w:rsidRPr="00CB10AD">
        <w:rPr>
          <w:rFonts w:asciiTheme="minorHAnsi" w:hAnsiTheme="minorHAnsi" w:cstheme="minorHAnsi"/>
          <w:lang w:val="en-AU"/>
        </w:rPr>
        <w:t>trialling</w:t>
      </w:r>
      <w:r w:rsidR="0089151C" w:rsidRPr="00CB10AD">
        <w:rPr>
          <w:rFonts w:asciiTheme="minorHAnsi" w:hAnsiTheme="minorHAnsi" w:cstheme="minorHAnsi"/>
          <w:lang w:val="en-AU"/>
        </w:rPr>
        <w:t xml:space="preserve"> Units of Learning and technical modalities.</w:t>
      </w:r>
      <w:r w:rsidR="00CB315F" w:rsidRPr="00CB10AD">
        <w:rPr>
          <w:rFonts w:asciiTheme="minorHAnsi" w:hAnsiTheme="minorHAnsi" w:cstheme="minorHAnsi"/>
          <w:lang w:val="en-AU"/>
        </w:rPr>
        <w:t xml:space="preserve"> Whilst both institutional partners would have preferred </w:t>
      </w:r>
      <w:r w:rsidR="00CF2EC6" w:rsidRPr="00CB10AD">
        <w:rPr>
          <w:rFonts w:asciiTheme="minorHAnsi" w:hAnsiTheme="minorHAnsi" w:cstheme="minorHAnsi"/>
          <w:lang w:val="en-AU"/>
        </w:rPr>
        <w:t>a quicker transition into GA implementation, the methodical approach in preparing for the Grant Agreement has laid a strong foundation.</w:t>
      </w:r>
      <w:r w:rsidR="00CB10AD">
        <w:rPr>
          <w:rFonts w:asciiTheme="minorHAnsi" w:hAnsiTheme="minorHAnsi" w:cstheme="minorHAnsi"/>
          <w:lang w:val="en-AU"/>
        </w:rPr>
        <w:t xml:space="preserve"> </w:t>
      </w:r>
    </w:p>
    <w:p w:rsidR="00A50A12" w:rsidRPr="00CB10AD" w:rsidRDefault="0094780E" w:rsidP="00F6127C">
      <w:pPr>
        <w:spacing w:before="120" w:after="120" w:line="276" w:lineRule="auto"/>
        <w:jc w:val="both"/>
        <w:rPr>
          <w:lang w:val="en-AU"/>
        </w:rPr>
      </w:pPr>
      <w:r w:rsidRPr="00CB10AD">
        <w:rPr>
          <w:rFonts w:asciiTheme="minorHAnsi" w:hAnsiTheme="minorHAnsi" w:cstheme="minorHAnsi"/>
          <w:lang w:val="en-AU"/>
        </w:rPr>
        <w:t xml:space="preserve">Implementation of the </w:t>
      </w:r>
      <w:r w:rsidR="00F6127C" w:rsidRPr="00CB10AD">
        <w:rPr>
          <w:rFonts w:asciiTheme="minorHAnsi" w:hAnsiTheme="minorHAnsi" w:cstheme="minorHAnsi"/>
          <w:lang w:val="en-AU"/>
        </w:rPr>
        <w:t xml:space="preserve">2013 </w:t>
      </w:r>
      <w:r w:rsidRPr="00CB10AD">
        <w:rPr>
          <w:rFonts w:asciiTheme="minorHAnsi" w:hAnsiTheme="minorHAnsi" w:cstheme="minorHAnsi"/>
          <w:lang w:val="en-AU"/>
        </w:rPr>
        <w:t>C</w:t>
      </w:r>
      <w:r w:rsidR="00F6127C" w:rsidRPr="00CB10AD">
        <w:rPr>
          <w:rFonts w:asciiTheme="minorHAnsi" w:hAnsiTheme="minorHAnsi" w:cstheme="minorHAnsi"/>
          <w:lang w:val="en-AU"/>
        </w:rPr>
        <w:t>urriculum began in July 2013</w:t>
      </w:r>
      <w:r w:rsidR="00F6127C" w:rsidRPr="00CB10AD">
        <w:rPr>
          <w:rFonts w:asciiTheme="minorHAnsi" w:hAnsiTheme="minorHAnsi" w:cstheme="minorHAnsi"/>
          <w:vertAlign w:val="superscript"/>
          <w:lang w:val="en-AU"/>
        </w:rPr>
        <w:endnoteReference w:id="26"/>
      </w:r>
      <w:r w:rsidRPr="00CB10AD">
        <w:rPr>
          <w:rFonts w:asciiTheme="minorHAnsi" w:hAnsiTheme="minorHAnsi" w:cstheme="minorHAnsi"/>
          <w:lang w:val="en-AU"/>
        </w:rPr>
        <w:t xml:space="preserve">. This </w:t>
      </w:r>
      <w:r w:rsidR="00634D91" w:rsidRPr="00CB10AD">
        <w:rPr>
          <w:rFonts w:asciiTheme="minorHAnsi" w:hAnsiTheme="minorHAnsi" w:cstheme="minorHAnsi"/>
          <w:lang w:val="en-AU"/>
        </w:rPr>
        <w:t xml:space="preserve">is likely to </w:t>
      </w:r>
      <w:r w:rsidR="0052723B" w:rsidRPr="00CB10AD">
        <w:rPr>
          <w:rFonts w:asciiTheme="minorHAnsi" w:hAnsiTheme="minorHAnsi" w:cstheme="minorHAnsi"/>
          <w:lang w:val="en-AU"/>
        </w:rPr>
        <w:t>affect</w:t>
      </w:r>
      <w:r w:rsidRPr="00CB10AD">
        <w:rPr>
          <w:rFonts w:asciiTheme="minorHAnsi" w:hAnsiTheme="minorHAnsi" w:cstheme="minorHAnsi"/>
          <w:lang w:val="en-AU"/>
        </w:rPr>
        <w:t xml:space="preserve"> the timely</w:t>
      </w:r>
      <w:r w:rsidR="00F6127C" w:rsidRPr="00CB10AD">
        <w:rPr>
          <w:rFonts w:asciiTheme="minorHAnsi" w:hAnsiTheme="minorHAnsi" w:cstheme="minorHAnsi"/>
          <w:lang w:val="en-AU"/>
        </w:rPr>
        <w:t xml:space="preserve"> roll-out of the PD system, primarily because institutions responsible for delivery of the PD system (known as </w:t>
      </w:r>
      <w:r w:rsidR="00634D91" w:rsidRPr="00CB10AD">
        <w:rPr>
          <w:rFonts w:asciiTheme="minorHAnsi" w:hAnsiTheme="minorHAnsi" w:cstheme="minorHAnsi"/>
          <w:lang w:val="en-AU"/>
        </w:rPr>
        <w:t>“</w:t>
      </w:r>
      <w:r w:rsidR="00F6127C" w:rsidRPr="00CB10AD">
        <w:rPr>
          <w:rFonts w:asciiTheme="minorHAnsi" w:hAnsiTheme="minorHAnsi" w:cstheme="minorHAnsi"/>
          <w:lang w:val="en-AU"/>
        </w:rPr>
        <w:t>eligible entities</w:t>
      </w:r>
      <w:r w:rsidR="00634D91" w:rsidRPr="00CB10AD">
        <w:rPr>
          <w:rFonts w:asciiTheme="minorHAnsi" w:hAnsiTheme="minorHAnsi" w:cstheme="minorHAnsi"/>
          <w:lang w:val="en-AU"/>
        </w:rPr>
        <w:t>”</w:t>
      </w:r>
      <w:r w:rsidR="00F6127C" w:rsidRPr="00CB10AD">
        <w:rPr>
          <w:rFonts w:asciiTheme="minorHAnsi" w:hAnsiTheme="minorHAnsi" w:cstheme="minorHAnsi"/>
          <w:lang w:val="en-AU"/>
        </w:rPr>
        <w:t xml:space="preserve"> in the Grant Agreement) are also required to train teachers on the new </w:t>
      </w:r>
      <w:r w:rsidR="00704457" w:rsidRPr="00CB10AD">
        <w:rPr>
          <w:rFonts w:asciiTheme="minorHAnsi" w:hAnsiTheme="minorHAnsi" w:cstheme="minorHAnsi"/>
          <w:lang w:val="en-AU"/>
        </w:rPr>
        <w:t>c</w:t>
      </w:r>
      <w:r w:rsidR="00F6127C" w:rsidRPr="00CB10AD">
        <w:rPr>
          <w:rFonts w:asciiTheme="minorHAnsi" w:hAnsiTheme="minorHAnsi" w:cstheme="minorHAnsi"/>
          <w:lang w:val="en-AU"/>
        </w:rPr>
        <w:t>urriculum.</w:t>
      </w:r>
      <w:r w:rsidR="00454781" w:rsidRPr="00CB10AD">
        <w:rPr>
          <w:rFonts w:asciiTheme="minorHAnsi" w:hAnsiTheme="minorHAnsi" w:cstheme="minorHAnsi"/>
          <w:lang w:val="en-AU"/>
        </w:rPr>
        <w:t xml:space="preserve"> F</w:t>
      </w:r>
      <w:r w:rsidR="00F6127C" w:rsidRPr="00CB10AD">
        <w:rPr>
          <w:rFonts w:asciiTheme="minorHAnsi" w:hAnsiTheme="minorHAnsi" w:cstheme="minorHAnsi"/>
          <w:lang w:val="en-AU"/>
        </w:rPr>
        <w:t xml:space="preserve">or example, SSQ reports that in 2013 the need for </w:t>
      </w:r>
      <w:r w:rsidR="00ED2DDA" w:rsidRPr="00CB10AD">
        <w:rPr>
          <w:rFonts w:asciiTheme="minorHAnsi" w:hAnsiTheme="minorHAnsi" w:cstheme="minorHAnsi"/>
          <w:i/>
          <w:lang w:val="en-AU"/>
        </w:rPr>
        <w:t>Pusbangtendik</w:t>
      </w:r>
      <w:r w:rsidR="00F6127C" w:rsidRPr="00CB10AD">
        <w:rPr>
          <w:rFonts w:asciiTheme="minorHAnsi" w:hAnsiTheme="minorHAnsi" w:cstheme="minorHAnsi"/>
          <w:lang w:val="en-AU"/>
        </w:rPr>
        <w:t xml:space="preserve"> to support the implementation of the new curriculum </w:t>
      </w:r>
      <w:r w:rsidR="00454781" w:rsidRPr="00CB10AD">
        <w:rPr>
          <w:rFonts w:asciiTheme="minorHAnsi" w:hAnsiTheme="minorHAnsi" w:cstheme="minorHAnsi"/>
          <w:lang w:val="en-AU"/>
        </w:rPr>
        <w:t xml:space="preserve">affected </w:t>
      </w:r>
      <w:r w:rsidR="00F6127C" w:rsidRPr="00CB10AD">
        <w:rPr>
          <w:rFonts w:asciiTheme="minorHAnsi" w:hAnsiTheme="minorHAnsi" w:cstheme="minorHAnsi"/>
          <w:lang w:val="en-AU"/>
        </w:rPr>
        <w:t>their capacit</w:t>
      </w:r>
      <w:r w:rsidR="00454781" w:rsidRPr="00CB10AD">
        <w:rPr>
          <w:rFonts w:asciiTheme="minorHAnsi" w:hAnsiTheme="minorHAnsi" w:cstheme="minorHAnsi"/>
          <w:lang w:val="en-AU"/>
        </w:rPr>
        <w:t>y to finalise</w:t>
      </w:r>
      <w:r w:rsidR="00CB43F5" w:rsidRPr="00CB10AD">
        <w:rPr>
          <w:rFonts w:asciiTheme="minorHAnsi" w:hAnsiTheme="minorHAnsi" w:cstheme="minorHAnsi"/>
          <w:lang w:val="en-AU"/>
        </w:rPr>
        <w:t xml:space="preserve"> the UoLs in time</w:t>
      </w:r>
      <w:r w:rsidR="00F6127C" w:rsidRPr="00CB10AD">
        <w:rPr>
          <w:rFonts w:asciiTheme="minorHAnsi" w:hAnsiTheme="minorHAnsi" w:cstheme="minorHAnsi"/>
          <w:vertAlign w:val="superscript"/>
          <w:lang w:val="en-AU"/>
        </w:rPr>
        <w:endnoteReference w:id="27"/>
      </w:r>
      <w:r w:rsidR="00CB43F5" w:rsidRPr="00CB10AD">
        <w:rPr>
          <w:rFonts w:asciiTheme="minorHAnsi" w:hAnsiTheme="minorHAnsi" w:cstheme="minorHAnsi"/>
          <w:lang w:val="en-AU"/>
        </w:rPr>
        <w:t>.</w:t>
      </w:r>
      <w:r w:rsidR="00F6127C" w:rsidRPr="00CB10AD">
        <w:rPr>
          <w:rFonts w:asciiTheme="minorHAnsi" w:hAnsiTheme="minorHAnsi" w:cstheme="minorHAnsi"/>
          <w:lang w:val="en-AU"/>
        </w:rPr>
        <w:t xml:space="preserve"> </w:t>
      </w:r>
      <w:r w:rsidR="00704457" w:rsidRPr="00CB10AD">
        <w:rPr>
          <w:rFonts w:asciiTheme="minorHAnsi" w:hAnsiTheme="minorHAnsi" w:cstheme="minorHAnsi"/>
          <w:lang w:val="en-AU"/>
        </w:rPr>
        <w:t>In addition, the capacity for relevant GoI institutions to engage at a senior level on a number of large nationwide priority programs is limited and so, w</w:t>
      </w:r>
      <w:r w:rsidR="00704457" w:rsidRPr="00CB10AD">
        <w:rPr>
          <w:lang w:val="en-AU"/>
        </w:rPr>
        <w:t xml:space="preserve">hilst the </w:t>
      </w:r>
      <w:r w:rsidR="00F6127C" w:rsidRPr="00CB10AD">
        <w:rPr>
          <w:lang w:val="en-AU"/>
        </w:rPr>
        <w:t>GA provides the basis for an integrated delivery mechanism</w:t>
      </w:r>
      <w:r w:rsidR="00704457" w:rsidRPr="00CB10AD">
        <w:rPr>
          <w:lang w:val="en-AU"/>
        </w:rPr>
        <w:t xml:space="preserve">, </w:t>
      </w:r>
      <w:r w:rsidR="00F6127C" w:rsidRPr="00CB10AD">
        <w:rPr>
          <w:lang w:val="en-AU"/>
        </w:rPr>
        <w:t xml:space="preserve">concurrent claims on GoI resources will </w:t>
      </w:r>
      <w:r w:rsidR="0089151C" w:rsidRPr="00CB10AD">
        <w:rPr>
          <w:lang w:val="en-AU"/>
        </w:rPr>
        <w:t xml:space="preserve">likely </w:t>
      </w:r>
      <w:r w:rsidR="00F6127C" w:rsidRPr="00CB10AD">
        <w:rPr>
          <w:lang w:val="en-AU"/>
        </w:rPr>
        <w:t>have a significant bearing on delivery in 2014</w:t>
      </w:r>
      <w:r w:rsidR="00634D91" w:rsidRPr="00CB10AD">
        <w:rPr>
          <w:lang w:val="en-AU"/>
        </w:rPr>
        <w:t xml:space="preserve"> and 2015</w:t>
      </w:r>
      <w:r w:rsidR="00F6127C" w:rsidRPr="00CB10AD">
        <w:rPr>
          <w:lang w:val="en-AU"/>
        </w:rPr>
        <w:t>. Approximately 1.4 million teachers in 2014 and a further 1.3 million teachers in 2015 have to be trained for the curriculum change by the institutions that would be responsible for the delivery of training under the PD system. This clearly raises concerns about the priorities and capacities of those institutions</w:t>
      </w:r>
      <w:r w:rsidR="0089151C" w:rsidRPr="00CB10AD">
        <w:rPr>
          <w:lang w:val="en-AU"/>
        </w:rPr>
        <w:t>.</w:t>
      </w:r>
      <w:r w:rsidR="00F6127C" w:rsidRPr="00CB10AD">
        <w:rPr>
          <w:lang w:val="en-AU"/>
        </w:rPr>
        <w:t xml:space="preserve"> </w:t>
      </w:r>
    </w:p>
    <w:p w:rsidR="009B2D0E" w:rsidRDefault="009B2D0E" w:rsidP="009B2D0E">
      <w:pPr>
        <w:spacing w:before="120" w:after="120" w:line="276" w:lineRule="auto"/>
        <w:jc w:val="both"/>
        <w:rPr>
          <w:bCs/>
          <w:lang w:val="en-AU"/>
        </w:rPr>
      </w:pPr>
      <w:r>
        <w:rPr>
          <w:lang w:val="en-AU"/>
        </w:rPr>
        <w:t>Whilst t</w:t>
      </w:r>
      <w:r w:rsidRPr="00CB10AD">
        <w:rPr>
          <w:lang w:val="en-AU"/>
        </w:rPr>
        <w:t>he GA does not explicitly state the number of s</w:t>
      </w:r>
      <w:r w:rsidRPr="00CB10AD">
        <w:rPr>
          <w:bCs/>
          <w:lang w:val="en-AU"/>
        </w:rPr>
        <w:t>chool and Madrasah principals, supervisors, and education officials being targeted by the PD system</w:t>
      </w:r>
      <w:r>
        <w:rPr>
          <w:bCs/>
          <w:lang w:val="en-AU"/>
        </w:rPr>
        <w:t>, the C2 Updated Design Document</w:t>
      </w:r>
      <w:r>
        <w:rPr>
          <w:rStyle w:val="EndnoteReference"/>
          <w:bCs/>
          <w:lang w:val="en-AU"/>
        </w:rPr>
        <w:endnoteReference w:id="28"/>
      </w:r>
      <w:r>
        <w:rPr>
          <w:bCs/>
          <w:lang w:val="en-AU"/>
        </w:rPr>
        <w:t xml:space="preserve"> of December 2012 states that “s</w:t>
      </w:r>
      <w:r>
        <w:t xml:space="preserve">uccessful implementation of Component 2 will achieve the Comprehensive Aid Policy Framework target that </w:t>
      </w:r>
      <w:r w:rsidRPr="00E25DC0">
        <w:t>293,000 school officials</w:t>
      </w:r>
      <w:r>
        <w:rPr>
          <w:rStyle w:val="FootnoteReference"/>
        </w:rPr>
        <w:footnoteReference w:id="19"/>
      </w:r>
      <w:r>
        <w:t xml:space="preserve"> participate in professional development over the lifetime of the partnership”. </w:t>
      </w:r>
      <w:r>
        <w:rPr>
          <w:bCs/>
          <w:lang w:val="en-AU"/>
        </w:rPr>
        <w:t>C</w:t>
      </w:r>
      <w:r w:rsidRPr="00CB10AD">
        <w:rPr>
          <w:bCs/>
          <w:lang w:val="en-AU"/>
        </w:rPr>
        <w:t>urrent estimates in the GA PAF</w:t>
      </w:r>
      <w:r>
        <w:rPr>
          <w:bCs/>
          <w:lang w:val="en-AU"/>
        </w:rPr>
        <w:t xml:space="preserve"> include:</w:t>
      </w:r>
    </w:p>
    <w:p w:rsidR="009B2D0E" w:rsidRDefault="007269E9" w:rsidP="009B2D0E">
      <w:pPr>
        <w:pStyle w:val="ListParagraph"/>
        <w:numPr>
          <w:ilvl w:val="0"/>
          <w:numId w:val="44"/>
        </w:numPr>
        <w:spacing w:before="120" w:after="120"/>
        <w:jc w:val="both"/>
        <w:rPr>
          <w:lang w:val="en-AU"/>
        </w:rPr>
      </w:pPr>
      <w:r>
        <w:rPr>
          <w:lang w:val="en-AU"/>
        </w:rPr>
        <w:t>170,000 UoLs</w:t>
      </w:r>
      <w:r w:rsidR="009B2D0E" w:rsidRPr="008E47E9">
        <w:rPr>
          <w:lang w:val="en-AU"/>
        </w:rPr>
        <w:t xml:space="preserve"> </w:t>
      </w:r>
      <w:r>
        <w:rPr>
          <w:lang w:val="en-AU"/>
        </w:rPr>
        <w:t>to be undertaken by principals</w:t>
      </w:r>
      <w:r w:rsidR="009B2D0E" w:rsidRPr="008E47E9">
        <w:rPr>
          <w:lang w:val="en-AU"/>
        </w:rPr>
        <w:t xml:space="preserve">; </w:t>
      </w:r>
    </w:p>
    <w:p w:rsidR="009B2D0E" w:rsidRDefault="007269E9" w:rsidP="009B2D0E">
      <w:pPr>
        <w:pStyle w:val="ListParagraph"/>
        <w:numPr>
          <w:ilvl w:val="0"/>
          <w:numId w:val="44"/>
        </w:numPr>
        <w:spacing w:before="120" w:after="120"/>
        <w:jc w:val="both"/>
        <w:rPr>
          <w:lang w:val="en-AU"/>
        </w:rPr>
      </w:pPr>
      <w:r>
        <w:rPr>
          <w:lang w:val="en-AU"/>
        </w:rPr>
        <w:t>24,000 training modules completed by</w:t>
      </w:r>
      <w:r w:rsidR="009B2D0E" w:rsidRPr="008E47E9">
        <w:rPr>
          <w:lang w:val="en-AU"/>
        </w:rPr>
        <w:t xml:space="preserve"> </w:t>
      </w:r>
      <w:r>
        <w:rPr>
          <w:lang w:val="en-AU"/>
        </w:rPr>
        <w:t xml:space="preserve">12,000 </w:t>
      </w:r>
      <w:r w:rsidR="009B2D0E" w:rsidRPr="008E47E9">
        <w:rPr>
          <w:lang w:val="en-AU"/>
        </w:rPr>
        <w:t xml:space="preserve">supervisors </w:t>
      </w:r>
      <w:r>
        <w:rPr>
          <w:lang w:val="en-AU"/>
        </w:rPr>
        <w:t>taking the SPD</w:t>
      </w:r>
      <w:r w:rsidR="009B2D0E" w:rsidRPr="008E47E9">
        <w:rPr>
          <w:lang w:val="en-AU"/>
        </w:rPr>
        <w:t xml:space="preserve">; </w:t>
      </w:r>
    </w:p>
    <w:p w:rsidR="009B2D0E" w:rsidRDefault="009B2D0E" w:rsidP="009B2D0E">
      <w:pPr>
        <w:pStyle w:val="ListParagraph"/>
        <w:numPr>
          <w:ilvl w:val="0"/>
          <w:numId w:val="44"/>
        </w:numPr>
        <w:spacing w:before="120" w:after="120"/>
        <w:jc w:val="both"/>
        <w:rPr>
          <w:lang w:val="en-AU"/>
        </w:rPr>
      </w:pPr>
      <w:r w:rsidRPr="008E47E9">
        <w:rPr>
          <w:lang w:val="en-AU"/>
        </w:rPr>
        <w:t xml:space="preserve">1,350 district officials undergoing </w:t>
      </w:r>
      <w:r w:rsidR="007269E9">
        <w:rPr>
          <w:lang w:val="en-AU"/>
        </w:rPr>
        <w:t xml:space="preserve">an individual </w:t>
      </w:r>
      <w:r w:rsidRPr="008E47E9">
        <w:rPr>
          <w:lang w:val="en-AU"/>
        </w:rPr>
        <w:t>training</w:t>
      </w:r>
      <w:r w:rsidR="007269E9">
        <w:rPr>
          <w:lang w:val="en-AU"/>
        </w:rPr>
        <w:t xml:space="preserve"> course</w:t>
      </w:r>
      <w:r w:rsidRPr="008E47E9">
        <w:rPr>
          <w:lang w:val="en-AU"/>
        </w:rPr>
        <w:t xml:space="preserve">; </w:t>
      </w:r>
    </w:p>
    <w:p w:rsidR="009B2D0E" w:rsidRDefault="007269E9" w:rsidP="009B2D0E">
      <w:pPr>
        <w:pStyle w:val="ListParagraph"/>
        <w:numPr>
          <w:ilvl w:val="0"/>
          <w:numId w:val="44"/>
        </w:numPr>
        <w:spacing w:before="120" w:after="120"/>
        <w:jc w:val="both"/>
        <w:rPr>
          <w:lang w:val="en-AU"/>
        </w:rPr>
      </w:pPr>
      <w:r>
        <w:rPr>
          <w:lang w:val="en-AU"/>
        </w:rPr>
        <w:t xml:space="preserve">22,080 training modules completed by </w:t>
      </w:r>
      <w:r w:rsidR="009B2D0E" w:rsidRPr="008E47E9">
        <w:rPr>
          <w:lang w:val="en-AU"/>
        </w:rPr>
        <w:t>1,840 principal candidates under</w:t>
      </w:r>
      <w:r>
        <w:rPr>
          <w:lang w:val="en-AU"/>
        </w:rPr>
        <w:t xml:space="preserve"> the PPP; a</w:t>
      </w:r>
      <w:r w:rsidR="009B2D0E" w:rsidRPr="008E47E9">
        <w:rPr>
          <w:lang w:val="en-AU"/>
        </w:rPr>
        <w:t>nd</w:t>
      </w:r>
    </w:p>
    <w:p w:rsidR="009B2D0E" w:rsidRDefault="009B2D0E" w:rsidP="009B2D0E">
      <w:pPr>
        <w:pStyle w:val="ListParagraph"/>
        <w:numPr>
          <w:ilvl w:val="0"/>
          <w:numId w:val="44"/>
        </w:numPr>
        <w:spacing w:before="120" w:after="120"/>
        <w:jc w:val="both"/>
        <w:rPr>
          <w:lang w:val="en-AU"/>
        </w:rPr>
      </w:pPr>
      <w:r w:rsidRPr="008E47E9">
        <w:rPr>
          <w:lang w:val="en-AU"/>
        </w:rPr>
        <w:t xml:space="preserve">6,000 officials receiving NSIP training. </w:t>
      </w:r>
    </w:p>
    <w:p w:rsidR="009B2D0E" w:rsidRPr="008E47E9" w:rsidRDefault="007269E9" w:rsidP="009B2D0E">
      <w:pPr>
        <w:spacing w:before="120" w:after="120" w:line="276" w:lineRule="auto"/>
        <w:jc w:val="both"/>
        <w:rPr>
          <w:lang w:val="en-AU"/>
        </w:rPr>
      </w:pPr>
      <w:r>
        <w:rPr>
          <w:lang w:val="en-AU"/>
        </w:rPr>
        <w:t>C</w:t>
      </w:r>
      <w:r w:rsidR="009B2D0E" w:rsidRPr="008E47E9">
        <w:rPr>
          <w:lang w:val="en-AU"/>
        </w:rPr>
        <w:t>ombined with the 69,000 individual modules</w:t>
      </w:r>
      <w:r w:rsidR="009B2D0E">
        <w:rPr>
          <w:lang w:val="en-AU"/>
        </w:rPr>
        <w:t xml:space="preserve"> already completed by SSQ</w:t>
      </w:r>
      <w:r w:rsidR="009B2D0E" w:rsidRPr="008E47E9">
        <w:rPr>
          <w:lang w:val="en-AU"/>
        </w:rPr>
        <w:t xml:space="preserve">, </w:t>
      </w:r>
      <w:r>
        <w:rPr>
          <w:lang w:val="en-AU"/>
        </w:rPr>
        <w:t xml:space="preserve">the number of individual training modules and UoLs </w:t>
      </w:r>
      <w:r w:rsidR="009B2D0E" w:rsidRPr="008E47E9">
        <w:rPr>
          <w:lang w:val="en-AU"/>
        </w:rPr>
        <w:t>expect</w:t>
      </w:r>
      <w:r>
        <w:rPr>
          <w:lang w:val="en-AU"/>
        </w:rPr>
        <w:t>ed to be provided under the EP remains at just under 300,000</w:t>
      </w:r>
      <w:r w:rsidR="009B2D0E">
        <w:rPr>
          <w:lang w:val="en-AU"/>
        </w:rPr>
        <w:t>.</w:t>
      </w: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Effectiveness</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Only pilot activities have taken place to date. Nevertheless, SSQ reports evidence of participants applying their learning, which </w:t>
      </w:r>
      <w:r w:rsidR="00454781" w:rsidRPr="00CB10AD">
        <w:rPr>
          <w:rFonts w:asciiTheme="minorHAnsi" w:hAnsiTheme="minorHAnsi" w:cstheme="minorHAnsi"/>
          <w:lang w:val="en-AU"/>
        </w:rPr>
        <w:t xml:space="preserve">gives </w:t>
      </w:r>
      <w:r w:rsidRPr="00CB10AD">
        <w:rPr>
          <w:rFonts w:asciiTheme="minorHAnsi" w:hAnsiTheme="minorHAnsi" w:cstheme="minorHAnsi"/>
          <w:lang w:val="en-AU"/>
        </w:rPr>
        <w:t>reason for confidence concerning the attainment of the EOCO</w:t>
      </w:r>
      <w:r w:rsidR="00EE7ADC" w:rsidRPr="00CB10AD">
        <w:rPr>
          <w:rFonts w:asciiTheme="minorHAnsi" w:hAnsiTheme="minorHAnsi" w:cstheme="minorHAnsi"/>
          <w:lang w:val="en-AU"/>
        </w:rPr>
        <w:t>, i.e. that improved professional competencies of participating principals are applied.</w:t>
      </w:r>
      <w:r w:rsidRPr="00CB10AD">
        <w:rPr>
          <w:rFonts w:asciiTheme="minorHAnsi" w:hAnsiTheme="minorHAnsi" w:cstheme="minorHAnsi"/>
          <w:lang w:val="en-AU"/>
        </w:rPr>
        <w:t xml:space="preserve"> </w:t>
      </w:r>
      <w:r w:rsidR="00454781" w:rsidRPr="00CB10AD">
        <w:rPr>
          <w:rFonts w:asciiTheme="minorHAnsi" w:hAnsiTheme="minorHAnsi" w:cstheme="minorHAnsi"/>
          <w:lang w:val="en-AU"/>
        </w:rPr>
        <w:t>T</w:t>
      </w:r>
      <w:r w:rsidRPr="00CB10AD">
        <w:rPr>
          <w:rFonts w:asciiTheme="minorHAnsi" w:hAnsiTheme="minorHAnsi" w:cstheme="minorHAnsi"/>
          <w:lang w:val="en-AU"/>
        </w:rPr>
        <w:t xml:space="preserve">here is anecdotal evidence of principals </w:t>
      </w:r>
      <w:r w:rsidR="007622D6" w:rsidRPr="00CB10AD">
        <w:rPr>
          <w:rFonts w:asciiTheme="minorHAnsi" w:hAnsiTheme="minorHAnsi" w:cstheme="minorHAnsi"/>
          <w:lang w:val="en-AU"/>
        </w:rPr>
        <w:t>who</w:t>
      </w:r>
      <w:r w:rsidRPr="00CB10AD">
        <w:rPr>
          <w:rFonts w:asciiTheme="minorHAnsi" w:hAnsiTheme="minorHAnsi" w:cstheme="minorHAnsi"/>
          <w:lang w:val="en-AU"/>
        </w:rPr>
        <w:t xml:space="preserve"> participated in the pilot CPD training (on supervision) subsequently applying their skills</w:t>
      </w:r>
      <w:r w:rsidR="0089151C" w:rsidRPr="00CB10AD">
        <w:rPr>
          <w:rFonts w:asciiTheme="minorHAnsi" w:hAnsiTheme="minorHAnsi" w:cstheme="minorHAnsi"/>
          <w:lang w:val="en-AU"/>
        </w:rPr>
        <w:t xml:space="preserve">, </w:t>
      </w:r>
      <w:r w:rsidRPr="00CB10AD">
        <w:rPr>
          <w:rFonts w:asciiTheme="minorHAnsi" w:hAnsiTheme="minorHAnsi" w:cstheme="minorHAnsi"/>
          <w:lang w:val="en-AU"/>
        </w:rPr>
        <w:t>leading to teachers utilizing a wider range of teaching methods and tools</w:t>
      </w:r>
      <w:r w:rsidRPr="00CB10AD">
        <w:rPr>
          <w:rFonts w:asciiTheme="minorHAnsi" w:hAnsiTheme="minorHAnsi" w:cstheme="minorHAnsi"/>
          <w:vertAlign w:val="superscript"/>
          <w:lang w:val="en-AU"/>
        </w:rPr>
        <w:endnoteReference w:id="29"/>
      </w:r>
      <w:r w:rsidR="00454781" w:rsidRPr="00CB10AD">
        <w:rPr>
          <w:rFonts w:asciiTheme="minorHAnsi" w:hAnsiTheme="minorHAnsi" w:cstheme="minorHAnsi"/>
          <w:lang w:val="en-AU"/>
        </w:rPr>
        <w:t xml:space="preserve">. </w:t>
      </w:r>
      <w:r w:rsidRPr="00CB10AD">
        <w:rPr>
          <w:rFonts w:asciiTheme="minorHAnsi" w:hAnsiTheme="minorHAnsi" w:cstheme="minorHAnsi"/>
          <w:lang w:val="en-AU"/>
        </w:rPr>
        <w:t>In addition, SSQ reports that the training has led to improved planning and accountability of expenditure, availability of facilities and work with communities</w:t>
      </w:r>
      <w:r w:rsidRPr="00CB10AD">
        <w:rPr>
          <w:rFonts w:asciiTheme="minorHAnsi" w:hAnsiTheme="minorHAnsi" w:cstheme="minorHAnsi"/>
          <w:vertAlign w:val="superscript"/>
          <w:lang w:val="en-AU"/>
        </w:rPr>
        <w:endnoteReference w:id="30"/>
      </w:r>
      <w:r w:rsidR="0024400F" w:rsidRPr="00CB10AD">
        <w:rPr>
          <w:rFonts w:asciiTheme="minorHAnsi" w:hAnsiTheme="minorHAnsi" w:cstheme="minorHAnsi"/>
          <w:lang w:val="en-AU"/>
        </w:rPr>
        <w:t>.</w:t>
      </w:r>
      <w:r w:rsidRPr="00CB10AD">
        <w:rPr>
          <w:rFonts w:asciiTheme="minorHAnsi" w:hAnsiTheme="minorHAnsi" w:cstheme="minorHAnsi"/>
          <w:lang w:val="en-AU"/>
        </w:rPr>
        <w:t xml:space="preserve">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lastRenderedPageBreak/>
        <w:t>However, the extent to which the CPD provided for principals, prospective principals, district and provincial education officials, and supervisors will lead to improved school management (EOPO) and improved students’ learning outcomes (</w:t>
      </w:r>
      <w:r w:rsidR="00516C2F" w:rsidRPr="00CB10AD">
        <w:rPr>
          <w:rFonts w:asciiTheme="minorHAnsi" w:hAnsiTheme="minorHAnsi" w:cstheme="minorHAnsi"/>
          <w:lang w:val="en-AU"/>
        </w:rPr>
        <w:t xml:space="preserve">at </w:t>
      </w:r>
      <w:r w:rsidRPr="00CB10AD">
        <w:rPr>
          <w:rFonts w:asciiTheme="minorHAnsi" w:hAnsiTheme="minorHAnsi" w:cstheme="minorHAnsi"/>
          <w:lang w:val="en-AU"/>
        </w:rPr>
        <w:t>Goal</w:t>
      </w:r>
      <w:r w:rsidR="00516C2F" w:rsidRPr="00CB10AD">
        <w:rPr>
          <w:rFonts w:asciiTheme="minorHAnsi" w:hAnsiTheme="minorHAnsi" w:cstheme="minorHAnsi"/>
          <w:lang w:val="en-AU"/>
        </w:rPr>
        <w:t xml:space="preserve"> level</w:t>
      </w:r>
      <w:r w:rsidRPr="00CB10AD">
        <w:rPr>
          <w:rFonts w:asciiTheme="minorHAnsi" w:hAnsiTheme="minorHAnsi" w:cstheme="minorHAnsi"/>
          <w:lang w:val="en-AU"/>
        </w:rPr>
        <w:t>) is as yet unclear. Three challenges should be noted:</w:t>
      </w:r>
    </w:p>
    <w:p w:rsidR="00F6127C" w:rsidRPr="00CB10AD" w:rsidRDefault="00F6127C" w:rsidP="007B17D5">
      <w:pPr>
        <w:numPr>
          <w:ilvl w:val="0"/>
          <w:numId w:val="2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Whilst SSQ reports that the individual components deliver positive results, a robust assessment of the effectiveness of the system as a whole will only be possible once the system, which includes a range of technical modules and multiple service deliverers, has been in operation in an environment of competing demand on time and resources. </w:t>
      </w:r>
    </w:p>
    <w:p w:rsidR="00F6127C" w:rsidRPr="00CB10AD" w:rsidRDefault="007269E9" w:rsidP="007B17D5">
      <w:pPr>
        <w:numPr>
          <w:ilvl w:val="0"/>
          <w:numId w:val="24"/>
        </w:numPr>
        <w:spacing w:before="120" w:after="120" w:line="276" w:lineRule="auto"/>
        <w:contextualSpacing/>
        <w:jc w:val="both"/>
        <w:rPr>
          <w:rFonts w:asciiTheme="minorHAnsi" w:eastAsia="Calibri" w:hAnsiTheme="minorHAnsi" w:cstheme="minorHAnsi"/>
          <w:lang w:val="en-AU"/>
        </w:rPr>
      </w:pPr>
      <w:r>
        <w:rPr>
          <w:rFonts w:asciiTheme="minorHAnsi" w:eastAsia="Calibri" w:hAnsiTheme="minorHAnsi" w:cstheme="minorHAnsi"/>
          <w:lang w:val="en-AU"/>
        </w:rPr>
        <w:t xml:space="preserve">Any </w:t>
      </w:r>
      <w:r w:rsidR="00F6127C" w:rsidRPr="00CB10AD">
        <w:rPr>
          <w:rFonts w:asciiTheme="minorHAnsi" w:eastAsia="Calibri" w:hAnsiTheme="minorHAnsi" w:cstheme="minorHAnsi"/>
          <w:lang w:val="en-AU"/>
        </w:rPr>
        <w:t xml:space="preserve">delay to </w:t>
      </w:r>
      <w:r>
        <w:rPr>
          <w:rFonts w:asciiTheme="minorHAnsi" w:eastAsia="Calibri" w:hAnsiTheme="minorHAnsi" w:cstheme="minorHAnsi"/>
          <w:lang w:val="en-AU"/>
        </w:rPr>
        <w:t>implementation will</w:t>
      </w:r>
      <w:r w:rsidRPr="00CB10AD">
        <w:rPr>
          <w:rFonts w:asciiTheme="minorHAnsi" w:eastAsia="Calibri" w:hAnsiTheme="minorHAnsi" w:cstheme="minorHAnsi"/>
          <w:lang w:val="en-AU"/>
        </w:rPr>
        <w:t xml:space="preserve"> </w:t>
      </w:r>
      <w:r w:rsidR="00F6127C" w:rsidRPr="00CB10AD">
        <w:rPr>
          <w:rFonts w:asciiTheme="minorHAnsi" w:eastAsia="Calibri" w:hAnsiTheme="minorHAnsi" w:cstheme="minorHAnsi"/>
          <w:lang w:val="en-AU"/>
        </w:rPr>
        <w:t xml:space="preserve">exert pressure on the attainment of stated outputs and outcomes and, more likely, on specific annual performance targets. </w:t>
      </w:r>
    </w:p>
    <w:p w:rsidR="00F6127C" w:rsidRPr="00CB10AD" w:rsidRDefault="00CE4969" w:rsidP="007B17D5">
      <w:pPr>
        <w:numPr>
          <w:ilvl w:val="0"/>
          <w:numId w:val="2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D</w:t>
      </w:r>
      <w:r w:rsidR="00F6127C" w:rsidRPr="00CB10AD">
        <w:rPr>
          <w:rFonts w:asciiTheme="minorHAnsi" w:eastAsia="Calibri" w:hAnsiTheme="minorHAnsi" w:cstheme="minorHAnsi"/>
          <w:lang w:val="en-AU"/>
        </w:rPr>
        <w:t>istricts’ lack of compliance with MoEC’s Ministerial decrees (i.e. Ministerial Decree No. 12/2007 and Ministerial Decree No. 28/2010)</w:t>
      </w:r>
      <w:r w:rsidR="00F6127C" w:rsidRPr="00CB10AD">
        <w:rPr>
          <w:rFonts w:eastAsia="Calibri"/>
          <w:vertAlign w:val="superscript"/>
          <w:lang w:val="en-AU"/>
        </w:rPr>
        <w:endnoteReference w:id="31"/>
      </w:r>
      <w:r w:rsidR="00F6127C" w:rsidRPr="00CB10AD">
        <w:rPr>
          <w:rFonts w:asciiTheme="minorHAnsi" w:eastAsia="Calibri" w:hAnsiTheme="minorHAnsi" w:cstheme="minorHAnsi"/>
          <w:lang w:val="en-AU"/>
        </w:rPr>
        <w:t xml:space="preserve"> has the potential to reduce the effectiveness of the PD system. </w:t>
      </w:r>
      <w:r w:rsidRPr="00CB10AD">
        <w:rPr>
          <w:rFonts w:asciiTheme="minorHAnsi" w:eastAsia="Calibri" w:hAnsiTheme="minorHAnsi" w:cstheme="minorHAnsi"/>
          <w:lang w:val="en-AU"/>
        </w:rPr>
        <w:t xml:space="preserve">The decrees seek to enforce high levels of objectivity over the </w:t>
      </w:r>
      <w:r w:rsidR="00F6127C" w:rsidRPr="00CB10AD">
        <w:rPr>
          <w:rFonts w:asciiTheme="minorHAnsi" w:eastAsia="Calibri" w:hAnsiTheme="minorHAnsi" w:cstheme="minorHAnsi"/>
          <w:lang w:val="en-AU"/>
        </w:rPr>
        <w:t xml:space="preserve">selection processes of supervisors and principals </w:t>
      </w:r>
      <w:r w:rsidRPr="00CB10AD">
        <w:rPr>
          <w:rFonts w:asciiTheme="minorHAnsi" w:eastAsia="Calibri" w:hAnsiTheme="minorHAnsi" w:cstheme="minorHAnsi"/>
          <w:lang w:val="en-AU"/>
        </w:rPr>
        <w:t xml:space="preserve">which can be </w:t>
      </w:r>
      <w:r w:rsidR="00F6127C" w:rsidRPr="00CB10AD">
        <w:rPr>
          <w:rFonts w:asciiTheme="minorHAnsi" w:eastAsia="Calibri" w:hAnsiTheme="minorHAnsi" w:cstheme="minorHAnsi"/>
          <w:lang w:val="en-AU"/>
        </w:rPr>
        <w:t xml:space="preserve">subjectively influenced by </w:t>
      </w:r>
      <w:r w:rsidR="00F6127C" w:rsidRPr="00CB10AD">
        <w:rPr>
          <w:rFonts w:asciiTheme="minorHAnsi" w:eastAsia="Calibri" w:hAnsiTheme="minorHAnsi" w:cstheme="minorHAnsi"/>
          <w:i/>
          <w:lang w:val="en-AU"/>
        </w:rPr>
        <w:t>bupati</w:t>
      </w:r>
      <w:r w:rsidR="00F6127C" w:rsidRPr="00CB10AD">
        <w:rPr>
          <w:rFonts w:asciiTheme="minorHAnsi" w:eastAsia="Calibri" w:hAnsiTheme="minorHAnsi" w:cstheme="minorHAnsi"/>
          <w:lang w:val="en-AU"/>
        </w:rPr>
        <w:t xml:space="preserve"> o</w:t>
      </w:r>
      <w:r w:rsidR="00516C2F" w:rsidRPr="00CB10AD">
        <w:rPr>
          <w:rFonts w:asciiTheme="minorHAnsi" w:eastAsia="Calibri" w:hAnsiTheme="minorHAnsi" w:cstheme="minorHAnsi"/>
          <w:lang w:val="en-AU"/>
        </w:rPr>
        <w:t>r heads of the education office</w:t>
      </w:r>
      <w:r w:rsidR="00F6127C" w:rsidRPr="00CB10AD">
        <w:rPr>
          <w:rFonts w:asciiTheme="minorHAnsi" w:eastAsia="Calibri" w:hAnsiTheme="minorHAnsi" w:cstheme="minorHAnsi"/>
          <w:vertAlign w:val="superscript"/>
          <w:lang w:val="en-AU"/>
        </w:rPr>
        <w:endnoteReference w:id="32"/>
      </w:r>
      <w:r w:rsidR="00516C2F" w:rsidRPr="00CB10AD">
        <w:rPr>
          <w:rFonts w:asciiTheme="minorHAnsi" w:eastAsia="Calibri" w:hAnsiTheme="minorHAnsi" w:cstheme="minorHAnsi"/>
          <w:lang w:val="en-AU"/>
        </w:rPr>
        <w:t>.</w:t>
      </w:r>
      <w:r w:rsidRPr="00CB10AD">
        <w:rPr>
          <w:rFonts w:asciiTheme="minorHAnsi" w:eastAsia="Calibri" w:hAnsiTheme="minorHAnsi" w:cstheme="minorHAnsi"/>
          <w:lang w:val="en-AU"/>
        </w:rPr>
        <w:t xml:space="preserve"> </w:t>
      </w:r>
    </w:p>
    <w:p w:rsidR="0052723B" w:rsidRPr="00CB10AD" w:rsidRDefault="0052723B" w:rsidP="0052723B">
      <w:pPr>
        <w:spacing w:before="120" w:after="120" w:line="276" w:lineRule="auto"/>
        <w:ind w:left="720"/>
        <w:contextualSpacing/>
        <w:jc w:val="both"/>
        <w:rPr>
          <w:rFonts w:asciiTheme="minorHAnsi" w:eastAsia="Calibri" w:hAnsiTheme="minorHAnsi" w:cstheme="minorHAnsi"/>
          <w:lang w:val="en-AU"/>
        </w:rPr>
      </w:pP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Impact</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It is too soon</w:t>
      </w:r>
      <w:r w:rsidR="00F51688" w:rsidRPr="00CB10AD">
        <w:rPr>
          <w:rFonts w:asciiTheme="minorHAnsi" w:hAnsiTheme="minorHAnsi" w:cstheme="minorHAnsi"/>
          <w:lang w:val="en-AU"/>
        </w:rPr>
        <w:t xml:space="preserve"> to make </w:t>
      </w:r>
      <w:r w:rsidRPr="00CB10AD">
        <w:rPr>
          <w:rFonts w:asciiTheme="minorHAnsi" w:hAnsiTheme="minorHAnsi" w:cstheme="minorHAnsi"/>
          <w:lang w:val="en-AU"/>
        </w:rPr>
        <w:t>an informed judgment on the likelihood and extent of impact.</w:t>
      </w:r>
      <w:r w:rsidR="00946EBD" w:rsidRPr="00CB10AD">
        <w:rPr>
          <w:rFonts w:asciiTheme="minorHAnsi" w:hAnsiTheme="minorHAnsi" w:cstheme="minorHAnsi"/>
          <w:lang w:val="en-AU"/>
        </w:rPr>
        <w:t xml:space="preserve"> </w:t>
      </w:r>
      <w:r w:rsidR="00F51688" w:rsidRPr="00CB10AD">
        <w:rPr>
          <w:rFonts w:asciiTheme="minorHAnsi" w:hAnsiTheme="minorHAnsi" w:cstheme="minorHAnsi"/>
          <w:lang w:val="en-AU"/>
        </w:rPr>
        <w:t>Nevertheless, t</w:t>
      </w:r>
      <w:r w:rsidRPr="00CB10AD">
        <w:rPr>
          <w:rFonts w:asciiTheme="minorHAnsi" w:hAnsiTheme="minorHAnsi" w:cstheme="minorHAnsi"/>
          <w:lang w:val="en-AU"/>
        </w:rPr>
        <w:t xml:space="preserve">he success and likely impact of the current approach will be shaped by, </w:t>
      </w:r>
      <w:r w:rsidR="00377048" w:rsidRPr="00CB10AD">
        <w:rPr>
          <w:rFonts w:asciiTheme="minorHAnsi" w:hAnsiTheme="minorHAnsi" w:cstheme="minorHAnsi"/>
          <w:i/>
          <w:lang w:val="en-AU"/>
        </w:rPr>
        <w:t>inter alia</w:t>
      </w:r>
      <w:r w:rsidRPr="00CB10AD">
        <w:rPr>
          <w:rFonts w:asciiTheme="minorHAnsi" w:hAnsiTheme="minorHAnsi" w:cstheme="minorHAnsi"/>
          <w:lang w:val="en-AU"/>
        </w:rPr>
        <w:t>:</w:t>
      </w:r>
    </w:p>
    <w:p w:rsidR="00F6127C" w:rsidRPr="00CB10AD" w:rsidRDefault="00F6127C" w:rsidP="007B17D5">
      <w:pPr>
        <w:numPr>
          <w:ilvl w:val="0"/>
          <w:numId w:val="2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The adequacy of training provided by the system for career advancement of participants. </w:t>
      </w:r>
    </w:p>
    <w:p w:rsidR="00F6127C" w:rsidRPr="00CB10AD" w:rsidRDefault="00F6127C" w:rsidP="007B17D5">
      <w:pPr>
        <w:numPr>
          <w:ilvl w:val="0"/>
          <w:numId w:val="2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The adequacy of appointment processes, e.g. adherence to relevant ministerial decrees (i.e. Ministerial Decree No. 12/2007 on Supervisors, and Ministerial Decree No. 28/2010 on Principals). </w:t>
      </w:r>
    </w:p>
    <w:p w:rsidR="00F6127C" w:rsidRPr="00CB10AD" w:rsidRDefault="00EE7ADC" w:rsidP="007B17D5">
      <w:pPr>
        <w:numPr>
          <w:ilvl w:val="0"/>
          <w:numId w:val="24"/>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Appropriate </w:t>
      </w:r>
      <w:r w:rsidR="00F6127C" w:rsidRPr="00CB10AD">
        <w:rPr>
          <w:rFonts w:asciiTheme="minorHAnsi" w:eastAsia="Calibri" w:hAnsiTheme="minorHAnsi" w:cstheme="minorHAnsi"/>
          <w:lang w:val="en-AU"/>
        </w:rPr>
        <w:t>GoI institutions assuming responsibility for governing, implementing, using, financing and quality assuring the system.</w:t>
      </w:r>
    </w:p>
    <w:p w:rsidR="00CB43F5" w:rsidRPr="00CB10AD" w:rsidRDefault="00CB43F5" w:rsidP="00CB43F5">
      <w:pPr>
        <w:spacing w:before="120" w:after="120" w:line="276" w:lineRule="auto"/>
        <w:ind w:left="720"/>
        <w:contextualSpacing/>
        <w:jc w:val="both"/>
        <w:rPr>
          <w:rFonts w:asciiTheme="minorHAnsi" w:eastAsia="Calibri" w:hAnsiTheme="minorHAnsi" w:cstheme="minorHAnsi"/>
          <w:lang w:val="en-AU"/>
        </w:rPr>
      </w:pPr>
    </w:p>
    <w:p w:rsidR="00F6127C" w:rsidRPr="00CB10AD" w:rsidRDefault="00F6127C" w:rsidP="00C362E0">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Sustainability</w:t>
      </w:r>
    </w:p>
    <w:p w:rsidR="00F6127C" w:rsidRPr="00CB10AD" w:rsidRDefault="00F6127C" w:rsidP="00F6127C">
      <w:pPr>
        <w:spacing w:before="120" w:after="120" w:line="276" w:lineRule="auto"/>
        <w:jc w:val="both"/>
        <w:rPr>
          <w:lang w:val="en-AU"/>
        </w:rPr>
      </w:pPr>
      <w:r w:rsidRPr="00CB10AD">
        <w:rPr>
          <w:lang w:val="en-AU"/>
        </w:rPr>
        <w:t xml:space="preserve">The sustainability of the </w:t>
      </w:r>
      <w:r w:rsidR="00CE4969" w:rsidRPr="00CB10AD">
        <w:rPr>
          <w:lang w:val="en-AU"/>
        </w:rPr>
        <w:t xml:space="preserve">CPD </w:t>
      </w:r>
      <w:r w:rsidRPr="00CB10AD">
        <w:rPr>
          <w:lang w:val="en-AU"/>
        </w:rPr>
        <w:t>system</w:t>
      </w:r>
      <w:r w:rsidR="00EE7ADC" w:rsidRPr="00CB10AD">
        <w:rPr>
          <w:lang w:val="en-AU"/>
        </w:rPr>
        <w:t xml:space="preserve"> for school principals – the cornerstone of DFAT’s investment - </w:t>
      </w:r>
      <w:r w:rsidRPr="00CB10AD">
        <w:rPr>
          <w:lang w:val="en-AU"/>
        </w:rPr>
        <w:t>remains unclear</w:t>
      </w:r>
      <w:r w:rsidR="00CE4969" w:rsidRPr="00CB10AD">
        <w:rPr>
          <w:lang w:val="en-AU"/>
        </w:rPr>
        <w:t xml:space="preserve"> largely because the </w:t>
      </w:r>
      <w:r w:rsidR="00E76EB0" w:rsidRPr="00CB10AD">
        <w:rPr>
          <w:lang w:val="en-AU"/>
        </w:rPr>
        <w:t xml:space="preserve">future organization </w:t>
      </w:r>
      <w:r w:rsidR="004B17D5" w:rsidRPr="00CB10AD">
        <w:rPr>
          <w:lang w:val="en-AU"/>
        </w:rPr>
        <w:t xml:space="preserve">and financing </w:t>
      </w:r>
      <w:r w:rsidR="00E76EB0" w:rsidRPr="00CB10AD">
        <w:rPr>
          <w:lang w:val="en-AU"/>
        </w:rPr>
        <w:t>of PD at district</w:t>
      </w:r>
      <w:r w:rsidR="004B17D5" w:rsidRPr="00CB10AD">
        <w:rPr>
          <w:lang w:val="en-AU"/>
        </w:rPr>
        <w:t>, provincial and national</w:t>
      </w:r>
      <w:r w:rsidR="00E76EB0" w:rsidRPr="00CB10AD">
        <w:rPr>
          <w:lang w:val="en-AU"/>
        </w:rPr>
        <w:t xml:space="preserve"> level has yet to be clarified</w:t>
      </w:r>
      <w:r w:rsidRPr="00CB10AD">
        <w:rPr>
          <w:lang w:val="en-AU"/>
        </w:rPr>
        <w:t xml:space="preserve">. The current PD system </w:t>
      </w:r>
      <w:r w:rsidR="00F51688" w:rsidRPr="00CB10AD">
        <w:rPr>
          <w:lang w:val="en-AU"/>
        </w:rPr>
        <w:t xml:space="preserve">receives </w:t>
      </w:r>
      <w:r w:rsidRPr="00CB10AD">
        <w:rPr>
          <w:lang w:val="en-AU"/>
        </w:rPr>
        <w:t>significant financ</w:t>
      </w:r>
      <w:r w:rsidR="00F51688" w:rsidRPr="00CB10AD">
        <w:rPr>
          <w:lang w:val="en-AU"/>
        </w:rPr>
        <w:t xml:space="preserve">ing from </w:t>
      </w:r>
      <w:r w:rsidRPr="00CB10AD">
        <w:rPr>
          <w:lang w:val="en-AU"/>
        </w:rPr>
        <w:t>DFAT</w:t>
      </w:r>
      <w:r w:rsidR="00F51688" w:rsidRPr="00CB10AD">
        <w:rPr>
          <w:lang w:val="en-AU"/>
        </w:rPr>
        <w:t xml:space="preserve">; </w:t>
      </w:r>
      <w:r w:rsidRPr="00CB10AD">
        <w:rPr>
          <w:lang w:val="en-AU"/>
        </w:rPr>
        <w:t>very little contribution has been provided by central, provincial, or district governments</w:t>
      </w:r>
      <w:r w:rsidR="00EE7ADC" w:rsidRPr="00CB10AD">
        <w:rPr>
          <w:lang w:val="en-AU"/>
        </w:rPr>
        <w:t xml:space="preserve"> (and neither was it expected in the GA)</w:t>
      </w:r>
      <w:r w:rsidRPr="00CB10AD">
        <w:rPr>
          <w:lang w:val="en-AU"/>
        </w:rPr>
        <w:t>.</w:t>
      </w:r>
      <w:r w:rsidR="00ED2DDA" w:rsidRPr="00CB10AD">
        <w:rPr>
          <w:lang w:val="en-AU"/>
        </w:rPr>
        <w:t xml:space="preserve"> </w:t>
      </w:r>
      <w:r w:rsidRPr="00CB10AD">
        <w:rPr>
          <w:lang w:val="en-AU"/>
        </w:rPr>
        <w:t xml:space="preserve">The main counterpart for implementing C2 activities is </w:t>
      </w:r>
      <w:r w:rsidRPr="00CB10AD">
        <w:rPr>
          <w:i/>
          <w:lang w:val="en-AU"/>
        </w:rPr>
        <w:t>Pusbang</w:t>
      </w:r>
      <w:r w:rsidR="00CB43F5" w:rsidRPr="00CB10AD">
        <w:rPr>
          <w:i/>
          <w:lang w:val="en-AU"/>
        </w:rPr>
        <w:t>t</w:t>
      </w:r>
      <w:r w:rsidRPr="00CB10AD">
        <w:rPr>
          <w:i/>
          <w:lang w:val="en-AU"/>
        </w:rPr>
        <w:t>endik</w:t>
      </w:r>
      <w:r w:rsidRPr="00CB10AD">
        <w:rPr>
          <w:lang w:val="en-AU"/>
        </w:rPr>
        <w:t xml:space="preserve"> and hence it is centrally driven. Should responsibility lay with districts, their ability and willingness to pay for professional development remains uncertain</w:t>
      </w:r>
      <w:r w:rsidR="00F51688" w:rsidRPr="00CB10AD">
        <w:rPr>
          <w:lang w:val="en-AU"/>
        </w:rPr>
        <w:t xml:space="preserve"> and </w:t>
      </w:r>
      <w:r w:rsidR="00522B27" w:rsidRPr="00CB10AD">
        <w:rPr>
          <w:lang w:val="en-AU"/>
        </w:rPr>
        <w:t xml:space="preserve">is </w:t>
      </w:r>
      <w:r w:rsidR="00F51688" w:rsidRPr="00CB10AD">
        <w:rPr>
          <w:lang w:val="en-AU"/>
        </w:rPr>
        <w:t>untested</w:t>
      </w:r>
      <w:r w:rsidRPr="00CB10AD">
        <w:rPr>
          <w:lang w:val="en-AU"/>
        </w:rPr>
        <w:t>.</w:t>
      </w:r>
      <w:r w:rsidR="00ED2DDA" w:rsidRPr="00CB10AD">
        <w:rPr>
          <w:lang w:val="en-AU"/>
        </w:rPr>
        <w:t xml:space="preserve"> </w:t>
      </w:r>
      <w:r w:rsidRPr="00CB10AD">
        <w:rPr>
          <w:lang w:val="en-AU"/>
        </w:rPr>
        <w:t>SSQ realizes the importance of positive demonstration effects in 2014 to secure district</w:t>
      </w:r>
      <w:r w:rsidR="00F51688" w:rsidRPr="00CB10AD">
        <w:rPr>
          <w:lang w:val="en-AU"/>
        </w:rPr>
        <w:t xml:space="preserve"> (and possibly provincial)</w:t>
      </w:r>
      <w:r w:rsidRPr="00CB10AD">
        <w:rPr>
          <w:lang w:val="en-AU"/>
        </w:rPr>
        <w:t xml:space="preserve"> buy-in. Since the GA is signed between DFAT, MoEC, and MoRA, securing the cooperation of district governments is beyond the scope of the GA</w:t>
      </w:r>
      <w:r w:rsidR="000E7168" w:rsidRPr="00CB10AD">
        <w:rPr>
          <w:lang w:val="en-AU"/>
        </w:rPr>
        <w:t>. However, should GoI drive towards decentralized service provision be mirrored in the provision of CPD for principals, sub-national commitment to the program at both a technical and financial level</w:t>
      </w:r>
      <w:r w:rsidR="00C662BC" w:rsidRPr="00CB10AD">
        <w:rPr>
          <w:lang w:val="en-AU"/>
        </w:rPr>
        <w:t xml:space="preserve"> will be required </w:t>
      </w:r>
      <w:r w:rsidRPr="00CB10AD">
        <w:rPr>
          <w:lang w:val="en-AU"/>
        </w:rPr>
        <w:t>to ensure future sustainability of the PD system.</w:t>
      </w:r>
      <w:r w:rsidR="00ED2DDA" w:rsidRPr="00CB10AD">
        <w:rPr>
          <w:lang w:val="en-AU"/>
        </w:rPr>
        <w:t xml:space="preserve"> </w:t>
      </w:r>
      <w:r w:rsidRPr="00CB10AD">
        <w:rPr>
          <w:lang w:val="en-AU"/>
        </w:rPr>
        <w:t xml:space="preserve">In the absence of </w:t>
      </w:r>
      <w:r w:rsidR="00C662BC" w:rsidRPr="00CB10AD">
        <w:rPr>
          <w:lang w:val="en-AU"/>
        </w:rPr>
        <w:t xml:space="preserve">such </w:t>
      </w:r>
      <w:r w:rsidRPr="00CB10AD">
        <w:rPr>
          <w:lang w:val="en-AU"/>
        </w:rPr>
        <w:t>commitments, the</w:t>
      </w:r>
      <w:r w:rsidR="00F51688" w:rsidRPr="00CB10AD">
        <w:rPr>
          <w:lang w:val="en-AU"/>
        </w:rPr>
        <w:t>re is a risk that</w:t>
      </w:r>
      <w:r w:rsidRPr="00CB10AD">
        <w:rPr>
          <w:lang w:val="en-AU"/>
        </w:rPr>
        <w:t xml:space="preserve"> </w:t>
      </w:r>
      <w:r w:rsidR="007622D6" w:rsidRPr="00CB10AD">
        <w:rPr>
          <w:lang w:val="en-AU"/>
        </w:rPr>
        <w:t xml:space="preserve">the </w:t>
      </w:r>
      <w:r w:rsidRPr="00CB10AD">
        <w:rPr>
          <w:lang w:val="en-AU"/>
        </w:rPr>
        <w:t>PD system may be discontinued</w:t>
      </w:r>
      <w:r w:rsidR="00F51688" w:rsidRPr="00CB10AD">
        <w:rPr>
          <w:lang w:val="en-AU"/>
        </w:rPr>
        <w:t xml:space="preserve"> or, at least, the ambition that it be nationwide </w:t>
      </w:r>
      <w:r w:rsidR="007622D6" w:rsidRPr="00CB10AD">
        <w:rPr>
          <w:lang w:val="en-AU"/>
        </w:rPr>
        <w:t>is</w:t>
      </w:r>
      <w:r w:rsidR="00F51688" w:rsidRPr="00CB10AD">
        <w:rPr>
          <w:lang w:val="en-AU"/>
        </w:rPr>
        <w:t xml:space="preserve"> un</w:t>
      </w:r>
      <w:r w:rsidR="007622D6" w:rsidRPr="00CB10AD">
        <w:rPr>
          <w:lang w:val="en-AU"/>
        </w:rPr>
        <w:t>ful</w:t>
      </w:r>
      <w:r w:rsidR="00F51688" w:rsidRPr="00CB10AD">
        <w:rPr>
          <w:lang w:val="en-AU"/>
        </w:rPr>
        <w:t>filled</w:t>
      </w:r>
      <w:r w:rsidR="0052723B" w:rsidRPr="00CB10AD">
        <w:rPr>
          <w:lang w:val="en-AU"/>
        </w:rPr>
        <w:t>.</w:t>
      </w:r>
      <w:r w:rsidRPr="00CB10AD">
        <w:rPr>
          <w:lang w:val="en-AU"/>
        </w:rPr>
        <w:t xml:space="preserve"> </w:t>
      </w:r>
    </w:p>
    <w:p w:rsidR="00EE7ADC" w:rsidRPr="00CB10AD" w:rsidRDefault="00F6127C" w:rsidP="00F6127C">
      <w:pPr>
        <w:spacing w:before="120" w:after="120" w:line="276" w:lineRule="auto"/>
        <w:jc w:val="both"/>
        <w:rPr>
          <w:lang w:val="en-AU"/>
        </w:rPr>
      </w:pPr>
      <w:r w:rsidRPr="00CB10AD">
        <w:rPr>
          <w:lang w:val="en-AU"/>
        </w:rPr>
        <w:lastRenderedPageBreak/>
        <w:t xml:space="preserve">There are uncertainties around the continued involvement of the 15% madrasah participants in the system. It is distinctly possible that </w:t>
      </w:r>
      <w:r w:rsidR="00EE7ADC" w:rsidRPr="00CB10AD">
        <w:rPr>
          <w:lang w:val="en-AU"/>
        </w:rPr>
        <w:t xml:space="preserve">Islamic education </w:t>
      </w:r>
      <w:r w:rsidRPr="00CB10AD">
        <w:rPr>
          <w:lang w:val="en-AU"/>
        </w:rPr>
        <w:t>participants only secure benefit from the system because it is fully funded by DFAT</w:t>
      </w:r>
      <w:r w:rsidRPr="00CB10AD">
        <w:rPr>
          <w:vertAlign w:val="superscript"/>
          <w:lang w:val="en-AU"/>
        </w:rPr>
        <w:endnoteReference w:id="33"/>
      </w:r>
      <w:r w:rsidR="00EE7ADC" w:rsidRPr="00CB10AD">
        <w:rPr>
          <w:lang w:val="en-AU"/>
        </w:rPr>
        <w:t>;</w:t>
      </w:r>
      <w:r w:rsidRPr="00CB10AD">
        <w:rPr>
          <w:lang w:val="en-AU"/>
        </w:rPr>
        <w:t xml:space="preserve"> </w:t>
      </w:r>
      <w:r w:rsidR="00C00913" w:rsidRPr="00CB10AD">
        <w:rPr>
          <w:lang w:val="en-AU"/>
        </w:rPr>
        <w:t xml:space="preserve">there are political-institutional reasons to question the likelihood of </w:t>
      </w:r>
      <w:r w:rsidRPr="00CB10AD">
        <w:rPr>
          <w:lang w:val="en-AU"/>
        </w:rPr>
        <w:t xml:space="preserve">MoEC </w:t>
      </w:r>
      <w:r w:rsidR="00C00913" w:rsidRPr="00CB10AD">
        <w:rPr>
          <w:lang w:val="en-AU"/>
        </w:rPr>
        <w:t xml:space="preserve">funding </w:t>
      </w:r>
      <w:r w:rsidRPr="00CB10AD">
        <w:rPr>
          <w:lang w:val="en-AU"/>
        </w:rPr>
        <w:t>the training of MoRA stakeholders</w:t>
      </w:r>
      <w:r w:rsidR="00EE7ADC" w:rsidRPr="00CB10AD">
        <w:rPr>
          <w:lang w:val="en-AU"/>
        </w:rPr>
        <w:t xml:space="preserve"> after the EP.</w:t>
      </w:r>
      <w:r w:rsidR="00CB10AD">
        <w:rPr>
          <w:lang w:val="en-AU"/>
        </w:rPr>
        <w:t xml:space="preserve"> </w:t>
      </w:r>
    </w:p>
    <w:p w:rsidR="00F6127C" w:rsidRPr="00CB10AD" w:rsidRDefault="00F6127C" w:rsidP="00F6127C">
      <w:pPr>
        <w:spacing w:before="120" w:after="120" w:line="276" w:lineRule="auto"/>
        <w:jc w:val="both"/>
        <w:rPr>
          <w:lang w:val="en-AU"/>
        </w:rPr>
      </w:pPr>
      <w:r w:rsidRPr="00CB10AD">
        <w:rPr>
          <w:lang w:val="en-AU"/>
        </w:rPr>
        <w:t>GoI officials would typically agree that the investments made in the PD system are useful to meet Renstra targets</w:t>
      </w:r>
      <w:r w:rsidR="00516C2F" w:rsidRPr="00CB10AD">
        <w:rPr>
          <w:lang w:val="en-AU"/>
        </w:rPr>
        <w:t>. H</w:t>
      </w:r>
      <w:r w:rsidRPr="00CB10AD">
        <w:rPr>
          <w:lang w:val="en-AU"/>
        </w:rPr>
        <w:t>owever</w:t>
      </w:r>
      <w:r w:rsidR="00516C2F" w:rsidRPr="00CB10AD">
        <w:rPr>
          <w:lang w:val="en-AU"/>
        </w:rPr>
        <w:t>,</w:t>
      </w:r>
      <w:r w:rsidRPr="00CB10AD">
        <w:rPr>
          <w:lang w:val="en-AU"/>
        </w:rPr>
        <w:t xml:space="preserve"> at present</w:t>
      </w:r>
      <w:r w:rsidR="00516C2F" w:rsidRPr="00CB10AD">
        <w:rPr>
          <w:lang w:val="en-AU"/>
        </w:rPr>
        <w:t>,</w:t>
      </w:r>
      <w:r w:rsidRPr="00CB10AD">
        <w:rPr>
          <w:lang w:val="en-AU"/>
        </w:rPr>
        <w:t xml:space="preserve"> there is a lack of </w:t>
      </w:r>
      <w:r w:rsidR="00516C2F" w:rsidRPr="00CB10AD">
        <w:rPr>
          <w:lang w:val="en-AU"/>
        </w:rPr>
        <w:t xml:space="preserve">evidence about their political and </w:t>
      </w:r>
      <w:r w:rsidRPr="00CB10AD">
        <w:rPr>
          <w:lang w:val="en-AU"/>
        </w:rPr>
        <w:t>financial commitments, as well as technical capacities to fully adopt or adapt certain elements f</w:t>
      </w:r>
      <w:r w:rsidR="00516C2F" w:rsidRPr="00CB10AD">
        <w:rPr>
          <w:lang w:val="en-AU"/>
        </w:rPr>
        <w:t>rom the DFAT financed PD system</w:t>
      </w:r>
      <w:r w:rsidRPr="00CB10AD">
        <w:rPr>
          <w:vertAlign w:val="superscript"/>
          <w:lang w:val="en-AU"/>
        </w:rPr>
        <w:endnoteReference w:id="34"/>
      </w:r>
      <w:r w:rsidR="00516C2F" w:rsidRPr="00CB10AD">
        <w:rPr>
          <w:lang w:val="en-AU"/>
        </w:rPr>
        <w:t>.</w:t>
      </w:r>
      <w:r w:rsidRPr="00CB10AD">
        <w:rPr>
          <w:lang w:val="en-AU"/>
        </w:rPr>
        <w:t xml:space="preserve"> </w:t>
      </w:r>
      <w:r w:rsidR="00EE7ADC" w:rsidRPr="00CB10AD">
        <w:rPr>
          <w:lang w:val="en-AU"/>
        </w:rPr>
        <w:t>The sustainability strategy due in 2014 offers a timely and important opportunity to resolve unanswered questions about the future roles, responsibility and financing of the system.</w:t>
      </w:r>
    </w:p>
    <w:p w:rsidR="00F6127C" w:rsidRPr="00CB10AD" w:rsidRDefault="00F6127C" w:rsidP="00F6127C">
      <w:pPr>
        <w:spacing w:before="120" w:after="120" w:line="276" w:lineRule="auto"/>
        <w:jc w:val="both"/>
        <w:rPr>
          <w:lang w:val="en-AU"/>
        </w:rPr>
      </w:pPr>
    </w:p>
    <w:p w:rsidR="00F6127C" w:rsidRPr="00CB10AD" w:rsidRDefault="00F6127C" w:rsidP="00C362E0">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 xml:space="preserve">What does this mean for the EP? The bottom-line </w:t>
      </w:r>
    </w:p>
    <w:p w:rsidR="00F6127C" w:rsidRPr="00CB10AD" w:rsidRDefault="00C93234" w:rsidP="005E4267">
      <w:pPr>
        <w:spacing w:before="120" w:after="120" w:line="276" w:lineRule="auto"/>
        <w:jc w:val="both"/>
        <w:rPr>
          <w:lang w:val="en-AU"/>
        </w:rPr>
      </w:pPr>
      <w:r w:rsidRPr="00CB10AD">
        <w:rPr>
          <w:lang w:val="en-AU"/>
        </w:rPr>
        <w:t xml:space="preserve">A summary table of component performance by DAC criteria is presented in </w:t>
      </w:r>
      <w:r w:rsidRPr="00CB10AD">
        <w:rPr>
          <w:lang w:val="en-AU"/>
        </w:rPr>
        <w:fldChar w:fldCharType="begin"/>
      </w:r>
      <w:r w:rsidRPr="00CB10AD">
        <w:rPr>
          <w:lang w:val="en-AU"/>
        </w:rPr>
        <w:instrText xml:space="preserve"> REF _Ref379640955 \h </w:instrText>
      </w:r>
      <w:r w:rsidRPr="00CB10AD">
        <w:rPr>
          <w:lang w:val="en-AU"/>
        </w:rPr>
      </w:r>
      <w:r w:rsidRPr="00CB10AD">
        <w:rPr>
          <w:lang w:val="en-AU"/>
        </w:rPr>
        <w:fldChar w:fldCharType="separate"/>
      </w:r>
      <w:r w:rsidR="00662AF4" w:rsidRPr="00CB10AD">
        <w:rPr>
          <w:lang w:val="en-AU"/>
        </w:rPr>
        <w:t xml:space="preserve">Table </w:t>
      </w:r>
      <w:r w:rsidR="00662AF4">
        <w:rPr>
          <w:noProof/>
          <w:lang w:val="en-AU"/>
        </w:rPr>
        <w:t>5</w:t>
      </w:r>
      <w:r w:rsidRPr="00CB10AD">
        <w:rPr>
          <w:lang w:val="en-AU"/>
        </w:rPr>
        <w:fldChar w:fldCharType="end"/>
      </w:r>
      <w:r w:rsidRPr="00CB10AD">
        <w:rPr>
          <w:lang w:val="en-AU"/>
        </w:rPr>
        <w:t xml:space="preserve">. </w:t>
      </w:r>
      <w:r w:rsidR="005E4267" w:rsidRPr="00CB10AD">
        <w:rPr>
          <w:lang w:val="en-AU"/>
        </w:rPr>
        <w:t xml:space="preserve">The ratings scale used with the </w:t>
      </w:r>
      <w:r w:rsidR="005E4267" w:rsidRPr="00CB10AD">
        <w:rPr>
          <w:iCs/>
          <w:lang w:val="en-AU"/>
        </w:rPr>
        <w:t xml:space="preserve">DFAT QRS (QAI and ICR) </w:t>
      </w:r>
      <w:r w:rsidR="005E4267" w:rsidRPr="00CB10AD">
        <w:rPr>
          <w:lang w:val="en-AU"/>
        </w:rPr>
        <w:t>has been adopted.</w:t>
      </w:r>
      <w:r w:rsidR="002219F1" w:rsidRPr="00CB10AD">
        <w:rPr>
          <w:lang w:val="en-AU"/>
        </w:rPr>
        <w:t xml:space="preserve"> </w:t>
      </w:r>
      <w:r w:rsidR="005E4267" w:rsidRPr="00CB10AD">
        <w:rPr>
          <w:lang w:val="en-AU"/>
        </w:rPr>
        <w:t xml:space="preserve">Recommendations for improvement and, in particular, on increasing the likelihood of achieving EOPO 2 are made in </w:t>
      </w:r>
      <w:r w:rsidR="00377048" w:rsidRPr="00CB10AD">
        <w:rPr>
          <w:lang w:val="en-AU"/>
        </w:rPr>
        <w:fldChar w:fldCharType="begin"/>
      </w:r>
      <w:r w:rsidR="00377048" w:rsidRPr="00CB10AD">
        <w:rPr>
          <w:lang w:val="en-AU"/>
        </w:rPr>
        <w:instrText xml:space="preserve"> REF _Ref379641013 \h </w:instrText>
      </w:r>
      <w:r w:rsidR="00377048" w:rsidRPr="00CB10AD">
        <w:rPr>
          <w:lang w:val="en-AU"/>
        </w:rPr>
      </w:r>
      <w:r w:rsidR="00377048" w:rsidRPr="00CB10AD">
        <w:rPr>
          <w:lang w:val="en-AU"/>
        </w:rPr>
        <w:fldChar w:fldCharType="separate"/>
      </w:r>
      <w:r w:rsidR="00662AF4" w:rsidRPr="00CB10AD">
        <w:rPr>
          <w:lang w:val="en-AU"/>
        </w:rPr>
        <w:t xml:space="preserve">Table </w:t>
      </w:r>
      <w:r w:rsidR="00662AF4">
        <w:rPr>
          <w:noProof/>
          <w:lang w:val="en-AU"/>
        </w:rPr>
        <w:t>6</w:t>
      </w:r>
      <w:r w:rsidR="00377048" w:rsidRPr="00CB10AD">
        <w:rPr>
          <w:lang w:val="en-AU"/>
        </w:rPr>
        <w:fldChar w:fldCharType="end"/>
      </w:r>
      <w:r w:rsidR="005E4267" w:rsidRPr="00CB10AD">
        <w:rPr>
          <w:lang w:val="en-AU"/>
        </w:rPr>
        <w:t>, below</w:t>
      </w:r>
      <w:r w:rsidR="00F6127C" w:rsidRPr="00CB10AD">
        <w:rPr>
          <w:lang w:val="en-AU"/>
        </w:rPr>
        <w:t xml:space="preserve">. </w:t>
      </w:r>
      <w:r w:rsidR="00F6127C" w:rsidRPr="00CB10AD">
        <w:rPr>
          <w:lang w:val="en-AU"/>
        </w:rPr>
        <w:br w:type="page"/>
      </w:r>
    </w:p>
    <w:p w:rsidR="00F6127C" w:rsidRPr="00CB10AD" w:rsidRDefault="00F6127C" w:rsidP="00F6127C">
      <w:pPr>
        <w:spacing w:line="276" w:lineRule="auto"/>
        <w:jc w:val="both"/>
        <w:rPr>
          <w:lang w:val="en-AU"/>
        </w:rPr>
        <w:sectPr w:rsidR="00F6127C" w:rsidRPr="00CB10AD" w:rsidSect="00E259CD">
          <w:pgSz w:w="11909" w:h="16834" w:code="9"/>
          <w:pgMar w:top="1440" w:right="1440" w:bottom="1440" w:left="1440" w:header="432" w:footer="720" w:gutter="0"/>
          <w:cols w:space="720"/>
          <w:noEndnote/>
          <w:docGrid w:linePitch="360"/>
        </w:sectPr>
      </w:pPr>
    </w:p>
    <w:p w:rsidR="00F6127C" w:rsidRPr="00CB10AD" w:rsidRDefault="00CB43F5" w:rsidP="00CB43F5">
      <w:pPr>
        <w:pStyle w:val="Caption"/>
        <w:rPr>
          <w:bCs/>
          <w:i/>
          <w:iCs/>
          <w:lang w:val="en-AU"/>
        </w:rPr>
      </w:pPr>
      <w:bookmarkStart w:id="33" w:name="_Ref379640955"/>
      <w:bookmarkStart w:id="34" w:name="_Toc379982273"/>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5</w:t>
      </w:r>
      <w:r w:rsidRPr="00CB10AD">
        <w:rPr>
          <w:lang w:val="en-AU"/>
        </w:rPr>
        <w:fldChar w:fldCharType="end"/>
      </w:r>
      <w:bookmarkEnd w:id="33"/>
      <w:r w:rsidR="00F6127C" w:rsidRPr="00CB10AD">
        <w:rPr>
          <w:bCs/>
          <w:lang w:val="en-AU"/>
        </w:rPr>
        <w:t xml:space="preserve">: </w:t>
      </w:r>
      <w:r w:rsidR="00806D8A" w:rsidRPr="00CB10AD">
        <w:rPr>
          <w:bCs/>
          <w:iCs/>
          <w:lang w:val="en-AU"/>
        </w:rPr>
        <w:t>Component 2 s</w:t>
      </w:r>
      <w:r w:rsidR="00F6127C" w:rsidRPr="00CB10AD">
        <w:rPr>
          <w:bCs/>
          <w:iCs/>
          <w:lang w:val="en-AU"/>
        </w:rPr>
        <w:t>corecard</w:t>
      </w:r>
      <w:bookmarkEnd w:id="34"/>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97"/>
        <w:gridCol w:w="1462"/>
        <w:gridCol w:w="6530"/>
        <w:gridCol w:w="4481"/>
      </w:tblGrid>
      <w:tr w:rsidR="006A5316" w:rsidRPr="00CB10AD" w:rsidTr="006A5316">
        <w:trPr>
          <w:trHeight w:val="434"/>
          <w:jc w:val="center"/>
        </w:trPr>
        <w:tc>
          <w:tcPr>
            <w:tcW w:w="599" w:type="pct"/>
            <w:shd w:val="clear" w:color="auto" w:fill="002060"/>
            <w:vAlign w:val="center"/>
          </w:tcPr>
          <w:p w:rsidR="006A5316" w:rsidRPr="00CB10AD" w:rsidRDefault="006A5316" w:rsidP="006A5316">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DAC Criterion</w:t>
            </w:r>
          </w:p>
        </w:tc>
        <w:tc>
          <w:tcPr>
            <w:tcW w:w="516" w:type="pct"/>
            <w:shd w:val="clear" w:color="auto" w:fill="002060"/>
            <w:vAlign w:val="center"/>
          </w:tcPr>
          <w:p w:rsidR="006A5316" w:rsidRPr="00CB10AD" w:rsidRDefault="006A5316" w:rsidP="006A5316">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Score</w:t>
            </w:r>
          </w:p>
        </w:tc>
        <w:tc>
          <w:tcPr>
            <w:tcW w:w="2304" w:type="pct"/>
            <w:shd w:val="clear" w:color="auto" w:fill="002060"/>
            <w:vAlign w:val="center"/>
          </w:tcPr>
          <w:p w:rsidR="006A5316" w:rsidRPr="00CB10AD" w:rsidRDefault="006A5316" w:rsidP="006A5316">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Justification</w:t>
            </w:r>
          </w:p>
        </w:tc>
        <w:tc>
          <w:tcPr>
            <w:tcW w:w="1581" w:type="pct"/>
            <w:shd w:val="clear" w:color="auto" w:fill="002060"/>
            <w:vAlign w:val="center"/>
          </w:tcPr>
          <w:p w:rsidR="006A5316" w:rsidRPr="00CB10AD" w:rsidRDefault="006A5316" w:rsidP="006A5316">
            <w:pPr>
              <w:spacing w:before="60" w:after="60" w:line="276" w:lineRule="auto"/>
              <w:contextualSpacing/>
              <w:jc w:val="center"/>
              <w:rPr>
                <w:rFonts w:asciiTheme="minorHAnsi" w:eastAsia="Calibri" w:hAnsiTheme="minorHAnsi"/>
                <w:b/>
                <w:sz w:val="20"/>
                <w:szCs w:val="20"/>
                <w:lang w:val="en-AU"/>
              </w:rPr>
            </w:pPr>
            <w:r w:rsidRPr="00CB10AD">
              <w:rPr>
                <w:rFonts w:asciiTheme="minorHAnsi" w:eastAsia="Calibri" w:hAnsiTheme="minorHAnsi"/>
                <w:b/>
                <w:sz w:val="20"/>
                <w:szCs w:val="20"/>
                <w:lang w:val="en-AU"/>
              </w:rPr>
              <w:t>Comments</w:t>
            </w:r>
          </w:p>
        </w:tc>
      </w:tr>
      <w:tr w:rsidR="003B5F6B" w:rsidRPr="00CB10AD" w:rsidTr="001441F4">
        <w:trPr>
          <w:trHeight w:val="434"/>
          <w:jc w:val="center"/>
        </w:trPr>
        <w:tc>
          <w:tcPr>
            <w:tcW w:w="599" w:type="pct"/>
            <w:vAlign w:val="center"/>
          </w:tcPr>
          <w:p w:rsidR="003B5F6B" w:rsidRPr="00CB10AD" w:rsidRDefault="003B5F6B" w:rsidP="001441F4">
            <w:pPr>
              <w:spacing w:before="60" w:after="60"/>
              <w:jc w:val="both"/>
              <w:rPr>
                <w:b/>
                <w:sz w:val="20"/>
                <w:szCs w:val="20"/>
                <w:lang w:val="en-AU"/>
              </w:rPr>
            </w:pPr>
            <w:r w:rsidRPr="00CB10AD">
              <w:rPr>
                <w:b/>
                <w:sz w:val="20"/>
                <w:szCs w:val="20"/>
                <w:lang w:val="en-AU"/>
              </w:rPr>
              <w:t>Relevance</w:t>
            </w:r>
          </w:p>
        </w:tc>
        <w:tc>
          <w:tcPr>
            <w:tcW w:w="516" w:type="pct"/>
            <w:shd w:val="clear" w:color="auto" w:fill="92D050"/>
            <w:vAlign w:val="center"/>
          </w:tcPr>
          <w:p w:rsidR="003B5F6B" w:rsidRPr="00CB10AD" w:rsidRDefault="003B5F6B" w:rsidP="001441F4">
            <w:pPr>
              <w:spacing w:before="60" w:after="60"/>
              <w:jc w:val="center"/>
              <w:rPr>
                <w:sz w:val="20"/>
                <w:szCs w:val="20"/>
                <w:lang w:val="en-AU"/>
              </w:rPr>
            </w:pPr>
            <w:r w:rsidRPr="00CB10AD">
              <w:rPr>
                <w:sz w:val="20"/>
                <w:szCs w:val="20"/>
                <w:lang w:val="en-AU"/>
              </w:rPr>
              <w:t>5</w:t>
            </w:r>
          </w:p>
        </w:tc>
        <w:tc>
          <w:tcPr>
            <w:tcW w:w="2304" w:type="pct"/>
            <w:shd w:val="clear" w:color="auto" w:fill="FFFFFF" w:themeFill="background1"/>
          </w:tcPr>
          <w:p w:rsidR="003B5F6B" w:rsidRPr="00CB10AD" w:rsidRDefault="003B5F6B" w:rsidP="001441F4">
            <w:pPr>
              <w:numPr>
                <w:ilvl w:val="0"/>
                <w:numId w:val="23"/>
              </w:numPr>
              <w:spacing w:before="60" w:after="60" w:line="276" w:lineRule="auto"/>
              <w:ind w:left="398"/>
              <w:contextualSpacing/>
              <w:rPr>
                <w:rFonts w:eastAsia="Calibri"/>
                <w:sz w:val="20"/>
                <w:szCs w:val="20"/>
                <w:lang w:val="en-AU"/>
              </w:rPr>
            </w:pPr>
            <w:r w:rsidRPr="00CB10AD">
              <w:rPr>
                <w:rFonts w:eastAsia="Calibri"/>
                <w:sz w:val="20"/>
                <w:szCs w:val="20"/>
                <w:lang w:val="en-AU"/>
              </w:rPr>
              <w:t xml:space="preserve">The broad investment rationale remains sound, i.e. that the performance of education managers should be enhanced. </w:t>
            </w:r>
          </w:p>
          <w:p w:rsidR="003B5F6B" w:rsidRPr="00CB10AD" w:rsidRDefault="003B5F6B" w:rsidP="001441F4">
            <w:pPr>
              <w:numPr>
                <w:ilvl w:val="0"/>
                <w:numId w:val="23"/>
              </w:numPr>
              <w:spacing w:before="60" w:after="60" w:line="276" w:lineRule="auto"/>
              <w:ind w:left="398"/>
              <w:contextualSpacing/>
              <w:rPr>
                <w:rFonts w:eastAsia="Calibri"/>
                <w:sz w:val="20"/>
                <w:szCs w:val="20"/>
                <w:lang w:val="en-AU"/>
              </w:rPr>
            </w:pPr>
            <w:r w:rsidRPr="00CB10AD">
              <w:rPr>
                <w:rFonts w:eastAsia="Calibri"/>
                <w:sz w:val="20"/>
                <w:szCs w:val="20"/>
                <w:lang w:val="en-AU"/>
              </w:rPr>
              <w:t xml:space="preserve">Pilot activities were deemed </w:t>
            </w:r>
            <w:r w:rsidR="005E66DA" w:rsidRPr="00CB10AD">
              <w:rPr>
                <w:rFonts w:eastAsia="Calibri"/>
                <w:sz w:val="20"/>
                <w:szCs w:val="20"/>
                <w:lang w:val="en-AU"/>
              </w:rPr>
              <w:t xml:space="preserve">by participants to be </w:t>
            </w:r>
            <w:r w:rsidRPr="00CB10AD">
              <w:rPr>
                <w:rFonts w:eastAsia="Calibri"/>
                <w:sz w:val="20"/>
                <w:szCs w:val="20"/>
                <w:lang w:val="en-AU"/>
              </w:rPr>
              <w:t>highly relevant.</w:t>
            </w:r>
          </w:p>
          <w:p w:rsidR="003B5F6B" w:rsidRPr="00CB10AD" w:rsidRDefault="003B5F6B" w:rsidP="00DA1B0C">
            <w:pPr>
              <w:numPr>
                <w:ilvl w:val="0"/>
                <w:numId w:val="23"/>
              </w:numPr>
              <w:spacing w:before="60" w:after="60" w:line="276" w:lineRule="auto"/>
              <w:ind w:left="398"/>
              <w:contextualSpacing/>
              <w:rPr>
                <w:sz w:val="20"/>
                <w:szCs w:val="20"/>
                <w:lang w:val="en-AU"/>
              </w:rPr>
            </w:pPr>
            <w:r w:rsidRPr="00CB10AD">
              <w:rPr>
                <w:rFonts w:eastAsia="Calibri"/>
                <w:sz w:val="20"/>
                <w:szCs w:val="20"/>
                <w:lang w:val="en-AU"/>
              </w:rPr>
              <w:t xml:space="preserve">Despite the fact that the system is designed to support GoI’s current Renstra objectives, the degree of political and financial support is circumspect; indeed, the relative political importance of CPD (vis-à-vis Curriculum 2013, for e.g.) appears to be on the wane. </w:t>
            </w:r>
          </w:p>
        </w:tc>
        <w:tc>
          <w:tcPr>
            <w:tcW w:w="1581" w:type="pct"/>
            <w:shd w:val="clear" w:color="auto" w:fill="FFFFFF" w:themeFill="background1"/>
          </w:tcPr>
          <w:p w:rsidR="003B5F6B" w:rsidRPr="00CB10AD" w:rsidRDefault="003B5F6B" w:rsidP="001441F4">
            <w:pPr>
              <w:numPr>
                <w:ilvl w:val="0"/>
                <w:numId w:val="23"/>
              </w:numPr>
              <w:spacing w:before="60" w:after="60" w:line="276" w:lineRule="auto"/>
              <w:ind w:left="398"/>
              <w:contextualSpacing/>
              <w:rPr>
                <w:rFonts w:eastAsia="Calibri"/>
                <w:sz w:val="20"/>
                <w:szCs w:val="20"/>
                <w:lang w:val="en-AU"/>
              </w:rPr>
            </w:pPr>
            <w:r w:rsidRPr="00CB10AD">
              <w:rPr>
                <w:rFonts w:eastAsia="Calibri"/>
                <w:sz w:val="20"/>
                <w:szCs w:val="20"/>
                <w:lang w:val="en-AU"/>
              </w:rPr>
              <w:t xml:space="preserve">The system needs to receive </w:t>
            </w:r>
            <w:r w:rsidRPr="00CB10AD">
              <w:rPr>
                <w:rFonts w:asciiTheme="minorHAnsi" w:eastAsia="Calibri" w:hAnsiTheme="minorHAnsi"/>
                <w:sz w:val="20"/>
                <w:szCs w:val="20"/>
                <w:lang w:val="en-AU"/>
              </w:rPr>
              <w:t>political</w:t>
            </w:r>
            <w:r w:rsidRPr="00CB10AD">
              <w:rPr>
                <w:rFonts w:eastAsia="Calibri"/>
                <w:sz w:val="20"/>
                <w:szCs w:val="20"/>
                <w:lang w:val="en-AU"/>
              </w:rPr>
              <w:t xml:space="preserve"> commitment and be included in strategic documents (e.g. the RPJMN and upcoming Renstra). </w:t>
            </w:r>
          </w:p>
          <w:p w:rsidR="003B5F6B" w:rsidRPr="00CB10AD" w:rsidRDefault="003B5F6B" w:rsidP="001441F4">
            <w:pPr>
              <w:spacing w:before="60" w:after="60"/>
              <w:ind w:left="720"/>
              <w:contextualSpacing/>
              <w:jc w:val="both"/>
              <w:rPr>
                <w:rFonts w:eastAsia="Calibri"/>
                <w:sz w:val="20"/>
                <w:szCs w:val="20"/>
                <w:lang w:val="en-AU"/>
              </w:rPr>
            </w:pPr>
          </w:p>
        </w:tc>
      </w:tr>
      <w:tr w:rsidR="00F6127C" w:rsidRPr="00CB10AD" w:rsidTr="00196F93">
        <w:trPr>
          <w:trHeight w:val="434"/>
          <w:jc w:val="center"/>
        </w:trPr>
        <w:tc>
          <w:tcPr>
            <w:tcW w:w="599" w:type="pct"/>
            <w:vAlign w:val="center"/>
          </w:tcPr>
          <w:p w:rsidR="00F6127C" w:rsidRPr="00CB10AD" w:rsidRDefault="00F6127C" w:rsidP="00F6127C">
            <w:pPr>
              <w:spacing w:before="60" w:after="60"/>
              <w:jc w:val="both"/>
              <w:rPr>
                <w:rFonts w:asciiTheme="minorHAnsi" w:hAnsiTheme="minorHAnsi"/>
                <w:b/>
                <w:sz w:val="20"/>
                <w:szCs w:val="20"/>
                <w:lang w:val="en-AU"/>
              </w:rPr>
            </w:pPr>
            <w:r w:rsidRPr="00CB10AD">
              <w:rPr>
                <w:rFonts w:asciiTheme="minorHAnsi" w:hAnsiTheme="minorHAnsi"/>
                <w:b/>
                <w:sz w:val="20"/>
                <w:szCs w:val="20"/>
                <w:lang w:val="en-AU"/>
              </w:rPr>
              <w:t>Efficiency</w:t>
            </w:r>
          </w:p>
        </w:tc>
        <w:tc>
          <w:tcPr>
            <w:tcW w:w="516" w:type="pct"/>
            <w:shd w:val="clear" w:color="auto" w:fill="FFC000"/>
            <w:vAlign w:val="center"/>
          </w:tcPr>
          <w:p w:rsidR="00F6127C" w:rsidRPr="00CB10AD" w:rsidRDefault="007269E9" w:rsidP="007269E9">
            <w:pPr>
              <w:spacing w:before="60" w:after="60"/>
              <w:jc w:val="center"/>
              <w:rPr>
                <w:rFonts w:asciiTheme="minorHAnsi" w:hAnsiTheme="minorHAnsi"/>
                <w:sz w:val="20"/>
                <w:szCs w:val="20"/>
                <w:lang w:val="en-AU"/>
              </w:rPr>
            </w:pPr>
            <w:r>
              <w:rPr>
                <w:rFonts w:asciiTheme="minorHAnsi" w:hAnsiTheme="minorHAnsi"/>
                <w:sz w:val="20"/>
                <w:szCs w:val="20"/>
                <w:lang w:val="en-AU"/>
              </w:rPr>
              <w:t>3</w:t>
            </w:r>
          </w:p>
        </w:tc>
        <w:tc>
          <w:tcPr>
            <w:tcW w:w="2304" w:type="pct"/>
            <w:shd w:val="clear" w:color="auto" w:fill="FFFFFF" w:themeFill="background1"/>
          </w:tcPr>
          <w:p w:rsidR="00C00913" w:rsidRPr="00CB10AD" w:rsidRDefault="00B67543"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GA </w:t>
            </w:r>
            <w:r w:rsidR="007269E9">
              <w:rPr>
                <w:rFonts w:asciiTheme="minorHAnsi" w:eastAsia="Calibri" w:hAnsiTheme="minorHAnsi"/>
                <w:sz w:val="20"/>
                <w:szCs w:val="20"/>
                <w:lang w:val="en-AU"/>
              </w:rPr>
              <w:t xml:space="preserve">implementation </w:t>
            </w:r>
            <w:r w:rsidRPr="00CB10AD">
              <w:rPr>
                <w:rFonts w:asciiTheme="minorHAnsi" w:eastAsia="Calibri" w:hAnsiTheme="minorHAnsi"/>
                <w:sz w:val="20"/>
                <w:szCs w:val="20"/>
                <w:lang w:val="en-AU"/>
              </w:rPr>
              <w:t xml:space="preserve">through GoI systems has yet to commence; implementation could be </w:t>
            </w:r>
            <w:r w:rsidR="006403A7">
              <w:rPr>
                <w:rFonts w:asciiTheme="minorHAnsi" w:eastAsia="Calibri" w:hAnsiTheme="minorHAnsi"/>
                <w:sz w:val="20"/>
                <w:szCs w:val="20"/>
                <w:lang w:val="en-AU"/>
              </w:rPr>
              <w:t>delayed</w:t>
            </w:r>
            <w:r w:rsidR="006403A7" w:rsidRPr="00CB10AD">
              <w:rPr>
                <w:rFonts w:asciiTheme="minorHAnsi" w:eastAsia="Calibri" w:hAnsiTheme="minorHAnsi"/>
                <w:sz w:val="20"/>
                <w:szCs w:val="20"/>
                <w:lang w:val="en-AU"/>
              </w:rPr>
              <w:t xml:space="preserve"> </w:t>
            </w:r>
            <w:r w:rsidR="00C00913" w:rsidRPr="00CB10AD">
              <w:rPr>
                <w:rFonts w:asciiTheme="minorHAnsi" w:eastAsia="Calibri" w:hAnsiTheme="minorHAnsi"/>
                <w:sz w:val="20"/>
                <w:szCs w:val="20"/>
                <w:lang w:val="en-AU"/>
              </w:rPr>
              <w:t xml:space="preserve">by </w:t>
            </w:r>
            <w:r w:rsidR="007269E9">
              <w:rPr>
                <w:rFonts w:asciiTheme="minorHAnsi" w:eastAsia="Calibri" w:hAnsiTheme="minorHAnsi"/>
                <w:sz w:val="20"/>
                <w:szCs w:val="20"/>
                <w:lang w:val="en-AU"/>
              </w:rPr>
              <w:t>competing priorities which would compromise the timely achievement of outputs.</w:t>
            </w:r>
          </w:p>
          <w:p w:rsidR="00C00913" w:rsidRPr="00CB10AD" w:rsidRDefault="00D74127"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Progress</w:t>
            </w:r>
            <w:r w:rsidR="00C00913" w:rsidRPr="00CB10AD">
              <w:rPr>
                <w:rFonts w:asciiTheme="minorHAnsi" w:eastAsia="Calibri" w:hAnsiTheme="minorHAnsi"/>
                <w:sz w:val="20"/>
                <w:szCs w:val="20"/>
                <w:lang w:val="en-AU"/>
              </w:rPr>
              <w:t xml:space="preserve"> has yet to mature beyond piloting of </w:t>
            </w:r>
            <w:r w:rsidRPr="00CB10AD">
              <w:rPr>
                <w:rFonts w:asciiTheme="minorHAnsi" w:eastAsia="Calibri" w:hAnsiTheme="minorHAnsi"/>
                <w:sz w:val="20"/>
                <w:szCs w:val="20"/>
                <w:lang w:val="en-AU"/>
              </w:rPr>
              <w:t>technical options by SSQ</w:t>
            </w:r>
            <w:r w:rsidR="00C00913" w:rsidRPr="00CB10AD">
              <w:rPr>
                <w:rFonts w:asciiTheme="minorHAnsi" w:eastAsia="Calibri" w:hAnsiTheme="minorHAnsi"/>
                <w:sz w:val="20"/>
                <w:szCs w:val="20"/>
                <w:lang w:val="en-AU"/>
              </w:rPr>
              <w:t>.</w:t>
            </w:r>
          </w:p>
          <w:p w:rsidR="00C00913" w:rsidRPr="00CB10AD" w:rsidRDefault="00C00913"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On a positive note, </w:t>
            </w:r>
            <w:r w:rsidR="00D74127" w:rsidRPr="00CB10AD">
              <w:rPr>
                <w:rFonts w:asciiTheme="minorHAnsi" w:eastAsia="Calibri" w:hAnsiTheme="minorHAnsi"/>
                <w:sz w:val="20"/>
                <w:szCs w:val="20"/>
                <w:lang w:val="en-AU"/>
              </w:rPr>
              <w:t xml:space="preserve">GA </w:t>
            </w:r>
            <w:r w:rsidR="005E66DA" w:rsidRPr="00CB10AD">
              <w:rPr>
                <w:rFonts w:asciiTheme="minorHAnsi" w:eastAsia="Calibri" w:hAnsiTheme="minorHAnsi"/>
                <w:sz w:val="20"/>
                <w:szCs w:val="20"/>
                <w:lang w:val="en-AU"/>
              </w:rPr>
              <w:t xml:space="preserve">related </w:t>
            </w:r>
            <w:r w:rsidR="00D74127" w:rsidRPr="00CB10AD">
              <w:rPr>
                <w:rFonts w:asciiTheme="minorHAnsi" w:eastAsia="Calibri" w:hAnsiTheme="minorHAnsi"/>
                <w:sz w:val="20"/>
                <w:szCs w:val="20"/>
                <w:lang w:val="en-AU"/>
              </w:rPr>
              <w:t xml:space="preserve">documentation </w:t>
            </w:r>
            <w:r w:rsidR="006403A7">
              <w:rPr>
                <w:rFonts w:asciiTheme="minorHAnsi" w:eastAsia="Calibri" w:hAnsiTheme="minorHAnsi"/>
                <w:sz w:val="20"/>
                <w:szCs w:val="20"/>
                <w:lang w:val="en-AU"/>
              </w:rPr>
              <w:t xml:space="preserve">has been </w:t>
            </w:r>
            <w:r w:rsidR="00D74127" w:rsidRPr="00CB10AD">
              <w:rPr>
                <w:rFonts w:asciiTheme="minorHAnsi" w:eastAsia="Calibri" w:hAnsiTheme="minorHAnsi"/>
                <w:sz w:val="20"/>
                <w:szCs w:val="20"/>
                <w:lang w:val="en-AU"/>
              </w:rPr>
              <w:t>prepared in a timely fashion.</w:t>
            </w:r>
            <w:r w:rsidRPr="00CB10AD">
              <w:rPr>
                <w:rFonts w:asciiTheme="minorHAnsi" w:eastAsia="Calibri" w:hAnsiTheme="minorHAnsi"/>
                <w:sz w:val="20"/>
                <w:szCs w:val="20"/>
                <w:lang w:val="en-AU"/>
              </w:rPr>
              <w:t xml:space="preserve"> </w:t>
            </w:r>
          </w:p>
          <w:p w:rsidR="00F6127C" w:rsidRPr="00CB10AD" w:rsidRDefault="00C00913"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SSQ responded appropriately to the GA delay by, </w:t>
            </w:r>
            <w:r w:rsidRPr="00CB10AD">
              <w:rPr>
                <w:rFonts w:asciiTheme="minorHAnsi" w:eastAsia="Calibri" w:hAnsiTheme="minorHAnsi"/>
                <w:i/>
                <w:sz w:val="20"/>
                <w:szCs w:val="20"/>
                <w:lang w:val="en-AU"/>
              </w:rPr>
              <w:t>inter alia</w:t>
            </w:r>
            <w:r w:rsidRPr="00CB10AD">
              <w:rPr>
                <w:rFonts w:asciiTheme="minorHAnsi" w:eastAsia="Calibri" w:hAnsiTheme="minorHAnsi"/>
                <w:sz w:val="20"/>
                <w:szCs w:val="20"/>
                <w:lang w:val="en-AU"/>
              </w:rPr>
              <w:t xml:space="preserve">, making incremental improvements to system components. </w:t>
            </w:r>
          </w:p>
        </w:tc>
        <w:tc>
          <w:tcPr>
            <w:tcW w:w="1581" w:type="pct"/>
            <w:shd w:val="clear" w:color="auto" w:fill="FFFFFF" w:themeFill="background1"/>
          </w:tcPr>
          <w:p w:rsidR="00F6127C" w:rsidRPr="00CB10AD" w:rsidRDefault="000B52C0"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“E</w:t>
            </w:r>
            <w:r w:rsidR="00F6127C" w:rsidRPr="00CB10AD">
              <w:rPr>
                <w:rFonts w:asciiTheme="minorHAnsi" w:eastAsia="Calibri" w:hAnsiTheme="minorHAnsi"/>
                <w:sz w:val="20"/>
                <w:szCs w:val="20"/>
                <w:lang w:val="en-AU"/>
              </w:rPr>
              <w:t>ligible entities” will be responsible for implementing the system</w:t>
            </w:r>
            <w:r w:rsidR="00C00913" w:rsidRPr="00CB10AD">
              <w:rPr>
                <w:rFonts w:asciiTheme="minorHAnsi" w:eastAsia="Calibri" w:hAnsiTheme="minorHAnsi"/>
                <w:sz w:val="20"/>
                <w:szCs w:val="20"/>
                <w:lang w:val="en-AU"/>
              </w:rPr>
              <w:t xml:space="preserve"> from 2014</w:t>
            </w:r>
            <w:r w:rsidR="00F6127C" w:rsidRPr="00CB10AD">
              <w:rPr>
                <w:rFonts w:asciiTheme="minorHAnsi" w:eastAsia="Calibri" w:hAnsiTheme="minorHAnsi"/>
                <w:sz w:val="20"/>
                <w:szCs w:val="20"/>
                <w:lang w:val="en-AU"/>
              </w:rPr>
              <w:t>. It is unclear how the different capacities of the eligible entities will affect the roll-out of the program and the extent to which competing priorities will affect efficiency of delivery.</w:t>
            </w:r>
          </w:p>
          <w:p w:rsidR="00F6127C" w:rsidRPr="00CB10AD" w:rsidRDefault="00F6127C" w:rsidP="005E136C">
            <w:pPr>
              <w:spacing w:before="60" w:after="60" w:line="276" w:lineRule="auto"/>
              <w:ind w:left="398"/>
              <w:contextualSpacing/>
              <w:rPr>
                <w:rFonts w:asciiTheme="minorHAnsi" w:eastAsia="Calibri" w:hAnsiTheme="minorHAnsi"/>
                <w:sz w:val="20"/>
                <w:szCs w:val="20"/>
                <w:lang w:val="en-AU"/>
              </w:rPr>
            </w:pPr>
          </w:p>
        </w:tc>
      </w:tr>
      <w:tr w:rsidR="006A5316" w:rsidRPr="00CB10AD" w:rsidTr="006A5316">
        <w:trPr>
          <w:trHeight w:val="434"/>
          <w:jc w:val="center"/>
        </w:trPr>
        <w:tc>
          <w:tcPr>
            <w:tcW w:w="599" w:type="pct"/>
            <w:vAlign w:val="center"/>
          </w:tcPr>
          <w:p w:rsidR="006A5316" w:rsidRPr="00CB10AD" w:rsidRDefault="006A5316" w:rsidP="002A2C82">
            <w:pPr>
              <w:spacing w:before="60" w:after="60"/>
              <w:jc w:val="both"/>
              <w:rPr>
                <w:b/>
                <w:sz w:val="20"/>
                <w:szCs w:val="20"/>
                <w:lang w:val="en-AU"/>
              </w:rPr>
            </w:pPr>
            <w:r w:rsidRPr="00CB10AD">
              <w:rPr>
                <w:b/>
                <w:sz w:val="20"/>
                <w:szCs w:val="20"/>
                <w:lang w:val="en-AU"/>
              </w:rPr>
              <w:t>Effectiveness</w:t>
            </w:r>
          </w:p>
        </w:tc>
        <w:tc>
          <w:tcPr>
            <w:tcW w:w="516" w:type="pct"/>
            <w:shd w:val="clear" w:color="auto" w:fill="FFFFFF" w:themeFill="background1"/>
            <w:vAlign w:val="center"/>
          </w:tcPr>
          <w:p w:rsidR="006A5316" w:rsidRPr="00CB10AD" w:rsidRDefault="006A5316" w:rsidP="002A2C82">
            <w:pPr>
              <w:spacing w:before="60" w:after="60"/>
              <w:jc w:val="center"/>
              <w:rPr>
                <w:sz w:val="20"/>
                <w:szCs w:val="20"/>
                <w:lang w:val="en-AU"/>
              </w:rPr>
            </w:pPr>
            <w:r w:rsidRPr="00CB10AD">
              <w:rPr>
                <w:sz w:val="20"/>
                <w:szCs w:val="20"/>
                <w:lang w:val="en-AU"/>
              </w:rPr>
              <w:t>TE</w:t>
            </w:r>
          </w:p>
        </w:tc>
        <w:tc>
          <w:tcPr>
            <w:tcW w:w="2304" w:type="pct"/>
            <w:shd w:val="clear" w:color="auto" w:fill="FFFFFF" w:themeFill="background1"/>
          </w:tcPr>
          <w:p w:rsidR="006A5316" w:rsidRPr="00CB10AD" w:rsidRDefault="006A5316"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SSQ evaluation reports demonstrate positive results from pilot activities but a delay to outputs is likely to delay the achievement of outcomes</w:t>
            </w:r>
            <w:r w:rsidR="005E66DA" w:rsidRPr="00CB10AD">
              <w:rPr>
                <w:rFonts w:asciiTheme="minorHAnsi" w:eastAsia="Calibri" w:hAnsiTheme="minorHAnsi"/>
                <w:sz w:val="20"/>
                <w:szCs w:val="20"/>
                <w:lang w:val="en-AU"/>
              </w:rPr>
              <w:t>.</w:t>
            </w:r>
          </w:p>
          <w:p w:rsidR="006A5316" w:rsidRPr="00CB10AD" w:rsidRDefault="006A5316" w:rsidP="007622D6">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asciiTheme="minorHAnsi" w:eastAsia="Calibri" w:hAnsiTheme="minorHAnsi"/>
                <w:sz w:val="20"/>
                <w:szCs w:val="20"/>
                <w:lang w:val="en-AU"/>
              </w:rPr>
              <w:t xml:space="preserve">It is plausible that the effectiveness of the PD system could be undermined by districts’ lack of compliance to </w:t>
            </w:r>
            <w:r w:rsidR="007622D6" w:rsidRPr="00CB10AD">
              <w:rPr>
                <w:rFonts w:asciiTheme="minorHAnsi" w:eastAsia="Calibri" w:hAnsiTheme="minorHAnsi"/>
                <w:sz w:val="20"/>
                <w:szCs w:val="20"/>
                <w:lang w:val="en-AU"/>
              </w:rPr>
              <w:t>m</w:t>
            </w:r>
            <w:r w:rsidRPr="00CB10AD">
              <w:rPr>
                <w:rFonts w:asciiTheme="minorHAnsi" w:eastAsia="Calibri" w:hAnsiTheme="minorHAnsi"/>
                <w:sz w:val="20"/>
                <w:szCs w:val="20"/>
                <w:lang w:val="en-AU"/>
              </w:rPr>
              <w:t xml:space="preserve">inisterial </w:t>
            </w:r>
            <w:r w:rsidR="007622D6" w:rsidRPr="00CB10AD">
              <w:rPr>
                <w:rFonts w:asciiTheme="minorHAnsi" w:eastAsia="Calibri" w:hAnsiTheme="minorHAnsi"/>
                <w:sz w:val="20"/>
                <w:szCs w:val="20"/>
                <w:lang w:val="en-AU"/>
              </w:rPr>
              <w:t>d</w:t>
            </w:r>
            <w:r w:rsidRPr="00CB10AD">
              <w:rPr>
                <w:rFonts w:asciiTheme="minorHAnsi" w:eastAsia="Calibri" w:hAnsiTheme="minorHAnsi"/>
                <w:sz w:val="20"/>
                <w:szCs w:val="20"/>
                <w:lang w:val="en-AU"/>
              </w:rPr>
              <w:t xml:space="preserve">ecrees on </w:t>
            </w:r>
            <w:r w:rsidR="007622D6" w:rsidRPr="00CB10AD">
              <w:rPr>
                <w:rFonts w:asciiTheme="minorHAnsi" w:eastAsia="Calibri" w:hAnsiTheme="minorHAnsi"/>
                <w:sz w:val="20"/>
                <w:szCs w:val="20"/>
                <w:lang w:val="en-AU"/>
              </w:rPr>
              <w:t>principals and s</w:t>
            </w:r>
            <w:r w:rsidRPr="00CB10AD">
              <w:rPr>
                <w:rFonts w:asciiTheme="minorHAnsi" w:eastAsia="Calibri" w:hAnsiTheme="minorHAnsi"/>
                <w:sz w:val="20"/>
                <w:szCs w:val="20"/>
                <w:lang w:val="en-AU"/>
              </w:rPr>
              <w:t>upervisors.</w:t>
            </w:r>
          </w:p>
        </w:tc>
        <w:tc>
          <w:tcPr>
            <w:tcW w:w="1581" w:type="pct"/>
            <w:shd w:val="clear" w:color="auto" w:fill="FFFFFF" w:themeFill="background1"/>
          </w:tcPr>
          <w:p w:rsidR="006A5316" w:rsidRPr="00CB10AD" w:rsidRDefault="006A5316" w:rsidP="007B17D5">
            <w:pPr>
              <w:numPr>
                <w:ilvl w:val="0"/>
                <w:numId w:val="23"/>
              </w:numPr>
              <w:spacing w:before="60" w:after="60" w:line="276" w:lineRule="auto"/>
              <w:ind w:left="398"/>
              <w:contextualSpacing/>
              <w:rPr>
                <w:rFonts w:eastAsia="Calibri"/>
                <w:i/>
                <w:sz w:val="20"/>
                <w:szCs w:val="20"/>
                <w:lang w:val="en-AU"/>
              </w:rPr>
            </w:pPr>
            <w:r w:rsidRPr="00CB10AD">
              <w:rPr>
                <w:rFonts w:eastAsia="Calibri"/>
                <w:sz w:val="20"/>
                <w:szCs w:val="20"/>
                <w:lang w:val="en-AU"/>
              </w:rPr>
              <w:t xml:space="preserve">Awaiting commencement of </w:t>
            </w:r>
            <w:r w:rsidRPr="00CB10AD">
              <w:rPr>
                <w:rFonts w:asciiTheme="minorHAnsi" w:eastAsia="Calibri" w:hAnsiTheme="minorHAnsi"/>
                <w:sz w:val="20"/>
                <w:szCs w:val="20"/>
                <w:lang w:val="en-AU"/>
              </w:rPr>
              <w:t>implementation</w:t>
            </w:r>
            <w:r w:rsidRPr="00CB10AD">
              <w:rPr>
                <w:rFonts w:eastAsia="Calibri"/>
                <w:sz w:val="20"/>
                <w:szCs w:val="20"/>
                <w:lang w:val="en-AU"/>
              </w:rPr>
              <w:t xml:space="preserve"> of activities and POM C2 evaluation to enable accurate scoring. </w:t>
            </w:r>
          </w:p>
        </w:tc>
      </w:tr>
      <w:tr w:rsidR="006A5316" w:rsidRPr="00CB10AD" w:rsidTr="006A5316">
        <w:trPr>
          <w:trHeight w:val="434"/>
          <w:jc w:val="center"/>
        </w:trPr>
        <w:tc>
          <w:tcPr>
            <w:tcW w:w="599" w:type="pct"/>
            <w:vAlign w:val="center"/>
          </w:tcPr>
          <w:p w:rsidR="006A5316" w:rsidRPr="00CB10AD" w:rsidRDefault="006A5316" w:rsidP="002A2C82">
            <w:pPr>
              <w:spacing w:before="60" w:after="60"/>
              <w:jc w:val="both"/>
              <w:rPr>
                <w:b/>
                <w:sz w:val="20"/>
                <w:szCs w:val="20"/>
                <w:lang w:val="en-AU"/>
              </w:rPr>
            </w:pPr>
            <w:r w:rsidRPr="00CB10AD">
              <w:rPr>
                <w:b/>
                <w:sz w:val="20"/>
                <w:szCs w:val="20"/>
                <w:lang w:val="en-AU"/>
              </w:rPr>
              <w:t>Impact</w:t>
            </w:r>
          </w:p>
        </w:tc>
        <w:tc>
          <w:tcPr>
            <w:tcW w:w="516" w:type="pct"/>
            <w:shd w:val="clear" w:color="auto" w:fill="FFFFFF" w:themeFill="background1"/>
            <w:vAlign w:val="center"/>
          </w:tcPr>
          <w:p w:rsidR="006A5316" w:rsidRPr="00CB10AD" w:rsidRDefault="006A5316" w:rsidP="002A2C82">
            <w:pPr>
              <w:spacing w:before="60" w:after="60"/>
              <w:jc w:val="center"/>
              <w:rPr>
                <w:sz w:val="20"/>
                <w:szCs w:val="20"/>
                <w:lang w:val="en-AU"/>
              </w:rPr>
            </w:pPr>
            <w:r w:rsidRPr="00CB10AD">
              <w:rPr>
                <w:sz w:val="20"/>
                <w:szCs w:val="20"/>
                <w:lang w:val="en-AU"/>
              </w:rPr>
              <w:t>TE</w:t>
            </w:r>
          </w:p>
        </w:tc>
        <w:tc>
          <w:tcPr>
            <w:tcW w:w="2304" w:type="pct"/>
            <w:shd w:val="clear" w:color="auto" w:fill="FFFFFF" w:themeFill="background1"/>
          </w:tcPr>
          <w:p w:rsidR="006A5316" w:rsidRPr="00CB10AD" w:rsidRDefault="006A5316" w:rsidP="007B17D5">
            <w:pPr>
              <w:numPr>
                <w:ilvl w:val="0"/>
                <w:numId w:val="23"/>
              </w:numPr>
              <w:spacing w:before="60" w:after="60" w:line="276" w:lineRule="auto"/>
              <w:ind w:left="398"/>
              <w:contextualSpacing/>
              <w:rPr>
                <w:rFonts w:asciiTheme="minorHAnsi" w:eastAsia="Calibri" w:hAnsiTheme="minorHAnsi"/>
                <w:sz w:val="20"/>
                <w:szCs w:val="20"/>
                <w:lang w:val="en-AU"/>
              </w:rPr>
            </w:pPr>
            <w:r w:rsidRPr="00CB10AD">
              <w:rPr>
                <w:rFonts w:eastAsia="Calibri"/>
                <w:sz w:val="20"/>
                <w:szCs w:val="20"/>
                <w:lang w:val="en-AU"/>
              </w:rPr>
              <w:t xml:space="preserve">The </w:t>
            </w:r>
            <w:r w:rsidR="005E66DA" w:rsidRPr="00CB10AD">
              <w:rPr>
                <w:rFonts w:eastAsia="Calibri"/>
                <w:sz w:val="20"/>
                <w:szCs w:val="20"/>
                <w:lang w:val="en-AU"/>
              </w:rPr>
              <w:t xml:space="preserve">expected results of the </w:t>
            </w:r>
            <w:r w:rsidRPr="00CB10AD">
              <w:rPr>
                <w:rFonts w:eastAsia="Calibri"/>
                <w:sz w:val="20"/>
                <w:szCs w:val="20"/>
                <w:lang w:val="en-AU"/>
              </w:rPr>
              <w:t xml:space="preserve">system could be undermined by </w:t>
            </w:r>
            <w:r w:rsidR="00D23E41" w:rsidRPr="00CB10AD">
              <w:rPr>
                <w:rFonts w:eastAsia="Calibri"/>
                <w:sz w:val="20"/>
                <w:szCs w:val="20"/>
                <w:lang w:val="en-AU"/>
              </w:rPr>
              <w:t xml:space="preserve">officials’ </w:t>
            </w:r>
            <w:r w:rsidRPr="00CB10AD">
              <w:rPr>
                <w:rFonts w:eastAsia="Calibri"/>
                <w:sz w:val="20"/>
                <w:szCs w:val="20"/>
                <w:lang w:val="en-AU"/>
              </w:rPr>
              <w:t>lack of adherence of district governments to ministerial decrees (e.g.</w:t>
            </w:r>
            <w:r w:rsidR="003E7329" w:rsidRPr="00CB10AD">
              <w:rPr>
                <w:rFonts w:eastAsia="Calibri"/>
                <w:sz w:val="20"/>
                <w:szCs w:val="20"/>
                <w:lang w:val="en-AU"/>
              </w:rPr>
              <w:t xml:space="preserve"> </w:t>
            </w:r>
            <w:r w:rsidRPr="00CB10AD">
              <w:rPr>
                <w:rFonts w:eastAsia="Calibri"/>
                <w:sz w:val="20"/>
                <w:szCs w:val="20"/>
                <w:lang w:val="en-AU"/>
              </w:rPr>
              <w:t>Ministerial decree No.</w:t>
            </w:r>
            <w:r w:rsidR="003E7329" w:rsidRPr="00CB10AD">
              <w:rPr>
                <w:rFonts w:eastAsia="Calibri"/>
                <w:sz w:val="20"/>
                <w:szCs w:val="20"/>
                <w:lang w:val="en-AU"/>
              </w:rPr>
              <w:t xml:space="preserve"> </w:t>
            </w:r>
            <w:r w:rsidRPr="00CB10AD">
              <w:rPr>
                <w:rFonts w:eastAsia="Calibri"/>
                <w:sz w:val="20"/>
                <w:szCs w:val="20"/>
                <w:lang w:val="en-AU"/>
              </w:rPr>
              <w:t>12/2007 on Supervisors</w:t>
            </w:r>
            <w:r w:rsidR="003E7329" w:rsidRPr="00CB10AD">
              <w:rPr>
                <w:rFonts w:eastAsia="Calibri"/>
                <w:sz w:val="20"/>
                <w:szCs w:val="20"/>
                <w:lang w:val="en-AU"/>
              </w:rPr>
              <w:t>;</w:t>
            </w:r>
            <w:r w:rsidRPr="00CB10AD">
              <w:rPr>
                <w:rFonts w:eastAsia="Calibri"/>
                <w:sz w:val="20"/>
                <w:szCs w:val="20"/>
                <w:lang w:val="en-AU"/>
              </w:rPr>
              <w:t xml:space="preserve"> Ministerial decree No. 28 / 2010 </w:t>
            </w:r>
            <w:r w:rsidRPr="00CB10AD">
              <w:rPr>
                <w:rFonts w:asciiTheme="minorHAnsi" w:eastAsia="Calibri" w:hAnsiTheme="minorHAnsi"/>
                <w:sz w:val="20"/>
                <w:szCs w:val="20"/>
                <w:lang w:val="en-AU"/>
              </w:rPr>
              <w:t>on Principals</w:t>
            </w:r>
            <w:r w:rsidR="003E7329" w:rsidRPr="00CB10AD">
              <w:rPr>
                <w:rFonts w:asciiTheme="minorHAnsi" w:eastAsia="Calibri" w:hAnsiTheme="minorHAnsi"/>
                <w:sz w:val="20"/>
                <w:szCs w:val="20"/>
                <w:lang w:val="en-AU"/>
              </w:rPr>
              <w:t>)</w:t>
            </w:r>
            <w:r w:rsidRPr="00CB10AD">
              <w:rPr>
                <w:rFonts w:asciiTheme="minorHAnsi" w:eastAsia="Calibri" w:hAnsiTheme="minorHAnsi"/>
                <w:sz w:val="20"/>
                <w:szCs w:val="20"/>
                <w:lang w:val="en-AU"/>
              </w:rPr>
              <w:t xml:space="preserve">. </w:t>
            </w:r>
          </w:p>
          <w:p w:rsidR="006A5316" w:rsidRPr="00CB10AD" w:rsidRDefault="006A5316" w:rsidP="007B17D5">
            <w:pPr>
              <w:numPr>
                <w:ilvl w:val="0"/>
                <w:numId w:val="23"/>
              </w:numPr>
              <w:spacing w:before="60" w:after="60" w:line="276" w:lineRule="auto"/>
              <w:ind w:left="398"/>
              <w:contextualSpacing/>
              <w:jc w:val="both"/>
              <w:rPr>
                <w:sz w:val="20"/>
                <w:szCs w:val="20"/>
                <w:lang w:val="en-AU"/>
              </w:rPr>
            </w:pPr>
            <w:r w:rsidRPr="00CB10AD">
              <w:rPr>
                <w:rFonts w:asciiTheme="minorHAnsi" w:eastAsia="Calibri" w:hAnsiTheme="minorHAnsi"/>
                <w:sz w:val="20"/>
                <w:szCs w:val="20"/>
                <w:lang w:val="en-AU"/>
              </w:rPr>
              <w:t>The impact of the PD system may be influenced by its contribution</w:t>
            </w:r>
            <w:r w:rsidRPr="00CB10AD">
              <w:rPr>
                <w:rFonts w:eastAsia="Calibri"/>
                <w:sz w:val="20"/>
                <w:szCs w:val="20"/>
                <w:lang w:val="en-AU"/>
              </w:rPr>
              <w:t xml:space="preserve"> to participants’ career advancement. </w:t>
            </w:r>
          </w:p>
        </w:tc>
        <w:tc>
          <w:tcPr>
            <w:tcW w:w="1581" w:type="pct"/>
            <w:shd w:val="clear" w:color="auto" w:fill="FFFFFF" w:themeFill="background1"/>
          </w:tcPr>
          <w:p w:rsidR="006A5316" w:rsidRPr="00CB10AD" w:rsidRDefault="006A5316" w:rsidP="007B17D5">
            <w:pPr>
              <w:numPr>
                <w:ilvl w:val="0"/>
                <w:numId w:val="23"/>
              </w:numPr>
              <w:spacing w:before="60" w:after="60" w:line="276" w:lineRule="auto"/>
              <w:ind w:left="398"/>
              <w:contextualSpacing/>
              <w:rPr>
                <w:rFonts w:eastAsia="Calibri"/>
                <w:sz w:val="20"/>
                <w:szCs w:val="20"/>
                <w:lang w:val="en-AU"/>
              </w:rPr>
            </w:pPr>
            <w:r w:rsidRPr="00CB10AD">
              <w:rPr>
                <w:rFonts w:eastAsia="Calibri"/>
                <w:sz w:val="20"/>
                <w:szCs w:val="20"/>
                <w:lang w:val="en-AU"/>
              </w:rPr>
              <w:t xml:space="preserve">Too early to provide scores for the same </w:t>
            </w:r>
            <w:r w:rsidRPr="00CB10AD">
              <w:rPr>
                <w:rFonts w:asciiTheme="minorHAnsi" w:eastAsia="Calibri" w:hAnsiTheme="minorHAnsi"/>
                <w:sz w:val="20"/>
                <w:szCs w:val="20"/>
                <w:lang w:val="en-AU"/>
              </w:rPr>
              <w:t>reasons</w:t>
            </w:r>
            <w:r w:rsidRPr="00CB10AD">
              <w:rPr>
                <w:rFonts w:eastAsia="Calibri"/>
                <w:sz w:val="20"/>
                <w:szCs w:val="20"/>
                <w:lang w:val="en-AU"/>
              </w:rPr>
              <w:t xml:space="preserve"> as above. </w:t>
            </w:r>
          </w:p>
          <w:p w:rsidR="006A5316" w:rsidRPr="00CB10AD" w:rsidRDefault="006A5316" w:rsidP="002A2C82">
            <w:pPr>
              <w:spacing w:before="60" w:after="60"/>
              <w:ind w:left="720"/>
              <w:contextualSpacing/>
              <w:jc w:val="both"/>
              <w:rPr>
                <w:rFonts w:eastAsia="Calibri"/>
                <w:sz w:val="20"/>
                <w:szCs w:val="20"/>
                <w:lang w:val="en-AU"/>
              </w:rPr>
            </w:pPr>
          </w:p>
        </w:tc>
      </w:tr>
      <w:tr w:rsidR="00B43651" w:rsidRPr="00CB10AD" w:rsidTr="00D74127">
        <w:trPr>
          <w:trHeight w:val="434"/>
          <w:jc w:val="center"/>
        </w:trPr>
        <w:tc>
          <w:tcPr>
            <w:tcW w:w="599" w:type="pct"/>
            <w:vAlign w:val="center"/>
          </w:tcPr>
          <w:p w:rsidR="00B43651" w:rsidRPr="00CB10AD" w:rsidRDefault="00B43651" w:rsidP="002A2C82">
            <w:pPr>
              <w:spacing w:before="60" w:after="60"/>
              <w:jc w:val="both"/>
              <w:rPr>
                <w:b/>
                <w:sz w:val="20"/>
                <w:szCs w:val="20"/>
                <w:lang w:val="en-AU"/>
              </w:rPr>
            </w:pPr>
            <w:r w:rsidRPr="00CB10AD">
              <w:rPr>
                <w:b/>
                <w:sz w:val="20"/>
                <w:szCs w:val="20"/>
                <w:lang w:val="en-AU"/>
              </w:rPr>
              <w:t>Sustainability</w:t>
            </w:r>
          </w:p>
        </w:tc>
        <w:tc>
          <w:tcPr>
            <w:tcW w:w="516" w:type="pct"/>
            <w:shd w:val="clear" w:color="auto" w:fill="FFC000"/>
            <w:vAlign w:val="center"/>
          </w:tcPr>
          <w:p w:rsidR="00B43651" w:rsidRPr="00CB10AD" w:rsidRDefault="00D74127" w:rsidP="00D74127">
            <w:pPr>
              <w:spacing w:before="60" w:after="60"/>
              <w:jc w:val="center"/>
              <w:rPr>
                <w:sz w:val="20"/>
                <w:szCs w:val="20"/>
                <w:lang w:val="en-AU"/>
              </w:rPr>
            </w:pPr>
            <w:r w:rsidRPr="00CB10AD">
              <w:rPr>
                <w:sz w:val="20"/>
                <w:szCs w:val="20"/>
                <w:lang w:val="en-AU"/>
              </w:rPr>
              <w:t>3</w:t>
            </w:r>
          </w:p>
        </w:tc>
        <w:tc>
          <w:tcPr>
            <w:tcW w:w="2304" w:type="pct"/>
            <w:shd w:val="clear" w:color="auto" w:fill="FFFFFF" w:themeFill="background1"/>
          </w:tcPr>
          <w:p w:rsidR="00B43651" w:rsidRPr="00CB10AD" w:rsidRDefault="00B43651" w:rsidP="00D74127">
            <w:pPr>
              <w:numPr>
                <w:ilvl w:val="0"/>
                <w:numId w:val="23"/>
              </w:numPr>
              <w:spacing w:before="60" w:after="60" w:line="276" w:lineRule="auto"/>
              <w:ind w:left="398"/>
              <w:contextualSpacing/>
              <w:rPr>
                <w:sz w:val="20"/>
                <w:szCs w:val="20"/>
                <w:lang w:val="en-AU"/>
              </w:rPr>
            </w:pPr>
            <w:r w:rsidRPr="00CB10AD">
              <w:rPr>
                <w:rFonts w:eastAsia="Calibri"/>
                <w:sz w:val="20"/>
                <w:szCs w:val="20"/>
                <w:lang w:val="en-AU"/>
              </w:rPr>
              <w:t xml:space="preserve">Uncertain future financial commitments from central, provincial as well as </w:t>
            </w:r>
            <w:r w:rsidRPr="00CB10AD">
              <w:rPr>
                <w:rFonts w:asciiTheme="minorHAnsi" w:eastAsia="Calibri" w:hAnsiTheme="minorHAnsi"/>
                <w:sz w:val="20"/>
                <w:szCs w:val="20"/>
                <w:lang w:val="en-AU"/>
              </w:rPr>
              <w:t xml:space="preserve">district governments. </w:t>
            </w:r>
          </w:p>
        </w:tc>
        <w:tc>
          <w:tcPr>
            <w:tcW w:w="1581" w:type="pct"/>
            <w:shd w:val="clear" w:color="auto" w:fill="FFFFFF" w:themeFill="background1"/>
          </w:tcPr>
          <w:p w:rsidR="00B43651" w:rsidRPr="00CB10AD" w:rsidRDefault="00D74127" w:rsidP="00DA1B0C">
            <w:pPr>
              <w:numPr>
                <w:ilvl w:val="0"/>
                <w:numId w:val="23"/>
              </w:numPr>
              <w:spacing w:before="60" w:after="60" w:line="276" w:lineRule="auto"/>
              <w:ind w:left="398"/>
              <w:contextualSpacing/>
              <w:rPr>
                <w:sz w:val="20"/>
                <w:szCs w:val="20"/>
                <w:lang w:val="en-AU"/>
              </w:rPr>
            </w:pPr>
            <w:r w:rsidRPr="00CB10AD">
              <w:rPr>
                <w:rFonts w:asciiTheme="minorHAnsi" w:eastAsia="Calibri" w:hAnsiTheme="minorHAnsi"/>
                <w:sz w:val="20"/>
                <w:szCs w:val="20"/>
                <w:lang w:val="en-AU"/>
              </w:rPr>
              <w:t>S</w:t>
            </w:r>
            <w:r w:rsidR="00B43651" w:rsidRPr="00CB10AD">
              <w:rPr>
                <w:rFonts w:asciiTheme="minorHAnsi" w:eastAsia="Calibri" w:hAnsiTheme="minorHAnsi"/>
                <w:sz w:val="20"/>
                <w:szCs w:val="20"/>
                <w:lang w:val="en-AU"/>
              </w:rPr>
              <w:t xml:space="preserve">ustainability strategy </w:t>
            </w:r>
            <w:r w:rsidR="005E66DA" w:rsidRPr="00CB10AD">
              <w:rPr>
                <w:rFonts w:asciiTheme="minorHAnsi" w:eastAsia="Calibri" w:hAnsiTheme="minorHAnsi"/>
                <w:sz w:val="20"/>
                <w:szCs w:val="20"/>
                <w:lang w:val="en-AU"/>
              </w:rPr>
              <w:t xml:space="preserve">scheduled to </w:t>
            </w:r>
            <w:r w:rsidR="00B43651" w:rsidRPr="00CB10AD">
              <w:rPr>
                <w:rFonts w:asciiTheme="minorHAnsi" w:eastAsia="Calibri" w:hAnsiTheme="minorHAnsi"/>
                <w:sz w:val="20"/>
                <w:szCs w:val="20"/>
                <w:lang w:val="en-AU"/>
              </w:rPr>
              <w:t>emerge in 2014.</w:t>
            </w:r>
          </w:p>
        </w:tc>
      </w:tr>
    </w:tbl>
    <w:p w:rsidR="00F6127C" w:rsidRPr="00EE18A4" w:rsidRDefault="00F6127C" w:rsidP="00EE18A4">
      <w:pPr>
        <w:pStyle w:val="Caption"/>
        <w:rPr>
          <w:lang w:val="en-AU"/>
        </w:rPr>
      </w:pPr>
      <w:r w:rsidRPr="00CB10AD">
        <w:rPr>
          <w:b w:val="0"/>
          <w:bCs/>
          <w:lang w:val="en-AU"/>
        </w:rPr>
        <w:br w:type="page"/>
      </w:r>
      <w:bookmarkStart w:id="35" w:name="_Ref379641013"/>
      <w:bookmarkStart w:id="36" w:name="_Toc379982274"/>
      <w:r w:rsidR="00CB43F5" w:rsidRPr="00CB10AD">
        <w:rPr>
          <w:lang w:val="en-AU"/>
        </w:rPr>
        <w:lastRenderedPageBreak/>
        <w:t xml:space="preserve">Table </w:t>
      </w:r>
      <w:r w:rsidR="00CB43F5" w:rsidRPr="00CB10AD">
        <w:rPr>
          <w:lang w:val="en-AU"/>
        </w:rPr>
        <w:fldChar w:fldCharType="begin"/>
      </w:r>
      <w:r w:rsidR="00CB43F5" w:rsidRPr="00CB10AD">
        <w:rPr>
          <w:lang w:val="en-AU"/>
        </w:rPr>
        <w:instrText xml:space="preserve"> SEQ Table \* ARABIC </w:instrText>
      </w:r>
      <w:r w:rsidR="00CB43F5" w:rsidRPr="00CB10AD">
        <w:rPr>
          <w:lang w:val="en-AU"/>
        </w:rPr>
        <w:fldChar w:fldCharType="separate"/>
      </w:r>
      <w:r w:rsidR="00662AF4">
        <w:rPr>
          <w:noProof/>
          <w:lang w:val="en-AU"/>
        </w:rPr>
        <w:t>6</w:t>
      </w:r>
      <w:r w:rsidR="00CB43F5" w:rsidRPr="00CB10AD">
        <w:rPr>
          <w:lang w:val="en-AU"/>
        </w:rPr>
        <w:fldChar w:fldCharType="end"/>
      </w:r>
      <w:bookmarkEnd w:id="35"/>
      <w:r w:rsidRPr="00EE18A4">
        <w:rPr>
          <w:lang w:val="en-AU"/>
        </w:rPr>
        <w:t>: Component 2 key findings and recommendations</w:t>
      </w:r>
      <w:bookmarkEnd w:id="36"/>
    </w:p>
    <w:p w:rsidR="004623D7" w:rsidRPr="00CB10AD" w:rsidRDefault="004623D7" w:rsidP="004623D7">
      <w:pPr>
        <w:jc w:val="both"/>
        <w:rPr>
          <w:lang w:val="en-AU"/>
        </w:rPr>
      </w:pPr>
    </w:p>
    <w:tbl>
      <w:tblPr>
        <w:tblStyle w:val="TableGrid32"/>
        <w:tblW w:w="5000" w:type="pct"/>
        <w:tblLook w:val="04A0" w:firstRow="1" w:lastRow="0" w:firstColumn="1" w:lastColumn="0" w:noHBand="0" w:noVBand="1"/>
      </w:tblPr>
      <w:tblGrid>
        <w:gridCol w:w="4307"/>
        <w:gridCol w:w="5501"/>
        <w:gridCol w:w="896"/>
        <w:gridCol w:w="3466"/>
      </w:tblGrid>
      <w:tr w:rsidR="004623D7" w:rsidRPr="00CB10AD" w:rsidTr="004623D7">
        <w:trPr>
          <w:trHeight w:val="567"/>
          <w:tblHeader/>
        </w:trPr>
        <w:tc>
          <w:tcPr>
            <w:tcW w:w="1520"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cstheme="minorHAnsi"/>
                <w:b/>
                <w:color w:val="FFFFFF" w:themeColor="background1"/>
                <w:sz w:val="20"/>
                <w:szCs w:val="20"/>
                <w:lang w:val="en-AU"/>
              </w:rPr>
            </w:pPr>
            <w:r w:rsidRPr="00CB10AD">
              <w:rPr>
                <w:rFonts w:cstheme="minorHAnsi"/>
                <w:b/>
                <w:color w:val="FFFFFF" w:themeColor="background1"/>
                <w:sz w:val="20"/>
                <w:szCs w:val="20"/>
                <w:lang w:val="en-AU"/>
              </w:rPr>
              <w:t>Findings</w:t>
            </w:r>
          </w:p>
        </w:tc>
        <w:tc>
          <w:tcPr>
            <w:tcW w:w="1941"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cstheme="minorHAnsi"/>
                <w:b/>
                <w:color w:val="FFFFFF" w:themeColor="background1"/>
                <w:sz w:val="20"/>
                <w:szCs w:val="20"/>
                <w:lang w:val="en-AU"/>
              </w:rPr>
            </w:pPr>
            <w:r w:rsidRPr="00CB10AD">
              <w:rPr>
                <w:rFonts w:cstheme="minorHAnsi"/>
                <w:b/>
                <w:color w:val="FFFFFF" w:themeColor="background1"/>
                <w:sz w:val="20"/>
                <w:szCs w:val="20"/>
                <w:lang w:val="en-AU"/>
              </w:rPr>
              <w:t>Recommendations</w:t>
            </w:r>
          </w:p>
        </w:tc>
        <w:tc>
          <w:tcPr>
            <w:tcW w:w="316"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cstheme="minorHAnsi"/>
                <w:b/>
                <w:color w:val="FFFFFF" w:themeColor="background1"/>
                <w:sz w:val="20"/>
                <w:szCs w:val="20"/>
                <w:lang w:val="en-AU"/>
              </w:rPr>
            </w:pPr>
            <w:r w:rsidRPr="00CB10AD">
              <w:rPr>
                <w:rFonts w:cstheme="minorHAnsi"/>
                <w:b/>
                <w:color w:val="FFFFFF" w:themeColor="background1"/>
                <w:sz w:val="20"/>
                <w:szCs w:val="20"/>
                <w:lang w:val="en-AU"/>
              </w:rPr>
              <w:t>Level of urgency</w:t>
            </w:r>
          </w:p>
        </w:tc>
        <w:tc>
          <w:tcPr>
            <w:tcW w:w="1223"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cstheme="minorHAnsi"/>
                <w:b/>
                <w:color w:val="FFFFFF" w:themeColor="background1"/>
                <w:sz w:val="20"/>
                <w:szCs w:val="20"/>
                <w:lang w:val="en-AU"/>
              </w:rPr>
            </w:pPr>
            <w:r w:rsidRPr="00CB10AD">
              <w:rPr>
                <w:rFonts w:cstheme="minorHAnsi"/>
                <w:b/>
                <w:color w:val="FFFFFF" w:themeColor="background1"/>
                <w:sz w:val="20"/>
                <w:szCs w:val="20"/>
                <w:lang w:val="en-AU"/>
              </w:rPr>
              <w:t>Prime Responsibility</w:t>
            </w:r>
          </w:p>
        </w:tc>
      </w:tr>
      <w:tr w:rsidR="007C6065" w:rsidRPr="00CB10AD" w:rsidTr="00DA1B0C">
        <w:trPr>
          <w:trHeight w:val="1002"/>
        </w:trPr>
        <w:tc>
          <w:tcPr>
            <w:tcW w:w="1520" w:type="pct"/>
            <w:shd w:val="clear" w:color="auto" w:fill="FFFFFF" w:themeFill="background1"/>
          </w:tcPr>
          <w:p w:rsidR="007C6065" w:rsidRPr="00CB10AD" w:rsidRDefault="007C6065" w:rsidP="005E66DA">
            <w:pPr>
              <w:spacing w:before="120"/>
              <w:rPr>
                <w:sz w:val="20"/>
                <w:szCs w:val="20"/>
                <w:lang w:val="en-AU"/>
              </w:rPr>
            </w:pPr>
            <w:r w:rsidRPr="00CB10AD">
              <w:rPr>
                <w:sz w:val="20"/>
                <w:szCs w:val="20"/>
                <w:lang w:val="en-AU"/>
              </w:rPr>
              <w:t>Given delays to the implementation of the GA, the intended program outcomes may only be achieved after 2016 (see §3.4.3)</w:t>
            </w:r>
          </w:p>
        </w:tc>
        <w:tc>
          <w:tcPr>
            <w:tcW w:w="1941" w:type="pct"/>
            <w:shd w:val="clear" w:color="auto" w:fill="FFFFFF" w:themeFill="background1"/>
          </w:tcPr>
          <w:p w:rsidR="007C6065" w:rsidRPr="00CB10AD" w:rsidRDefault="007C6065" w:rsidP="00EE18A4">
            <w:pPr>
              <w:spacing w:before="120"/>
              <w:ind w:left="371" w:hanging="362"/>
              <w:rPr>
                <w:sz w:val="20"/>
                <w:szCs w:val="20"/>
                <w:lang w:val="en-AU"/>
              </w:rPr>
            </w:pPr>
            <w:r w:rsidRPr="00CB10AD">
              <w:rPr>
                <w:sz w:val="20"/>
                <w:szCs w:val="20"/>
                <w:lang w:val="en-AU"/>
              </w:rPr>
              <w:t xml:space="preserve">R6: </w:t>
            </w:r>
            <w:r w:rsidRPr="00CB10AD">
              <w:rPr>
                <w:sz w:val="20"/>
                <w:szCs w:val="20"/>
                <w:lang w:val="en-AU"/>
              </w:rPr>
              <w:tab/>
              <w:t>DFAT-MoEC assign sufficient resources to</w:t>
            </w:r>
            <w:r w:rsidR="00CB10AD">
              <w:rPr>
                <w:sz w:val="20"/>
                <w:szCs w:val="20"/>
                <w:lang w:val="en-AU"/>
              </w:rPr>
              <w:t xml:space="preserve"> </w:t>
            </w:r>
            <w:r w:rsidRPr="00CB10AD">
              <w:rPr>
                <w:sz w:val="20"/>
                <w:szCs w:val="20"/>
                <w:lang w:val="en-AU"/>
              </w:rPr>
              <w:t>C2 so as to ensure timely delivery of GA results, or should readjust the EOPO and implementation strategy accordingly</w:t>
            </w:r>
            <w:r w:rsidR="00EE18A4">
              <w:rPr>
                <w:sz w:val="20"/>
                <w:szCs w:val="20"/>
                <w:lang w:val="en-AU"/>
              </w:rPr>
              <w:t>.</w:t>
            </w:r>
          </w:p>
        </w:tc>
        <w:tc>
          <w:tcPr>
            <w:tcW w:w="316"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E369C9">
            <w:pPr>
              <w:spacing w:before="120"/>
              <w:rPr>
                <w:sz w:val="20"/>
                <w:szCs w:val="20"/>
                <w:lang w:val="en-AU"/>
              </w:rPr>
            </w:pPr>
            <w:r w:rsidRPr="00CB10AD">
              <w:rPr>
                <w:sz w:val="20"/>
                <w:szCs w:val="20"/>
                <w:lang w:val="en-AU"/>
              </w:rPr>
              <w:t>DFAT and MoEC (with SSQ support)</w:t>
            </w:r>
          </w:p>
        </w:tc>
      </w:tr>
      <w:tr w:rsidR="007C6065" w:rsidRPr="00CB10AD" w:rsidTr="00DA1B0C">
        <w:trPr>
          <w:trHeight w:val="758"/>
        </w:trPr>
        <w:tc>
          <w:tcPr>
            <w:tcW w:w="1520" w:type="pct"/>
            <w:shd w:val="clear" w:color="auto" w:fill="FFFFFF" w:themeFill="background1"/>
          </w:tcPr>
          <w:p w:rsidR="007C6065" w:rsidRPr="00CB10AD" w:rsidRDefault="007C6065" w:rsidP="004623D7">
            <w:pPr>
              <w:spacing w:before="120"/>
              <w:rPr>
                <w:sz w:val="20"/>
                <w:szCs w:val="20"/>
                <w:lang w:val="en-AU"/>
              </w:rPr>
            </w:pPr>
            <w:r w:rsidRPr="00CB10AD">
              <w:rPr>
                <w:sz w:val="20"/>
                <w:szCs w:val="20"/>
                <w:lang w:val="en-AU"/>
              </w:rPr>
              <w:t>GoI’s political commitment to the PD system remains unclear (see §3.4.1)</w:t>
            </w:r>
          </w:p>
          <w:p w:rsidR="007C6065" w:rsidRPr="00CB10AD" w:rsidRDefault="007C6065" w:rsidP="004623D7">
            <w:pPr>
              <w:spacing w:before="120"/>
              <w:rPr>
                <w:sz w:val="20"/>
                <w:szCs w:val="20"/>
                <w:lang w:val="en-AU"/>
              </w:rPr>
            </w:pPr>
          </w:p>
          <w:p w:rsidR="007C6065" w:rsidRPr="00CB10AD" w:rsidRDefault="007C6065" w:rsidP="004623D7">
            <w:pPr>
              <w:spacing w:before="120"/>
              <w:rPr>
                <w:sz w:val="20"/>
                <w:szCs w:val="20"/>
                <w:lang w:val="en-AU"/>
              </w:rPr>
            </w:pPr>
          </w:p>
        </w:tc>
        <w:tc>
          <w:tcPr>
            <w:tcW w:w="1941" w:type="pct"/>
            <w:shd w:val="clear" w:color="auto" w:fill="FFFFFF" w:themeFill="background1"/>
          </w:tcPr>
          <w:p w:rsidR="007C6065" w:rsidRPr="00CB10AD" w:rsidRDefault="007C6065" w:rsidP="00EE18A4">
            <w:pPr>
              <w:spacing w:before="120"/>
              <w:ind w:left="371" w:hanging="362"/>
              <w:rPr>
                <w:sz w:val="20"/>
                <w:szCs w:val="20"/>
                <w:lang w:val="en-AU"/>
              </w:rPr>
            </w:pPr>
            <w:r w:rsidRPr="00CB10AD">
              <w:rPr>
                <w:sz w:val="20"/>
                <w:szCs w:val="20"/>
                <w:lang w:val="en-AU"/>
              </w:rPr>
              <w:t xml:space="preserve">R7: </w:t>
            </w:r>
            <w:r w:rsidRPr="00CB10AD">
              <w:rPr>
                <w:sz w:val="20"/>
                <w:szCs w:val="20"/>
                <w:lang w:val="en-AU"/>
              </w:rPr>
              <w:tab/>
              <w:t>MoEC should lobby and advocate for the PD system to be included in strategic documents (e.g. the RPJMN and the upcoming Renstra), thereby enhancing political commitment to its implementation</w:t>
            </w:r>
            <w:r w:rsidR="00EE18A4">
              <w:rPr>
                <w:sz w:val="20"/>
                <w:szCs w:val="20"/>
                <w:lang w:val="en-AU"/>
              </w:rPr>
              <w:t>.</w:t>
            </w:r>
          </w:p>
        </w:tc>
        <w:tc>
          <w:tcPr>
            <w:tcW w:w="316"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E369C9">
            <w:pPr>
              <w:spacing w:before="120"/>
              <w:rPr>
                <w:sz w:val="20"/>
                <w:szCs w:val="20"/>
                <w:lang w:val="en-AU"/>
              </w:rPr>
            </w:pPr>
            <w:r w:rsidRPr="00CB10AD">
              <w:rPr>
                <w:sz w:val="20"/>
                <w:szCs w:val="20"/>
                <w:lang w:val="en-AU"/>
              </w:rPr>
              <w:t>MoEC (with DFAT support through ATOG and GOG;</w:t>
            </w:r>
            <w:r w:rsidR="00CB10AD">
              <w:rPr>
                <w:sz w:val="20"/>
                <w:szCs w:val="20"/>
                <w:lang w:val="en-AU"/>
              </w:rPr>
              <w:t xml:space="preserve"> </w:t>
            </w:r>
            <w:r w:rsidRPr="00CB10AD">
              <w:rPr>
                <w:sz w:val="20"/>
                <w:szCs w:val="20"/>
                <w:lang w:val="en-AU"/>
              </w:rPr>
              <w:t>and SSQ support)</w:t>
            </w:r>
          </w:p>
        </w:tc>
      </w:tr>
      <w:tr w:rsidR="007C6065" w:rsidRPr="00CB10AD" w:rsidTr="00DA1B0C">
        <w:trPr>
          <w:trHeight w:val="567"/>
        </w:trPr>
        <w:tc>
          <w:tcPr>
            <w:tcW w:w="1520" w:type="pct"/>
            <w:tcBorders>
              <w:bottom w:val="single" w:sz="4" w:space="0" w:color="auto"/>
            </w:tcBorders>
            <w:shd w:val="clear" w:color="auto" w:fill="FFFFFF" w:themeFill="background1"/>
          </w:tcPr>
          <w:p w:rsidR="007C6065" w:rsidRPr="00CB10AD" w:rsidRDefault="007C6065" w:rsidP="005E66DA">
            <w:pPr>
              <w:spacing w:before="120"/>
              <w:rPr>
                <w:sz w:val="20"/>
                <w:szCs w:val="20"/>
                <w:lang w:val="en-AU"/>
              </w:rPr>
            </w:pPr>
            <w:r w:rsidRPr="00CB10AD">
              <w:rPr>
                <w:sz w:val="20"/>
                <w:szCs w:val="20"/>
                <w:lang w:val="en-AU"/>
              </w:rPr>
              <w:t>Unknown ability and willingness of central, provincial and/or district government to finance the system or pay for services provided by it after the GA (see §3.4.1 and §3.4.5)</w:t>
            </w:r>
          </w:p>
        </w:tc>
        <w:tc>
          <w:tcPr>
            <w:tcW w:w="1941" w:type="pct"/>
            <w:tcBorders>
              <w:bottom w:val="single" w:sz="4" w:space="0" w:color="auto"/>
            </w:tcBorders>
            <w:shd w:val="clear" w:color="auto" w:fill="FFFFFF" w:themeFill="background1"/>
          </w:tcPr>
          <w:p w:rsidR="007C6065" w:rsidRPr="00CB10AD" w:rsidRDefault="007C6065" w:rsidP="00EE18A4">
            <w:pPr>
              <w:spacing w:before="120"/>
              <w:ind w:left="371" w:hanging="362"/>
              <w:rPr>
                <w:sz w:val="20"/>
                <w:szCs w:val="20"/>
                <w:lang w:val="en-AU"/>
              </w:rPr>
            </w:pPr>
            <w:r w:rsidRPr="00CB10AD">
              <w:rPr>
                <w:sz w:val="20"/>
                <w:szCs w:val="20"/>
                <w:lang w:val="en-AU"/>
              </w:rPr>
              <w:t xml:space="preserve">R8: </w:t>
            </w:r>
            <w:r w:rsidRPr="00CB10AD">
              <w:rPr>
                <w:sz w:val="20"/>
                <w:szCs w:val="20"/>
                <w:lang w:val="en-AU"/>
              </w:rPr>
              <w:tab/>
              <w:t>Institutional Partners must better understand the financial capacity and willingness of district, provincial and central government levels to fund PD services, and develop a workable sustainability strategy</w:t>
            </w:r>
            <w:r w:rsidR="00EE18A4">
              <w:rPr>
                <w:sz w:val="20"/>
                <w:szCs w:val="20"/>
                <w:lang w:val="en-AU"/>
              </w:rPr>
              <w:t>.</w:t>
            </w:r>
          </w:p>
        </w:tc>
        <w:tc>
          <w:tcPr>
            <w:tcW w:w="316"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E369C9">
            <w:pPr>
              <w:spacing w:before="120"/>
              <w:rPr>
                <w:sz w:val="20"/>
                <w:szCs w:val="20"/>
                <w:lang w:val="en-AU"/>
              </w:rPr>
            </w:pPr>
            <w:r w:rsidRPr="00CB10AD">
              <w:rPr>
                <w:sz w:val="20"/>
                <w:szCs w:val="20"/>
                <w:lang w:val="en-AU"/>
              </w:rPr>
              <w:t>MoEC and DFAT (with POM and SSQ support)</w:t>
            </w:r>
          </w:p>
        </w:tc>
      </w:tr>
    </w:tbl>
    <w:p w:rsidR="004623D7" w:rsidRPr="00CB10AD" w:rsidRDefault="004623D7" w:rsidP="004623D7">
      <w:pPr>
        <w:jc w:val="both"/>
        <w:rPr>
          <w:i/>
          <w:lang w:val="en-AU"/>
        </w:rPr>
      </w:pPr>
    </w:p>
    <w:p w:rsidR="004623D7" w:rsidRPr="00CB10AD" w:rsidRDefault="004623D7" w:rsidP="004623D7">
      <w:pPr>
        <w:jc w:val="both"/>
        <w:rPr>
          <w:rFonts w:asciiTheme="minorHAnsi" w:eastAsiaTheme="minorHAnsi" w:hAnsiTheme="minorHAnsi" w:cstheme="minorBidi"/>
          <w:lang w:val="en-AU"/>
        </w:rPr>
      </w:pPr>
      <w:r w:rsidRPr="00CB10AD">
        <w:rPr>
          <w:i/>
          <w:lang w:val="en-AU"/>
        </w:rPr>
        <w:t>NB: Red</w:t>
      </w:r>
      <w:r w:rsidR="005E66DA" w:rsidRPr="00CB10AD">
        <w:rPr>
          <w:i/>
          <w:lang w:val="en-AU"/>
        </w:rPr>
        <w:t xml:space="preserve"> </w:t>
      </w:r>
      <w:r w:rsidR="005F2662" w:rsidRPr="00CB10AD">
        <w:rPr>
          <w:i/>
          <w:lang w:val="en-AU"/>
        </w:rPr>
        <w:t>(***</w:t>
      </w:r>
      <w:r w:rsidR="00CB10AD" w:rsidRPr="00CB10AD">
        <w:rPr>
          <w:i/>
          <w:lang w:val="en-AU"/>
        </w:rPr>
        <w:t>) -</w:t>
      </w:r>
      <w:r w:rsidRPr="00CB10AD">
        <w:rPr>
          <w:i/>
          <w:lang w:val="en-AU"/>
        </w:rPr>
        <w:t xml:space="preserve">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p>
    <w:p w:rsidR="00F6127C" w:rsidRPr="00CB10AD" w:rsidRDefault="00F6127C" w:rsidP="00F6127C">
      <w:pPr>
        <w:spacing w:after="200" w:line="276" w:lineRule="auto"/>
        <w:rPr>
          <w:rFonts w:asciiTheme="minorHAnsi" w:eastAsiaTheme="minorHAnsi" w:hAnsiTheme="minorHAnsi" w:cstheme="minorBidi"/>
          <w:lang w:val="en-AU"/>
        </w:rPr>
      </w:pPr>
    </w:p>
    <w:p w:rsidR="00F6127C" w:rsidRPr="00CB10AD" w:rsidRDefault="00F6127C" w:rsidP="00F6127C">
      <w:pPr>
        <w:tabs>
          <w:tab w:val="left" w:pos="5055"/>
        </w:tabs>
        <w:spacing w:after="200" w:line="276" w:lineRule="auto"/>
        <w:rPr>
          <w:rFonts w:asciiTheme="minorHAnsi" w:eastAsiaTheme="minorHAnsi" w:hAnsiTheme="minorHAnsi" w:cstheme="minorBidi"/>
          <w:lang w:val="en-AU"/>
        </w:rPr>
      </w:pPr>
      <w:r w:rsidRPr="00CB10AD">
        <w:rPr>
          <w:rFonts w:asciiTheme="minorHAnsi" w:eastAsiaTheme="minorHAnsi" w:hAnsiTheme="minorHAnsi" w:cstheme="minorBidi"/>
          <w:lang w:val="en-AU"/>
        </w:rPr>
        <w:tab/>
      </w:r>
    </w:p>
    <w:p w:rsidR="00BE7003" w:rsidRPr="00CB10AD" w:rsidRDefault="00BE7003" w:rsidP="00BE7003">
      <w:pPr>
        <w:jc w:val="both"/>
        <w:rPr>
          <w:i/>
          <w:lang w:val="en-AU"/>
        </w:rPr>
      </w:pPr>
    </w:p>
    <w:p w:rsidR="00B752E9" w:rsidRPr="00CB10AD" w:rsidRDefault="00B752E9" w:rsidP="00B752E9">
      <w:pPr>
        <w:rPr>
          <w:i/>
          <w:lang w:val="en-AU"/>
        </w:rPr>
      </w:pPr>
    </w:p>
    <w:p w:rsidR="00A42AA1" w:rsidRPr="00CB10AD" w:rsidRDefault="00A42AA1" w:rsidP="00E259CD">
      <w:pPr>
        <w:rPr>
          <w:i/>
          <w:lang w:val="en-AU"/>
        </w:rPr>
        <w:sectPr w:rsidR="00A42AA1" w:rsidRPr="00CB10AD" w:rsidSect="00A42AA1">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p>
    <w:p w:rsidR="00F6127C" w:rsidRPr="00CB10AD" w:rsidRDefault="00F6127C" w:rsidP="00F6127C">
      <w:pPr>
        <w:keepNext/>
        <w:numPr>
          <w:ilvl w:val="0"/>
          <w:numId w:val="9"/>
        </w:numPr>
        <w:spacing w:before="120" w:after="120"/>
        <w:ind w:hanging="720"/>
        <w:outlineLvl w:val="0"/>
        <w:rPr>
          <w:rFonts w:asciiTheme="minorHAnsi" w:hAnsiTheme="minorHAnsi" w:cstheme="minorHAnsi"/>
          <w:b/>
          <w:bCs/>
          <w:color w:val="003880"/>
          <w:kern w:val="32"/>
          <w:sz w:val="28"/>
          <w:szCs w:val="28"/>
          <w:lang w:val="en-AU"/>
        </w:rPr>
      </w:pPr>
      <w:bookmarkStart w:id="37" w:name="_Toc388253138"/>
      <w:r w:rsidRPr="00CB10AD">
        <w:rPr>
          <w:rFonts w:asciiTheme="minorHAnsi" w:hAnsiTheme="minorHAnsi" w:cstheme="minorHAnsi"/>
          <w:b/>
          <w:bCs/>
          <w:color w:val="003880"/>
          <w:kern w:val="32"/>
          <w:sz w:val="28"/>
          <w:szCs w:val="28"/>
          <w:lang w:val="en-AU"/>
        </w:rPr>
        <w:lastRenderedPageBreak/>
        <w:t>Component 3: Islamic School Accreditation</w:t>
      </w:r>
      <w:bookmarkEnd w:id="37"/>
    </w:p>
    <w:p w:rsidR="00F6127C" w:rsidRPr="00CB10AD" w:rsidRDefault="00F6127C" w:rsidP="00F6127C">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 xml:space="preserve">An introduction </w:t>
      </w: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 xml:space="preserve">The EP investment </w:t>
      </w:r>
    </w:p>
    <w:p w:rsidR="00F6127C" w:rsidRPr="00CB10AD" w:rsidRDefault="00F6127C" w:rsidP="00F6127C">
      <w:pPr>
        <w:spacing w:before="120" w:after="120" w:line="276" w:lineRule="auto"/>
        <w:jc w:val="both"/>
        <w:rPr>
          <w:rFonts w:asciiTheme="minorHAnsi" w:hAnsiTheme="minorHAnsi" w:cstheme="minorHAnsi"/>
          <w:bCs/>
          <w:iCs/>
          <w:lang w:val="en-AU"/>
        </w:rPr>
      </w:pPr>
      <w:r w:rsidRPr="00CB10AD">
        <w:rPr>
          <w:rFonts w:asciiTheme="minorHAnsi" w:hAnsiTheme="minorHAnsi" w:cstheme="minorHAnsi"/>
          <w:bCs/>
          <w:iCs/>
          <w:lang w:val="en-AU"/>
        </w:rPr>
        <w:t xml:space="preserve">Component 3 seeks to improve the quality of Madrasah </w:t>
      </w:r>
      <w:r w:rsidR="007269E9">
        <w:rPr>
          <w:rFonts w:asciiTheme="minorHAnsi" w:hAnsiTheme="minorHAnsi" w:cstheme="minorHAnsi"/>
          <w:bCs/>
          <w:iCs/>
          <w:lang w:val="en-AU"/>
        </w:rPr>
        <w:t xml:space="preserve">service provision </w:t>
      </w:r>
      <w:r w:rsidRPr="00CB10AD">
        <w:rPr>
          <w:rFonts w:asciiTheme="minorHAnsi" w:hAnsiTheme="minorHAnsi" w:cstheme="minorHAnsi"/>
          <w:bCs/>
          <w:iCs/>
          <w:lang w:val="en-AU"/>
        </w:rPr>
        <w:t>in line with National Education Standards (NES)</w:t>
      </w:r>
      <w:r w:rsidR="007269E9">
        <w:rPr>
          <w:rFonts w:asciiTheme="minorHAnsi" w:hAnsiTheme="minorHAnsi" w:cstheme="minorHAnsi"/>
          <w:bCs/>
          <w:iCs/>
          <w:lang w:val="en-AU"/>
        </w:rPr>
        <w:t xml:space="preserve"> in targeted provinces</w:t>
      </w:r>
      <w:r w:rsidRPr="00CB10AD">
        <w:rPr>
          <w:rFonts w:asciiTheme="minorHAnsi" w:hAnsiTheme="minorHAnsi" w:cstheme="minorHAnsi"/>
          <w:bCs/>
          <w:iCs/>
          <w:lang w:val="en-AU"/>
        </w:rPr>
        <w:t xml:space="preserve">. Specifically, it supports the Ministry of Religious Affairs (MoRA) to achieve one of its Renstra targets: that all Madrasah are accredited against the NES, with a minimum of 50% at Level ‘B’, by 2014-2015. </w:t>
      </w:r>
    </w:p>
    <w:p w:rsidR="00F6127C" w:rsidRPr="00CB10AD" w:rsidRDefault="00F6127C" w:rsidP="00F6127C">
      <w:pPr>
        <w:spacing w:before="120" w:after="120" w:line="276" w:lineRule="auto"/>
        <w:jc w:val="both"/>
        <w:rPr>
          <w:rFonts w:asciiTheme="minorHAnsi" w:hAnsiTheme="minorHAnsi" w:cstheme="minorHAnsi"/>
          <w:bCs/>
          <w:iCs/>
          <w:lang w:val="en-AU"/>
        </w:rPr>
      </w:pPr>
      <w:r w:rsidRPr="00CB10AD">
        <w:rPr>
          <w:rFonts w:asciiTheme="minorHAnsi" w:hAnsiTheme="minorHAnsi" w:cstheme="minorHAnsi"/>
          <w:bCs/>
          <w:iCs/>
          <w:lang w:val="en-AU"/>
        </w:rPr>
        <w:t>The EP investment is deemed to be important for at least three reasons:</w:t>
      </w:r>
    </w:p>
    <w:p w:rsidR="00F6127C" w:rsidRPr="00CB10AD" w:rsidRDefault="00F6127C" w:rsidP="00F6127C">
      <w:pPr>
        <w:numPr>
          <w:ilvl w:val="0"/>
          <w:numId w:val="13"/>
        </w:numPr>
        <w:spacing w:after="200" w:line="276" w:lineRule="auto"/>
        <w:contextualSpacing/>
        <w:rPr>
          <w:rFonts w:asciiTheme="minorHAnsi" w:eastAsia="Calibri" w:hAnsiTheme="minorHAnsi" w:cstheme="minorHAnsi"/>
          <w:bCs/>
          <w:iCs/>
          <w:lang w:val="en-AU"/>
        </w:rPr>
      </w:pPr>
      <w:r w:rsidRPr="00CB10AD">
        <w:rPr>
          <w:rFonts w:asciiTheme="minorHAnsi" w:eastAsia="Calibri" w:hAnsiTheme="minorHAnsi" w:cstheme="minorHAnsi"/>
          <w:bCs/>
          <w:iCs/>
          <w:lang w:val="en-AU"/>
        </w:rPr>
        <w:t>Madrasah educ</w:t>
      </w:r>
      <w:r w:rsidR="007622D6" w:rsidRPr="00CB10AD">
        <w:rPr>
          <w:rFonts w:asciiTheme="minorHAnsi" w:eastAsia="Calibri" w:hAnsiTheme="minorHAnsi" w:cstheme="minorHAnsi"/>
          <w:bCs/>
          <w:iCs/>
          <w:lang w:val="en-AU"/>
        </w:rPr>
        <w:t>ate about 22% of the population</w:t>
      </w:r>
      <w:r w:rsidRPr="00CB10AD">
        <w:rPr>
          <w:rFonts w:asciiTheme="minorHAnsi" w:eastAsia="Calibri" w:hAnsiTheme="minorHAnsi" w:cstheme="minorHAnsi"/>
          <w:bCs/>
          <w:iCs/>
          <w:lang w:val="en-AU"/>
        </w:rPr>
        <w:t xml:space="preserve"> and are one of the main providers of education in poor communities.</w:t>
      </w:r>
    </w:p>
    <w:p w:rsidR="00F6127C" w:rsidRPr="00CB10AD" w:rsidRDefault="00F6127C" w:rsidP="00F6127C">
      <w:pPr>
        <w:numPr>
          <w:ilvl w:val="0"/>
          <w:numId w:val="13"/>
        </w:numPr>
        <w:spacing w:after="200" w:line="276" w:lineRule="auto"/>
        <w:contextualSpacing/>
        <w:rPr>
          <w:rFonts w:asciiTheme="minorHAnsi" w:eastAsia="Calibri" w:hAnsiTheme="minorHAnsi" w:cstheme="minorHAnsi"/>
          <w:bCs/>
          <w:iCs/>
          <w:lang w:val="en-AU"/>
        </w:rPr>
      </w:pPr>
      <w:r w:rsidRPr="00CB10AD">
        <w:rPr>
          <w:rFonts w:asciiTheme="minorHAnsi" w:eastAsia="Calibri" w:hAnsiTheme="minorHAnsi" w:cstheme="minorHAnsi"/>
          <w:bCs/>
          <w:iCs/>
          <w:lang w:val="en-AU"/>
        </w:rPr>
        <w:t>There are substantial disparities in education quality between public schools and private Madrasah; about 72% of Madrasah are not accredited</w:t>
      </w:r>
      <w:r w:rsidRPr="00CB10AD">
        <w:rPr>
          <w:rFonts w:asciiTheme="minorHAnsi" w:eastAsia="Calibri" w:hAnsiTheme="minorHAnsi" w:cstheme="minorHAnsi"/>
          <w:bCs/>
          <w:iCs/>
          <w:vertAlign w:val="superscript"/>
          <w:lang w:val="en-AU"/>
        </w:rPr>
        <w:endnoteReference w:id="35"/>
      </w:r>
      <w:r w:rsidRPr="00CB10AD">
        <w:rPr>
          <w:rFonts w:asciiTheme="minorHAnsi" w:eastAsia="Calibri" w:hAnsiTheme="minorHAnsi" w:cstheme="minorHAnsi"/>
          <w:bCs/>
          <w:iCs/>
          <w:lang w:val="en-AU"/>
        </w:rPr>
        <w:t xml:space="preserve">. </w:t>
      </w:r>
    </w:p>
    <w:p w:rsidR="00F6127C" w:rsidRPr="00CB10AD" w:rsidRDefault="00F6127C" w:rsidP="00F6127C">
      <w:pPr>
        <w:numPr>
          <w:ilvl w:val="0"/>
          <w:numId w:val="13"/>
        </w:numPr>
        <w:spacing w:before="120" w:after="120" w:line="276" w:lineRule="auto"/>
        <w:contextualSpacing/>
        <w:rPr>
          <w:rFonts w:asciiTheme="minorHAnsi" w:eastAsia="Calibri" w:hAnsiTheme="minorHAnsi" w:cstheme="minorHAnsi"/>
          <w:bCs/>
          <w:iCs/>
          <w:lang w:val="en-AU"/>
        </w:rPr>
      </w:pPr>
      <w:r w:rsidRPr="00CB10AD">
        <w:rPr>
          <w:rFonts w:asciiTheme="minorHAnsi" w:eastAsia="Calibri" w:hAnsiTheme="minorHAnsi" w:cstheme="minorHAnsi"/>
          <w:lang w:val="en-AU"/>
        </w:rPr>
        <w:t>Accredited</w:t>
      </w:r>
      <w:r w:rsidRPr="00CB10AD">
        <w:rPr>
          <w:rFonts w:asciiTheme="minorHAnsi" w:eastAsia="Calibri" w:hAnsiTheme="minorHAnsi" w:cstheme="minorHAnsi"/>
          <w:bCs/>
          <w:iCs/>
          <w:lang w:val="en-AU"/>
        </w:rPr>
        <w:t xml:space="preserve"> Madrasah can guarantee the provision of leaving certificates and student participation in national exams. </w:t>
      </w:r>
    </w:p>
    <w:p w:rsidR="00F6127C" w:rsidRPr="00CB10AD" w:rsidRDefault="00F6127C" w:rsidP="00F6127C">
      <w:pPr>
        <w:spacing w:before="120" w:after="120" w:line="276" w:lineRule="auto"/>
        <w:jc w:val="both"/>
        <w:rPr>
          <w:bCs/>
          <w:lang w:val="en-AU"/>
        </w:rPr>
      </w:pPr>
      <w:r w:rsidRPr="00CB10AD">
        <w:rPr>
          <w:bCs/>
          <w:lang w:val="en-AU"/>
        </w:rPr>
        <w:t>The EP supports the work of the MoRA Directorate General for Islamic Education, the Unit for Implementing Madrasah Accreditation (UPPAM) and Sub-National Implementation Partners (e.g. universities, Madrasah Development Centres) to improve Madrasah quality. Up to 1</w:t>
      </w:r>
      <w:r w:rsidR="004F2233" w:rsidRPr="00CB10AD">
        <w:rPr>
          <w:bCs/>
          <w:lang w:val="en-AU"/>
        </w:rPr>
        <w:t>,</w:t>
      </w:r>
      <w:r w:rsidRPr="00CB10AD">
        <w:rPr>
          <w:bCs/>
          <w:lang w:val="en-AU"/>
        </w:rPr>
        <w:t>500 targeted Madrasah</w:t>
      </w:r>
      <w:r w:rsidR="005E66DA" w:rsidRPr="00CB10AD">
        <w:rPr>
          <w:rStyle w:val="FootnoteReference"/>
          <w:bCs/>
          <w:lang w:val="en-AU"/>
        </w:rPr>
        <w:footnoteReference w:id="20"/>
      </w:r>
      <w:r w:rsidRPr="00CB10AD">
        <w:rPr>
          <w:bCs/>
          <w:lang w:val="en-AU"/>
        </w:rPr>
        <w:t xml:space="preserve"> in 11 provinces will receive technical support from SNIPs and MoRA, as well as direct financial support in the form of grants of AUD 10,000. SNIP</w:t>
      </w:r>
      <w:r w:rsidR="000A2EBC" w:rsidRPr="00CB10AD">
        <w:rPr>
          <w:bCs/>
          <w:lang w:val="en-AU"/>
        </w:rPr>
        <w:t>s</w:t>
      </w:r>
      <w:r w:rsidRPr="00CB10AD">
        <w:rPr>
          <w:bCs/>
          <w:lang w:val="en-AU"/>
        </w:rPr>
        <w:t xml:space="preserve"> deliver their support through a</w:t>
      </w:r>
      <w:r w:rsidR="00B43651" w:rsidRPr="00CB10AD">
        <w:rPr>
          <w:bCs/>
          <w:lang w:val="en-AU"/>
        </w:rPr>
        <w:t xml:space="preserve"> set</w:t>
      </w:r>
      <w:r w:rsidRPr="00CB10AD">
        <w:rPr>
          <w:bCs/>
          <w:lang w:val="en-AU"/>
        </w:rPr>
        <w:t xml:space="preserve"> program of training and mentoring services for each madrasah</w:t>
      </w:r>
      <w:r w:rsidR="004B17D5" w:rsidRPr="00CB10AD">
        <w:rPr>
          <w:bCs/>
          <w:lang w:val="en-AU"/>
        </w:rPr>
        <w:t xml:space="preserve">, including support to the </w:t>
      </w:r>
      <w:r w:rsidR="005E66DA" w:rsidRPr="00CB10AD">
        <w:rPr>
          <w:bCs/>
          <w:lang w:val="en-AU"/>
        </w:rPr>
        <w:t>p</w:t>
      </w:r>
      <w:r w:rsidR="004B17D5" w:rsidRPr="00CB10AD">
        <w:rPr>
          <w:bCs/>
          <w:lang w:val="en-AU"/>
        </w:rPr>
        <w:t xml:space="preserve">reparation and utilisation of </w:t>
      </w:r>
      <w:r w:rsidR="004B17D5" w:rsidRPr="00CB10AD">
        <w:rPr>
          <w:lang w:val="en-AU"/>
        </w:rPr>
        <w:t>madrasah development plans (RKM). The RKM assists the madrasah to concentrate and align its efforts in achieving accreditation.</w:t>
      </w:r>
      <w:r w:rsidR="004B17D5" w:rsidRPr="00CB10AD">
        <w:rPr>
          <w:bCs/>
          <w:lang w:val="en-AU"/>
        </w:rPr>
        <w:t xml:space="preserve"> </w:t>
      </w:r>
      <w:r w:rsidRPr="00CB10AD">
        <w:rPr>
          <w:bCs/>
          <w:lang w:val="en-AU"/>
        </w:rPr>
        <w:t>It is expected that supported Madrasah will gain improved capacity to perform against NES and</w:t>
      </w:r>
      <w:r w:rsidR="00B438BC" w:rsidRPr="00CB10AD">
        <w:rPr>
          <w:bCs/>
          <w:lang w:val="en-AU"/>
        </w:rPr>
        <w:t xml:space="preserve"> that</w:t>
      </w:r>
      <w:r w:rsidRPr="00CB10AD">
        <w:rPr>
          <w:bCs/>
          <w:lang w:val="en-AU"/>
        </w:rPr>
        <w:t xml:space="preserve"> the application of these skills will improve the quality of education services for existing and prospective learners.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w:t>
      </w:r>
      <w:r w:rsidR="00B438BC" w:rsidRPr="00CB10AD">
        <w:rPr>
          <w:rFonts w:asciiTheme="minorHAnsi" w:hAnsiTheme="minorHAnsi" w:cstheme="minorHAnsi"/>
          <w:lang w:val="en-AU"/>
        </w:rPr>
        <w:t>EP</w:t>
      </w:r>
      <w:r w:rsidRPr="00CB10AD">
        <w:rPr>
          <w:rFonts w:asciiTheme="minorHAnsi" w:hAnsiTheme="minorHAnsi" w:cstheme="minorHAnsi"/>
          <w:lang w:val="en-AU"/>
        </w:rPr>
        <w:t xml:space="preserve"> does not provide support to improve the accreditation</w:t>
      </w:r>
      <w:r w:rsidR="003178A9" w:rsidRPr="00CB10AD">
        <w:rPr>
          <w:rFonts w:asciiTheme="minorHAnsi" w:hAnsiTheme="minorHAnsi" w:cstheme="minorHAnsi"/>
          <w:lang w:val="en-AU"/>
        </w:rPr>
        <w:t xml:space="preserve"> process of Madrasah</w:t>
      </w:r>
      <w:r w:rsidRPr="00CB10AD">
        <w:rPr>
          <w:rFonts w:asciiTheme="minorHAnsi" w:hAnsiTheme="minorHAnsi" w:cstheme="minorHAnsi"/>
          <w:lang w:val="en-AU"/>
        </w:rPr>
        <w:t>.</w:t>
      </w:r>
      <w:r w:rsidRPr="00CB10AD">
        <w:rPr>
          <w:rFonts w:asciiTheme="minorHAnsi" w:hAnsiTheme="minorHAnsi" w:cstheme="minorHAnsi"/>
          <w:bCs/>
          <w:iCs/>
          <w:lang w:val="en-AU"/>
        </w:rPr>
        <w:t xml:space="preserve"> The independent National Accreditation Agency (</w:t>
      </w:r>
      <w:r w:rsidRPr="00CB10AD">
        <w:rPr>
          <w:rFonts w:asciiTheme="minorHAnsi" w:hAnsiTheme="minorHAnsi" w:cstheme="minorHAnsi"/>
          <w:bCs/>
          <w:i/>
          <w:iCs/>
          <w:lang w:val="en-AU"/>
        </w:rPr>
        <w:t>Badan Akreditasi Nasional Sekolah</w:t>
      </w:r>
      <w:r w:rsidRPr="00CB10AD">
        <w:rPr>
          <w:rFonts w:asciiTheme="minorHAnsi" w:hAnsiTheme="minorHAnsi" w:cstheme="minorHAnsi"/>
          <w:bCs/>
          <w:iCs/>
          <w:lang w:val="en-AU"/>
        </w:rPr>
        <w:t xml:space="preserve"> or BAN</w:t>
      </w:r>
      <w:r w:rsidR="000A2EBC" w:rsidRPr="00CB10AD">
        <w:rPr>
          <w:rFonts w:asciiTheme="minorHAnsi" w:hAnsiTheme="minorHAnsi" w:cstheme="minorHAnsi"/>
          <w:bCs/>
          <w:iCs/>
          <w:lang w:val="en-AU"/>
        </w:rPr>
        <w:t xml:space="preserve"> </w:t>
      </w:r>
      <w:r w:rsidRPr="00CB10AD">
        <w:rPr>
          <w:rFonts w:asciiTheme="minorHAnsi" w:hAnsiTheme="minorHAnsi" w:cstheme="minorHAnsi"/>
          <w:bCs/>
          <w:iCs/>
          <w:lang w:val="en-AU"/>
        </w:rPr>
        <w:t xml:space="preserve">S/M) provides accreditation to schools and Madrasah based on an assessment of their performance against the NES. To become accredited, a Madrasah must apply to the BAN S/M for assessment and demonstrate performance against each NES. </w:t>
      </w:r>
    </w:p>
    <w:p w:rsidR="00F6127C" w:rsidRPr="00CB10AD" w:rsidRDefault="00F6127C" w:rsidP="00F6127C">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EP stakeholders are aware that indirect systemic change may accrue as a consequence of testing and promoting a system-wide model for strengthening Madrasah quality. The EP therefore seeks to:</w:t>
      </w:r>
    </w:p>
    <w:p w:rsidR="00F6127C" w:rsidRPr="00CB10AD" w:rsidRDefault="00F6127C" w:rsidP="00F6127C">
      <w:pPr>
        <w:numPr>
          <w:ilvl w:val="0"/>
          <w:numId w:val="13"/>
        </w:numPr>
        <w:spacing w:before="120" w:after="120" w:line="276" w:lineRule="auto"/>
        <w:contextualSpacing/>
        <w:rPr>
          <w:rFonts w:asciiTheme="minorHAnsi" w:eastAsia="Calibri" w:hAnsiTheme="minorHAnsi" w:cstheme="minorHAnsi"/>
          <w:lang w:val="en-AU"/>
        </w:rPr>
      </w:pPr>
      <w:r w:rsidRPr="00CB10AD">
        <w:rPr>
          <w:rFonts w:asciiTheme="minorHAnsi" w:eastAsia="Calibri" w:hAnsiTheme="minorHAnsi" w:cstheme="minorHAnsi"/>
          <w:bCs/>
          <w:iCs/>
          <w:lang w:val="en-AU"/>
        </w:rPr>
        <w:t>Demonstrate to MoRA how the MoRA-SNIP-Madrasah model could enable continuous improvements to Madrasah’s service</w:t>
      </w:r>
      <w:r w:rsidRPr="00CB10AD">
        <w:rPr>
          <w:rFonts w:asciiTheme="minorHAnsi" w:eastAsia="Calibri" w:hAnsiTheme="minorHAnsi" w:cstheme="minorHAnsi"/>
          <w:lang w:val="en-AU"/>
        </w:rPr>
        <w:t xml:space="preserve"> delivery. </w:t>
      </w:r>
    </w:p>
    <w:p w:rsidR="00F6127C" w:rsidRPr="00CB10AD" w:rsidRDefault="00F6127C" w:rsidP="00F6127C">
      <w:pPr>
        <w:numPr>
          <w:ilvl w:val="0"/>
          <w:numId w:val="13"/>
        </w:numPr>
        <w:spacing w:before="120" w:after="120" w:line="276" w:lineRule="auto"/>
        <w:contextualSpacing/>
        <w:rPr>
          <w:rFonts w:asciiTheme="minorHAnsi" w:eastAsia="Calibri" w:hAnsiTheme="minorHAnsi" w:cstheme="minorHAnsi"/>
          <w:bCs/>
          <w:iCs/>
          <w:lang w:val="en-AU"/>
        </w:rPr>
      </w:pPr>
      <w:r w:rsidRPr="00CB10AD">
        <w:rPr>
          <w:rFonts w:asciiTheme="minorHAnsi" w:eastAsia="Calibri" w:hAnsiTheme="minorHAnsi" w:cstheme="minorHAnsi"/>
          <w:bCs/>
          <w:iCs/>
          <w:lang w:val="en-AU"/>
        </w:rPr>
        <w:t>Support MoRA to trial different approaches to quality improvement, using finance from the State Budget (</w:t>
      </w:r>
      <w:r w:rsidRPr="00CB10AD">
        <w:rPr>
          <w:rFonts w:asciiTheme="minorHAnsi" w:eastAsia="Calibri" w:hAnsiTheme="minorHAnsi" w:cstheme="minorHAnsi"/>
          <w:bCs/>
          <w:i/>
          <w:iCs/>
          <w:lang w:val="en-AU"/>
        </w:rPr>
        <w:t>Anggaran Pendapatan Belanja Negara</w:t>
      </w:r>
      <w:r w:rsidRPr="00CB10AD">
        <w:rPr>
          <w:rFonts w:asciiTheme="minorHAnsi" w:eastAsia="Calibri" w:hAnsiTheme="minorHAnsi" w:cstheme="minorHAnsi"/>
          <w:bCs/>
          <w:iCs/>
          <w:lang w:val="en-AU"/>
        </w:rPr>
        <w:t>).</w:t>
      </w:r>
    </w:p>
    <w:p w:rsidR="00CB43F5" w:rsidRPr="00CB10AD" w:rsidRDefault="00CB43F5" w:rsidP="00CB43F5">
      <w:pPr>
        <w:spacing w:before="120" w:after="120" w:line="276" w:lineRule="auto"/>
        <w:ind w:left="720"/>
        <w:contextualSpacing/>
        <w:rPr>
          <w:rFonts w:asciiTheme="minorHAnsi" w:eastAsia="Calibri" w:hAnsiTheme="minorHAnsi" w:cstheme="minorHAnsi"/>
          <w:bCs/>
          <w:iCs/>
          <w:lang w:val="en-AU"/>
        </w:rPr>
      </w:pP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The delivery mechanisms and support provided by the EP</w:t>
      </w:r>
    </w:p>
    <w:p w:rsidR="00F6127C" w:rsidRPr="00CB10AD" w:rsidRDefault="00F6127C" w:rsidP="00F6127C">
      <w:pPr>
        <w:spacing w:before="120" w:after="120" w:line="276" w:lineRule="auto"/>
        <w:jc w:val="both"/>
        <w:rPr>
          <w:rFonts w:asciiTheme="minorHAnsi" w:hAnsiTheme="minorHAnsi" w:cstheme="minorHAnsi"/>
          <w:bCs/>
          <w:iCs/>
          <w:lang w:val="en-AU"/>
        </w:rPr>
      </w:pPr>
      <w:r w:rsidRPr="00CB10AD">
        <w:rPr>
          <w:rFonts w:asciiTheme="minorHAnsi" w:hAnsiTheme="minorHAnsi" w:cstheme="minorHAnsi"/>
          <w:bCs/>
          <w:iCs/>
          <w:lang w:val="en-AU"/>
        </w:rPr>
        <w:t>C</w:t>
      </w:r>
      <w:r w:rsidR="00CB43F5" w:rsidRPr="00CB10AD">
        <w:rPr>
          <w:rFonts w:asciiTheme="minorHAnsi" w:hAnsiTheme="minorHAnsi" w:cstheme="minorHAnsi"/>
          <w:bCs/>
          <w:iCs/>
          <w:lang w:val="en-AU"/>
        </w:rPr>
        <w:t>3</w:t>
      </w:r>
      <w:r w:rsidRPr="00CB10AD">
        <w:rPr>
          <w:rFonts w:asciiTheme="minorHAnsi" w:hAnsiTheme="minorHAnsi" w:cstheme="minorHAnsi"/>
          <w:bCs/>
          <w:iCs/>
          <w:lang w:val="en-AU"/>
        </w:rPr>
        <w:t xml:space="preserve"> supports the Accreditation Unit (UPPAM) of the Directorate of Madrasah Education (PENMA) of MoRA. It is delivered by SSQ in close collaboration with UPPAM, the Bureau of Planning, the Bureau </w:t>
      </w:r>
      <w:r w:rsidRPr="00CB10AD">
        <w:rPr>
          <w:rFonts w:asciiTheme="minorHAnsi" w:hAnsiTheme="minorHAnsi" w:cstheme="minorHAnsi"/>
          <w:bCs/>
          <w:iCs/>
          <w:lang w:val="en-AU"/>
        </w:rPr>
        <w:lastRenderedPageBreak/>
        <w:t xml:space="preserve">of MoRA Supervisors, and the Provincial and District Offices of MoRA (i.e. </w:t>
      </w:r>
      <w:r w:rsidRPr="00CB10AD">
        <w:rPr>
          <w:rFonts w:asciiTheme="minorHAnsi" w:hAnsiTheme="minorHAnsi" w:cstheme="minorHAnsi"/>
          <w:bCs/>
          <w:i/>
          <w:iCs/>
          <w:lang w:val="en-AU"/>
        </w:rPr>
        <w:t>Kanwil</w:t>
      </w:r>
      <w:r w:rsidRPr="00CB10AD">
        <w:rPr>
          <w:rFonts w:asciiTheme="minorHAnsi" w:hAnsiTheme="minorHAnsi" w:cstheme="minorHAnsi"/>
          <w:bCs/>
          <w:iCs/>
          <w:lang w:val="en-AU"/>
        </w:rPr>
        <w:t xml:space="preserve"> and </w:t>
      </w:r>
      <w:r w:rsidRPr="00CB10AD">
        <w:rPr>
          <w:rFonts w:asciiTheme="minorHAnsi" w:hAnsiTheme="minorHAnsi" w:cstheme="minorHAnsi"/>
          <w:bCs/>
          <w:i/>
          <w:iCs/>
          <w:lang w:val="en-AU"/>
        </w:rPr>
        <w:t>Kandep</w:t>
      </w:r>
      <w:r w:rsidRPr="00CB10AD">
        <w:rPr>
          <w:rFonts w:asciiTheme="minorHAnsi" w:hAnsiTheme="minorHAnsi" w:cstheme="minorHAnsi"/>
          <w:bCs/>
          <w:iCs/>
          <w:lang w:val="en-AU"/>
        </w:rPr>
        <w:t xml:space="preserve">). The grants are transferred to </w:t>
      </w:r>
      <w:r w:rsidR="003178A9" w:rsidRPr="00CB10AD">
        <w:rPr>
          <w:rFonts w:asciiTheme="minorHAnsi" w:hAnsiTheme="minorHAnsi" w:cstheme="minorHAnsi"/>
          <w:bCs/>
          <w:iCs/>
          <w:lang w:val="en-AU"/>
        </w:rPr>
        <w:t xml:space="preserve">SNIP and </w:t>
      </w:r>
      <w:r w:rsidRPr="00CB10AD">
        <w:rPr>
          <w:rFonts w:asciiTheme="minorHAnsi" w:hAnsiTheme="minorHAnsi" w:cstheme="minorHAnsi"/>
          <w:bCs/>
          <w:iCs/>
          <w:lang w:val="en-AU"/>
        </w:rPr>
        <w:t>target Madrasah by SSQ.</w:t>
      </w:r>
      <w:r w:rsidR="00EE71F9" w:rsidRPr="00CB10AD">
        <w:rPr>
          <w:rFonts w:asciiTheme="minorHAnsi" w:hAnsiTheme="minorHAnsi" w:cstheme="minorHAnsi"/>
          <w:bCs/>
          <w:iCs/>
          <w:lang w:val="en-AU"/>
        </w:rPr>
        <w:t xml:space="preserve"> Technical assistance is provided through SSQ directly to MoRA and to the SNIPs. In</w:t>
      </w:r>
      <w:r w:rsidR="005E66DA" w:rsidRPr="00CB10AD">
        <w:rPr>
          <w:rFonts w:asciiTheme="minorHAnsi" w:hAnsiTheme="minorHAnsi" w:cstheme="minorHAnsi"/>
          <w:bCs/>
          <w:iCs/>
          <w:lang w:val="en-AU"/>
        </w:rPr>
        <w:t xml:space="preserve"> </w:t>
      </w:r>
      <w:r w:rsidR="00EE71F9" w:rsidRPr="00CB10AD">
        <w:rPr>
          <w:rFonts w:asciiTheme="minorHAnsi" w:hAnsiTheme="minorHAnsi" w:cstheme="minorHAnsi"/>
          <w:bCs/>
          <w:iCs/>
          <w:lang w:val="en-AU"/>
        </w:rPr>
        <w:t>turn the SNIPs provide technical assistance, primarily in the form of mentoring to the madrasah.</w:t>
      </w:r>
    </w:p>
    <w:p w:rsidR="00BE6C49" w:rsidRPr="00CB10AD" w:rsidRDefault="00BE6C49" w:rsidP="00F6127C">
      <w:pPr>
        <w:spacing w:before="120" w:after="120" w:line="276" w:lineRule="auto"/>
        <w:jc w:val="both"/>
        <w:rPr>
          <w:rFonts w:asciiTheme="minorHAnsi" w:hAnsiTheme="minorHAnsi" w:cstheme="minorHAnsi"/>
          <w:bCs/>
          <w:iCs/>
          <w:lang w:val="en-AU"/>
        </w:rPr>
      </w:pPr>
    </w:p>
    <w:p w:rsidR="00F6127C" w:rsidRPr="00CB10AD" w:rsidRDefault="00F6127C" w:rsidP="00F6127C">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Context</w:t>
      </w:r>
    </w:p>
    <w:p w:rsidR="00F6127C" w:rsidRPr="00CB10AD" w:rsidRDefault="00F6127C" w:rsidP="00F6127C">
      <w:pPr>
        <w:spacing w:before="120" w:after="120" w:line="276" w:lineRule="auto"/>
        <w:jc w:val="both"/>
        <w:rPr>
          <w:bCs/>
          <w:lang w:val="en-AU"/>
        </w:rPr>
      </w:pPr>
      <w:r w:rsidRPr="00CB10AD">
        <w:rPr>
          <w:bCs/>
          <w:lang w:val="en-AU"/>
        </w:rPr>
        <w:t xml:space="preserve">Madrasah accreditation </w:t>
      </w:r>
      <w:r w:rsidR="00EE71F9" w:rsidRPr="00CB10AD">
        <w:rPr>
          <w:bCs/>
          <w:lang w:val="en-AU"/>
        </w:rPr>
        <w:t xml:space="preserve">is </w:t>
      </w:r>
      <w:r w:rsidRPr="00CB10AD">
        <w:rPr>
          <w:bCs/>
          <w:lang w:val="en-AU"/>
        </w:rPr>
        <w:t xml:space="preserve">a priority for MoRA. </w:t>
      </w:r>
      <w:r w:rsidR="00EE71F9" w:rsidRPr="00CB10AD">
        <w:rPr>
          <w:bCs/>
          <w:lang w:val="en-AU"/>
        </w:rPr>
        <w:t>R</w:t>
      </w:r>
      <w:r w:rsidRPr="00CB10AD">
        <w:rPr>
          <w:bCs/>
          <w:lang w:val="en-AU"/>
        </w:rPr>
        <w:t>esponding to the fact that accreditation lists contain disproportionately low numbers of Madrasah</w:t>
      </w:r>
      <w:r w:rsidRPr="00CB10AD">
        <w:rPr>
          <w:bCs/>
          <w:vertAlign w:val="superscript"/>
          <w:lang w:val="en-AU"/>
        </w:rPr>
        <w:footnoteReference w:id="21"/>
      </w:r>
      <w:r w:rsidRPr="00CB10AD">
        <w:rPr>
          <w:bCs/>
          <w:lang w:val="en-AU"/>
        </w:rPr>
        <w:t xml:space="preserve">, the Ministry signed a three-year MoU with BAN S/M in 2011 to increase the number of Madrasah on its annual accreditation quota lists. This is likely to facilitate the achievement of the EP’s short-term targets but it offers no assurances beyond the EP. </w:t>
      </w:r>
    </w:p>
    <w:p w:rsidR="00F6127C" w:rsidRPr="00CB10AD" w:rsidRDefault="003178A9" w:rsidP="00F6127C">
      <w:pPr>
        <w:spacing w:before="120" w:after="120" w:line="276" w:lineRule="auto"/>
        <w:jc w:val="both"/>
        <w:rPr>
          <w:rFonts w:asciiTheme="minorHAnsi" w:hAnsiTheme="minorHAnsi" w:cstheme="minorHAnsi"/>
          <w:bCs/>
          <w:iCs/>
          <w:lang w:val="en-AU"/>
        </w:rPr>
      </w:pPr>
      <w:r w:rsidRPr="00CB10AD">
        <w:rPr>
          <w:bCs/>
          <w:lang w:val="en-AU"/>
        </w:rPr>
        <w:t xml:space="preserve">There continues to be no national system of support to Madrasah continuous quality improvement. </w:t>
      </w:r>
      <w:r w:rsidR="00F6127C" w:rsidRPr="00CB10AD">
        <w:rPr>
          <w:bCs/>
          <w:lang w:val="en-AU"/>
        </w:rPr>
        <w:t>As a corollary, officials in MoRA continue to view accreditation (and national examination results) as an indicator and driver of education quality</w:t>
      </w:r>
      <w:r w:rsidR="003E7329" w:rsidRPr="00CB10AD">
        <w:rPr>
          <w:rFonts w:ascii="Times New Roman" w:hAnsi="Times New Roman"/>
          <w:bCs/>
          <w:vertAlign w:val="superscript"/>
          <w:lang w:val="en-AU"/>
        </w:rPr>
        <w:endnoteReference w:id="36"/>
      </w:r>
      <w:r w:rsidR="003E7329" w:rsidRPr="00CB10AD">
        <w:rPr>
          <w:bCs/>
          <w:lang w:val="en-AU"/>
        </w:rPr>
        <w:t>.</w:t>
      </w:r>
      <w:r w:rsidR="00F6127C" w:rsidRPr="00CB10AD">
        <w:rPr>
          <w:bCs/>
          <w:lang w:val="en-AU"/>
        </w:rPr>
        <w:t xml:space="preserve"> This</w:t>
      </w:r>
      <w:r w:rsidR="006A3730" w:rsidRPr="00CB10AD">
        <w:rPr>
          <w:bCs/>
          <w:lang w:val="en-AU"/>
        </w:rPr>
        <w:t xml:space="preserve"> situation</w:t>
      </w:r>
      <w:r w:rsidR="00F6127C" w:rsidRPr="00CB10AD">
        <w:rPr>
          <w:bCs/>
          <w:lang w:val="en-AU"/>
        </w:rPr>
        <w:t xml:space="preserve">, coupled to </w:t>
      </w:r>
      <w:r w:rsidR="00F6127C" w:rsidRPr="00CB10AD">
        <w:rPr>
          <w:rFonts w:asciiTheme="minorHAnsi" w:hAnsiTheme="minorHAnsi" w:cstheme="minorHAnsi"/>
          <w:bCs/>
          <w:iCs/>
          <w:lang w:val="en-AU"/>
        </w:rPr>
        <w:t>BAN S/M resourc</w:t>
      </w:r>
      <w:r w:rsidR="006A3730" w:rsidRPr="00CB10AD">
        <w:rPr>
          <w:rFonts w:asciiTheme="minorHAnsi" w:hAnsiTheme="minorHAnsi" w:cstheme="minorHAnsi"/>
          <w:bCs/>
          <w:iCs/>
          <w:lang w:val="en-AU"/>
        </w:rPr>
        <w:t>e constraints,</w:t>
      </w:r>
      <w:r w:rsidR="00F6127C" w:rsidRPr="00CB10AD">
        <w:rPr>
          <w:rFonts w:asciiTheme="minorHAnsi" w:hAnsiTheme="minorHAnsi" w:cstheme="minorHAnsi"/>
          <w:bCs/>
          <w:iCs/>
          <w:lang w:val="en-AU"/>
        </w:rPr>
        <w:t xml:space="preserve"> may have negative implications for the long term goal of integrating Madrasah into the NES </w:t>
      </w:r>
      <w:r w:rsidR="006A3730" w:rsidRPr="00CB10AD">
        <w:rPr>
          <w:rFonts w:asciiTheme="minorHAnsi" w:hAnsiTheme="minorHAnsi" w:cstheme="minorHAnsi"/>
          <w:bCs/>
          <w:iCs/>
          <w:lang w:val="en-AU"/>
        </w:rPr>
        <w:t xml:space="preserve">system </w:t>
      </w:r>
      <w:r w:rsidR="00F6127C" w:rsidRPr="00CB10AD">
        <w:rPr>
          <w:rFonts w:asciiTheme="minorHAnsi" w:hAnsiTheme="minorHAnsi" w:cstheme="minorHAnsi"/>
          <w:bCs/>
          <w:iCs/>
          <w:lang w:val="en-AU"/>
        </w:rPr>
        <w:t xml:space="preserve">and </w:t>
      </w:r>
      <w:r w:rsidR="006A3730" w:rsidRPr="00CB10AD">
        <w:rPr>
          <w:rFonts w:asciiTheme="minorHAnsi" w:hAnsiTheme="minorHAnsi" w:cstheme="minorHAnsi"/>
          <w:bCs/>
          <w:iCs/>
          <w:lang w:val="en-AU"/>
        </w:rPr>
        <w:t xml:space="preserve">of </w:t>
      </w:r>
      <w:r w:rsidR="00F6127C" w:rsidRPr="00CB10AD">
        <w:rPr>
          <w:rFonts w:asciiTheme="minorHAnsi" w:hAnsiTheme="minorHAnsi" w:cstheme="minorHAnsi"/>
          <w:bCs/>
          <w:iCs/>
          <w:lang w:val="en-AU"/>
        </w:rPr>
        <w:t>improving the quality of education delivered.</w:t>
      </w:r>
    </w:p>
    <w:p w:rsidR="00CB43F5" w:rsidRPr="00CB10AD" w:rsidRDefault="00CB43F5" w:rsidP="00F6127C">
      <w:pPr>
        <w:spacing w:before="120" w:after="120" w:line="276" w:lineRule="auto"/>
        <w:jc w:val="both"/>
        <w:rPr>
          <w:rFonts w:asciiTheme="minorHAnsi" w:hAnsiTheme="minorHAnsi" w:cstheme="minorHAnsi"/>
          <w:bCs/>
          <w:iCs/>
          <w:lang w:val="en-AU"/>
        </w:rPr>
      </w:pPr>
    </w:p>
    <w:p w:rsidR="00F6127C" w:rsidRPr="00CB10AD" w:rsidRDefault="00F6127C" w:rsidP="00F6127C">
      <w:pPr>
        <w:keepNext/>
        <w:numPr>
          <w:ilvl w:val="1"/>
          <w:numId w:val="9"/>
        </w:numPr>
        <w:spacing w:before="120" w:after="120"/>
        <w:ind w:hanging="720"/>
        <w:outlineLvl w:val="1"/>
        <w:rPr>
          <w:b/>
          <w:bCs/>
          <w:iCs/>
          <w:color w:val="003880"/>
          <w:sz w:val="24"/>
          <w:szCs w:val="24"/>
          <w:lang w:val="en-AU"/>
        </w:rPr>
      </w:pPr>
      <w:r w:rsidRPr="00CB10AD">
        <w:rPr>
          <w:b/>
          <w:bCs/>
          <w:iCs/>
          <w:color w:val="003880"/>
          <w:sz w:val="24"/>
          <w:szCs w:val="24"/>
          <w:lang w:val="en-AU"/>
        </w:rPr>
        <w:t>Achievements</w:t>
      </w:r>
    </w:p>
    <w:p w:rsidR="00F6127C" w:rsidRPr="00CB10AD" w:rsidRDefault="00F6127C" w:rsidP="00F6127C">
      <w:pPr>
        <w:spacing w:before="120" w:after="120" w:line="276" w:lineRule="auto"/>
        <w:jc w:val="both"/>
        <w:rPr>
          <w:bCs/>
          <w:lang w:val="en-AU"/>
        </w:rPr>
      </w:pPr>
      <w:r w:rsidRPr="00CB10AD">
        <w:rPr>
          <w:bCs/>
          <w:lang w:val="en-AU"/>
        </w:rPr>
        <w:t>The delivery of C3 support is divided in</w:t>
      </w:r>
      <w:r w:rsidR="00BE6C49" w:rsidRPr="00CB10AD">
        <w:rPr>
          <w:bCs/>
          <w:lang w:val="en-AU"/>
        </w:rPr>
        <w:t>to</w:t>
      </w:r>
      <w:r w:rsidRPr="00CB10AD">
        <w:rPr>
          <w:bCs/>
          <w:lang w:val="en-AU"/>
        </w:rPr>
        <w:t xml:space="preserve"> </w:t>
      </w:r>
      <w:r w:rsidR="007269E9">
        <w:rPr>
          <w:bCs/>
          <w:lang w:val="en-AU"/>
        </w:rPr>
        <w:t>three</w:t>
      </w:r>
      <w:r w:rsidRPr="00CB10AD">
        <w:rPr>
          <w:bCs/>
          <w:lang w:val="en-AU"/>
        </w:rPr>
        <w:t xml:space="preserve"> phases. The first phase started in </w:t>
      </w:r>
      <w:r w:rsidRPr="00CB10AD">
        <w:rPr>
          <w:lang w:val="en-AU"/>
        </w:rPr>
        <w:t xml:space="preserve">July 2012 </w:t>
      </w:r>
      <w:r w:rsidR="0074300F">
        <w:rPr>
          <w:bCs/>
          <w:lang w:val="en-AU"/>
        </w:rPr>
        <w:t>(56</w:t>
      </w:r>
      <w:r w:rsidRPr="00CB10AD">
        <w:rPr>
          <w:bCs/>
          <w:lang w:val="en-AU"/>
        </w:rPr>
        <w:t xml:space="preserve">5 Madrasah in </w:t>
      </w:r>
      <w:r w:rsidR="007269E9">
        <w:rPr>
          <w:bCs/>
          <w:lang w:val="en-AU"/>
        </w:rPr>
        <w:t>seven</w:t>
      </w:r>
      <w:r w:rsidRPr="00CB10AD">
        <w:rPr>
          <w:bCs/>
          <w:lang w:val="en-AU"/>
        </w:rPr>
        <w:t xml:space="preserve"> provinces) and finished in </w:t>
      </w:r>
      <w:r w:rsidRPr="00CB10AD">
        <w:rPr>
          <w:lang w:val="en-AU"/>
        </w:rPr>
        <w:t>December, 2013</w:t>
      </w:r>
      <w:r w:rsidR="0074300F">
        <w:rPr>
          <w:bCs/>
          <w:lang w:val="en-AU"/>
        </w:rPr>
        <w:t>. The second phase (519</w:t>
      </w:r>
      <w:r w:rsidRPr="00CB10AD">
        <w:rPr>
          <w:bCs/>
          <w:lang w:val="en-AU"/>
        </w:rPr>
        <w:t xml:space="preserve"> Madrasah in 11 provinces) started in June 2013 and is currently ongoing. The third phase is being planned and is due to start in September 2014. As illustrated in </w:t>
      </w:r>
      <w:r w:rsidR="00806D8A" w:rsidRPr="00CB10AD">
        <w:rPr>
          <w:bCs/>
          <w:lang w:val="en-AU"/>
        </w:rPr>
        <w:fldChar w:fldCharType="begin"/>
      </w:r>
      <w:r w:rsidR="00806D8A" w:rsidRPr="00CB10AD">
        <w:rPr>
          <w:bCs/>
          <w:lang w:val="en-AU"/>
        </w:rPr>
        <w:instrText xml:space="preserve"> REF _Ref379641308 \h </w:instrText>
      </w:r>
      <w:r w:rsidR="00806D8A" w:rsidRPr="00CB10AD">
        <w:rPr>
          <w:bCs/>
          <w:lang w:val="en-AU"/>
        </w:rPr>
      </w:r>
      <w:r w:rsidR="00806D8A" w:rsidRPr="00CB10AD">
        <w:rPr>
          <w:bCs/>
          <w:lang w:val="en-AU"/>
        </w:rPr>
        <w:fldChar w:fldCharType="separate"/>
      </w:r>
      <w:r w:rsidR="00662AF4" w:rsidRPr="00CB10AD">
        <w:rPr>
          <w:lang w:val="en-AU"/>
        </w:rPr>
        <w:t xml:space="preserve">Table </w:t>
      </w:r>
      <w:r w:rsidR="00662AF4">
        <w:rPr>
          <w:noProof/>
          <w:lang w:val="en-AU"/>
        </w:rPr>
        <w:t>7</w:t>
      </w:r>
      <w:r w:rsidR="00806D8A" w:rsidRPr="00CB10AD">
        <w:rPr>
          <w:bCs/>
          <w:lang w:val="en-AU"/>
        </w:rPr>
        <w:fldChar w:fldCharType="end"/>
      </w:r>
      <w:r w:rsidRPr="00CB10AD">
        <w:rPr>
          <w:bCs/>
          <w:lang w:val="en-AU"/>
        </w:rPr>
        <w:t xml:space="preserve">, </w:t>
      </w:r>
      <w:r w:rsidR="003E7329" w:rsidRPr="00CB10AD">
        <w:rPr>
          <w:bCs/>
          <w:lang w:val="en-AU"/>
        </w:rPr>
        <w:t xml:space="preserve">below, </w:t>
      </w:r>
      <w:r w:rsidRPr="00CB10AD">
        <w:rPr>
          <w:bCs/>
          <w:lang w:val="en-AU"/>
        </w:rPr>
        <w:t>1</w:t>
      </w:r>
      <w:r w:rsidR="00BE6C49" w:rsidRPr="00CB10AD">
        <w:rPr>
          <w:bCs/>
          <w:lang w:val="en-AU"/>
        </w:rPr>
        <w:t>,</w:t>
      </w:r>
      <w:r w:rsidRPr="00CB10AD">
        <w:rPr>
          <w:bCs/>
          <w:lang w:val="en-AU"/>
        </w:rPr>
        <w:t xml:space="preserve">106 Madrasah have been supported </w:t>
      </w:r>
      <w:r w:rsidR="00B438BC" w:rsidRPr="00CB10AD">
        <w:rPr>
          <w:bCs/>
          <w:lang w:val="en-AU"/>
        </w:rPr>
        <w:t>to date</w:t>
      </w:r>
      <w:r w:rsidRPr="00CB10AD">
        <w:rPr>
          <w:bCs/>
          <w:lang w:val="en-AU"/>
        </w:rPr>
        <w:t xml:space="preserve">, through 12 SNIPs in 11 provinces and with the help of 198 mentors. </w:t>
      </w:r>
    </w:p>
    <w:p w:rsidR="00F6127C" w:rsidRPr="00CB10AD" w:rsidRDefault="00CB43F5" w:rsidP="00CB43F5">
      <w:pPr>
        <w:pStyle w:val="Caption"/>
        <w:rPr>
          <w:lang w:val="en-AU"/>
        </w:rPr>
      </w:pPr>
      <w:bookmarkStart w:id="38" w:name="_Ref379641308"/>
      <w:bookmarkStart w:id="39" w:name="_Toc379982275"/>
      <w:r w:rsidRPr="00CB10AD">
        <w:rPr>
          <w:lang w:val="en-AU"/>
        </w:rPr>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7</w:t>
      </w:r>
      <w:r w:rsidRPr="00CB10AD">
        <w:rPr>
          <w:lang w:val="en-AU"/>
        </w:rPr>
        <w:fldChar w:fldCharType="end"/>
      </w:r>
      <w:bookmarkEnd w:id="38"/>
      <w:r w:rsidR="00F6127C" w:rsidRPr="00CB10AD">
        <w:rPr>
          <w:lang w:val="en-AU"/>
        </w:rPr>
        <w:t xml:space="preserve">: </w:t>
      </w:r>
      <w:r w:rsidR="003E7329" w:rsidRPr="00CB10AD">
        <w:rPr>
          <w:lang w:val="en-AU"/>
        </w:rPr>
        <w:t>C3 Phase 1 and Phase 2 support to Madrasah</w:t>
      </w:r>
      <w:bookmarkEnd w:id="39"/>
    </w:p>
    <w:tbl>
      <w:tblPr>
        <w:tblStyle w:val="TableGrid17"/>
        <w:tblW w:w="0" w:type="auto"/>
        <w:jc w:val="center"/>
        <w:tblLook w:val="04A0" w:firstRow="1" w:lastRow="0" w:firstColumn="1" w:lastColumn="0" w:noHBand="0" w:noVBand="1"/>
      </w:tblPr>
      <w:tblGrid>
        <w:gridCol w:w="1825"/>
        <w:gridCol w:w="1754"/>
        <w:gridCol w:w="1754"/>
        <w:gridCol w:w="1754"/>
      </w:tblGrid>
      <w:tr w:rsidR="00F6127C" w:rsidRPr="00CB10AD" w:rsidTr="00806D8A">
        <w:trPr>
          <w:trHeight w:val="447"/>
          <w:jc w:val="center"/>
        </w:trPr>
        <w:tc>
          <w:tcPr>
            <w:tcW w:w="1825" w:type="dxa"/>
            <w:vMerge w:val="restart"/>
            <w:shd w:val="clear" w:color="auto" w:fill="244061" w:themeFill="accent1" w:themeFillShade="80"/>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Phase</w:t>
            </w:r>
          </w:p>
        </w:tc>
        <w:tc>
          <w:tcPr>
            <w:tcW w:w="3508" w:type="dxa"/>
            <w:gridSpan w:val="2"/>
            <w:tcBorders>
              <w:bottom w:val="single" w:sz="4" w:space="0" w:color="auto"/>
            </w:tcBorders>
            <w:shd w:val="clear" w:color="auto" w:fill="244061" w:themeFill="accent1" w:themeFillShade="80"/>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Madrasah type</w:t>
            </w:r>
          </w:p>
        </w:tc>
        <w:tc>
          <w:tcPr>
            <w:tcW w:w="1754" w:type="dxa"/>
            <w:vMerge w:val="restart"/>
            <w:shd w:val="clear" w:color="auto" w:fill="244061" w:themeFill="accent1" w:themeFillShade="80"/>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Mentor</w:t>
            </w:r>
            <w:r w:rsidR="003E7329" w:rsidRPr="00CB10AD">
              <w:rPr>
                <w:rFonts w:asciiTheme="minorHAnsi" w:hAnsiTheme="minorHAnsi"/>
                <w:b/>
                <w:lang w:val="en-AU"/>
              </w:rPr>
              <w:t>s</w:t>
            </w:r>
          </w:p>
        </w:tc>
      </w:tr>
      <w:tr w:rsidR="00F6127C" w:rsidRPr="00CB10AD" w:rsidTr="00806D8A">
        <w:trPr>
          <w:trHeight w:val="434"/>
          <w:jc w:val="center"/>
        </w:trPr>
        <w:tc>
          <w:tcPr>
            <w:tcW w:w="1825" w:type="dxa"/>
            <w:vMerge/>
            <w:shd w:val="clear" w:color="auto" w:fill="244061" w:themeFill="accent1" w:themeFillShade="80"/>
            <w:vAlign w:val="center"/>
          </w:tcPr>
          <w:p w:rsidR="00F6127C" w:rsidRPr="00CB10AD" w:rsidRDefault="00F6127C" w:rsidP="00F6127C">
            <w:pPr>
              <w:spacing w:before="60" w:after="60"/>
              <w:jc w:val="center"/>
              <w:rPr>
                <w:rFonts w:asciiTheme="minorHAnsi" w:hAnsiTheme="minorHAnsi"/>
                <w:lang w:val="en-AU"/>
              </w:rPr>
            </w:pPr>
          </w:p>
        </w:tc>
        <w:tc>
          <w:tcPr>
            <w:tcW w:w="1754" w:type="dxa"/>
            <w:shd w:val="clear" w:color="auto" w:fill="244061" w:themeFill="accent1" w:themeFillShade="80"/>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Target</w:t>
            </w:r>
          </w:p>
        </w:tc>
        <w:tc>
          <w:tcPr>
            <w:tcW w:w="1754" w:type="dxa"/>
            <w:shd w:val="clear" w:color="auto" w:fill="244061" w:themeFill="accent1" w:themeFillShade="80"/>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Non-target</w:t>
            </w:r>
          </w:p>
        </w:tc>
        <w:tc>
          <w:tcPr>
            <w:tcW w:w="1754" w:type="dxa"/>
            <w:vMerge/>
            <w:shd w:val="clear" w:color="auto" w:fill="244061" w:themeFill="accent1" w:themeFillShade="80"/>
            <w:vAlign w:val="center"/>
          </w:tcPr>
          <w:p w:rsidR="00F6127C" w:rsidRPr="00CB10AD" w:rsidRDefault="00F6127C" w:rsidP="00F6127C">
            <w:pPr>
              <w:spacing w:before="60" w:after="60"/>
              <w:jc w:val="center"/>
              <w:rPr>
                <w:rFonts w:asciiTheme="minorHAnsi" w:hAnsiTheme="minorHAnsi"/>
                <w:lang w:val="en-AU"/>
              </w:rPr>
            </w:pPr>
          </w:p>
        </w:tc>
      </w:tr>
      <w:tr w:rsidR="00F6127C" w:rsidRPr="00CB10AD" w:rsidTr="00C7786C">
        <w:trPr>
          <w:trHeight w:val="434"/>
          <w:jc w:val="center"/>
        </w:trPr>
        <w:tc>
          <w:tcPr>
            <w:tcW w:w="1825" w:type="dxa"/>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Phase 1</w:t>
            </w:r>
          </w:p>
        </w:tc>
        <w:tc>
          <w:tcPr>
            <w:tcW w:w="1754" w:type="dxa"/>
            <w:vAlign w:val="center"/>
          </w:tcPr>
          <w:p w:rsidR="00F6127C" w:rsidRPr="00CB10AD" w:rsidRDefault="0074300F" w:rsidP="00F6127C">
            <w:pPr>
              <w:spacing w:before="60" w:after="60"/>
              <w:jc w:val="center"/>
              <w:rPr>
                <w:rFonts w:asciiTheme="minorHAnsi" w:hAnsiTheme="minorHAnsi"/>
                <w:lang w:val="en-AU"/>
              </w:rPr>
            </w:pPr>
            <w:r>
              <w:rPr>
                <w:rFonts w:asciiTheme="minorHAnsi" w:hAnsiTheme="minorHAnsi"/>
                <w:lang w:val="en-AU"/>
              </w:rPr>
              <w:t>56</w:t>
            </w:r>
            <w:r w:rsidR="00F6127C" w:rsidRPr="00CB10AD">
              <w:rPr>
                <w:rFonts w:asciiTheme="minorHAnsi" w:hAnsiTheme="minorHAnsi"/>
                <w:lang w:val="en-AU"/>
              </w:rPr>
              <w:t>5</w:t>
            </w: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lang w:val="en-AU"/>
              </w:rPr>
            </w:pP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lang w:val="en-AU"/>
              </w:rPr>
            </w:pPr>
            <w:r w:rsidRPr="00CB10AD">
              <w:rPr>
                <w:rFonts w:asciiTheme="minorHAnsi" w:hAnsiTheme="minorHAnsi"/>
                <w:lang w:val="en-AU"/>
              </w:rPr>
              <w:t>90</w:t>
            </w:r>
          </w:p>
        </w:tc>
      </w:tr>
      <w:tr w:rsidR="00F6127C" w:rsidRPr="00CB10AD" w:rsidTr="00C7786C">
        <w:trPr>
          <w:trHeight w:val="447"/>
          <w:jc w:val="center"/>
        </w:trPr>
        <w:tc>
          <w:tcPr>
            <w:tcW w:w="1825" w:type="dxa"/>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Phase 2</w:t>
            </w:r>
          </w:p>
        </w:tc>
        <w:tc>
          <w:tcPr>
            <w:tcW w:w="1754" w:type="dxa"/>
            <w:vAlign w:val="center"/>
          </w:tcPr>
          <w:p w:rsidR="00F6127C" w:rsidRPr="00CB10AD" w:rsidRDefault="0074300F" w:rsidP="00F6127C">
            <w:pPr>
              <w:spacing w:before="60" w:after="60"/>
              <w:jc w:val="center"/>
              <w:rPr>
                <w:rFonts w:asciiTheme="minorHAnsi" w:hAnsiTheme="minorHAnsi"/>
                <w:lang w:val="en-AU"/>
              </w:rPr>
            </w:pPr>
            <w:r>
              <w:rPr>
                <w:rFonts w:asciiTheme="minorHAnsi" w:hAnsiTheme="minorHAnsi"/>
                <w:lang w:val="en-AU"/>
              </w:rPr>
              <w:t>519</w:t>
            </w: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lang w:val="en-AU"/>
              </w:rPr>
            </w:pPr>
            <w:r w:rsidRPr="00CB10AD">
              <w:rPr>
                <w:rFonts w:asciiTheme="minorHAnsi" w:hAnsiTheme="minorHAnsi"/>
                <w:lang w:val="en-AU"/>
              </w:rPr>
              <w:t>102</w:t>
            </w: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lang w:val="en-AU"/>
              </w:rPr>
            </w:pPr>
            <w:r w:rsidRPr="00CB10AD">
              <w:rPr>
                <w:rFonts w:asciiTheme="minorHAnsi" w:hAnsiTheme="minorHAnsi"/>
                <w:lang w:val="en-AU"/>
              </w:rPr>
              <w:t>108</w:t>
            </w:r>
          </w:p>
        </w:tc>
      </w:tr>
      <w:tr w:rsidR="00F6127C" w:rsidRPr="00CB10AD" w:rsidTr="00C7786C">
        <w:trPr>
          <w:trHeight w:val="447"/>
          <w:jc w:val="center"/>
        </w:trPr>
        <w:tc>
          <w:tcPr>
            <w:tcW w:w="1825" w:type="dxa"/>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TOTAL</w:t>
            </w:r>
          </w:p>
        </w:tc>
        <w:tc>
          <w:tcPr>
            <w:tcW w:w="1754" w:type="dxa"/>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1</w:t>
            </w:r>
            <w:r w:rsidR="00BE6C49" w:rsidRPr="00CB10AD">
              <w:rPr>
                <w:rFonts w:asciiTheme="minorHAnsi" w:hAnsiTheme="minorHAnsi"/>
                <w:b/>
                <w:lang w:val="en-AU"/>
              </w:rPr>
              <w:t>,</w:t>
            </w:r>
            <w:r w:rsidR="0074300F">
              <w:rPr>
                <w:rFonts w:asciiTheme="minorHAnsi" w:hAnsiTheme="minorHAnsi"/>
                <w:b/>
                <w:lang w:val="en-AU"/>
              </w:rPr>
              <w:t>084</w:t>
            </w: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102</w:t>
            </w:r>
          </w:p>
        </w:tc>
        <w:tc>
          <w:tcPr>
            <w:tcW w:w="1754" w:type="dxa"/>
            <w:shd w:val="clear" w:color="auto" w:fill="FFFFFF" w:themeFill="background1"/>
            <w:vAlign w:val="center"/>
          </w:tcPr>
          <w:p w:rsidR="00F6127C" w:rsidRPr="00CB10AD" w:rsidRDefault="00F6127C" w:rsidP="00F6127C">
            <w:pPr>
              <w:spacing w:before="60" w:after="60"/>
              <w:jc w:val="center"/>
              <w:rPr>
                <w:rFonts w:asciiTheme="minorHAnsi" w:hAnsiTheme="minorHAnsi"/>
                <w:b/>
                <w:lang w:val="en-AU"/>
              </w:rPr>
            </w:pPr>
            <w:r w:rsidRPr="00CB10AD">
              <w:rPr>
                <w:rFonts w:asciiTheme="minorHAnsi" w:hAnsiTheme="minorHAnsi"/>
                <w:b/>
                <w:lang w:val="en-AU"/>
              </w:rPr>
              <w:t>198</w:t>
            </w:r>
          </w:p>
        </w:tc>
      </w:tr>
    </w:tbl>
    <w:p w:rsidR="00F6127C" w:rsidRPr="00CB10AD" w:rsidRDefault="00F6127C" w:rsidP="00F6127C">
      <w:pPr>
        <w:spacing w:before="120" w:after="120"/>
        <w:jc w:val="center"/>
        <w:rPr>
          <w:rFonts w:asciiTheme="minorHAnsi" w:hAnsiTheme="minorHAnsi"/>
          <w:i/>
          <w:sz w:val="20"/>
          <w:szCs w:val="20"/>
          <w:lang w:val="en-AU"/>
        </w:rPr>
      </w:pPr>
      <w:r w:rsidRPr="00CB10AD">
        <w:rPr>
          <w:rFonts w:asciiTheme="minorHAnsi" w:hAnsiTheme="minorHAnsi"/>
          <w:i/>
          <w:sz w:val="20"/>
          <w:szCs w:val="20"/>
          <w:lang w:val="en-AU"/>
        </w:rPr>
        <w:t>Source: SSQ Component 3 management team</w:t>
      </w:r>
    </w:p>
    <w:p w:rsidR="00F6127C" w:rsidRPr="00CB10AD" w:rsidRDefault="00F6127C" w:rsidP="00F6127C">
      <w:pPr>
        <w:spacing w:before="120" w:after="120"/>
        <w:rPr>
          <w:lang w:val="en-AU"/>
        </w:rPr>
      </w:pPr>
    </w:p>
    <w:p w:rsidR="00F6127C" w:rsidRPr="00CB10AD" w:rsidRDefault="00F6127C" w:rsidP="00F6127C">
      <w:pPr>
        <w:spacing w:before="120" w:after="120" w:line="276" w:lineRule="auto"/>
        <w:jc w:val="both"/>
        <w:rPr>
          <w:bCs/>
          <w:lang w:val="en-AU"/>
        </w:rPr>
      </w:pPr>
      <w:r w:rsidRPr="00CB10AD">
        <w:rPr>
          <w:bCs/>
          <w:lang w:val="en-AU"/>
        </w:rPr>
        <w:t xml:space="preserve">As a result of the block grants and SNIP support, improved Madrasah capacity and readiness to achieve accreditation has been </w:t>
      </w:r>
      <w:r w:rsidR="003335AE" w:rsidRPr="00CB10AD">
        <w:rPr>
          <w:bCs/>
          <w:lang w:val="en-AU"/>
        </w:rPr>
        <w:t>reported</w:t>
      </w:r>
      <w:r w:rsidRPr="00CB10AD">
        <w:rPr>
          <w:bCs/>
          <w:lang w:val="en-AU"/>
        </w:rPr>
        <w:t>. Analysis of Phase 1 implementation indicates significant progress in supported Madrasah, exceeding the target of the MoRA Renstra (50% B or better)</w:t>
      </w:r>
      <w:r w:rsidR="00B438BC" w:rsidRPr="00CB10AD">
        <w:rPr>
          <w:bCs/>
          <w:lang w:val="en-AU"/>
        </w:rPr>
        <w:t>,</w:t>
      </w:r>
      <w:r w:rsidRPr="00CB10AD">
        <w:rPr>
          <w:bCs/>
          <w:lang w:val="en-AU"/>
        </w:rPr>
        <w:t xml:space="preserve"> with an estimated 92% of targeted Madrasah achieving B or A</w:t>
      </w:r>
      <w:r w:rsidR="003335AE" w:rsidRPr="00CB10AD">
        <w:rPr>
          <w:bCs/>
          <w:lang w:val="en-AU"/>
        </w:rPr>
        <w:t xml:space="preserve"> in simulated accreditations</w:t>
      </w:r>
      <w:r w:rsidR="00B438BC" w:rsidRPr="00CB10AD">
        <w:rPr>
          <w:bCs/>
          <w:vertAlign w:val="superscript"/>
          <w:lang w:val="en-AU"/>
        </w:rPr>
        <w:endnoteReference w:id="37"/>
      </w:r>
      <w:r w:rsidR="00B438BC" w:rsidRPr="00CB10AD">
        <w:rPr>
          <w:bCs/>
          <w:lang w:val="en-AU"/>
        </w:rPr>
        <w:t>.</w:t>
      </w:r>
      <w:r w:rsidR="000B33F7" w:rsidRPr="00CB10AD">
        <w:rPr>
          <w:bCs/>
          <w:lang w:val="en-AU"/>
        </w:rPr>
        <w:t xml:space="preserve"> BAN S/M </w:t>
      </w:r>
      <w:r w:rsidR="000B33F7" w:rsidRPr="00CB10AD">
        <w:rPr>
          <w:bCs/>
          <w:lang w:val="en-AU"/>
        </w:rPr>
        <w:lastRenderedPageBreak/>
        <w:t xml:space="preserve">will formally assess 502 Phase 1 </w:t>
      </w:r>
      <w:r w:rsidR="007622D6" w:rsidRPr="00CB10AD">
        <w:rPr>
          <w:bCs/>
          <w:lang w:val="en-AU"/>
        </w:rPr>
        <w:t>M</w:t>
      </w:r>
      <w:r w:rsidR="000B33F7" w:rsidRPr="00CB10AD">
        <w:rPr>
          <w:bCs/>
          <w:lang w:val="en-AU"/>
        </w:rPr>
        <w:t>adrasah in the 2013 round of accreditation visitations, with 10 more scheduled for 2014</w:t>
      </w:r>
      <w:r w:rsidR="007622D6" w:rsidRPr="00CB10AD">
        <w:rPr>
          <w:bCs/>
          <w:lang w:val="en-AU"/>
        </w:rPr>
        <w:t xml:space="preserve">. This will </w:t>
      </w:r>
      <w:r w:rsidR="000B33F7" w:rsidRPr="00CB10AD">
        <w:rPr>
          <w:bCs/>
          <w:lang w:val="en-AU"/>
        </w:rPr>
        <w:t xml:space="preserve">provide a basis </w:t>
      </w:r>
      <w:r w:rsidR="007622D6" w:rsidRPr="00CB10AD">
        <w:rPr>
          <w:bCs/>
          <w:lang w:val="en-AU"/>
        </w:rPr>
        <w:t xml:space="preserve">for the </w:t>
      </w:r>
      <w:r w:rsidR="000B33F7" w:rsidRPr="00CB10AD">
        <w:rPr>
          <w:bCs/>
          <w:lang w:val="en-AU"/>
        </w:rPr>
        <w:t>comparison of results</w:t>
      </w:r>
      <w:r w:rsidRPr="00CB10AD">
        <w:rPr>
          <w:rFonts w:ascii="Times New Roman" w:hAnsi="Times New Roman"/>
          <w:bCs/>
          <w:vertAlign w:val="superscript"/>
          <w:lang w:val="en-AU"/>
        </w:rPr>
        <w:footnoteReference w:id="22"/>
      </w:r>
      <w:r w:rsidRPr="00CB10AD">
        <w:rPr>
          <w:bCs/>
          <w:lang w:val="en-AU"/>
        </w:rPr>
        <w:t>.</w:t>
      </w:r>
    </w:p>
    <w:p w:rsidR="00F6127C" w:rsidRPr="00CB10AD" w:rsidRDefault="00F6127C" w:rsidP="00F6127C">
      <w:pPr>
        <w:spacing w:before="120" w:after="120" w:line="276" w:lineRule="auto"/>
        <w:jc w:val="both"/>
        <w:rPr>
          <w:bCs/>
          <w:lang w:val="en-AU"/>
        </w:rPr>
      </w:pPr>
      <w:r w:rsidRPr="00CB10AD">
        <w:rPr>
          <w:bCs/>
          <w:lang w:val="en-AU"/>
        </w:rPr>
        <w:t xml:space="preserve">Besides observable progress in targeted Madrasah, there are also some encouraging indications of </w:t>
      </w:r>
      <w:r w:rsidR="007269E9">
        <w:rPr>
          <w:bCs/>
          <w:lang w:val="en-AU"/>
        </w:rPr>
        <w:t xml:space="preserve">institutional </w:t>
      </w:r>
      <w:r w:rsidRPr="00CB10AD">
        <w:rPr>
          <w:bCs/>
          <w:lang w:val="en-AU"/>
        </w:rPr>
        <w:t>buy-in of the EP model of support at different levels</w:t>
      </w:r>
      <w:r w:rsidR="00B438BC" w:rsidRPr="00CB10AD">
        <w:rPr>
          <w:bCs/>
          <w:lang w:val="en-AU"/>
        </w:rPr>
        <w:t>. For example</w:t>
      </w:r>
      <w:r w:rsidRPr="00CB10AD">
        <w:rPr>
          <w:bCs/>
          <w:lang w:val="en-AU"/>
        </w:rPr>
        <w:t>:</w:t>
      </w:r>
    </w:p>
    <w:p w:rsidR="00F6127C" w:rsidRPr="00CB10AD" w:rsidRDefault="00F6127C" w:rsidP="00F6127C">
      <w:pPr>
        <w:numPr>
          <w:ilvl w:val="0"/>
          <w:numId w:val="19"/>
        </w:numPr>
        <w:spacing w:before="120" w:after="120" w:line="276" w:lineRule="auto"/>
        <w:contextualSpacing/>
        <w:jc w:val="both"/>
        <w:rPr>
          <w:rFonts w:eastAsia="Calibri"/>
          <w:lang w:val="en-AU"/>
        </w:rPr>
      </w:pPr>
      <w:r w:rsidRPr="00CB10AD">
        <w:rPr>
          <w:rFonts w:eastAsia="Calibri"/>
          <w:lang w:val="en-AU"/>
        </w:rPr>
        <w:t>At provincial level, there are several instances of SNIPs receiving non-EP funds to provide their services to non-targeted Madrasah. For instance</w:t>
      </w:r>
      <w:r w:rsidR="00B438BC" w:rsidRPr="00CB10AD">
        <w:rPr>
          <w:rFonts w:ascii="Times New Roman" w:eastAsia="Calibri" w:hAnsi="Times New Roman"/>
          <w:vertAlign w:val="superscript"/>
          <w:lang w:val="en-AU"/>
        </w:rPr>
        <w:endnoteReference w:id="38"/>
      </w:r>
      <w:r w:rsidR="00B438BC" w:rsidRPr="00CB10AD">
        <w:rPr>
          <w:rFonts w:eastAsia="Calibri"/>
          <w:lang w:val="en-AU"/>
        </w:rPr>
        <w:t>,</w:t>
      </w:r>
      <w:r w:rsidRPr="00CB10AD">
        <w:rPr>
          <w:rFonts w:eastAsia="Calibri"/>
          <w:lang w:val="en-AU"/>
        </w:rPr>
        <w:t xml:space="preserve"> SNIPs in East Kalimantan and East Java support Madrasah outside of the block grants program in implementing an UPPAM block grant on quality improvement. Phase 2 SNIPs, most notably MDC South Sulawesi, have facilitated the support of new classroom building and classroom rehabilitation grants from MoRA </w:t>
      </w:r>
      <w:r w:rsidR="00B43651" w:rsidRPr="00CB10AD">
        <w:rPr>
          <w:rFonts w:eastAsia="Calibri"/>
          <w:i/>
          <w:lang w:val="en-AU"/>
        </w:rPr>
        <w:t>k</w:t>
      </w:r>
      <w:r w:rsidRPr="00CB10AD">
        <w:rPr>
          <w:rFonts w:eastAsia="Calibri"/>
          <w:i/>
          <w:lang w:val="en-AU"/>
        </w:rPr>
        <w:t>anwil</w:t>
      </w:r>
      <w:r w:rsidRPr="00CB10AD">
        <w:rPr>
          <w:rFonts w:eastAsia="Calibri"/>
          <w:lang w:val="en-AU"/>
        </w:rPr>
        <w:t xml:space="preserve"> to nine Phase 2 Madrasah.</w:t>
      </w:r>
    </w:p>
    <w:p w:rsidR="00F6127C" w:rsidRPr="00CB10AD" w:rsidRDefault="00F6127C" w:rsidP="00F6127C">
      <w:pPr>
        <w:numPr>
          <w:ilvl w:val="0"/>
          <w:numId w:val="19"/>
        </w:numPr>
        <w:spacing w:before="120" w:after="120" w:line="276" w:lineRule="auto"/>
        <w:contextualSpacing/>
        <w:jc w:val="both"/>
        <w:rPr>
          <w:rFonts w:eastAsia="Calibri"/>
          <w:lang w:val="en-AU"/>
        </w:rPr>
      </w:pPr>
      <w:r w:rsidRPr="00CB10AD">
        <w:rPr>
          <w:rFonts w:eastAsia="Calibri"/>
          <w:lang w:val="en-AU"/>
        </w:rPr>
        <w:t xml:space="preserve">At </w:t>
      </w:r>
      <w:r w:rsidR="00916740" w:rsidRPr="00CB10AD">
        <w:rPr>
          <w:rFonts w:eastAsia="Calibri"/>
          <w:lang w:val="en-AU"/>
        </w:rPr>
        <w:t xml:space="preserve">central </w:t>
      </w:r>
      <w:r w:rsidRPr="00CB10AD">
        <w:rPr>
          <w:rFonts w:eastAsia="Calibri"/>
          <w:lang w:val="en-AU"/>
        </w:rPr>
        <w:t xml:space="preserve">level, despite some uncertain and contradictory comments on the success and viability of the </w:t>
      </w:r>
      <w:r w:rsidRPr="00CB10AD">
        <w:rPr>
          <w:rFonts w:asciiTheme="minorHAnsi" w:eastAsia="Calibri" w:hAnsiTheme="minorHAnsi"/>
          <w:lang w:val="en-AU"/>
        </w:rPr>
        <w:t>MDC/SNIP model of support</w:t>
      </w:r>
      <w:r w:rsidR="00B438BC" w:rsidRPr="00CB10AD">
        <w:rPr>
          <w:rFonts w:ascii="Times New Roman" w:eastAsia="Calibri" w:hAnsi="Times New Roman"/>
          <w:vertAlign w:val="superscript"/>
          <w:lang w:val="en-AU"/>
        </w:rPr>
        <w:endnoteReference w:id="39"/>
      </w:r>
      <w:r w:rsidR="00B438BC" w:rsidRPr="00CB10AD">
        <w:rPr>
          <w:rFonts w:asciiTheme="minorHAnsi" w:eastAsia="Calibri" w:hAnsiTheme="minorHAnsi"/>
          <w:lang w:val="en-AU"/>
        </w:rPr>
        <w:t>,</w:t>
      </w:r>
      <w:r w:rsidRPr="00CB10AD">
        <w:rPr>
          <w:rFonts w:asciiTheme="minorHAnsi" w:eastAsia="Calibri" w:hAnsiTheme="minorHAnsi"/>
          <w:lang w:val="en-AU"/>
        </w:rPr>
        <w:t xml:space="preserve"> </w:t>
      </w:r>
      <w:r w:rsidRPr="00CB10AD">
        <w:rPr>
          <w:rFonts w:eastAsia="Calibri"/>
          <w:lang w:val="en-AU"/>
        </w:rPr>
        <w:t>the new PENMA Director has encouraged greater program synergy between the EP and all PENMA sub-directorates</w:t>
      </w:r>
      <w:r w:rsidRPr="00CB10AD">
        <w:rPr>
          <w:rFonts w:asciiTheme="minorHAnsi" w:eastAsia="Calibri" w:hAnsiTheme="minorHAnsi"/>
          <w:lang w:val="en-AU"/>
        </w:rPr>
        <w:t xml:space="preserve"> thereby strengthening t</w:t>
      </w:r>
      <w:r w:rsidRPr="00CB10AD">
        <w:rPr>
          <w:rFonts w:eastAsia="Calibri"/>
          <w:lang w:val="en-AU"/>
        </w:rPr>
        <w:t>he level of MoRA commitment to the EP model of support. As a direct result, grants for natural science labs are provided to 81 Phase 2 target</w:t>
      </w:r>
      <w:r w:rsidR="00BE6C49" w:rsidRPr="00CB10AD">
        <w:rPr>
          <w:rFonts w:eastAsia="Calibri"/>
          <w:lang w:val="en-AU"/>
        </w:rPr>
        <w:t>ed</w:t>
      </w:r>
      <w:r w:rsidRPr="00CB10AD">
        <w:rPr>
          <w:rFonts w:eastAsia="Calibri"/>
          <w:lang w:val="en-AU"/>
        </w:rPr>
        <w:t xml:space="preserve"> Madrasah and packages of multimedia equipment are provided to 75 Phase 2 target</w:t>
      </w:r>
      <w:r w:rsidR="00BE6C49" w:rsidRPr="00CB10AD">
        <w:rPr>
          <w:rFonts w:eastAsia="Calibri"/>
          <w:lang w:val="en-AU"/>
        </w:rPr>
        <w:t>ed</w:t>
      </w:r>
      <w:r w:rsidRPr="00CB10AD">
        <w:rPr>
          <w:rFonts w:eastAsia="Calibri"/>
          <w:lang w:val="en-AU"/>
        </w:rPr>
        <w:t xml:space="preserve"> Madrasah. There are also plans to use the content of the KTSP training and </w:t>
      </w:r>
      <w:r w:rsidR="00BE6C49" w:rsidRPr="00CB10AD">
        <w:rPr>
          <w:rFonts w:eastAsia="Calibri"/>
          <w:lang w:val="en-AU"/>
        </w:rPr>
        <w:t xml:space="preserve">to </w:t>
      </w:r>
      <w:r w:rsidRPr="00CB10AD">
        <w:rPr>
          <w:rFonts w:eastAsia="Calibri"/>
          <w:lang w:val="en-AU"/>
        </w:rPr>
        <w:t xml:space="preserve">scale-up its delivery to non-target Madrasah. </w:t>
      </w:r>
    </w:p>
    <w:p w:rsidR="00F6127C" w:rsidRPr="00CB10AD" w:rsidRDefault="00F6127C" w:rsidP="00F6127C">
      <w:pPr>
        <w:spacing w:before="120" w:after="120"/>
        <w:rPr>
          <w:lang w:val="en-AU"/>
        </w:rPr>
      </w:pPr>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Analysis</w:t>
      </w:r>
    </w:p>
    <w:p w:rsidR="003B5F6B" w:rsidRPr="00CB10AD" w:rsidRDefault="003B5F6B" w:rsidP="003B5F6B">
      <w:pPr>
        <w:keepNext/>
        <w:numPr>
          <w:ilvl w:val="2"/>
          <w:numId w:val="9"/>
        </w:numPr>
        <w:spacing w:line="276" w:lineRule="auto"/>
        <w:ind w:left="720"/>
        <w:outlineLvl w:val="2"/>
        <w:rPr>
          <w:rFonts w:asciiTheme="minorHAnsi" w:hAnsiTheme="minorHAnsi"/>
          <w:bCs/>
          <w:color w:val="003880"/>
          <w:sz w:val="24"/>
          <w:szCs w:val="28"/>
          <w:lang w:val="en-AU"/>
        </w:rPr>
      </w:pPr>
      <w:r w:rsidRPr="00CB10AD">
        <w:rPr>
          <w:bCs/>
          <w:color w:val="003880"/>
          <w:sz w:val="24"/>
          <w:szCs w:val="28"/>
          <w:lang w:val="en-AU"/>
        </w:rPr>
        <w:t>Relevance</w:t>
      </w:r>
    </w:p>
    <w:p w:rsidR="003B5F6B" w:rsidRPr="00CB10AD" w:rsidRDefault="003B5F6B" w:rsidP="003B5F6B">
      <w:pPr>
        <w:spacing w:before="120" w:after="120" w:line="276" w:lineRule="auto"/>
        <w:jc w:val="both"/>
        <w:rPr>
          <w:lang w:val="en-AU"/>
        </w:rPr>
      </w:pPr>
      <w:r w:rsidRPr="00CB10AD">
        <w:rPr>
          <w:bCs/>
          <w:lang w:val="en-AU"/>
        </w:rPr>
        <w:t xml:space="preserve">Component 3 remains relevant in a context where MoRA seeks an increase </w:t>
      </w:r>
      <w:r w:rsidR="007269E9">
        <w:rPr>
          <w:bCs/>
          <w:lang w:val="en-AU"/>
        </w:rPr>
        <w:t xml:space="preserve">in the number </w:t>
      </w:r>
      <w:r w:rsidRPr="00CB10AD">
        <w:rPr>
          <w:bCs/>
          <w:lang w:val="en-AU"/>
        </w:rPr>
        <w:t xml:space="preserve">of accredited </w:t>
      </w:r>
      <w:r w:rsidR="007269E9">
        <w:rPr>
          <w:bCs/>
          <w:lang w:val="en-AU"/>
        </w:rPr>
        <w:t>M</w:t>
      </w:r>
      <w:r w:rsidRPr="00CB10AD">
        <w:rPr>
          <w:bCs/>
          <w:lang w:val="en-AU"/>
        </w:rPr>
        <w:t xml:space="preserve">adrasah as well as improvements in the quality of the madrasah and their services. The </w:t>
      </w:r>
      <w:r w:rsidRPr="00CB10AD">
        <w:rPr>
          <w:lang w:val="en-AU"/>
        </w:rPr>
        <w:t xml:space="preserve">EP model of support </w:t>
      </w:r>
      <w:r w:rsidRPr="00CB10AD">
        <w:rPr>
          <w:bCs/>
          <w:lang w:val="en-AU"/>
        </w:rPr>
        <w:t xml:space="preserve">seems relevant with regards to identified </w:t>
      </w:r>
      <w:r w:rsidRPr="00CB10AD">
        <w:rPr>
          <w:lang w:val="en-AU"/>
        </w:rPr>
        <w:t xml:space="preserve">factors influencing Madrasah performance (presented in Section 4.4.2), though some improvements are both desirable and practical: </w:t>
      </w:r>
    </w:p>
    <w:p w:rsidR="003B5F6B" w:rsidRPr="00CB10AD" w:rsidRDefault="003B5F6B" w:rsidP="003B5F6B">
      <w:pPr>
        <w:numPr>
          <w:ilvl w:val="0"/>
          <w:numId w:val="27"/>
        </w:numPr>
        <w:spacing w:before="120" w:after="120" w:line="276" w:lineRule="auto"/>
        <w:contextualSpacing/>
        <w:jc w:val="both"/>
        <w:rPr>
          <w:rFonts w:eastAsia="Calibri"/>
          <w:lang w:val="en-AU"/>
        </w:rPr>
      </w:pPr>
      <w:r w:rsidRPr="00CB10AD">
        <w:rPr>
          <w:rFonts w:eastAsia="Calibri"/>
          <w:lang w:val="en-AU"/>
        </w:rPr>
        <w:t>The EP design directly targets principal performance, though less so other actors of the Madrasah leadership triumvirate (</w:t>
      </w:r>
      <w:r w:rsidRPr="00CB10AD">
        <w:rPr>
          <w:rFonts w:eastAsia="Calibri"/>
          <w:i/>
          <w:lang w:val="en-AU"/>
        </w:rPr>
        <w:t>Yayasan</w:t>
      </w:r>
      <w:r w:rsidRPr="00CB10AD">
        <w:rPr>
          <w:rFonts w:eastAsia="Calibri"/>
          <w:lang w:val="en-AU"/>
        </w:rPr>
        <w:t xml:space="preserve"> and </w:t>
      </w:r>
      <w:r w:rsidRPr="00CB10AD">
        <w:rPr>
          <w:rFonts w:eastAsia="Calibri"/>
          <w:i/>
          <w:lang w:val="en-AU"/>
        </w:rPr>
        <w:t>Komite</w:t>
      </w:r>
      <w:r w:rsidRPr="00CB10AD">
        <w:rPr>
          <w:rFonts w:eastAsia="Calibri"/>
          <w:lang w:val="en-AU"/>
        </w:rPr>
        <w:t xml:space="preserve">). </w:t>
      </w:r>
    </w:p>
    <w:p w:rsidR="003B5F6B" w:rsidRPr="00CB10AD" w:rsidRDefault="003B5F6B" w:rsidP="003B5F6B">
      <w:pPr>
        <w:numPr>
          <w:ilvl w:val="0"/>
          <w:numId w:val="27"/>
        </w:numPr>
        <w:spacing w:before="120" w:after="120" w:line="276" w:lineRule="auto"/>
        <w:contextualSpacing/>
        <w:jc w:val="both"/>
        <w:rPr>
          <w:rFonts w:eastAsia="Calibri"/>
          <w:lang w:val="en-AU"/>
        </w:rPr>
      </w:pPr>
      <w:r w:rsidRPr="00CB10AD">
        <w:rPr>
          <w:rFonts w:eastAsia="Calibri"/>
          <w:lang w:val="en-AU"/>
        </w:rPr>
        <w:t>The EP design directly targets teacher pedagogy, but to a lesser extent teacher commitment and resource mismatch.</w:t>
      </w:r>
    </w:p>
    <w:p w:rsidR="003B5F6B" w:rsidRPr="00CB10AD" w:rsidRDefault="003B5F6B" w:rsidP="003B5F6B">
      <w:pPr>
        <w:numPr>
          <w:ilvl w:val="0"/>
          <w:numId w:val="27"/>
        </w:numPr>
        <w:spacing w:before="120" w:after="120" w:line="276" w:lineRule="auto"/>
        <w:contextualSpacing/>
        <w:jc w:val="both"/>
        <w:rPr>
          <w:rFonts w:eastAsia="Calibri"/>
          <w:lang w:val="en-AU"/>
        </w:rPr>
      </w:pPr>
      <w:r w:rsidRPr="00CB10AD">
        <w:rPr>
          <w:rFonts w:eastAsia="Calibri"/>
          <w:lang w:val="en-AU"/>
        </w:rPr>
        <w:t>The EP design does not explicitly target community engagement. The role of community engagement and the potential for EP to realign its support towards it merits more attention and analysis than it currently receives.</w:t>
      </w:r>
    </w:p>
    <w:p w:rsidR="003B5F6B" w:rsidRPr="00CB10AD" w:rsidRDefault="003B5F6B" w:rsidP="003B5F6B">
      <w:pPr>
        <w:keepNext/>
        <w:spacing w:line="276" w:lineRule="auto"/>
        <w:ind w:left="720"/>
        <w:outlineLvl w:val="2"/>
        <w:rPr>
          <w:bCs/>
          <w:color w:val="003880"/>
          <w:sz w:val="24"/>
          <w:szCs w:val="28"/>
          <w:lang w:val="en-AU"/>
        </w:rPr>
      </w:pP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Efficiency</w:t>
      </w:r>
    </w:p>
    <w:p w:rsidR="00F6127C" w:rsidRPr="00CB10AD" w:rsidRDefault="00F6127C" w:rsidP="00F6127C">
      <w:pPr>
        <w:spacing w:before="120" w:after="120" w:line="276" w:lineRule="auto"/>
        <w:jc w:val="both"/>
        <w:rPr>
          <w:bCs/>
          <w:lang w:val="en-AU"/>
        </w:rPr>
      </w:pPr>
      <w:r w:rsidRPr="00CB10AD">
        <w:rPr>
          <w:bCs/>
          <w:lang w:val="en-AU"/>
        </w:rPr>
        <w:t xml:space="preserve">The implementation of C3 is outsourced to the SSQ </w:t>
      </w:r>
      <w:r w:rsidR="003335AE" w:rsidRPr="00CB10AD">
        <w:rPr>
          <w:bCs/>
          <w:lang w:val="en-AU"/>
        </w:rPr>
        <w:t>M</w:t>
      </w:r>
      <w:r w:rsidRPr="00CB10AD">
        <w:rPr>
          <w:bCs/>
          <w:lang w:val="en-AU"/>
        </w:rPr>
        <w:t xml:space="preserve">anaging </w:t>
      </w:r>
      <w:r w:rsidR="003335AE" w:rsidRPr="00CB10AD">
        <w:rPr>
          <w:bCs/>
          <w:lang w:val="en-AU"/>
        </w:rPr>
        <w:t>C</w:t>
      </w:r>
      <w:r w:rsidRPr="00CB10AD">
        <w:rPr>
          <w:bCs/>
          <w:lang w:val="en-AU"/>
        </w:rPr>
        <w:t>ontractor. SSQ priorities in 2013 included supporting Phase 1 and Phase 2 Madrasah</w:t>
      </w:r>
      <w:r w:rsidR="00916740" w:rsidRPr="00CB10AD">
        <w:rPr>
          <w:bCs/>
          <w:lang w:val="en-AU"/>
        </w:rPr>
        <w:t>;</w:t>
      </w:r>
      <w:r w:rsidRPr="00CB10AD">
        <w:rPr>
          <w:bCs/>
          <w:lang w:val="en-AU"/>
        </w:rPr>
        <w:t xml:space="preserve"> planning Phase 3 of the Madrasah block grants program; liaising with provincial offices of MoRA; supporting and reviewing the performance of SNIPs; and, producing monitoring and evaluation data</w:t>
      </w:r>
      <w:r w:rsidR="003335AE" w:rsidRPr="00CB10AD">
        <w:rPr>
          <w:rStyle w:val="EndnoteReference"/>
          <w:bCs/>
          <w:lang w:val="en-AU"/>
        </w:rPr>
        <w:endnoteReference w:id="40"/>
      </w:r>
      <w:r w:rsidRPr="00CB10AD">
        <w:rPr>
          <w:bCs/>
          <w:lang w:val="en-AU"/>
        </w:rPr>
        <w:t xml:space="preserve">. </w:t>
      </w:r>
    </w:p>
    <w:p w:rsidR="00F6127C" w:rsidRPr="00CB10AD" w:rsidRDefault="00F6127C" w:rsidP="00F6127C">
      <w:pPr>
        <w:spacing w:before="120" w:after="120" w:line="276" w:lineRule="auto"/>
        <w:jc w:val="both"/>
        <w:rPr>
          <w:bCs/>
          <w:lang w:val="en-AU"/>
        </w:rPr>
      </w:pPr>
      <w:r w:rsidRPr="00CB10AD">
        <w:rPr>
          <w:bCs/>
          <w:lang w:val="en-AU"/>
        </w:rPr>
        <w:lastRenderedPageBreak/>
        <w:t xml:space="preserve">The implementation of Phase 1 and 2 has been managed </w:t>
      </w:r>
      <w:r w:rsidR="00806D8A" w:rsidRPr="00CB10AD">
        <w:rPr>
          <w:bCs/>
          <w:lang w:val="en-AU"/>
        </w:rPr>
        <w:t>well</w:t>
      </w:r>
      <w:r w:rsidRPr="00CB10AD">
        <w:rPr>
          <w:bCs/>
          <w:lang w:val="en-AU"/>
        </w:rPr>
        <w:t>, with sufficient progress against set activities and without substantial delays. Overall C</w:t>
      </w:r>
      <w:r w:rsidR="00BE6C49" w:rsidRPr="00CB10AD">
        <w:rPr>
          <w:bCs/>
          <w:lang w:val="en-AU"/>
        </w:rPr>
        <w:t>3</w:t>
      </w:r>
      <w:r w:rsidRPr="00CB10AD">
        <w:rPr>
          <w:bCs/>
          <w:lang w:val="en-AU"/>
        </w:rPr>
        <w:t xml:space="preserve"> is tracking close to budget with an overspen</w:t>
      </w:r>
      <w:r w:rsidR="00BE6C49" w:rsidRPr="00CB10AD">
        <w:rPr>
          <w:bCs/>
          <w:lang w:val="en-AU"/>
        </w:rPr>
        <w:t>d</w:t>
      </w:r>
      <w:r w:rsidRPr="00CB10AD">
        <w:rPr>
          <w:bCs/>
          <w:lang w:val="en-AU"/>
        </w:rPr>
        <w:t xml:space="preserve"> </w:t>
      </w:r>
      <w:r w:rsidR="00BE6C49" w:rsidRPr="00CB10AD">
        <w:rPr>
          <w:bCs/>
          <w:lang w:val="en-AU"/>
        </w:rPr>
        <w:t xml:space="preserve">of AUD </w:t>
      </w:r>
      <w:r w:rsidRPr="00CB10AD">
        <w:rPr>
          <w:bCs/>
          <w:lang w:val="en-AU"/>
        </w:rPr>
        <w:t xml:space="preserve">471,685 or 4.7% of budget over the last financial year (June 2012 to June 2013). The efficiency of the outsourcing model </w:t>
      </w:r>
      <w:r w:rsidR="00BE6C49" w:rsidRPr="00CB10AD">
        <w:rPr>
          <w:bCs/>
          <w:lang w:val="en-AU"/>
        </w:rPr>
        <w:t xml:space="preserve">is </w:t>
      </w:r>
      <w:r w:rsidRPr="00CB10AD">
        <w:rPr>
          <w:bCs/>
          <w:lang w:val="en-AU"/>
        </w:rPr>
        <w:t xml:space="preserve">likely </w:t>
      </w:r>
      <w:r w:rsidR="00BE6C49" w:rsidRPr="00CB10AD">
        <w:rPr>
          <w:bCs/>
          <w:lang w:val="en-AU"/>
        </w:rPr>
        <w:t xml:space="preserve">to </w:t>
      </w:r>
      <w:r w:rsidRPr="00CB10AD">
        <w:rPr>
          <w:bCs/>
          <w:lang w:val="en-AU"/>
        </w:rPr>
        <w:t xml:space="preserve">be analysed as part of </w:t>
      </w:r>
      <w:r w:rsidR="00916740" w:rsidRPr="00CB10AD">
        <w:rPr>
          <w:bCs/>
          <w:lang w:val="en-AU"/>
        </w:rPr>
        <w:t xml:space="preserve">the proposed </w:t>
      </w:r>
      <w:r w:rsidRPr="00CB10AD">
        <w:rPr>
          <w:bCs/>
          <w:lang w:val="en-AU"/>
        </w:rPr>
        <w:t xml:space="preserve">VFM </w:t>
      </w:r>
      <w:r w:rsidR="00BE6C49" w:rsidRPr="00CB10AD">
        <w:rPr>
          <w:bCs/>
          <w:lang w:val="en-AU"/>
        </w:rPr>
        <w:t>work</w:t>
      </w:r>
      <w:r w:rsidRPr="00CB10AD">
        <w:rPr>
          <w:bCs/>
          <w:lang w:val="en-AU"/>
        </w:rPr>
        <w:t xml:space="preserve">. </w:t>
      </w:r>
    </w:p>
    <w:p w:rsidR="00F6127C" w:rsidRPr="00CB10AD" w:rsidRDefault="00233B22" w:rsidP="00F6127C">
      <w:pPr>
        <w:spacing w:before="120" w:after="120" w:line="276" w:lineRule="auto"/>
        <w:jc w:val="both"/>
        <w:rPr>
          <w:bCs/>
          <w:lang w:val="en-AU"/>
        </w:rPr>
      </w:pPr>
      <w:r w:rsidRPr="00CB10AD">
        <w:rPr>
          <w:bCs/>
          <w:lang w:val="en-AU"/>
        </w:rPr>
        <w:t xml:space="preserve">Both SSQ and POM have undertaken </w:t>
      </w:r>
      <w:r w:rsidR="00F6127C" w:rsidRPr="00CB10AD">
        <w:rPr>
          <w:bCs/>
          <w:lang w:val="en-AU"/>
        </w:rPr>
        <w:t>financial and compliance audits on grant recipients (Madrasah and SNIP</w:t>
      </w:r>
      <w:r w:rsidRPr="00CB10AD">
        <w:rPr>
          <w:bCs/>
          <w:lang w:val="en-AU"/>
        </w:rPr>
        <w:t>s</w:t>
      </w:r>
      <w:r w:rsidR="00F6127C" w:rsidRPr="00CB10AD">
        <w:rPr>
          <w:bCs/>
          <w:lang w:val="en-AU"/>
        </w:rPr>
        <w:t>)</w:t>
      </w:r>
      <w:r w:rsidRPr="00CB10AD">
        <w:rPr>
          <w:bCs/>
          <w:lang w:val="en-AU"/>
        </w:rPr>
        <w:t>.</w:t>
      </w:r>
      <w:r w:rsidR="00F6127C" w:rsidRPr="00CB10AD">
        <w:rPr>
          <w:bCs/>
          <w:lang w:val="en-AU"/>
        </w:rPr>
        <w:t xml:space="preserve"> As illustrated in </w:t>
      </w:r>
      <w:r w:rsidR="00E21FF4" w:rsidRPr="00CB10AD">
        <w:rPr>
          <w:bCs/>
          <w:lang w:val="en-AU"/>
        </w:rPr>
        <w:t>Table 8</w:t>
      </w:r>
      <w:r w:rsidR="00F6127C" w:rsidRPr="00CB10AD">
        <w:rPr>
          <w:bCs/>
          <w:lang w:val="en-AU"/>
        </w:rPr>
        <w:t xml:space="preserve">, </w:t>
      </w:r>
      <w:r w:rsidR="00916740" w:rsidRPr="00CB10AD">
        <w:rPr>
          <w:bCs/>
          <w:lang w:val="en-AU"/>
        </w:rPr>
        <w:t xml:space="preserve">below, </w:t>
      </w:r>
      <w:r w:rsidR="00F6127C" w:rsidRPr="00CB10AD">
        <w:rPr>
          <w:bCs/>
          <w:lang w:val="en-AU"/>
        </w:rPr>
        <w:t xml:space="preserve">the 2013 </w:t>
      </w:r>
      <w:r w:rsidR="003178A9" w:rsidRPr="00CB10AD">
        <w:rPr>
          <w:bCs/>
          <w:lang w:val="en-AU"/>
        </w:rPr>
        <w:t xml:space="preserve">POM </w:t>
      </w:r>
      <w:r w:rsidR="00F6127C" w:rsidRPr="00CB10AD">
        <w:rPr>
          <w:bCs/>
          <w:lang w:val="en-AU"/>
        </w:rPr>
        <w:t>audits have raised a number of compliance issues and fraud cases that reflect the l</w:t>
      </w:r>
      <w:r w:rsidR="003335AE" w:rsidRPr="00CB10AD">
        <w:rPr>
          <w:bCs/>
          <w:lang w:val="en-AU"/>
        </w:rPr>
        <w:t xml:space="preserve">imited </w:t>
      </w:r>
      <w:r w:rsidR="00F6127C" w:rsidRPr="00CB10AD">
        <w:rPr>
          <w:bCs/>
          <w:lang w:val="en-AU"/>
        </w:rPr>
        <w:t>capacity of Madrasah to administer grants</w:t>
      </w:r>
      <w:r w:rsidR="002E1895" w:rsidRPr="00CB10AD">
        <w:rPr>
          <w:bCs/>
          <w:lang w:val="en-AU"/>
        </w:rPr>
        <w:t xml:space="preserve"> competently</w:t>
      </w:r>
      <w:r w:rsidR="00F6127C" w:rsidRPr="00CB10AD">
        <w:rPr>
          <w:bCs/>
          <w:lang w:val="en-AU"/>
        </w:rPr>
        <w:t xml:space="preserve">. </w:t>
      </w:r>
    </w:p>
    <w:p w:rsidR="00F6127C" w:rsidRPr="00CB10AD" w:rsidRDefault="00510D10" w:rsidP="00510D10">
      <w:pPr>
        <w:pStyle w:val="Caption"/>
        <w:keepNext/>
        <w:rPr>
          <w:lang w:val="en-AU"/>
        </w:rPr>
      </w:pPr>
      <w:bookmarkStart w:id="40" w:name="_Toc379982276"/>
      <w:r w:rsidRPr="00CB10AD">
        <w:rPr>
          <w:lang w:val="en-AU"/>
        </w:rPr>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8</w:t>
      </w:r>
      <w:r w:rsidRPr="00CB10AD">
        <w:rPr>
          <w:lang w:val="en-AU"/>
        </w:rPr>
        <w:fldChar w:fldCharType="end"/>
      </w:r>
      <w:r w:rsidR="00F6127C" w:rsidRPr="00CB10AD">
        <w:rPr>
          <w:lang w:val="en-AU"/>
        </w:rPr>
        <w:t xml:space="preserve">: Distribution of findings for C3 </w:t>
      </w:r>
      <w:r w:rsidR="000B33F7" w:rsidRPr="00CB10AD">
        <w:rPr>
          <w:lang w:val="en-AU"/>
        </w:rPr>
        <w:t xml:space="preserve">POM </w:t>
      </w:r>
      <w:r w:rsidR="00E91B37" w:rsidRPr="00CB10AD">
        <w:rPr>
          <w:lang w:val="en-AU"/>
        </w:rPr>
        <w:t>a</w:t>
      </w:r>
      <w:r w:rsidR="00F6127C" w:rsidRPr="00CB10AD">
        <w:rPr>
          <w:lang w:val="en-AU"/>
        </w:rPr>
        <w:t>udits</w:t>
      </w:r>
      <w:bookmarkEnd w:id="40"/>
    </w:p>
    <w:tbl>
      <w:tblPr>
        <w:tblW w:w="4440" w:type="dxa"/>
        <w:jc w:val="center"/>
        <w:tblLook w:val="04A0" w:firstRow="1" w:lastRow="0" w:firstColumn="1" w:lastColumn="0" w:noHBand="0" w:noVBand="1"/>
      </w:tblPr>
      <w:tblGrid>
        <w:gridCol w:w="1480"/>
        <w:gridCol w:w="1480"/>
        <w:gridCol w:w="1480"/>
      </w:tblGrid>
      <w:tr w:rsidR="00F6127C" w:rsidRPr="00CB10AD" w:rsidTr="00C7786C">
        <w:trPr>
          <w:trHeight w:val="397"/>
          <w:jc w:val="center"/>
        </w:trPr>
        <w:tc>
          <w:tcPr>
            <w:tcW w:w="1480" w:type="dxa"/>
            <w:tcBorders>
              <w:top w:val="single" w:sz="8" w:space="0" w:color="auto"/>
              <w:left w:val="single" w:sz="4" w:space="0" w:color="auto"/>
              <w:bottom w:val="single" w:sz="4" w:space="0" w:color="auto"/>
              <w:right w:val="single" w:sz="4" w:space="0" w:color="auto"/>
            </w:tcBorders>
            <w:shd w:val="clear" w:color="000000" w:fill="1F497D"/>
            <w:vAlign w:val="center"/>
            <w:hideMark/>
          </w:tcPr>
          <w:p w:rsidR="00F6127C" w:rsidRPr="00CB10AD" w:rsidRDefault="00F6127C" w:rsidP="00510D10">
            <w:pPr>
              <w:keepNext/>
              <w:jc w:val="center"/>
              <w:rPr>
                <w:rFonts w:cs="Times New Roman"/>
                <w:b/>
                <w:bCs/>
                <w:color w:val="FFFFFF"/>
                <w:lang w:val="en-AU" w:eastAsia="en-AU"/>
              </w:rPr>
            </w:pPr>
            <w:r w:rsidRPr="00CB10AD">
              <w:rPr>
                <w:rFonts w:cs="Times New Roman"/>
                <w:b/>
                <w:bCs/>
                <w:color w:val="FFFFFF"/>
                <w:lang w:val="en-AU" w:eastAsia="en-AU"/>
              </w:rPr>
              <w:t>Category</w:t>
            </w:r>
          </w:p>
        </w:tc>
        <w:tc>
          <w:tcPr>
            <w:tcW w:w="1480" w:type="dxa"/>
            <w:tcBorders>
              <w:top w:val="single" w:sz="8" w:space="0" w:color="auto"/>
              <w:left w:val="nil"/>
              <w:bottom w:val="single" w:sz="4" w:space="0" w:color="auto"/>
              <w:right w:val="single" w:sz="4" w:space="0" w:color="auto"/>
            </w:tcBorders>
            <w:shd w:val="clear" w:color="000000" w:fill="1F497D"/>
            <w:vAlign w:val="center"/>
            <w:hideMark/>
          </w:tcPr>
          <w:p w:rsidR="00F6127C" w:rsidRPr="00CB10AD" w:rsidRDefault="00F6127C" w:rsidP="00510D10">
            <w:pPr>
              <w:keepNext/>
              <w:jc w:val="center"/>
              <w:rPr>
                <w:rFonts w:cs="Times New Roman"/>
                <w:b/>
                <w:bCs/>
                <w:color w:val="FFFFFF"/>
                <w:lang w:val="en-AU" w:eastAsia="en-AU"/>
              </w:rPr>
            </w:pPr>
            <w:r w:rsidRPr="00CB10AD">
              <w:rPr>
                <w:rFonts w:cs="Times New Roman"/>
                <w:b/>
                <w:bCs/>
                <w:color w:val="FFFFFF"/>
                <w:lang w:val="en-AU" w:eastAsia="en-AU"/>
              </w:rPr>
              <w:t>Issues</w:t>
            </w:r>
          </w:p>
        </w:tc>
        <w:tc>
          <w:tcPr>
            <w:tcW w:w="1480" w:type="dxa"/>
            <w:tcBorders>
              <w:top w:val="single" w:sz="8" w:space="0" w:color="auto"/>
              <w:left w:val="nil"/>
              <w:bottom w:val="single" w:sz="4" w:space="0" w:color="auto"/>
              <w:right w:val="single" w:sz="8" w:space="0" w:color="auto"/>
            </w:tcBorders>
            <w:shd w:val="clear" w:color="000000" w:fill="1F497D"/>
            <w:vAlign w:val="center"/>
            <w:hideMark/>
          </w:tcPr>
          <w:p w:rsidR="00F6127C" w:rsidRPr="00CB10AD" w:rsidRDefault="00F6127C" w:rsidP="00510D10">
            <w:pPr>
              <w:keepNext/>
              <w:jc w:val="center"/>
              <w:rPr>
                <w:rFonts w:cs="Times New Roman"/>
                <w:b/>
                <w:bCs/>
                <w:color w:val="FFFFFF"/>
                <w:lang w:val="en-AU" w:eastAsia="en-AU"/>
              </w:rPr>
            </w:pPr>
            <w:r w:rsidRPr="00CB10AD">
              <w:rPr>
                <w:rFonts w:cs="Times New Roman"/>
                <w:b/>
                <w:bCs/>
                <w:color w:val="FFFFFF"/>
                <w:lang w:val="en-AU" w:eastAsia="en-AU"/>
              </w:rPr>
              <w:t>Findings</w:t>
            </w:r>
          </w:p>
        </w:tc>
      </w:tr>
      <w:tr w:rsidR="00F6127C" w:rsidRPr="00CB10AD" w:rsidTr="00C7786C">
        <w:trPr>
          <w:trHeight w:val="397"/>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6127C" w:rsidRPr="00CB10AD" w:rsidRDefault="00F6127C" w:rsidP="00510D10">
            <w:pPr>
              <w:keepNext/>
              <w:rPr>
                <w:rFonts w:cs="Times New Roman"/>
                <w:b/>
                <w:bCs/>
                <w:color w:val="000000"/>
                <w:lang w:val="en-AU" w:eastAsia="en-AU"/>
              </w:rPr>
            </w:pPr>
            <w:r w:rsidRPr="00CB10AD">
              <w:rPr>
                <w:rFonts w:cs="Times New Roman"/>
                <w:b/>
                <w:bCs/>
                <w:color w:val="000000"/>
                <w:lang w:val="en-AU" w:eastAsia="en-AU"/>
              </w:rPr>
              <w:t>Procurement</w:t>
            </w:r>
          </w:p>
        </w:tc>
        <w:tc>
          <w:tcPr>
            <w:tcW w:w="1480" w:type="dxa"/>
            <w:tcBorders>
              <w:top w:val="nil"/>
              <w:left w:val="nil"/>
              <w:bottom w:val="single" w:sz="4" w:space="0" w:color="auto"/>
              <w:right w:val="single" w:sz="4"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5</w:t>
            </w:r>
          </w:p>
        </w:tc>
        <w:tc>
          <w:tcPr>
            <w:tcW w:w="1480" w:type="dxa"/>
            <w:tcBorders>
              <w:top w:val="nil"/>
              <w:left w:val="nil"/>
              <w:bottom w:val="single" w:sz="4" w:space="0" w:color="auto"/>
              <w:right w:val="single" w:sz="8"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84</w:t>
            </w:r>
          </w:p>
        </w:tc>
      </w:tr>
      <w:tr w:rsidR="00F6127C" w:rsidRPr="00CB10AD" w:rsidTr="00C7786C">
        <w:trPr>
          <w:trHeight w:val="397"/>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6127C" w:rsidRPr="00CB10AD" w:rsidRDefault="00F6127C" w:rsidP="00510D10">
            <w:pPr>
              <w:keepNext/>
              <w:rPr>
                <w:rFonts w:cs="Times New Roman"/>
                <w:b/>
                <w:bCs/>
                <w:color w:val="000000"/>
                <w:lang w:val="en-AU" w:eastAsia="en-AU"/>
              </w:rPr>
            </w:pPr>
            <w:r w:rsidRPr="00CB10AD">
              <w:rPr>
                <w:rFonts w:cs="Times New Roman"/>
                <w:b/>
                <w:bCs/>
                <w:color w:val="000000"/>
                <w:lang w:val="en-AU" w:eastAsia="en-AU"/>
              </w:rPr>
              <w:t>Financial</w:t>
            </w:r>
          </w:p>
        </w:tc>
        <w:tc>
          <w:tcPr>
            <w:tcW w:w="1480" w:type="dxa"/>
            <w:tcBorders>
              <w:top w:val="nil"/>
              <w:left w:val="nil"/>
              <w:bottom w:val="single" w:sz="4" w:space="0" w:color="auto"/>
              <w:right w:val="single" w:sz="4"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15</w:t>
            </w:r>
          </w:p>
        </w:tc>
        <w:tc>
          <w:tcPr>
            <w:tcW w:w="1480" w:type="dxa"/>
            <w:tcBorders>
              <w:top w:val="nil"/>
              <w:left w:val="nil"/>
              <w:bottom w:val="single" w:sz="4" w:space="0" w:color="auto"/>
              <w:right w:val="single" w:sz="8" w:space="0" w:color="auto"/>
            </w:tcBorders>
            <w:shd w:val="clear" w:color="auto" w:fill="auto"/>
            <w:noWrap/>
            <w:vAlign w:val="center"/>
            <w:hideMark/>
          </w:tcPr>
          <w:p w:rsidR="00F6127C" w:rsidRPr="00CB10AD" w:rsidRDefault="00F6127C" w:rsidP="00510D10">
            <w:pPr>
              <w:keepNext/>
              <w:jc w:val="center"/>
              <w:rPr>
                <w:rFonts w:cs="Times New Roman"/>
                <w:bCs/>
                <w:color w:val="000000"/>
                <w:lang w:val="en-AU" w:eastAsia="en-AU"/>
              </w:rPr>
            </w:pPr>
            <w:r w:rsidRPr="00CB10AD">
              <w:rPr>
                <w:rFonts w:cs="Times New Roman"/>
                <w:bCs/>
                <w:color w:val="000000"/>
                <w:lang w:val="en-AU" w:eastAsia="en-AU"/>
              </w:rPr>
              <w:t>313</w:t>
            </w:r>
          </w:p>
        </w:tc>
      </w:tr>
      <w:tr w:rsidR="00F6127C" w:rsidRPr="00CB10AD" w:rsidTr="00C7786C">
        <w:trPr>
          <w:trHeight w:val="397"/>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6127C" w:rsidRPr="00CB10AD" w:rsidRDefault="00F6127C" w:rsidP="00510D10">
            <w:pPr>
              <w:keepNext/>
              <w:rPr>
                <w:rFonts w:cs="Times New Roman"/>
                <w:b/>
                <w:bCs/>
                <w:color w:val="000000"/>
                <w:lang w:val="en-AU" w:eastAsia="en-AU"/>
              </w:rPr>
            </w:pPr>
            <w:r w:rsidRPr="00CB10AD">
              <w:rPr>
                <w:rFonts w:cs="Times New Roman"/>
                <w:b/>
                <w:bCs/>
                <w:color w:val="000000"/>
                <w:lang w:val="en-AU" w:eastAsia="en-AU"/>
              </w:rPr>
              <w:t>Reporting</w:t>
            </w:r>
          </w:p>
        </w:tc>
        <w:tc>
          <w:tcPr>
            <w:tcW w:w="1480" w:type="dxa"/>
            <w:tcBorders>
              <w:top w:val="nil"/>
              <w:left w:val="nil"/>
              <w:bottom w:val="single" w:sz="4" w:space="0" w:color="auto"/>
              <w:right w:val="single" w:sz="4"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5</w:t>
            </w:r>
          </w:p>
        </w:tc>
        <w:tc>
          <w:tcPr>
            <w:tcW w:w="1480" w:type="dxa"/>
            <w:tcBorders>
              <w:top w:val="nil"/>
              <w:left w:val="nil"/>
              <w:bottom w:val="single" w:sz="4" w:space="0" w:color="auto"/>
              <w:right w:val="single" w:sz="8"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124</w:t>
            </w:r>
          </w:p>
        </w:tc>
      </w:tr>
      <w:tr w:rsidR="00F6127C" w:rsidRPr="00CB10AD" w:rsidTr="00C7786C">
        <w:trPr>
          <w:trHeight w:val="397"/>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F6127C" w:rsidRPr="00CB10AD" w:rsidRDefault="00F6127C" w:rsidP="00510D10">
            <w:pPr>
              <w:keepNext/>
              <w:rPr>
                <w:rFonts w:cs="Times New Roman"/>
                <w:b/>
                <w:bCs/>
                <w:color w:val="000000"/>
                <w:lang w:val="en-AU" w:eastAsia="en-AU"/>
              </w:rPr>
            </w:pPr>
            <w:r w:rsidRPr="00CB10AD">
              <w:rPr>
                <w:rFonts w:cs="Times New Roman"/>
                <w:b/>
                <w:bCs/>
                <w:color w:val="000000"/>
                <w:lang w:val="en-AU" w:eastAsia="en-AU"/>
              </w:rPr>
              <w:t>Program</w:t>
            </w:r>
          </w:p>
        </w:tc>
        <w:tc>
          <w:tcPr>
            <w:tcW w:w="1480" w:type="dxa"/>
            <w:tcBorders>
              <w:top w:val="nil"/>
              <w:left w:val="nil"/>
              <w:bottom w:val="single" w:sz="4" w:space="0" w:color="auto"/>
              <w:right w:val="single" w:sz="4"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2</w:t>
            </w:r>
          </w:p>
        </w:tc>
        <w:tc>
          <w:tcPr>
            <w:tcW w:w="1480" w:type="dxa"/>
            <w:tcBorders>
              <w:top w:val="nil"/>
              <w:left w:val="nil"/>
              <w:bottom w:val="single" w:sz="4" w:space="0" w:color="auto"/>
              <w:right w:val="single" w:sz="8" w:space="0" w:color="auto"/>
            </w:tcBorders>
            <w:shd w:val="clear" w:color="auto" w:fill="auto"/>
            <w:noWrap/>
            <w:vAlign w:val="center"/>
            <w:hideMark/>
          </w:tcPr>
          <w:p w:rsidR="00F6127C" w:rsidRPr="00CB10AD" w:rsidRDefault="00F6127C" w:rsidP="00510D10">
            <w:pPr>
              <w:keepNext/>
              <w:jc w:val="center"/>
              <w:rPr>
                <w:rFonts w:cs="Times New Roman"/>
                <w:color w:val="000000"/>
                <w:lang w:val="en-AU" w:eastAsia="en-AU"/>
              </w:rPr>
            </w:pPr>
            <w:r w:rsidRPr="00CB10AD">
              <w:rPr>
                <w:rFonts w:cs="Times New Roman"/>
                <w:color w:val="000000"/>
                <w:lang w:val="en-AU" w:eastAsia="en-AU"/>
              </w:rPr>
              <w:t>13</w:t>
            </w:r>
          </w:p>
        </w:tc>
      </w:tr>
      <w:tr w:rsidR="00F6127C" w:rsidRPr="00CB10AD" w:rsidTr="00C7786C">
        <w:trPr>
          <w:trHeight w:val="397"/>
          <w:jc w:val="center"/>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rsidR="00F6127C" w:rsidRPr="00CB10AD" w:rsidRDefault="00F6127C" w:rsidP="00510D10">
            <w:pPr>
              <w:keepNext/>
              <w:rPr>
                <w:rFonts w:cs="Times New Roman"/>
                <w:b/>
                <w:bCs/>
                <w:color w:val="000000"/>
                <w:lang w:val="en-AU" w:eastAsia="en-AU"/>
              </w:rPr>
            </w:pPr>
            <w:r w:rsidRPr="00CB10AD">
              <w:rPr>
                <w:rFonts w:cs="Times New Roman"/>
                <w:b/>
                <w:bCs/>
                <w:color w:val="000000"/>
                <w:lang w:val="en-AU" w:eastAsia="en-AU"/>
              </w:rPr>
              <w:t>Total</w:t>
            </w:r>
          </w:p>
        </w:tc>
        <w:tc>
          <w:tcPr>
            <w:tcW w:w="1480" w:type="dxa"/>
            <w:tcBorders>
              <w:top w:val="nil"/>
              <w:left w:val="nil"/>
              <w:bottom w:val="single" w:sz="8" w:space="0" w:color="auto"/>
              <w:right w:val="single" w:sz="4" w:space="0" w:color="auto"/>
            </w:tcBorders>
            <w:shd w:val="clear" w:color="auto" w:fill="auto"/>
            <w:noWrap/>
            <w:vAlign w:val="center"/>
            <w:hideMark/>
          </w:tcPr>
          <w:p w:rsidR="00F6127C" w:rsidRPr="00CB10AD" w:rsidRDefault="00F6127C" w:rsidP="00510D10">
            <w:pPr>
              <w:keepNext/>
              <w:jc w:val="center"/>
              <w:rPr>
                <w:rFonts w:cs="Times New Roman"/>
                <w:b/>
                <w:bCs/>
                <w:color w:val="000000"/>
                <w:lang w:val="en-AU" w:eastAsia="en-AU"/>
              </w:rPr>
            </w:pPr>
            <w:r w:rsidRPr="00CB10AD">
              <w:rPr>
                <w:rFonts w:cs="Times New Roman"/>
                <w:b/>
                <w:bCs/>
                <w:color w:val="000000"/>
                <w:lang w:val="en-AU" w:eastAsia="en-AU"/>
              </w:rPr>
              <w:t>27</w:t>
            </w:r>
          </w:p>
        </w:tc>
        <w:tc>
          <w:tcPr>
            <w:tcW w:w="1480" w:type="dxa"/>
            <w:tcBorders>
              <w:top w:val="nil"/>
              <w:left w:val="nil"/>
              <w:bottom w:val="single" w:sz="8" w:space="0" w:color="auto"/>
              <w:right w:val="single" w:sz="8" w:space="0" w:color="auto"/>
            </w:tcBorders>
            <w:shd w:val="clear" w:color="auto" w:fill="auto"/>
            <w:noWrap/>
            <w:vAlign w:val="center"/>
            <w:hideMark/>
          </w:tcPr>
          <w:p w:rsidR="00F6127C" w:rsidRPr="00CB10AD" w:rsidRDefault="00F6127C" w:rsidP="00510D10">
            <w:pPr>
              <w:keepNext/>
              <w:jc w:val="center"/>
              <w:rPr>
                <w:rFonts w:cs="Times New Roman"/>
                <w:b/>
                <w:bCs/>
                <w:color w:val="000000"/>
                <w:lang w:val="en-AU" w:eastAsia="en-AU"/>
              </w:rPr>
            </w:pPr>
            <w:r w:rsidRPr="00CB10AD">
              <w:rPr>
                <w:rFonts w:cs="Times New Roman"/>
                <w:b/>
                <w:bCs/>
                <w:color w:val="000000"/>
                <w:lang w:val="en-AU" w:eastAsia="en-AU"/>
              </w:rPr>
              <w:t>534</w:t>
            </w:r>
          </w:p>
        </w:tc>
      </w:tr>
    </w:tbl>
    <w:p w:rsidR="00F6127C" w:rsidRPr="00CB10AD" w:rsidRDefault="00E21FF4" w:rsidP="00510D10">
      <w:pPr>
        <w:keepNext/>
        <w:spacing w:before="120" w:after="120" w:line="276" w:lineRule="auto"/>
        <w:jc w:val="center"/>
        <w:rPr>
          <w:bCs/>
          <w:i/>
          <w:sz w:val="20"/>
          <w:szCs w:val="20"/>
          <w:lang w:val="en-AU"/>
        </w:rPr>
      </w:pPr>
      <w:r w:rsidRPr="00CB10AD">
        <w:rPr>
          <w:bCs/>
          <w:i/>
          <w:sz w:val="20"/>
          <w:szCs w:val="20"/>
          <w:lang w:val="en-AU"/>
        </w:rPr>
        <w:t xml:space="preserve">Source: </w:t>
      </w:r>
      <w:r w:rsidR="00233B22" w:rsidRPr="00CB10AD">
        <w:rPr>
          <w:bCs/>
          <w:i/>
          <w:sz w:val="20"/>
          <w:szCs w:val="20"/>
          <w:lang w:val="en-AU"/>
        </w:rPr>
        <w:t>POM Compliance Audit Batch B Madrasah Accreditation Project Phase 1</w:t>
      </w:r>
    </w:p>
    <w:p w:rsidR="00F6127C" w:rsidRPr="00CB10AD" w:rsidRDefault="00E21FF4" w:rsidP="00F6127C">
      <w:pPr>
        <w:spacing w:before="120" w:after="120" w:line="276" w:lineRule="auto"/>
        <w:jc w:val="both"/>
        <w:rPr>
          <w:lang w:val="en-AU"/>
        </w:rPr>
      </w:pPr>
      <w:r w:rsidRPr="00CB10AD">
        <w:rPr>
          <w:bCs/>
          <w:lang w:val="en-AU"/>
        </w:rPr>
        <w:t>T</w:t>
      </w:r>
      <w:r w:rsidR="00F6127C" w:rsidRPr="00CB10AD">
        <w:rPr>
          <w:bCs/>
          <w:lang w:val="en-AU"/>
        </w:rPr>
        <w:t xml:space="preserve">he SSQ evaluation of Phase 1 reported </w:t>
      </w:r>
      <w:r w:rsidR="00F6127C" w:rsidRPr="00CB10AD">
        <w:rPr>
          <w:lang w:val="en-AU"/>
        </w:rPr>
        <w:t>some differences in the efficiency of support provided to</w:t>
      </w:r>
      <w:r w:rsidR="00916740" w:rsidRPr="00CB10AD">
        <w:rPr>
          <w:lang w:val="en-AU"/>
        </w:rPr>
        <w:t xml:space="preserve"> those</w:t>
      </w:r>
      <w:r w:rsidR="00F6127C" w:rsidRPr="00CB10AD">
        <w:rPr>
          <w:lang w:val="en-AU"/>
        </w:rPr>
        <w:t xml:space="preserve"> Madrasah initially assessed as TT, C or B</w:t>
      </w:r>
      <w:r w:rsidR="00B438BC" w:rsidRPr="00CB10AD">
        <w:rPr>
          <w:rFonts w:ascii="Times New Roman" w:hAnsi="Times New Roman"/>
          <w:vertAlign w:val="superscript"/>
          <w:lang w:val="en-AU"/>
        </w:rPr>
        <w:endnoteReference w:id="41"/>
      </w:r>
      <w:r w:rsidR="00B438BC" w:rsidRPr="00CB10AD">
        <w:rPr>
          <w:lang w:val="en-AU"/>
        </w:rPr>
        <w:t>.</w:t>
      </w:r>
      <w:r w:rsidR="00E91B37" w:rsidRPr="00CB10AD">
        <w:rPr>
          <w:lang w:val="en-AU"/>
        </w:rPr>
        <w:t xml:space="preserve"> T</w:t>
      </w:r>
      <w:r w:rsidR="00F6127C" w:rsidRPr="00CB10AD">
        <w:rPr>
          <w:lang w:val="en-AU"/>
        </w:rPr>
        <w:t xml:space="preserve">he cost to improve Madrasah that achieve a level B in the baseline simulated accreditation is </w:t>
      </w:r>
      <w:r w:rsidRPr="00CB10AD">
        <w:rPr>
          <w:lang w:val="en-AU"/>
        </w:rPr>
        <w:t>much</w:t>
      </w:r>
      <w:r w:rsidR="00F6127C" w:rsidRPr="00CB10AD">
        <w:rPr>
          <w:lang w:val="en-AU"/>
        </w:rPr>
        <w:t xml:space="preserve"> high</w:t>
      </w:r>
      <w:r w:rsidRPr="00CB10AD">
        <w:rPr>
          <w:lang w:val="en-AU"/>
        </w:rPr>
        <w:t>er</w:t>
      </w:r>
      <w:r w:rsidR="00F6127C" w:rsidRPr="00CB10AD">
        <w:rPr>
          <w:lang w:val="en-AU"/>
        </w:rPr>
        <w:t xml:space="preserve"> (over four times </w:t>
      </w:r>
      <w:r w:rsidRPr="00CB10AD">
        <w:rPr>
          <w:lang w:val="en-AU"/>
        </w:rPr>
        <w:t>as high</w:t>
      </w:r>
      <w:r w:rsidR="00F6127C" w:rsidRPr="00CB10AD">
        <w:rPr>
          <w:lang w:val="en-AU"/>
        </w:rPr>
        <w:t xml:space="preserve">) </w:t>
      </w:r>
      <w:r w:rsidRPr="00CB10AD">
        <w:rPr>
          <w:lang w:val="en-AU"/>
        </w:rPr>
        <w:t xml:space="preserve">than </w:t>
      </w:r>
      <w:r w:rsidR="00F6127C" w:rsidRPr="00CB10AD">
        <w:rPr>
          <w:lang w:val="en-AU"/>
        </w:rPr>
        <w:t xml:space="preserve">the cost of similar improvements for </w:t>
      </w:r>
      <w:r w:rsidRPr="00CB10AD">
        <w:rPr>
          <w:lang w:val="en-AU"/>
        </w:rPr>
        <w:t>M</w:t>
      </w:r>
      <w:r w:rsidR="00F6127C" w:rsidRPr="00CB10AD">
        <w:rPr>
          <w:lang w:val="en-AU"/>
        </w:rPr>
        <w:t xml:space="preserve">adrasah initially assessed as level TT. In addition, Madrasah that </w:t>
      </w:r>
      <w:r w:rsidRPr="00CB10AD">
        <w:rPr>
          <w:lang w:val="en-AU"/>
        </w:rPr>
        <w:t xml:space="preserve">had </w:t>
      </w:r>
      <w:r w:rsidR="00F6127C" w:rsidRPr="00CB10AD">
        <w:rPr>
          <w:lang w:val="en-AU"/>
        </w:rPr>
        <w:t>already achieve</w:t>
      </w:r>
      <w:r w:rsidRPr="00CB10AD">
        <w:rPr>
          <w:lang w:val="en-AU"/>
        </w:rPr>
        <w:t>d</w:t>
      </w:r>
      <w:r w:rsidR="00F6127C" w:rsidRPr="00CB10AD">
        <w:rPr>
          <w:lang w:val="en-AU"/>
        </w:rPr>
        <w:t xml:space="preserve"> a level B in the baseline simulated accreditation only achieve small improvements against the NES and </w:t>
      </w:r>
      <w:r w:rsidRPr="00CB10AD">
        <w:rPr>
          <w:lang w:val="en-AU"/>
        </w:rPr>
        <w:t>it</w:t>
      </w:r>
      <w:r w:rsidR="00F6127C" w:rsidRPr="00CB10AD">
        <w:rPr>
          <w:lang w:val="en-AU"/>
        </w:rPr>
        <w:t xml:space="preserve"> could </w:t>
      </w:r>
      <w:r w:rsidRPr="00CB10AD">
        <w:rPr>
          <w:lang w:val="en-AU"/>
        </w:rPr>
        <w:t xml:space="preserve">be </w:t>
      </w:r>
      <w:r w:rsidR="00F6127C" w:rsidRPr="00CB10AD">
        <w:rPr>
          <w:lang w:val="en-AU"/>
        </w:rPr>
        <w:t>argue</w:t>
      </w:r>
      <w:r w:rsidRPr="00CB10AD">
        <w:rPr>
          <w:lang w:val="en-AU"/>
        </w:rPr>
        <w:t>d</w:t>
      </w:r>
      <w:r w:rsidR="00F6127C" w:rsidRPr="00CB10AD">
        <w:rPr>
          <w:lang w:val="en-AU"/>
        </w:rPr>
        <w:t xml:space="preserve"> they would have been accredited regardless of support from the E</w:t>
      </w:r>
      <w:r w:rsidRPr="00CB10AD">
        <w:rPr>
          <w:lang w:val="en-AU"/>
        </w:rPr>
        <w:t>P</w:t>
      </w:r>
      <w:r w:rsidR="00F6127C" w:rsidRPr="00CB10AD">
        <w:rPr>
          <w:lang w:val="en-AU"/>
        </w:rPr>
        <w:t xml:space="preserve">. This calls for a more acute targeting of Madrasah with low initial standards (TT if possible). </w:t>
      </w: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Effectiveness</w:t>
      </w:r>
    </w:p>
    <w:p w:rsidR="00F6127C" w:rsidRPr="00CB10AD" w:rsidRDefault="00F6127C" w:rsidP="00F6127C">
      <w:pPr>
        <w:spacing w:before="120" w:after="120" w:line="276" w:lineRule="auto"/>
        <w:jc w:val="both"/>
        <w:rPr>
          <w:bCs/>
          <w:lang w:val="en-AU"/>
        </w:rPr>
      </w:pPr>
      <w:r w:rsidRPr="00CB10AD">
        <w:rPr>
          <w:bCs/>
          <w:lang w:val="en-AU"/>
        </w:rPr>
        <w:t xml:space="preserve">While it is too early to </w:t>
      </w:r>
      <w:r w:rsidR="007269E9">
        <w:rPr>
          <w:bCs/>
          <w:lang w:val="en-AU"/>
        </w:rPr>
        <w:t>from a conclusive judgment</w:t>
      </w:r>
      <w:r w:rsidRPr="00CB10AD">
        <w:rPr>
          <w:bCs/>
          <w:lang w:val="en-AU"/>
        </w:rPr>
        <w:t xml:space="preserve"> on the achievement of EOPO 3, there are some preliminary suggestions</w:t>
      </w:r>
      <w:r w:rsidR="00B438BC" w:rsidRPr="00CB10AD">
        <w:rPr>
          <w:rFonts w:ascii="Times New Roman" w:hAnsi="Times New Roman"/>
          <w:bCs/>
          <w:vertAlign w:val="superscript"/>
          <w:lang w:val="en-AU"/>
        </w:rPr>
        <w:endnoteReference w:id="42"/>
      </w:r>
      <w:r w:rsidR="00B438BC" w:rsidRPr="00CB10AD">
        <w:rPr>
          <w:bCs/>
          <w:lang w:val="en-AU"/>
        </w:rPr>
        <w:t xml:space="preserve"> </w:t>
      </w:r>
      <w:r w:rsidRPr="00CB10AD">
        <w:rPr>
          <w:bCs/>
          <w:lang w:val="en-AU"/>
        </w:rPr>
        <w:t xml:space="preserve">that improved education service quality can be identified and attributed to EP support. These observations tend to suggest the EOPO is likely to be achieved within the lifetime of the </w:t>
      </w:r>
      <w:r w:rsidR="00E21FF4" w:rsidRPr="00CB10AD">
        <w:rPr>
          <w:bCs/>
          <w:lang w:val="en-AU"/>
        </w:rPr>
        <w:t>EP</w:t>
      </w:r>
      <w:r w:rsidRPr="00CB10AD">
        <w:rPr>
          <w:bCs/>
          <w:lang w:val="en-AU"/>
        </w:rPr>
        <w:t>.</w:t>
      </w:r>
      <w:r w:rsidR="00ED2DDA" w:rsidRPr="00CB10AD">
        <w:rPr>
          <w:bCs/>
          <w:lang w:val="en-AU"/>
        </w:rPr>
        <w:t xml:space="preserve"> </w:t>
      </w:r>
    </w:p>
    <w:p w:rsidR="00F6127C" w:rsidRPr="00CB10AD" w:rsidRDefault="00F6127C" w:rsidP="00F6127C">
      <w:pPr>
        <w:spacing w:before="120" w:after="120" w:line="276" w:lineRule="auto"/>
        <w:jc w:val="both"/>
        <w:rPr>
          <w:bCs/>
          <w:lang w:val="en-AU"/>
        </w:rPr>
      </w:pPr>
      <w:r w:rsidRPr="00CB10AD">
        <w:rPr>
          <w:bCs/>
          <w:lang w:val="en-AU"/>
        </w:rPr>
        <w:t>C3 supports SNIPs to provide training and mentoring services to Madrasah in their respective provinces. Whilst SNIP capacity to develop Madrasah has reportedly improved in the areas of networking and provision of training</w:t>
      </w:r>
      <w:r w:rsidR="00B438BC" w:rsidRPr="00CB10AD">
        <w:rPr>
          <w:rFonts w:ascii="Times New Roman" w:hAnsi="Times New Roman"/>
          <w:bCs/>
          <w:vertAlign w:val="superscript"/>
          <w:lang w:val="en-AU"/>
        </w:rPr>
        <w:endnoteReference w:id="43"/>
      </w:r>
      <w:r w:rsidR="00B438BC" w:rsidRPr="00CB10AD">
        <w:rPr>
          <w:bCs/>
          <w:lang w:val="en-AU"/>
        </w:rPr>
        <w:t>,</w:t>
      </w:r>
      <w:r w:rsidRPr="00CB10AD">
        <w:rPr>
          <w:bCs/>
          <w:lang w:val="en-AU"/>
        </w:rPr>
        <w:t xml:space="preserve"> significant future improvements (in SNIP capacity) are unlikely given the limited support to developing SNIP capacity and the lack of </w:t>
      </w:r>
      <w:r w:rsidR="00E21FF4" w:rsidRPr="00CB10AD">
        <w:rPr>
          <w:bCs/>
          <w:lang w:val="en-AU"/>
        </w:rPr>
        <w:t xml:space="preserve">a </w:t>
      </w:r>
      <w:r w:rsidRPr="00CB10AD">
        <w:rPr>
          <w:bCs/>
          <w:lang w:val="en-AU"/>
        </w:rPr>
        <w:t xml:space="preserve">dedicated strategy. This might </w:t>
      </w:r>
      <w:r w:rsidR="00916740" w:rsidRPr="00CB10AD">
        <w:rPr>
          <w:bCs/>
          <w:lang w:val="en-AU"/>
        </w:rPr>
        <w:t xml:space="preserve">eventually </w:t>
      </w:r>
      <w:r w:rsidRPr="00CB10AD">
        <w:rPr>
          <w:bCs/>
          <w:lang w:val="en-AU"/>
        </w:rPr>
        <w:t xml:space="preserve">affect </w:t>
      </w:r>
      <w:r w:rsidR="00916740" w:rsidRPr="00CB10AD">
        <w:rPr>
          <w:bCs/>
          <w:lang w:val="en-AU"/>
        </w:rPr>
        <w:t xml:space="preserve">the </w:t>
      </w:r>
      <w:r w:rsidRPr="00CB10AD">
        <w:rPr>
          <w:bCs/>
          <w:lang w:val="en-AU"/>
        </w:rPr>
        <w:t>ability</w:t>
      </w:r>
      <w:r w:rsidR="00916740" w:rsidRPr="00CB10AD">
        <w:rPr>
          <w:bCs/>
          <w:lang w:val="en-AU"/>
        </w:rPr>
        <w:t xml:space="preserve"> of SNIPs</w:t>
      </w:r>
      <w:r w:rsidR="002E1895" w:rsidRPr="00CB10AD">
        <w:rPr>
          <w:bCs/>
          <w:lang w:val="en-AU"/>
        </w:rPr>
        <w:t xml:space="preserve"> to build Madrasah capacity</w:t>
      </w:r>
      <w:r w:rsidRPr="00CB10AD">
        <w:rPr>
          <w:bCs/>
          <w:lang w:val="en-AU"/>
        </w:rPr>
        <w:t xml:space="preserve"> and</w:t>
      </w:r>
      <w:r w:rsidR="00916740" w:rsidRPr="00CB10AD">
        <w:rPr>
          <w:bCs/>
          <w:lang w:val="en-AU"/>
        </w:rPr>
        <w:t>,</w:t>
      </w:r>
      <w:r w:rsidRPr="00CB10AD">
        <w:rPr>
          <w:bCs/>
          <w:lang w:val="en-AU"/>
        </w:rPr>
        <w:t xml:space="preserve"> in turn</w:t>
      </w:r>
      <w:r w:rsidR="00916740" w:rsidRPr="00CB10AD">
        <w:rPr>
          <w:bCs/>
          <w:lang w:val="en-AU"/>
        </w:rPr>
        <w:t xml:space="preserve">, affect </w:t>
      </w:r>
      <w:r w:rsidR="00E21FF4" w:rsidRPr="00CB10AD">
        <w:rPr>
          <w:bCs/>
          <w:lang w:val="en-AU"/>
        </w:rPr>
        <w:t>the continuous improvement of M</w:t>
      </w:r>
      <w:r w:rsidRPr="00CB10AD">
        <w:rPr>
          <w:bCs/>
          <w:lang w:val="en-AU"/>
        </w:rPr>
        <w:t>adrasah targeted beyond the life and scope</w:t>
      </w:r>
      <w:r w:rsidR="00916740" w:rsidRPr="00CB10AD">
        <w:rPr>
          <w:bCs/>
          <w:lang w:val="en-AU"/>
        </w:rPr>
        <w:t xml:space="preserve"> of the EP</w:t>
      </w:r>
      <w:r w:rsidRPr="00CB10AD">
        <w:rPr>
          <w:bCs/>
          <w:lang w:val="en-AU"/>
        </w:rPr>
        <w:t xml:space="preserve">. </w:t>
      </w:r>
    </w:p>
    <w:p w:rsidR="00F6127C" w:rsidRPr="00CB10AD" w:rsidRDefault="00F6127C" w:rsidP="00F6127C">
      <w:pPr>
        <w:spacing w:before="120" w:after="120" w:line="276" w:lineRule="auto"/>
        <w:jc w:val="both"/>
        <w:rPr>
          <w:bCs/>
          <w:lang w:val="en-AU"/>
        </w:rPr>
      </w:pPr>
      <w:r w:rsidRPr="00CB10AD">
        <w:rPr>
          <w:bCs/>
          <w:lang w:val="en-AU"/>
        </w:rPr>
        <w:t>Meanwh</w:t>
      </w:r>
      <w:r w:rsidR="00E21FF4" w:rsidRPr="00CB10AD">
        <w:rPr>
          <w:bCs/>
          <w:lang w:val="en-AU"/>
        </w:rPr>
        <w:t>ile</w:t>
      </w:r>
      <w:r w:rsidR="00916740" w:rsidRPr="00CB10AD">
        <w:rPr>
          <w:bCs/>
          <w:lang w:val="en-AU"/>
        </w:rPr>
        <w:t>,</w:t>
      </w:r>
      <w:r w:rsidR="00E21FF4" w:rsidRPr="00CB10AD">
        <w:rPr>
          <w:bCs/>
          <w:lang w:val="en-AU"/>
        </w:rPr>
        <w:t xml:space="preserve"> and as reported in the POM EOPO 3 Evaluation Baseline Report (EBR)</w:t>
      </w:r>
      <w:r w:rsidRPr="00CB10AD">
        <w:rPr>
          <w:bCs/>
          <w:lang w:val="en-AU"/>
        </w:rPr>
        <w:t xml:space="preserve">, SNIP training services are generally well received and found to be useful. Many of the grant and non-grant Madrasah </w:t>
      </w:r>
      <w:r w:rsidR="00916740" w:rsidRPr="00CB10AD">
        <w:rPr>
          <w:bCs/>
          <w:lang w:val="en-AU"/>
        </w:rPr>
        <w:t xml:space="preserve">that </w:t>
      </w:r>
      <w:r w:rsidRPr="00CB10AD">
        <w:rPr>
          <w:bCs/>
          <w:lang w:val="en-AU"/>
        </w:rPr>
        <w:t xml:space="preserve">participated in the training have reportedly applied the learning in their Madrasah, leading to improved capacity in delivery of quality education demonstrated by improved teaching </w:t>
      </w:r>
      <w:r w:rsidRPr="00CB10AD">
        <w:rPr>
          <w:bCs/>
          <w:lang w:val="en-AU"/>
        </w:rPr>
        <w:lastRenderedPageBreak/>
        <w:t>practice</w:t>
      </w:r>
      <w:r w:rsidR="00B438BC" w:rsidRPr="00CB10AD">
        <w:rPr>
          <w:bCs/>
          <w:vertAlign w:val="superscript"/>
          <w:lang w:val="en-AU"/>
        </w:rPr>
        <w:endnoteReference w:id="44"/>
      </w:r>
      <w:r w:rsidR="00B438BC" w:rsidRPr="00CB10AD">
        <w:rPr>
          <w:bCs/>
          <w:lang w:val="en-AU"/>
        </w:rPr>
        <w:t>.</w:t>
      </w:r>
      <w:r w:rsidRPr="00CB10AD">
        <w:rPr>
          <w:bCs/>
          <w:lang w:val="en-AU"/>
        </w:rPr>
        <w:t xml:space="preserve"> The success of mentoring services is more nuanced, due to</w:t>
      </w:r>
      <w:r w:rsidR="00E21FF4" w:rsidRPr="00CB10AD">
        <w:rPr>
          <w:bCs/>
          <w:lang w:val="en-AU"/>
        </w:rPr>
        <w:t xml:space="preserve"> the</w:t>
      </w:r>
      <w:r w:rsidRPr="00CB10AD">
        <w:rPr>
          <w:bCs/>
          <w:lang w:val="en-AU"/>
        </w:rPr>
        <w:t xml:space="preserve"> high variation in </w:t>
      </w:r>
      <w:r w:rsidR="00E21FF4" w:rsidRPr="00CB10AD">
        <w:rPr>
          <w:bCs/>
          <w:lang w:val="en-AU"/>
        </w:rPr>
        <w:t xml:space="preserve">the </w:t>
      </w:r>
      <w:r w:rsidRPr="00CB10AD">
        <w:rPr>
          <w:bCs/>
          <w:lang w:val="en-AU"/>
        </w:rPr>
        <w:t xml:space="preserve">quality of the mentors themselves, and </w:t>
      </w:r>
      <w:r w:rsidR="000B33F7" w:rsidRPr="00CB10AD">
        <w:rPr>
          <w:bCs/>
          <w:lang w:val="en-AU"/>
        </w:rPr>
        <w:t xml:space="preserve">the intensity and quality </w:t>
      </w:r>
      <w:r w:rsidR="00E21FF4" w:rsidRPr="00CB10AD">
        <w:rPr>
          <w:bCs/>
          <w:lang w:val="en-AU"/>
        </w:rPr>
        <w:t xml:space="preserve">of </w:t>
      </w:r>
      <w:r w:rsidRPr="00CB10AD">
        <w:rPr>
          <w:bCs/>
          <w:lang w:val="en-AU"/>
        </w:rPr>
        <w:t>their oversight (by SNIP</w:t>
      </w:r>
      <w:r w:rsidR="00E21FF4" w:rsidRPr="00CB10AD">
        <w:rPr>
          <w:bCs/>
          <w:lang w:val="en-AU"/>
        </w:rPr>
        <w:t>s</w:t>
      </w:r>
      <w:r w:rsidRPr="00CB10AD">
        <w:rPr>
          <w:bCs/>
          <w:lang w:val="en-AU"/>
        </w:rPr>
        <w:t xml:space="preserve">). </w:t>
      </w:r>
    </w:p>
    <w:p w:rsidR="00F6127C" w:rsidRPr="00CB10AD" w:rsidRDefault="00F6127C" w:rsidP="00F6127C">
      <w:pPr>
        <w:spacing w:before="120" w:after="120" w:line="276" w:lineRule="auto"/>
        <w:jc w:val="both"/>
        <w:rPr>
          <w:lang w:val="en-AU"/>
        </w:rPr>
      </w:pPr>
      <w:r w:rsidRPr="00CB10AD">
        <w:rPr>
          <w:bCs/>
          <w:lang w:val="en-AU"/>
        </w:rPr>
        <w:t xml:space="preserve">Direct support to Madrasah, in the form of block grants, appears effective: </w:t>
      </w:r>
      <w:r w:rsidRPr="00CB10AD">
        <w:rPr>
          <w:lang w:val="en-AU"/>
        </w:rPr>
        <w:t>analysis of the Phase 1 endline data indicates that improvement in supported madrasah ha</w:t>
      </w:r>
      <w:r w:rsidR="006A3730" w:rsidRPr="00CB10AD">
        <w:rPr>
          <w:lang w:val="en-AU"/>
        </w:rPr>
        <w:t>s</w:t>
      </w:r>
      <w:r w:rsidRPr="00CB10AD">
        <w:rPr>
          <w:lang w:val="en-AU"/>
        </w:rPr>
        <w:t xml:space="preserve"> exceeded the target of the MoRA Renstra (50% B or better) with an estimated 92% of target</w:t>
      </w:r>
      <w:r w:rsidR="00E21FF4" w:rsidRPr="00CB10AD">
        <w:rPr>
          <w:lang w:val="en-AU"/>
        </w:rPr>
        <w:t>ed M</w:t>
      </w:r>
      <w:r w:rsidRPr="00CB10AD">
        <w:rPr>
          <w:lang w:val="en-AU"/>
        </w:rPr>
        <w:t>adrasah achieving B or A and</w:t>
      </w:r>
      <w:r w:rsidR="00ED2DDA" w:rsidRPr="00CB10AD">
        <w:rPr>
          <w:lang w:val="en-AU"/>
        </w:rPr>
        <w:t xml:space="preserve"> </w:t>
      </w:r>
      <w:r w:rsidRPr="00CB10AD">
        <w:rPr>
          <w:lang w:val="en-AU"/>
        </w:rPr>
        <w:t>with greater improvement in MI levels than MTs</w:t>
      </w:r>
      <w:r w:rsidR="00B70F7C" w:rsidRPr="00CB10AD">
        <w:rPr>
          <w:rStyle w:val="EndnoteReference"/>
          <w:lang w:val="en-AU"/>
        </w:rPr>
        <w:endnoteReference w:id="45"/>
      </w:r>
      <w:r w:rsidRPr="00CB10AD">
        <w:rPr>
          <w:lang w:val="en-AU"/>
        </w:rPr>
        <w:t xml:space="preserve">. Based on a </w:t>
      </w:r>
      <w:r w:rsidR="005A3270" w:rsidRPr="00CB10AD">
        <w:rPr>
          <w:lang w:val="en-AU"/>
        </w:rPr>
        <w:t xml:space="preserve">preliminary </w:t>
      </w:r>
      <w:r w:rsidRPr="00CB10AD">
        <w:rPr>
          <w:lang w:val="en-AU"/>
        </w:rPr>
        <w:t xml:space="preserve">analysis of Phase 2 progress, the </w:t>
      </w:r>
      <w:r w:rsidR="00E21FF4" w:rsidRPr="00CB10AD">
        <w:rPr>
          <w:lang w:val="en-AU"/>
        </w:rPr>
        <w:t xml:space="preserve">POM </w:t>
      </w:r>
      <w:r w:rsidRPr="00CB10AD">
        <w:rPr>
          <w:lang w:val="en-AU"/>
        </w:rPr>
        <w:t xml:space="preserve">EBR identifies </w:t>
      </w:r>
      <w:r w:rsidRPr="00CB10AD">
        <w:rPr>
          <w:bCs/>
          <w:lang w:val="en-AU"/>
        </w:rPr>
        <w:t xml:space="preserve">Madrasah preparedness to receive the grant as a critical factor of success, i.e. the initial planning and budgetary allocations for the grant and the socialisation strategies employed by Madrasah to raise community awareness and support. While there are some concerns that EP block grants may inhibit other external funding and community support, there is so far no indication that it does. </w:t>
      </w: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Impact</w:t>
      </w:r>
    </w:p>
    <w:p w:rsidR="00F6127C" w:rsidRPr="00CB10AD" w:rsidRDefault="00F6127C" w:rsidP="00F6127C">
      <w:pPr>
        <w:spacing w:before="120" w:after="120" w:line="276" w:lineRule="auto"/>
        <w:jc w:val="both"/>
        <w:rPr>
          <w:bCs/>
          <w:lang w:val="en-AU"/>
        </w:rPr>
      </w:pPr>
      <w:r w:rsidRPr="00CB10AD">
        <w:rPr>
          <w:bCs/>
          <w:lang w:val="en-AU"/>
        </w:rPr>
        <w:t xml:space="preserve">The expected impacts remain unclear at this stage, though two categories can be distinguished: individual impact at </w:t>
      </w:r>
      <w:r w:rsidR="00B70F7C" w:rsidRPr="00CB10AD">
        <w:rPr>
          <w:bCs/>
          <w:lang w:val="en-AU"/>
        </w:rPr>
        <w:t xml:space="preserve">individual </w:t>
      </w:r>
      <w:r w:rsidRPr="00CB10AD">
        <w:rPr>
          <w:bCs/>
          <w:lang w:val="en-AU"/>
        </w:rPr>
        <w:t>madrasah level (</w:t>
      </w:r>
      <w:r w:rsidR="00B70F7C" w:rsidRPr="00CB10AD">
        <w:rPr>
          <w:bCs/>
          <w:lang w:val="en-AU"/>
        </w:rPr>
        <w:t xml:space="preserve">e.g. </w:t>
      </w:r>
      <w:r w:rsidRPr="00CB10AD">
        <w:rPr>
          <w:bCs/>
          <w:lang w:val="en-AU"/>
        </w:rPr>
        <w:t>change in quality of education services and in madrasah capacity to attract external support) and systemic impact at nationwide/targeted provinces level (change in capacity to support and assess madrasah continuous improvement process). Whilst the impact on participating madrasah is likely to be high, the level of systemic change generated and/or supported by the EP remains uncertain.</w:t>
      </w:r>
    </w:p>
    <w:p w:rsidR="00F6127C" w:rsidRPr="00CB10AD" w:rsidRDefault="00F6127C" w:rsidP="00F6127C">
      <w:pPr>
        <w:spacing w:before="120" w:after="120" w:line="276" w:lineRule="auto"/>
        <w:jc w:val="both"/>
        <w:rPr>
          <w:bCs/>
          <w:lang w:val="en-AU"/>
        </w:rPr>
      </w:pPr>
      <w:r w:rsidRPr="00CB10AD">
        <w:rPr>
          <w:bCs/>
          <w:lang w:val="en-AU"/>
        </w:rPr>
        <w:t>Tangible and incremental gains, such as improvement</w:t>
      </w:r>
      <w:r w:rsidR="00112EBB" w:rsidRPr="00CB10AD">
        <w:rPr>
          <w:bCs/>
          <w:lang w:val="en-AU"/>
        </w:rPr>
        <w:t>s</w:t>
      </w:r>
      <w:r w:rsidRPr="00CB10AD">
        <w:rPr>
          <w:bCs/>
          <w:lang w:val="en-AU"/>
        </w:rPr>
        <w:t xml:space="preserve"> in facilities</w:t>
      </w:r>
      <w:r w:rsidR="00112EBB" w:rsidRPr="00CB10AD">
        <w:rPr>
          <w:bCs/>
          <w:lang w:val="en-AU"/>
        </w:rPr>
        <w:t>’</w:t>
      </w:r>
      <w:r w:rsidRPr="00CB10AD">
        <w:rPr>
          <w:bCs/>
          <w:lang w:val="en-AU"/>
        </w:rPr>
        <w:t xml:space="preserve"> condition and teaching quality, are already observable in individual Madrasah, mostly in madrasah that receive block grants but also in non-participating madrasah that still receive SNIP support. As reported in the SSQ evaluation of Phase 1, changes in the latter category are greater</w:t>
      </w:r>
      <w:r w:rsidR="00B70F7C" w:rsidRPr="00CB10AD">
        <w:rPr>
          <w:bCs/>
          <w:lang w:val="en-AU"/>
        </w:rPr>
        <w:t xml:space="preserve"> </w:t>
      </w:r>
      <w:r w:rsidRPr="00CB10AD">
        <w:rPr>
          <w:bCs/>
          <w:lang w:val="en-AU"/>
        </w:rPr>
        <w:t>than</w:t>
      </w:r>
      <w:r w:rsidR="00B70F7C" w:rsidRPr="00CB10AD">
        <w:rPr>
          <w:bCs/>
          <w:lang w:val="en-AU"/>
        </w:rPr>
        <w:t xml:space="preserve"> </w:t>
      </w:r>
      <w:r w:rsidRPr="00CB10AD">
        <w:rPr>
          <w:bCs/>
          <w:lang w:val="en-AU"/>
        </w:rPr>
        <w:t>expected and cover both physical and management issues. These changes may</w:t>
      </w:r>
      <w:r w:rsidR="00B70F7C" w:rsidRPr="00CB10AD">
        <w:rPr>
          <w:bCs/>
          <w:lang w:val="en-AU"/>
        </w:rPr>
        <w:t>,</w:t>
      </w:r>
      <w:r w:rsidRPr="00CB10AD">
        <w:rPr>
          <w:bCs/>
          <w:lang w:val="en-AU"/>
        </w:rPr>
        <w:t xml:space="preserve"> </w:t>
      </w:r>
      <w:r w:rsidR="00112EBB" w:rsidRPr="00CB10AD">
        <w:rPr>
          <w:bCs/>
          <w:lang w:val="en-AU"/>
        </w:rPr>
        <w:t>in part</w:t>
      </w:r>
      <w:r w:rsidR="00B70F7C" w:rsidRPr="00CB10AD">
        <w:rPr>
          <w:bCs/>
          <w:lang w:val="en-AU"/>
        </w:rPr>
        <w:t>,</w:t>
      </w:r>
      <w:r w:rsidR="00112EBB" w:rsidRPr="00CB10AD">
        <w:rPr>
          <w:bCs/>
          <w:lang w:val="en-AU"/>
        </w:rPr>
        <w:t xml:space="preserve"> </w:t>
      </w:r>
      <w:r w:rsidRPr="00CB10AD">
        <w:rPr>
          <w:bCs/>
          <w:lang w:val="en-AU"/>
        </w:rPr>
        <w:t xml:space="preserve">be spurred </w:t>
      </w:r>
      <w:r w:rsidR="00112EBB" w:rsidRPr="00CB10AD">
        <w:rPr>
          <w:bCs/>
          <w:lang w:val="en-AU"/>
        </w:rPr>
        <w:t xml:space="preserve">on </w:t>
      </w:r>
      <w:r w:rsidRPr="00CB10AD">
        <w:rPr>
          <w:bCs/>
          <w:lang w:val="en-AU"/>
        </w:rPr>
        <w:t>by the sharing of participating Madrasah</w:t>
      </w:r>
      <w:r w:rsidR="002E1895" w:rsidRPr="00CB10AD">
        <w:rPr>
          <w:bCs/>
          <w:lang w:val="en-AU"/>
        </w:rPr>
        <w:t>s’</w:t>
      </w:r>
      <w:r w:rsidRPr="00CB10AD">
        <w:rPr>
          <w:bCs/>
          <w:lang w:val="en-AU"/>
        </w:rPr>
        <w:t xml:space="preserve"> learning and experience in Madrasah Principal Working Groups (KKM) and by the follow-up support provided by supervisors. It is therefore suggested that significant gains to the quality of Madrasah may be achievable by supporting KKM and the improvement in the quality of supervisors.</w:t>
      </w:r>
    </w:p>
    <w:p w:rsidR="00F6127C" w:rsidRPr="00CB10AD" w:rsidRDefault="00F6127C" w:rsidP="00F6127C">
      <w:pPr>
        <w:spacing w:before="120" w:after="120" w:line="276" w:lineRule="auto"/>
        <w:jc w:val="both"/>
        <w:rPr>
          <w:bCs/>
          <w:lang w:val="en-AU"/>
        </w:rPr>
      </w:pPr>
      <w:r w:rsidRPr="00CB10AD">
        <w:rPr>
          <w:bCs/>
          <w:lang w:val="en-AU"/>
        </w:rPr>
        <w:t>Less observable are general changes in the madrasah capacity to attract financial or technical support from sources outside the EP. That is unsurprising as this is mainly based on the assumption that as the quality of the Madrasah is seen to improve, community (and other) support for the Madrasah will increase, leading to increased financial and in-kind support to the Madrasah. Therefore any substantial change would not be expected for some time after observable improvements to Madrasah have occurred. There are no indications of a decrease in funding from other sources during the period of support</w:t>
      </w:r>
      <w:r w:rsidR="00B438BC" w:rsidRPr="00CB10AD">
        <w:rPr>
          <w:vertAlign w:val="superscript"/>
          <w:lang w:val="en-AU"/>
        </w:rPr>
        <w:endnoteReference w:id="46"/>
      </w:r>
      <w:r w:rsidR="00B438BC" w:rsidRPr="00CB10AD">
        <w:rPr>
          <w:bCs/>
          <w:lang w:val="en-AU"/>
        </w:rPr>
        <w:t>.</w:t>
      </w:r>
      <w:r w:rsidRPr="00CB10AD">
        <w:rPr>
          <w:bCs/>
          <w:lang w:val="en-AU"/>
        </w:rPr>
        <w:t xml:space="preserve"> </w:t>
      </w:r>
    </w:p>
    <w:p w:rsidR="00F6127C" w:rsidRPr="00CB10AD" w:rsidRDefault="00F6127C" w:rsidP="00F6127C">
      <w:pPr>
        <w:spacing w:before="120" w:after="120" w:line="276" w:lineRule="auto"/>
        <w:jc w:val="both"/>
        <w:rPr>
          <w:bCs/>
          <w:lang w:val="en-AU"/>
        </w:rPr>
      </w:pPr>
      <w:r w:rsidRPr="00CB10AD">
        <w:rPr>
          <w:bCs/>
          <w:lang w:val="en-AU"/>
        </w:rPr>
        <w:t>The current perspective on systemic change is less favourable</w:t>
      </w:r>
      <w:r w:rsidR="00112EBB" w:rsidRPr="00CB10AD">
        <w:rPr>
          <w:bCs/>
          <w:lang w:val="en-AU"/>
        </w:rPr>
        <w:t>;</w:t>
      </w:r>
      <w:r w:rsidRPr="00CB10AD">
        <w:rPr>
          <w:bCs/>
          <w:lang w:val="en-AU"/>
        </w:rPr>
        <w:t xml:space="preserve"> as a legacy of the EP design, there continues to be no clarity about the nature of the EP support to systemic change and the expected results. This situation, coupled with the absence of a MoRA strategic framework for Madrasah continuous quality improvement, jeopardises the ability to scale-up benefits of the EP investment: the impact of the EP achievements risks being restricted to participating Madrasah, or at the very best to non-participating Madrasah in SNIP supported provinces. </w:t>
      </w:r>
    </w:p>
    <w:p w:rsidR="00F6127C" w:rsidRPr="00CB10AD" w:rsidRDefault="00F6127C" w:rsidP="00F6127C">
      <w:pPr>
        <w:keepNext/>
        <w:numPr>
          <w:ilvl w:val="2"/>
          <w:numId w:val="9"/>
        </w:numPr>
        <w:spacing w:line="276" w:lineRule="auto"/>
        <w:ind w:left="720"/>
        <w:outlineLvl w:val="2"/>
        <w:rPr>
          <w:bCs/>
          <w:color w:val="003880"/>
          <w:sz w:val="24"/>
          <w:szCs w:val="28"/>
          <w:lang w:val="en-AU"/>
        </w:rPr>
      </w:pPr>
      <w:r w:rsidRPr="00CB10AD">
        <w:rPr>
          <w:bCs/>
          <w:color w:val="003880"/>
          <w:sz w:val="24"/>
          <w:szCs w:val="28"/>
          <w:lang w:val="en-AU"/>
        </w:rPr>
        <w:t>Sustainability</w:t>
      </w:r>
    </w:p>
    <w:p w:rsidR="00F6127C" w:rsidRPr="00CB10AD" w:rsidRDefault="00F6127C" w:rsidP="00F6127C">
      <w:pPr>
        <w:spacing w:before="120" w:after="120" w:line="276" w:lineRule="auto"/>
        <w:jc w:val="both"/>
        <w:rPr>
          <w:bCs/>
          <w:lang w:val="en-AU"/>
        </w:rPr>
      </w:pPr>
      <w:r w:rsidRPr="00CB10AD">
        <w:rPr>
          <w:lang w:val="en-AU"/>
        </w:rPr>
        <w:t>The extent to which EP supported achievements and benefits will be sustained remains uncertain</w:t>
      </w:r>
      <w:r w:rsidRPr="00CB10AD">
        <w:rPr>
          <w:bCs/>
          <w:lang w:val="en-AU"/>
        </w:rPr>
        <w:t xml:space="preserve">. There is a lack of clarity on the nature of the benefits to be sustained and on how this will be </w:t>
      </w:r>
      <w:r w:rsidRPr="00CB10AD">
        <w:rPr>
          <w:bCs/>
          <w:lang w:val="en-AU"/>
        </w:rPr>
        <w:lastRenderedPageBreak/>
        <w:t>achieved. There is a risk that MoRA fails to provide meaningful support to implement or adapt the quality of the improvement model tested and developed under the EP once the program finishes in 2016</w:t>
      </w:r>
      <w:r w:rsidR="00B438BC" w:rsidRPr="00CB10AD">
        <w:rPr>
          <w:rFonts w:ascii="Times New Roman" w:hAnsi="Times New Roman"/>
          <w:bCs/>
          <w:vertAlign w:val="superscript"/>
          <w:lang w:val="en-AU"/>
        </w:rPr>
        <w:endnoteReference w:id="47"/>
      </w:r>
      <w:r w:rsidR="00B438BC" w:rsidRPr="00CB10AD">
        <w:rPr>
          <w:bCs/>
          <w:lang w:val="en-AU"/>
        </w:rPr>
        <w:t>.</w:t>
      </w:r>
      <w:r w:rsidRPr="00CB10AD">
        <w:rPr>
          <w:bCs/>
          <w:lang w:val="en-AU"/>
        </w:rPr>
        <w:t xml:space="preserve"> In addition, there is uncertainty about BAN S/M resources and </w:t>
      </w:r>
      <w:r w:rsidR="002E1895" w:rsidRPr="00CB10AD">
        <w:rPr>
          <w:bCs/>
          <w:lang w:val="en-AU"/>
        </w:rPr>
        <w:t xml:space="preserve">their </w:t>
      </w:r>
      <w:r w:rsidRPr="00CB10AD">
        <w:rPr>
          <w:bCs/>
          <w:lang w:val="en-AU"/>
        </w:rPr>
        <w:t xml:space="preserve">capacity to include Madrasah in the accreditation process beyond the period of the Memorandum of Understanding. </w:t>
      </w:r>
    </w:p>
    <w:p w:rsidR="00F6127C" w:rsidRPr="00CB10AD" w:rsidRDefault="00F6127C" w:rsidP="00F6127C">
      <w:pPr>
        <w:spacing w:before="120" w:after="120" w:line="276" w:lineRule="auto"/>
        <w:jc w:val="both"/>
        <w:rPr>
          <w:bCs/>
          <w:lang w:val="en-AU"/>
        </w:rPr>
      </w:pPr>
      <w:r w:rsidRPr="00CB10AD">
        <w:rPr>
          <w:bCs/>
          <w:lang w:val="en-AU"/>
        </w:rPr>
        <w:t xml:space="preserve">Against this backdrop and given its current level of resources, it is unrealistic to expect UPPAM to be able to facilitate a system to support accreditation of Madrasah across Indonesia without significant change. Additional resources are required and greater consideration of the design of a sustainable system. </w:t>
      </w:r>
    </w:p>
    <w:p w:rsidR="00E91B37" w:rsidRPr="00CB10AD" w:rsidRDefault="00E91B37" w:rsidP="00F6127C">
      <w:pPr>
        <w:spacing w:before="120" w:after="120" w:line="276" w:lineRule="auto"/>
        <w:jc w:val="both"/>
        <w:rPr>
          <w:bCs/>
          <w:lang w:val="en-AU"/>
        </w:rPr>
      </w:pPr>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 xml:space="preserve">What does this mean for the EP? The bottom-line </w:t>
      </w:r>
    </w:p>
    <w:p w:rsidR="00F6127C" w:rsidRPr="00CB10AD" w:rsidRDefault="00C93234" w:rsidP="005E4267">
      <w:pPr>
        <w:spacing w:line="276" w:lineRule="auto"/>
        <w:jc w:val="both"/>
        <w:rPr>
          <w:lang w:val="en-AU"/>
        </w:rPr>
      </w:pPr>
      <w:r w:rsidRPr="00CB10AD">
        <w:rPr>
          <w:lang w:val="en-AU"/>
        </w:rPr>
        <w:t xml:space="preserve">A summary table of </w:t>
      </w:r>
      <w:r w:rsidR="005E4267" w:rsidRPr="00CB10AD">
        <w:rPr>
          <w:lang w:val="en-AU"/>
        </w:rPr>
        <w:t>c</w:t>
      </w:r>
      <w:r w:rsidRPr="00CB10AD">
        <w:rPr>
          <w:lang w:val="en-AU"/>
        </w:rPr>
        <w:t xml:space="preserve">omponent performance by DAC criteria is presented in </w:t>
      </w:r>
      <w:r w:rsidRPr="00CB10AD">
        <w:rPr>
          <w:lang w:val="en-AU"/>
        </w:rPr>
        <w:fldChar w:fldCharType="begin"/>
      </w:r>
      <w:r w:rsidRPr="00CB10AD">
        <w:rPr>
          <w:lang w:val="en-AU"/>
        </w:rPr>
        <w:instrText xml:space="preserve"> REF _Ref379641894 \h </w:instrText>
      </w:r>
      <w:r w:rsidRPr="00CB10AD">
        <w:rPr>
          <w:lang w:val="en-AU"/>
        </w:rPr>
      </w:r>
      <w:r w:rsidRPr="00CB10AD">
        <w:rPr>
          <w:lang w:val="en-AU"/>
        </w:rPr>
        <w:fldChar w:fldCharType="separate"/>
      </w:r>
      <w:r w:rsidR="00662AF4" w:rsidRPr="00CB10AD">
        <w:rPr>
          <w:lang w:val="en-AU"/>
        </w:rPr>
        <w:t xml:space="preserve">Table </w:t>
      </w:r>
      <w:r w:rsidR="00662AF4">
        <w:rPr>
          <w:noProof/>
          <w:lang w:val="en-AU"/>
        </w:rPr>
        <w:t>9</w:t>
      </w:r>
      <w:r w:rsidRPr="00CB10AD">
        <w:rPr>
          <w:lang w:val="en-AU"/>
        </w:rPr>
        <w:fldChar w:fldCharType="end"/>
      </w:r>
      <w:r w:rsidRPr="00CB10AD">
        <w:rPr>
          <w:lang w:val="en-AU"/>
        </w:rPr>
        <w:t xml:space="preserve">, below. </w:t>
      </w:r>
      <w:r w:rsidR="005E4267" w:rsidRPr="00CB10AD">
        <w:rPr>
          <w:lang w:val="en-AU"/>
        </w:rPr>
        <w:t xml:space="preserve">The ratings scale used with the </w:t>
      </w:r>
      <w:r w:rsidR="005E4267" w:rsidRPr="00CB10AD">
        <w:rPr>
          <w:iCs/>
          <w:lang w:val="en-AU"/>
        </w:rPr>
        <w:t xml:space="preserve">DFAT QRS (QAI and ICR) </w:t>
      </w:r>
      <w:r w:rsidR="005E4267" w:rsidRPr="00CB10AD">
        <w:rPr>
          <w:lang w:val="en-AU"/>
        </w:rPr>
        <w:t>has been adopted. Recommendations for improvement and, in particular, on increasing the likelihood of achieving EOPO 3 are made in</w:t>
      </w:r>
      <w:r w:rsidRPr="00CB10AD">
        <w:rPr>
          <w:lang w:val="en-AU"/>
        </w:rPr>
        <w:t xml:space="preserve"> </w:t>
      </w:r>
      <w:r w:rsidR="00040659" w:rsidRPr="00CB10AD">
        <w:rPr>
          <w:lang w:val="en-AU"/>
        </w:rPr>
        <w:fldChar w:fldCharType="begin"/>
      </w:r>
      <w:r w:rsidR="00040659" w:rsidRPr="00CB10AD">
        <w:rPr>
          <w:lang w:val="en-AU"/>
        </w:rPr>
        <w:instrText xml:space="preserve"> REF _Ref379989654 \h </w:instrText>
      </w:r>
      <w:r w:rsidR="00040659" w:rsidRPr="00CB10AD">
        <w:rPr>
          <w:lang w:val="en-AU"/>
        </w:rPr>
      </w:r>
      <w:r w:rsidR="00040659" w:rsidRPr="00CB10AD">
        <w:rPr>
          <w:lang w:val="en-AU"/>
        </w:rPr>
        <w:fldChar w:fldCharType="separate"/>
      </w:r>
      <w:r w:rsidR="00662AF4" w:rsidRPr="00CB10AD">
        <w:rPr>
          <w:lang w:val="en-AU"/>
        </w:rPr>
        <w:t xml:space="preserve">Table </w:t>
      </w:r>
      <w:r w:rsidR="00662AF4">
        <w:rPr>
          <w:noProof/>
          <w:lang w:val="en-AU"/>
        </w:rPr>
        <w:t>10</w:t>
      </w:r>
      <w:r w:rsidR="00040659" w:rsidRPr="00CB10AD">
        <w:rPr>
          <w:lang w:val="en-AU"/>
        </w:rPr>
        <w:fldChar w:fldCharType="end"/>
      </w:r>
      <w:r w:rsidR="00040659" w:rsidRPr="00CB10AD">
        <w:rPr>
          <w:lang w:val="en-AU"/>
        </w:rPr>
        <w:t xml:space="preserve"> </w:t>
      </w:r>
      <w:r w:rsidR="0024400F" w:rsidRPr="00CB10AD">
        <w:rPr>
          <w:lang w:val="en-AU"/>
        </w:rPr>
        <w:t xml:space="preserve">below. </w:t>
      </w:r>
    </w:p>
    <w:p w:rsidR="00F6127C" w:rsidRPr="00CB10AD" w:rsidRDefault="00F6127C" w:rsidP="00F6127C">
      <w:pPr>
        <w:spacing w:line="276" w:lineRule="auto"/>
        <w:jc w:val="both"/>
        <w:rPr>
          <w:lang w:val="en-AU"/>
        </w:rPr>
      </w:pPr>
    </w:p>
    <w:p w:rsidR="0024400F" w:rsidRPr="00CB10AD" w:rsidRDefault="0024400F" w:rsidP="00F6127C">
      <w:pPr>
        <w:spacing w:line="276" w:lineRule="auto"/>
        <w:jc w:val="both"/>
        <w:rPr>
          <w:lang w:val="en-AU"/>
        </w:rPr>
        <w:sectPr w:rsidR="0024400F" w:rsidRPr="00CB10AD" w:rsidSect="00E259CD">
          <w:headerReference w:type="default" r:id="rId32"/>
          <w:pgSz w:w="11909" w:h="16834" w:code="9"/>
          <w:pgMar w:top="1440" w:right="1440" w:bottom="1440" w:left="1440" w:header="432" w:footer="720" w:gutter="0"/>
          <w:cols w:space="720"/>
          <w:noEndnote/>
          <w:docGrid w:linePitch="360"/>
        </w:sectPr>
      </w:pPr>
    </w:p>
    <w:p w:rsidR="00F6127C" w:rsidRPr="00CB10AD" w:rsidRDefault="00E91B37" w:rsidP="00E91B37">
      <w:pPr>
        <w:pStyle w:val="Caption"/>
        <w:rPr>
          <w:bCs/>
          <w:i/>
          <w:iCs/>
          <w:lang w:val="en-AU"/>
        </w:rPr>
      </w:pPr>
      <w:bookmarkStart w:id="41" w:name="_Ref379641894"/>
      <w:bookmarkStart w:id="42" w:name="_Toc379982277"/>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9</w:t>
      </w:r>
      <w:r w:rsidRPr="00CB10AD">
        <w:rPr>
          <w:lang w:val="en-AU"/>
        </w:rPr>
        <w:fldChar w:fldCharType="end"/>
      </w:r>
      <w:bookmarkEnd w:id="41"/>
      <w:r w:rsidR="00F6127C" w:rsidRPr="00CB10AD">
        <w:rPr>
          <w:bCs/>
          <w:lang w:val="en-AU"/>
        </w:rPr>
        <w:t xml:space="preserve">: </w:t>
      </w:r>
      <w:r w:rsidR="00F6127C" w:rsidRPr="00CB10AD">
        <w:rPr>
          <w:bCs/>
          <w:iCs/>
          <w:lang w:val="en-AU"/>
        </w:rPr>
        <w:t xml:space="preserve">Component 3 </w:t>
      </w:r>
      <w:r w:rsidR="00510D10" w:rsidRPr="00CB10AD">
        <w:rPr>
          <w:bCs/>
          <w:iCs/>
          <w:lang w:val="en-AU"/>
        </w:rPr>
        <w:t>s</w:t>
      </w:r>
      <w:r w:rsidR="00F6127C" w:rsidRPr="00CB10AD">
        <w:rPr>
          <w:bCs/>
          <w:iCs/>
          <w:lang w:val="en-AU"/>
        </w:rPr>
        <w:t>corecard</w:t>
      </w:r>
      <w:bookmarkEnd w:id="42"/>
    </w:p>
    <w:tbl>
      <w:tblPr>
        <w:tblStyle w:val="TableGrid17"/>
        <w:tblW w:w="5000" w:type="pct"/>
        <w:jc w:val="center"/>
        <w:tblLook w:val="04A0" w:firstRow="1" w:lastRow="0" w:firstColumn="1" w:lastColumn="0" w:noHBand="0" w:noVBand="1"/>
      </w:tblPr>
      <w:tblGrid>
        <w:gridCol w:w="1667"/>
        <w:gridCol w:w="1469"/>
        <w:gridCol w:w="6360"/>
        <w:gridCol w:w="4674"/>
      </w:tblGrid>
      <w:tr w:rsidR="00F6127C" w:rsidRPr="00CB10AD" w:rsidTr="00B43651">
        <w:trPr>
          <w:trHeight w:val="434"/>
          <w:jc w:val="center"/>
        </w:trPr>
        <w:tc>
          <w:tcPr>
            <w:tcW w:w="588" w:type="pct"/>
            <w:shd w:val="clear" w:color="auto" w:fill="244061" w:themeFill="accent1" w:themeFillShade="80"/>
            <w:vAlign w:val="center"/>
          </w:tcPr>
          <w:p w:rsidR="00F6127C" w:rsidRPr="00CB10AD" w:rsidRDefault="00F6127C" w:rsidP="00F6127C">
            <w:pPr>
              <w:jc w:val="center"/>
              <w:rPr>
                <w:rFonts w:asciiTheme="minorHAnsi" w:hAnsiTheme="minorHAnsi"/>
                <w:sz w:val="20"/>
                <w:szCs w:val="20"/>
                <w:lang w:val="en-AU"/>
              </w:rPr>
            </w:pPr>
            <w:r w:rsidRPr="00CB10AD">
              <w:rPr>
                <w:rFonts w:asciiTheme="minorHAnsi" w:hAnsiTheme="minorHAnsi"/>
                <w:b/>
                <w:sz w:val="20"/>
                <w:szCs w:val="20"/>
                <w:lang w:val="en-AU"/>
              </w:rPr>
              <w:t>DAC Criterion</w:t>
            </w:r>
          </w:p>
        </w:tc>
        <w:tc>
          <w:tcPr>
            <w:tcW w:w="518" w:type="pct"/>
            <w:tcBorders>
              <w:bottom w:val="single" w:sz="4" w:space="0" w:color="auto"/>
            </w:tcBorders>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2013 Score</w:t>
            </w:r>
          </w:p>
        </w:tc>
        <w:tc>
          <w:tcPr>
            <w:tcW w:w="2244" w:type="pct"/>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Justification</w:t>
            </w:r>
          </w:p>
        </w:tc>
        <w:tc>
          <w:tcPr>
            <w:tcW w:w="1649" w:type="pct"/>
            <w:shd w:val="clear" w:color="auto" w:fill="244061" w:themeFill="accent1" w:themeFillShade="80"/>
            <w:vAlign w:val="center"/>
          </w:tcPr>
          <w:p w:rsidR="00F6127C" w:rsidRPr="00CB10AD" w:rsidRDefault="00F6127C" w:rsidP="00F6127C">
            <w:pPr>
              <w:jc w:val="center"/>
              <w:rPr>
                <w:rFonts w:asciiTheme="minorHAnsi" w:hAnsiTheme="minorHAnsi"/>
                <w:b/>
                <w:sz w:val="20"/>
                <w:szCs w:val="20"/>
                <w:lang w:val="en-AU"/>
              </w:rPr>
            </w:pPr>
            <w:r w:rsidRPr="00CB10AD">
              <w:rPr>
                <w:rFonts w:asciiTheme="minorHAnsi" w:hAnsiTheme="minorHAnsi"/>
                <w:b/>
                <w:sz w:val="20"/>
                <w:szCs w:val="20"/>
                <w:lang w:val="en-AU"/>
              </w:rPr>
              <w:t>Comments</w:t>
            </w:r>
          </w:p>
        </w:tc>
      </w:tr>
      <w:tr w:rsidR="003B5F6B" w:rsidRPr="00CB10AD" w:rsidTr="001441F4">
        <w:trPr>
          <w:trHeight w:val="447"/>
          <w:jc w:val="center"/>
        </w:trPr>
        <w:tc>
          <w:tcPr>
            <w:tcW w:w="588" w:type="pct"/>
            <w:vAlign w:val="center"/>
          </w:tcPr>
          <w:p w:rsidR="003B5F6B" w:rsidRPr="00CB10AD" w:rsidRDefault="003B5F6B" w:rsidP="001441F4">
            <w:pPr>
              <w:spacing w:before="60" w:after="60"/>
              <w:rPr>
                <w:rFonts w:asciiTheme="minorHAnsi" w:hAnsiTheme="minorHAnsi"/>
                <w:b/>
                <w:sz w:val="20"/>
                <w:szCs w:val="20"/>
                <w:lang w:val="en-AU"/>
              </w:rPr>
            </w:pPr>
            <w:r w:rsidRPr="00CB10AD">
              <w:rPr>
                <w:rFonts w:asciiTheme="minorHAnsi" w:hAnsiTheme="minorHAnsi"/>
                <w:b/>
                <w:sz w:val="20"/>
                <w:szCs w:val="20"/>
                <w:lang w:val="en-AU"/>
              </w:rPr>
              <w:t>Relevance</w:t>
            </w:r>
          </w:p>
        </w:tc>
        <w:tc>
          <w:tcPr>
            <w:tcW w:w="518" w:type="pct"/>
            <w:tcBorders>
              <w:bottom w:val="single" w:sz="4" w:space="0" w:color="auto"/>
            </w:tcBorders>
            <w:shd w:val="clear" w:color="auto" w:fill="FFFF00"/>
            <w:vAlign w:val="center"/>
          </w:tcPr>
          <w:p w:rsidR="003B5F6B" w:rsidRPr="00CB10AD" w:rsidRDefault="003B5F6B" w:rsidP="001441F4">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2244" w:type="pct"/>
            <w:shd w:val="clear" w:color="auto" w:fill="FFFFFF" w:themeFill="background1"/>
          </w:tcPr>
          <w:p w:rsidR="003B5F6B" w:rsidRPr="00CB10AD" w:rsidRDefault="003B5F6B" w:rsidP="001441F4">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Most factors of Madrasah performance </w:t>
            </w:r>
            <w:r w:rsidR="00B70F7C" w:rsidRPr="00CB10AD">
              <w:rPr>
                <w:rFonts w:eastAsia="Calibri"/>
                <w:bCs/>
                <w:sz w:val="20"/>
                <w:szCs w:val="20"/>
                <w:lang w:val="en-AU"/>
              </w:rPr>
              <w:t xml:space="preserve">are </w:t>
            </w:r>
            <w:r w:rsidRPr="00CB10AD">
              <w:rPr>
                <w:rFonts w:eastAsia="Calibri"/>
                <w:bCs/>
                <w:sz w:val="20"/>
                <w:szCs w:val="20"/>
                <w:lang w:val="en-AU"/>
              </w:rPr>
              <w:t xml:space="preserve">covered </w:t>
            </w:r>
            <w:r w:rsidR="00B70F7C" w:rsidRPr="00CB10AD">
              <w:rPr>
                <w:rFonts w:eastAsia="Calibri"/>
                <w:bCs/>
                <w:sz w:val="20"/>
                <w:szCs w:val="20"/>
                <w:lang w:val="en-AU"/>
              </w:rPr>
              <w:t xml:space="preserve">in the </w:t>
            </w:r>
            <w:r w:rsidRPr="00CB10AD">
              <w:rPr>
                <w:rFonts w:eastAsia="Calibri"/>
                <w:bCs/>
                <w:sz w:val="20"/>
                <w:szCs w:val="20"/>
                <w:lang w:val="en-AU"/>
              </w:rPr>
              <w:t>EP design</w:t>
            </w:r>
            <w:r w:rsidR="00B70F7C" w:rsidRPr="00CB10AD">
              <w:rPr>
                <w:rFonts w:eastAsia="Calibri"/>
                <w:bCs/>
                <w:sz w:val="20"/>
                <w:szCs w:val="20"/>
                <w:lang w:val="en-AU"/>
              </w:rPr>
              <w:t>.</w:t>
            </w:r>
          </w:p>
          <w:p w:rsidR="003B5F6B" w:rsidRPr="00CB10AD" w:rsidRDefault="003B5F6B" w:rsidP="001441F4">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Weak consideration/ focus on community engagement</w:t>
            </w:r>
            <w:r w:rsidR="00B70F7C" w:rsidRPr="00CB10AD">
              <w:rPr>
                <w:rFonts w:eastAsia="Calibri"/>
                <w:bCs/>
                <w:sz w:val="20"/>
                <w:szCs w:val="20"/>
                <w:lang w:val="en-AU"/>
              </w:rPr>
              <w:t>.</w:t>
            </w:r>
            <w:r w:rsidRPr="00CB10AD">
              <w:rPr>
                <w:rFonts w:eastAsia="Calibri"/>
                <w:bCs/>
                <w:sz w:val="20"/>
                <w:szCs w:val="20"/>
                <w:lang w:val="en-AU"/>
              </w:rPr>
              <w:t xml:space="preserve"> </w:t>
            </w:r>
          </w:p>
          <w:p w:rsidR="003B5F6B" w:rsidRPr="00CB10AD" w:rsidRDefault="003B5F6B" w:rsidP="001441F4">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Expected changes at systemic level </w:t>
            </w:r>
            <w:r w:rsidR="00B70F7C" w:rsidRPr="00CB10AD">
              <w:rPr>
                <w:rFonts w:eastAsia="Calibri"/>
                <w:bCs/>
                <w:sz w:val="20"/>
                <w:szCs w:val="20"/>
                <w:lang w:val="en-AU"/>
              </w:rPr>
              <w:t xml:space="preserve">are </w:t>
            </w:r>
            <w:r w:rsidRPr="00CB10AD">
              <w:rPr>
                <w:rFonts w:eastAsia="Calibri"/>
                <w:bCs/>
                <w:sz w:val="20"/>
                <w:szCs w:val="20"/>
                <w:lang w:val="en-AU"/>
              </w:rPr>
              <w:t>not well delineated</w:t>
            </w:r>
            <w:r w:rsidR="00B70F7C" w:rsidRPr="00CB10AD">
              <w:rPr>
                <w:rFonts w:eastAsia="Calibri"/>
                <w:bCs/>
                <w:sz w:val="20"/>
                <w:szCs w:val="20"/>
                <w:lang w:val="en-AU"/>
              </w:rPr>
              <w:t>.</w:t>
            </w:r>
          </w:p>
        </w:tc>
        <w:tc>
          <w:tcPr>
            <w:tcW w:w="1649" w:type="pct"/>
            <w:shd w:val="clear" w:color="auto" w:fill="FFFFFF" w:themeFill="background1"/>
          </w:tcPr>
          <w:p w:rsidR="003B5F6B" w:rsidRPr="00CB10AD" w:rsidRDefault="003B5F6B" w:rsidP="001441F4">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Factors influencing Madrasah performance have been defined based on a preliminary analysis of Phase 2 activities</w:t>
            </w:r>
            <w:r w:rsidR="00D23E41" w:rsidRPr="00CB10AD">
              <w:rPr>
                <w:rFonts w:eastAsia="Calibri"/>
                <w:bCs/>
                <w:sz w:val="20"/>
                <w:szCs w:val="20"/>
                <w:lang w:val="en-AU"/>
              </w:rPr>
              <w:t xml:space="preserve">. </w:t>
            </w:r>
          </w:p>
          <w:p w:rsidR="003B5F6B" w:rsidRPr="00CB10AD" w:rsidRDefault="003B5F6B" w:rsidP="001441F4">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Block grant socialisation is thought to be instrumental in stimulating community engagement</w:t>
            </w:r>
            <w:r w:rsidR="00B70F7C" w:rsidRPr="00CB10AD">
              <w:rPr>
                <w:rFonts w:eastAsia="Calibri"/>
                <w:bCs/>
                <w:sz w:val="20"/>
                <w:szCs w:val="20"/>
                <w:lang w:val="en-AU"/>
              </w:rPr>
              <w:t>.</w:t>
            </w:r>
            <w:r w:rsidRPr="00CB10AD">
              <w:rPr>
                <w:rFonts w:eastAsia="Calibri"/>
                <w:bCs/>
                <w:sz w:val="20"/>
                <w:szCs w:val="20"/>
                <w:lang w:val="en-AU"/>
              </w:rPr>
              <w:t xml:space="preserve"> </w:t>
            </w:r>
          </w:p>
        </w:tc>
      </w:tr>
      <w:tr w:rsidR="00F6127C" w:rsidRPr="00CB10AD" w:rsidTr="00B43651">
        <w:trPr>
          <w:trHeight w:val="434"/>
          <w:jc w:val="center"/>
        </w:trPr>
        <w:tc>
          <w:tcPr>
            <w:tcW w:w="588" w:type="pct"/>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Efficiency</w:t>
            </w:r>
          </w:p>
        </w:tc>
        <w:tc>
          <w:tcPr>
            <w:tcW w:w="518" w:type="pct"/>
            <w:tcBorders>
              <w:bottom w:val="single" w:sz="4" w:space="0" w:color="auto"/>
            </w:tcBorders>
            <w:shd w:val="clear" w:color="auto" w:fill="92D050"/>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5</w:t>
            </w:r>
          </w:p>
        </w:tc>
        <w:tc>
          <w:tcPr>
            <w:tcW w:w="2244" w:type="pct"/>
            <w:tcBorders>
              <w:bottom w:val="single" w:sz="4" w:space="0" w:color="auto"/>
            </w:tcBorders>
            <w:shd w:val="clear" w:color="auto" w:fill="FFFFFF" w:themeFill="background1"/>
          </w:tcPr>
          <w:p w:rsidR="00F6127C" w:rsidRPr="00CB10AD" w:rsidRDefault="00B70F7C" w:rsidP="00FC6DDD">
            <w:pPr>
              <w:numPr>
                <w:ilvl w:val="0"/>
                <w:numId w:val="20"/>
              </w:numPr>
              <w:spacing w:before="60" w:after="60" w:line="276" w:lineRule="auto"/>
              <w:contextualSpacing/>
              <w:rPr>
                <w:bCs/>
                <w:sz w:val="20"/>
                <w:szCs w:val="20"/>
                <w:lang w:val="en-AU"/>
              </w:rPr>
            </w:pPr>
            <w:r w:rsidRPr="00CB10AD">
              <w:rPr>
                <w:rFonts w:eastAsia="Calibri"/>
                <w:bCs/>
                <w:sz w:val="20"/>
                <w:szCs w:val="20"/>
                <w:lang w:val="en-AU"/>
              </w:rPr>
              <w:t>I</w:t>
            </w:r>
            <w:r w:rsidR="00F6127C" w:rsidRPr="00CB10AD">
              <w:rPr>
                <w:rFonts w:eastAsia="Calibri"/>
                <w:bCs/>
                <w:sz w:val="20"/>
                <w:szCs w:val="20"/>
                <w:lang w:val="en-AU"/>
              </w:rPr>
              <w:t>mplementation</w:t>
            </w:r>
            <w:r w:rsidR="001D386E" w:rsidRPr="00CB10AD">
              <w:rPr>
                <w:rFonts w:eastAsia="Calibri"/>
                <w:bCs/>
                <w:sz w:val="20"/>
                <w:szCs w:val="20"/>
                <w:lang w:val="en-AU"/>
              </w:rPr>
              <w:t xml:space="preserve"> is</w:t>
            </w:r>
            <w:r w:rsidR="00F6127C" w:rsidRPr="00CB10AD">
              <w:rPr>
                <w:rFonts w:eastAsia="Calibri"/>
                <w:bCs/>
                <w:sz w:val="20"/>
                <w:szCs w:val="20"/>
                <w:lang w:val="en-AU"/>
              </w:rPr>
              <w:t xml:space="preserve"> contracted to</w:t>
            </w:r>
            <w:r w:rsidR="00E53808" w:rsidRPr="00CB10AD">
              <w:rPr>
                <w:rFonts w:eastAsia="Calibri"/>
                <w:bCs/>
                <w:sz w:val="20"/>
                <w:szCs w:val="20"/>
                <w:lang w:val="en-AU"/>
              </w:rPr>
              <w:t xml:space="preserve"> the</w:t>
            </w:r>
            <w:r w:rsidR="00F6127C" w:rsidRPr="00CB10AD">
              <w:rPr>
                <w:rFonts w:eastAsia="Calibri"/>
                <w:bCs/>
                <w:sz w:val="20"/>
                <w:szCs w:val="20"/>
                <w:lang w:val="en-AU"/>
              </w:rPr>
              <w:t xml:space="preserve"> SSQ managing contractor</w:t>
            </w:r>
            <w:r w:rsidR="001D386E" w:rsidRPr="00CB10AD">
              <w:rPr>
                <w:rFonts w:eastAsia="Calibri"/>
                <w:bCs/>
                <w:sz w:val="20"/>
                <w:szCs w:val="20"/>
                <w:lang w:val="en-AU"/>
              </w:rPr>
              <w:t xml:space="preserve">; there are </w:t>
            </w:r>
            <w:r w:rsidR="00F6127C" w:rsidRPr="00CB10AD">
              <w:rPr>
                <w:rFonts w:eastAsia="Calibri"/>
                <w:bCs/>
                <w:sz w:val="20"/>
                <w:szCs w:val="20"/>
                <w:lang w:val="en-AU"/>
              </w:rPr>
              <w:t xml:space="preserve">no substantial delays and </w:t>
            </w:r>
            <w:r w:rsidR="00FC6DDD" w:rsidRPr="00CB10AD">
              <w:rPr>
                <w:rFonts w:eastAsia="Calibri"/>
                <w:bCs/>
                <w:sz w:val="20"/>
                <w:szCs w:val="20"/>
                <w:lang w:val="en-AU"/>
              </w:rPr>
              <w:t>disbursements are on track</w:t>
            </w:r>
            <w:r w:rsidRPr="00CB10AD">
              <w:rPr>
                <w:rFonts w:eastAsia="Calibri"/>
                <w:bCs/>
                <w:sz w:val="20"/>
                <w:szCs w:val="20"/>
                <w:lang w:val="en-AU"/>
              </w:rPr>
              <w:t>.</w:t>
            </w:r>
          </w:p>
          <w:p w:rsidR="000129E9" w:rsidRPr="00CB10AD" w:rsidRDefault="000129E9" w:rsidP="000129E9">
            <w:pPr>
              <w:numPr>
                <w:ilvl w:val="0"/>
                <w:numId w:val="20"/>
              </w:numPr>
              <w:spacing w:before="60" w:after="60" w:line="276" w:lineRule="auto"/>
              <w:contextualSpacing/>
              <w:rPr>
                <w:bCs/>
                <w:sz w:val="20"/>
                <w:szCs w:val="20"/>
                <w:lang w:val="en-AU"/>
              </w:rPr>
            </w:pPr>
            <w:r w:rsidRPr="00CB10AD">
              <w:rPr>
                <w:rFonts w:eastAsia="Calibri"/>
                <w:bCs/>
                <w:sz w:val="20"/>
                <w:szCs w:val="20"/>
                <w:lang w:val="en-AU"/>
              </w:rPr>
              <w:t>Efficiency of support could be increased through targeting madrasah with lower initial standards</w:t>
            </w:r>
            <w:r w:rsidR="00B70F7C" w:rsidRPr="00CB10AD">
              <w:rPr>
                <w:rFonts w:eastAsia="Calibri"/>
                <w:bCs/>
                <w:sz w:val="20"/>
                <w:szCs w:val="20"/>
                <w:lang w:val="en-AU"/>
              </w:rPr>
              <w:t>.</w:t>
            </w:r>
          </w:p>
        </w:tc>
        <w:tc>
          <w:tcPr>
            <w:tcW w:w="1649" w:type="pct"/>
            <w:tcBorders>
              <w:bottom w:val="single" w:sz="4" w:space="0" w:color="auto"/>
            </w:tcBorders>
            <w:shd w:val="clear" w:color="auto" w:fill="FFFFFF" w:themeFill="background1"/>
          </w:tcPr>
          <w:p w:rsidR="00F6127C" w:rsidRPr="00CB10AD" w:rsidRDefault="00F6127C" w:rsidP="00B43651">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The efficiency of the outsourcing model could be </w:t>
            </w:r>
            <w:r w:rsidR="001D386E" w:rsidRPr="00CB10AD">
              <w:rPr>
                <w:rFonts w:eastAsia="Calibri"/>
                <w:bCs/>
                <w:sz w:val="20"/>
                <w:szCs w:val="20"/>
                <w:lang w:val="en-AU"/>
              </w:rPr>
              <w:t xml:space="preserve">examined </w:t>
            </w:r>
            <w:r w:rsidRPr="00CB10AD">
              <w:rPr>
                <w:rFonts w:eastAsia="Calibri"/>
                <w:bCs/>
                <w:sz w:val="20"/>
                <w:szCs w:val="20"/>
                <w:lang w:val="en-AU"/>
              </w:rPr>
              <w:t>as part of a VFM assessment</w:t>
            </w:r>
            <w:r w:rsidR="00B70F7C" w:rsidRPr="00CB10AD">
              <w:rPr>
                <w:rFonts w:eastAsia="Calibri"/>
                <w:bCs/>
                <w:sz w:val="20"/>
                <w:szCs w:val="20"/>
                <w:lang w:val="en-AU"/>
              </w:rPr>
              <w:t>.</w:t>
            </w:r>
          </w:p>
        </w:tc>
      </w:tr>
      <w:tr w:rsidR="001079D2" w:rsidRPr="00CB10AD" w:rsidTr="001079D2">
        <w:trPr>
          <w:trHeight w:val="447"/>
          <w:jc w:val="center"/>
        </w:trPr>
        <w:tc>
          <w:tcPr>
            <w:tcW w:w="588" w:type="pct"/>
            <w:vAlign w:val="center"/>
          </w:tcPr>
          <w:p w:rsidR="001079D2" w:rsidRPr="00CB10AD" w:rsidRDefault="001079D2"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Effectiveness</w:t>
            </w:r>
          </w:p>
        </w:tc>
        <w:tc>
          <w:tcPr>
            <w:tcW w:w="518" w:type="pct"/>
            <w:tcBorders>
              <w:bottom w:val="single" w:sz="4" w:space="0" w:color="auto"/>
            </w:tcBorders>
            <w:shd w:val="clear" w:color="auto" w:fill="FFFF00"/>
            <w:vAlign w:val="center"/>
          </w:tcPr>
          <w:p w:rsidR="001079D2" w:rsidRPr="00CB10AD" w:rsidRDefault="001079D2" w:rsidP="008F2D9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2244" w:type="pct"/>
            <w:shd w:val="clear" w:color="auto" w:fill="FFFFFF" w:themeFill="background1"/>
          </w:tcPr>
          <w:p w:rsidR="00FC6DDD" w:rsidRPr="00CB10AD" w:rsidRDefault="001079D2" w:rsidP="00FC6DDD">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Tangible and observable incremental gains </w:t>
            </w:r>
            <w:r w:rsidR="00B70F7C" w:rsidRPr="00CB10AD">
              <w:rPr>
                <w:rFonts w:eastAsia="Calibri"/>
                <w:bCs/>
                <w:sz w:val="20"/>
                <w:szCs w:val="20"/>
                <w:lang w:val="en-AU"/>
              </w:rPr>
              <w:t xml:space="preserve">are evident </w:t>
            </w:r>
            <w:r w:rsidRPr="00CB10AD">
              <w:rPr>
                <w:rFonts w:eastAsia="Calibri"/>
                <w:bCs/>
                <w:sz w:val="20"/>
                <w:szCs w:val="20"/>
                <w:lang w:val="en-AU"/>
              </w:rPr>
              <w:t xml:space="preserve">at Madrasah level, including in some non-participating </w:t>
            </w:r>
            <w:r w:rsidR="00FC6DDD" w:rsidRPr="00CB10AD">
              <w:rPr>
                <w:rFonts w:eastAsia="Calibri"/>
                <w:bCs/>
                <w:sz w:val="20"/>
                <w:szCs w:val="20"/>
                <w:lang w:val="en-AU"/>
              </w:rPr>
              <w:t>M</w:t>
            </w:r>
            <w:r w:rsidRPr="00CB10AD">
              <w:rPr>
                <w:rFonts w:eastAsia="Calibri"/>
                <w:bCs/>
                <w:sz w:val="20"/>
                <w:szCs w:val="20"/>
                <w:lang w:val="en-AU"/>
              </w:rPr>
              <w:t>adrasah</w:t>
            </w:r>
            <w:r w:rsidR="00B70F7C" w:rsidRPr="00CB10AD">
              <w:rPr>
                <w:rFonts w:eastAsia="Calibri"/>
                <w:bCs/>
                <w:sz w:val="20"/>
                <w:szCs w:val="20"/>
                <w:lang w:val="en-AU"/>
              </w:rPr>
              <w:t>.</w:t>
            </w:r>
          </w:p>
          <w:p w:rsidR="001079D2" w:rsidRPr="00CB10AD" w:rsidRDefault="00FC6DDD" w:rsidP="00B70F7C">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In the absence of clear systemic change, the EP benefits </w:t>
            </w:r>
            <w:r w:rsidR="00B70F7C" w:rsidRPr="00CB10AD">
              <w:rPr>
                <w:rFonts w:eastAsia="Calibri"/>
                <w:bCs/>
                <w:sz w:val="20"/>
                <w:szCs w:val="20"/>
                <w:lang w:val="en-AU"/>
              </w:rPr>
              <w:t xml:space="preserve">may </w:t>
            </w:r>
            <w:r w:rsidRPr="00CB10AD">
              <w:rPr>
                <w:rFonts w:eastAsia="Calibri"/>
                <w:bCs/>
                <w:sz w:val="20"/>
                <w:szCs w:val="20"/>
                <w:lang w:val="en-AU"/>
              </w:rPr>
              <w:t>be restricted to individual Madrasah</w:t>
            </w:r>
            <w:r w:rsidR="00B70F7C" w:rsidRPr="00CB10AD">
              <w:rPr>
                <w:rFonts w:eastAsia="Calibri"/>
                <w:bCs/>
                <w:sz w:val="20"/>
                <w:szCs w:val="20"/>
                <w:lang w:val="en-AU"/>
              </w:rPr>
              <w:t>.</w:t>
            </w:r>
          </w:p>
        </w:tc>
        <w:tc>
          <w:tcPr>
            <w:tcW w:w="1649" w:type="pct"/>
            <w:shd w:val="clear" w:color="auto" w:fill="FFFFFF" w:themeFill="background1"/>
          </w:tcPr>
          <w:p w:rsidR="001079D2" w:rsidRPr="00CB10AD" w:rsidRDefault="001079D2" w:rsidP="00B43651">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Results of the BAN S/M accreditation process might soon highlight the extent of the effectiveness of Madrasah support.</w:t>
            </w:r>
          </w:p>
        </w:tc>
      </w:tr>
      <w:tr w:rsidR="00F6127C" w:rsidRPr="00CB10AD" w:rsidTr="00FC6DDD">
        <w:trPr>
          <w:trHeight w:val="1243"/>
          <w:jc w:val="center"/>
        </w:trPr>
        <w:tc>
          <w:tcPr>
            <w:tcW w:w="588" w:type="pct"/>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Impact</w:t>
            </w:r>
          </w:p>
        </w:tc>
        <w:tc>
          <w:tcPr>
            <w:tcW w:w="518" w:type="pct"/>
            <w:tcBorders>
              <w:bottom w:val="single" w:sz="4" w:space="0" w:color="auto"/>
            </w:tcBorders>
            <w:shd w:val="clear" w:color="auto" w:fill="FFFFFF" w:themeFill="background1"/>
            <w:vAlign w:val="center"/>
          </w:tcPr>
          <w:p w:rsidR="00F6127C" w:rsidRPr="00CB10AD" w:rsidRDefault="00FC6DDD" w:rsidP="00FC6DDD">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2244" w:type="pct"/>
            <w:shd w:val="clear" w:color="auto" w:fill="FFFFFF" w:themeFill="background1"/>
          </w:tcPr>
          <w:p w:rsidR="00F6127C" w:rsidRPr="00CB10AD" w:rsidRDefault="00F6127C" w:rsidP="00FC6DDD">
            <w:pPr>
              <w:spacing w:before="60" w:after="60" w:line="276" w:lineRule="auto"/>
              <w:ind w:left="360"/>
              <w:contextualSpacing/>
              <w:rPr>
                <w:rFonts w:eastAsia="Calibri"/>
                <w:bCs/>
                <w:sz w:val="20"/>
                <w:szCs w:val="20"/>
                <w:lang w:val="en-AU"/>
              </w:rPr>
            </w:pPr>
          </w:p>
        </w:tc>
        <w:tc>
          <w:tcPr>
            <w:tcW w:w="1649" w:type="pct"/>
            <w:shd w:val="clear" w:color="auto" w:fill="FFFFFF" w:themeFill="background1"/>
          </w:tcPr>
          <w:p w:rsidR="00F6127C" w:rsidRPr="00CB10AD" w:rsidRDefault="00F6127C" w:rsidP="00B43651">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It is still </w:t>
            </w:r>
            <w:r w:rsidR="00FC6DDD" w:rsidRPr="00CB10AD">
              <w:rPr>
                <w:rFonts w:eastAsia="Calibri"/>
                <w:bCs/>
                <w:sz w:val="20"/>
                <w:szCs w:val="20"/>
                <w:lang w:val="en-AU"/>
              </w:rPr>
              <w:t xml:space="preserve">too </w:t>
            </w:r>
            <w:r w:rsidRPr="00CB10AD">
              <w:rPr>
                <w:rFonts w:eastAsia="Calibri"/>
                <w:bCs/>
                <w:sz w:val="20"/>
                <w:szCs w:val="20"/>
                <w:lang w:val="en-AU"/>
              </w:rPr>
              <w:t>early to confidently assess the impact of EP activities – the first phase of support has just been finalised in December 2013</w:t>
            </w:r>
            <w:r w:rsidR="00B70F7C" w:rsidRPr="00CB10AD">
              <w:rPr>
                <w:rFonts w:eastAsia="Calibri"/>
                <w:bCs/>
                <w:sz w:val="20"/>
                <w:szCs w:val="20"/>
                <w:lang w:val="en-AU"/>
              </w:rPr>
              <w:t>.</w:t>
            </w:r>
          </w:p>
        </w:tc>
      </w:tr>
      <w:tr w:rsidR="00F6127C" w:rsidRPr="00CB10AD" w:rsidTr="00B43651">
        <w:trPr>
          <w:trHeight w:val="447"/>
          <w:jc w:val="center"/>
        </w:trPr>
        <w:tc>
          <w:tcPr>
            <w:tcW w:w="588" w:type="pct"/>
            <w:vAlign w:val="center"/>
          </w:tcPr>
          <w:p w:rsidR="00F6127C" w:rsidRPr="00CB10AD" w:rsidRDefault="00F6127C" w:rsidP="00F6127C">
            <w:pPr>
              <w:spacing w:before="60" w:after="60"/>
              <w:rPr>
                <w:rFonts w:asciiTheme="minorHAnsi" w:hAnsiTheme="minorHAnsi"/>
                <w:b/>
                <w:sz w:val="20"/>
                <w:szCs w:val="20"/>
                <w:lang w:val="en-AU"/>
              </w:rPr>
            </w:pPr>
            <w:r w:rsidRPr="00CB10AD">
              <w:rPr>
                <w:rFonts w:asciiTheme="minorHAnsi" w:hAnsiTheme="minorHAnsi"/>
                <w:b/>
                <w:sz w:val="20"/>
                <w:szCs w:val="20"/>
                <w:lang w:val="en-AU"/>
              </w:rPr>
              <w:t>Sustainability</w:t>
            </w:r>
          </w:p>
        </w:tc>
        <w:tc>
          <w:tcPr>
            <w:tcW w:w="518" w:type="pct"/>
            <w:shd w:val="clear" w:color="auto" w:fill="FF0000"/>
            <w:vAlign w:val="center"/>
          </w:tcPr>
          <w:p w:rsidR="00F6127C" w:rsidRPr="00CB10AD" w:rsidRDefault="00F6127C" w:rsidP="00F6127C">
            <w:pPr>
              <w:spacing w:before="60" w:after="60"/>
              <w:jc w:val="center"/>
              <w:rPr>
                <w:rFonts w:asciiTheme="minorHAnsi" w:hAnsiTheme="minorHAnsi"/>
                <w:sz w:val="20"/>
                <w:szCs w:val="20"/>
                <w:lang w:val="en-AU"/>
              </w:rPr>
            </w:pPr>
            <w:r w:rsidRPr="00CB10AD">
              <w:rPr>
                <w:rFonts w:asciiTheme="minorHAnsi" w:hAnsiTheme="minorHAnsi"/>
                <w:sz w:val="20"/>
                <w:szCs w:val="20"/>
                <w:lang w:val="en-AU"/>
              </w:rPr>
              <w:t>2</w:t>
            </w:r>
          </w:p>
        </w:tc>
        <w:tc>
          <w:tcPr>
            <w:tcW w:w="2244" w:type="pct"/>
            <w:shd w:val="clear" w:color="auto" w:fill="FFFFFF" w:themeFill="background1"/>
          </w:tcPr>
          <w:p w:rsidR="00F6127C" w:rsidRPr="00CB10AD" w:rsidRDefault="00F6127C" w:rsidP="00F6127C">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Lack of clarity </w:t>
            </w:r>
            <w:r w:rsidR="00E53808" w:rsidRPr="00CB10AD">
              <w:rPr>
                <w:rFonts w:eastAsia="Calibri"/>
                <w:bCs/>
                <w:sz w:val="20"/>
                <w:szCs w:val="20"/>
                <w:lang w:val="en-AU"/>
              </w:rPr>
              <w:t xml:space="preserve">about </w:t>
            </w:r>
            <w:r w:rsidRPr="00CB10AD">
              <w:rPr>
                <w:rFonts w:eastAsia="Calibri"/>
                <w:bCs/>
                <w:sz w:val="20"/>
                <w:szCs w:val="20"/>
                <w:lang w:val="en-AU"/>
              </w:rPr>
              <w:t>achievements and benefits to be sustained, and absence of strategy</w:t>
            </w:r>
            <w:r w:rsidR="00A6497F" w:rsidRPr="00CB10AD">
              <w:rPr>
                <w:rFonts w:eastAsia="Calibri"/>
                <w:bCs/>
                <w:sz w:val="20"/>
                <w:szCs w:val="20"/>
                <w:lang w:val="en-AU"/>
              </w:rPr>
              <w:t xml:space="preserve"> compounded by project modality</w:t>
            </w:r>
            <w:r w:rsidR="00B70F7C" w:rsidRPr="00CB10AD">
              <w:rPr>
                <w:rFonts w:eastAsia="Calibri"/>
                <w:bCs/>
                <w:sz w:val="20"/>
                <w:szCs w:val="20"/>
                <w:lang w:val="en-AU"/>
              </w:rPr>
              <w:t>.</w:t>
            </w:r>
          </w:p>
          <w:p w:rsidR="00F6127C" w:rsidRPr="00CB10AD" w:rsidRDefault="00F6127C" w:rsidP="00F6127C">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UPPAM mandate inconsistent with level of </w:t>
            </w:r>
            <w:r w:rsidR="007269E9">
              <w:rPr>
                <w:rFonts w:eastAsia="Calibri"/>
                <w:bCs/>
                <w:sz w:val="20"/>
                <w:szCs w:val="20"/>
                <w:lang w:val="en-AU"/>
              </w:rPr>
              <w:t xml:space="preserve">GoI </w:t>
            </w:r>
            <w:r w:rsidRPr="00CB10AD">
              <w:rPr>
                <w:rFonts w:eastAsia="Calibri"/>
                <w:bCs/>
                <w:sz w:val="20"/>
                <w:szCs w:val="20"/>
                <w:lang w:val="en-AU"/>
              </w:rPr>
              <w:t>resource</w:t>
            </w:r>
            <w:r w:rsidR="00B70F7C" w:rsidRPr="00CB10AD">
              <w:rPr>
                <w:rFonts w:eastAsia="Calibri"/>
                <w:bCs/>
                <w:sz w:val="20"/>
                <w:szCs w:val="20"/>
                <w:lang w:val="en-AU"/>
              </w:rPr>
              <w:t>s.</w:t>
            </w:r>
            <w:r w:rsidRPr="00CB10AD">
              <w:rPr>
                <w:rFonts w:eastAsia="Calibri"/>
                <w:bCs/>
                <w:sz w:val="20"/>
                <w:szCs w:val="20"/>
                <w:lang w:val="en-AU"/>
              </w:rPr>
              <w:t xml:space="preserve"> </w:t>
            </w:r>
          </w:p>
          <w:p w:rsidR="00F6127C" w:rsidRPr="00CB10AD" w:rsidRDefault="00B70F7C" w:rsidP="00B70F7C">
            <w:pPr>
              <w:numPr>
                <w:ilvl w:val="0"/>
                <w:numId w:val="20"/>
              </w:numPr>
              <w:spacing w:before="60" w:after="60" w:line="276" w:lineRule="auto"/>
              <w:contextualSpacing/>
              <w:rPr>
                <w:rFonts w:asciiTheme="minorHAnsi" w:eastAsia="Calibri" w:hAnsiTheme="minorHAnsi"/>
                <w:sz w:val="20"/>
                <w:szCs w:val="20"/>
                <w:lang w:val="en-AU"/>
              </w:rPr>
            </w:pPr>
            <w:r w:rsidRPr="00CB10AD">
              <w:rPr>
                <w:rFonts w:eastAsia="Calibri"/>
                <w:bCs/>
                <w:sz w:val="20"/>
                <w:szCs w:val="20"/>
                <w:lang w:val="en-AU"/>
              </w:rPr>
              <w:t>Uncertainty</w:t>
            </w:r>
            <w:r w:rsidR="00F6127C" w:rsidRPr="00CB10AD">
              <w:rPr>
                <w:rFonts w:eastAsia="Calibri"/>
                <w:bCs/>
                <w:sz w:val="20"/>
                <w:szCs w:val="20"/>
                <w:lang w:val="en-AU"/>
              </w:rPr>
              <w:t xml:space="preserve"> about BAN-S/M resources and capacity to include Madrasah in the accreditation process beyond EP life</w:t>
            </w:r>
            <w:r w:rsidRPr="00CB10AD">
              <w:rPr>
                <w:rFonts w:eastAsia="Calibri"/>
                <w:bCs/>
                <w:sz w:val="20"/>
                <w:szCs w:val="20"/>
                <w:lang w:val="en-AU"/>
              </w:rPr>
              <w:t>.</w:t>
            </w:r>
          </w:p>
        </w:tc>
        <w:tc>
          <w:tcPr>
            <w:tcW w:w="1649" w:type="pct"/>
            <w:shd w:val="clear" w:color="auto" w:fill="FFFFFF" w:themeFill="background1"/>
          </w:tcPr>
          <w:p w:rsidR="00F6127C" w:rsidRPr="00CB10AD" w:rsidRDefault="00F6127C" w:rsidP="00B43651">
            <w:pPr>
              <w:numPr>
                <w:ilvl w:val="0"/>
                <w:numId w:val="20"/>
              </w:numPr>
              <w:spacing w:before="60" w:after="60" w:line="276" w:lineRule="auto"/>
              <w:contextualSpacing/>
              <w:rPr>
                <w:rFonts w:eastAsia="Calibri"/>
                <w:bCs/>
                <w:sz w:val="20"/>
                <w:szCs w:val="20"/>
                <w:lang w:val="en-AU"/>
              </w:rPr>
            </w:pPr>
            <w:r w:rsidRPr="00CB10AD">
              <w:rPr>
                <w:rFonts w:eastAsia="Calibri"/>
                <w:bCs/>
                <w:sz w:val="20"/>
                <w:szCs w:val="20"/>
                <w:lang w:val="en-AU"/>
              </w:rPr>
              <w:t xml:space="preserve">With the start of the second half of the EP period, considerations about the sustainability of EP achievements and their benefits become crucial. </w:t>
            </w:r>
          </w:p>
        </w:tc>
      </w:tr>
    </w:tbl>
    <w:p w:rsidR="004F2233" w:rsidRPr="00CB10AD" w:rsidRDefault="004F2233" w:rsidP="00E91B37">
      <w:pPr>
        <w:pStyle w:val="Caption"/>
        <w:rPr>
          <w:lang w:val="en-AU"/>
        </w:rPr>
      </w:pPr>
      <w:bookmarkStart w:id="43" w:name="_Ref379641910"/>
    </w:p>
    <w:p w:rsidR="004F2233" w:rsidRPr="00CB10AD" w:rsidRDefault="004F2233" w:rsidP="004F2233">
      <w:pPr>
        <w:rPr>
          <w:lang w:val="en-AU"/>
        </w:rPr>
      </w:pPr>
      <w:r w:rsidRPr="00CB10AD">
        <w:rPr>
          <w:lang w:val="en-AU"/>
        </w:rPr>
        <w:br w:type="page"/>
      </w:r>
    </w:p>
    <w:p w:rsidR="00F6127C" w:rsidRPr="00CB10AD" w:rsidRDefault="00E91B37" w:rsidP="00E91B37">
      <w:pPr>
        <w:pStyle w:val="Caption"/>
        <w:rPr>
          <w:bCs/>
          <w:i/>
          <w:iCs/>
          <w:lang w:val="en-AU"/>
        </w:rPr>
      </w:pPr>
      <w:bookmarkStart w:id="44" w:name="_Ref379989654"/>
      <w:bookmarkStart w:id="45" w:name="_Toc379982278"/>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10</w:t>
      </w:r>
      <w:r w:rsidRPr="00CB10AD">
        <w:rPr>
          <w:lang w:val="en-AU"/>
        </w:rPr>
        <w:fldChar w:fldCharType="end"/>
      </w:r>
      <w:bookmarkEnd w:id="43"/>
      <w:bookmarkEnd w:id="44"/>
      <w:r w:rsidR="00F6127C" w:rsidRPr="00CB10AD">
        <w:rPr>
          <w:bCs/>
          <w:lang w:val="en-AU"/>
        </w:rPr>
        <w:t>: Component 3 k</w:t>
      </w:r>
      <w:r w:rsidR="00F6127C" w:rsidRPr="00CB10AD">
        <w:rPr>
          <w:bCs/>
          <w:iCs/>
          <w:lang w:val="en-AU"/>
        </w:rPr>
        <w:t>ey findings and recommendations</w:t>
      </w:r>
      <w:bookmarkEnd w:id="45"/>
    </w:p>
    <w:p w:rsidR="004623D7" w:rsidRPr="00CB10AD" w:rsidRDefault="004623D7" w:rsidP="004623D7">
      <w:pPr>
        <w:rPr>
          <w:lang w:val="en-AU"/>
        </w:rPr>
      </w:pPr>
    </w:p>
    <w:tbl>
      <w:tblPr>
        <w:tblStyle w:val="TableGrid34"/>
        <w:tblW w:w="5000" w:type="pct"/>
        <w:tblLook w:val="04A0" w:firstRow="1" w:lastRow="0" w:firstColumn="1" w:lastColumn="0" w:noHBand="0" w:noVBand="1"/>
      </w:tblPr>
      <w:tblGrid>
        <w:gridCol w:w="4894"/>
        <w:gridCol w:w="4872"/>
        <w:gridCol w:w="964"/>
        <w:gridCol w:w="3440"/>
      </w:tblGrid>
      <w:tr w:rsidR="004623D7" w:rsidRPr="00CB10AD" w:rsidTr="004623D7">
        <w:trPr>
          <w:trHeight w:val="567"/>
          <w:tblHeader/>
        </w:trPr>
        <w:tc>
          <w:tcPr>
            <w:tcW w:w="1727"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Finding</w:t>
            </w:r>
          </w:p>
        </w:tc>
        <w:tc>
          <w:tcPr>
            <w:tcW w:w="1719"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Recommendations</w:t>
            </w:r>
          </w:p>
        </w:tc>
        <w:tc>
          <w:tcPr>
            <w:tcW w:w="340"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Level of urgency</w:t>
            </w:r>
          </w:p>
        </w:tc>
        <w:tc>
          <w:tcPr>
            <w:tcW w:w="1214"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Prime Responsibility</w:t>
            </w:r>
          </w:p>
        </w:tc>
      </w:tr>
      <w:tr w:rsidR="007C6065" w:rsidRPr="00CB10AD" w:rsidTr="00DA1B0C">
        <w:trPr>
          <w:trHeight w:val="758"/>
        </w:trPr>
        <w:tc>
          <w:tcPr>
            <w:tcW w:w="1727" w:type="pct"/>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Lack of clarity about expected changes at systemic level from EP support (see §4.4.4)</w:t>
            </w:r>
          </w:p>
        </w:tc>
        <w:tc>
          <w:tcPr>
            <w:tcW w:w="1719"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 xml:space="preserve">R9: </w:t>
            </w:r>
            <w:r w:rsidRPr="00CB10AD">
              <w:rPr>
                <w:sz w:val="20"/>
                <w:szCs w:val="20"/>
                <w:lang w:val="en-AU"/>
              </w:rPr>
              <w:tab/>
              <w:t xml:space="preserve">DFAT and MoRA should define and agree </w:t>
            </w:r>
            <w:r w:rsidR="007269E9">
              <w:rPr>
                <w:sz w:val="20"/>
                <w:szCs w:val="20"/>
                <w:lang w:val="en-AU"/>
              </w:rPr>
              <w:t>up</w:t>
            </w:r>
            <w:r w:rsidRPr="00CB10AD">
              <w:rPr>
                <w:sz w:val="20"/>
                <w:szCs w:val="20"/>
                <w:lang w:val="en-AU"/>
              </w:rPr>
              <w:t>on the nature and extent of systemic change expected</w:t>
            </w:r>
            <w:r w:rsidR="00EE18A4">
              <w:rPr>
                <w:sz w:val="20"/>
                <w:szCs w:val="20"/>
                <w:lang w:val="en-AU"/>
              </w:rPr>
              <w:t>.</w:t>
            </w:r>
          </w:p>
        </w:tc>
        <w:tc>
          <w:tcPr>
            <w:tcW w:w="340"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4" w:type="pct"/>
          </w:tcPr>
          <w:p w:rsidR="007C6065" w:rsidRPr="00CB10AD" w:rsidRDefault="007C6065" w:rsidP="00E369C9">
            <w:pPr>
              <w:spacing w:before="120"/>
              <w:rPr>
                <w:sz w:val="20"/>
                <w:szCs w:val="20"/>
                <w:lang w:val="en-AU"/>
              </w:rPr>
            </w:pPr>
            <w:r w:rsidRPr="00CB10AD">
              <w:rPr>
                <w:sz w:val="20"/>
                <w:szCs w:val="20"/>
                <w:lang w:val="en-AU"/>
              </w:rPr>
              <w:t xml:space="preserve">DFAT and MoRA (with SSQ facilitation as required) </w:t>
            </w:r>
          </w:p>
        </w:tc>
      </w:tr>
      <w:tr w:rsidR="007C6065" w:rsidRPr="00CB10AD" w:rsidTr="00DA1B0C">
        <w:trPr>
          <w:trHeight w:val="758"/>
        </w:trPr>
        <w:tc>
          <w:tcPr>
            <w:tcW w:w="1727" w:type="pct"/>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Absence of a clear MoRA strategy for Madrasah continuous quality improvement (see §4.4.4)</w:t>
            </w:r>
          </w:p>
        </w:tc>
        <w:tc>
          <w:tcPr>
            <w:tcW w:w="1719"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R10: EP support to systemic change should encourage and be based on a clear and resourced MoRA strategy for supporting Madrasah continuous quality improvement</w:t>
            </w:r>
            <w:r w:rsidR="00EE18A4">
              <w:rPr>
                <w:sz w:val="20"/>
                <w:szCs w:val="20"/>
                <w:lang w:val="en-AU"/>
              </w:rPr>
              <w:t>.</w:t>
            </w:r>
          </w:p>
        </w:tc>
        <w:tc>
          <w:tcPr>
            <w:tcW w:w="340"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4" w:type="pct"/>
          </w:tcPr>
          <w:p w:rsidR="007C6065" w:rsidRPr="00CB10AD" w:rsidRDefault="007C6065" w:rsidP="00E369C9">
            <w:pPr>
              <w:spacing w:before="120"/>
              <w:rPr>
                <w:sz w:val="20"/>
                <w:szCs w:val="20"/>
                <w:lang w:val="en-AU"/>
              </w:rPr>
            </w:pPr>
            <w:r w:rsidRPr="00CB10AD">
              <w:rPr>
                <w:sz w:val="20"/>
                <w:szCs w:val="20"/>
                <w:lang w:val="en-AU"/>
              </w:rPr>
              <w:t>MoRA (with DFAT and SSQ facilitation as required)</w:t>
            </w:r>
          </w:p>
        </w:tc>
      </w:tr>
      <w:tr w:rsidR="007C6065" w:rsidRPr="00CB10AD" w:rsidTr="00DA1B0C">
        <w:trPr>
          <w:trHeight w:val="1256"/>
        </w:trPr>
        <w:tc>
          <w:tcPr>
            <w:tcW w:w="1727" w:type="pct"/>
            <w:tcBorders>
              <w:bottom w:val="single" w:sz="4" w:space="0" w:color="auto"/>
            </w:tcBorders>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The average cost to achieve an increase in one level for a Madrasah initially accessed as a level B is over four times more than that to achieve a one level gain for a Madrasah initially assessed as a TT (see §4.4.2)</w:t>
            </w:r>
          </w:p>
        </w:tc>
        <w:tc>
          <w:tcPr>
            <w:tcW w:w="1719" w:type="pct"/>
            <w:tcBorders>
              <w:bottom w:val="single" w:sz="4" w:space="0" w:color="auto"/>
            </w:tcBorders>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R11: There should be an explicit and systematic targeting of beneficiary Madrasah with low initial standards (TT if possible)</w:t>
            </w:r>
            <w:r w:rsidR="00EE18A4">
              <w:rPr>
                <w:sz w:val="20"/>
                <w:szCs w:val="20"/>
                <w:lang w:val="en-AU"/>
              </w:rPr>
              <w:t>.</w:t>
            </w:r>
          </w:p>
        </w:tc>
        <w:tc>
          <w:tcPr>
            <w:tcW w:w="340" w:type="pct"/>
            <w:tcBorders>
              <w:bottom w:val="single" w:sz="4" w:space="0" w:color="auto"/>
            </w:tcBorders>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4" w:type="pct"/>
          </w:tcPr>
          <w:p w:rsidR="007C6065" w:rsidRPr="00CB10AD" w:rsidRDefault="007C6065" w:rsidP="00E369C9">
            <w:pPr>
              <w:spacing w:before="120"/>
              <w:rPr>
                <w:sz w:val="20"/>
                <w:szCs w:val="20"/>
                <w:lang w:val="en-AU"/>
              </w:rPr>
            </w:pPr>
            <w:r w:rsidRPr="00CB10AD">
              <w:rPr>
                <w:sz w:val="20"/>
                <w:szCs w:val="20"/>
                <w:lang w:val="en-AU"/>
              </w:rPr>
              <w:t xml:space="preserve">SSQ </w:t>
            </w:r>
          </w:p>
        </w:tc>
      </w:tr>
      <w:tr w:rsidR="007C6065" w:rsidRPr="00CB10AD" w:rsidTr="00DA1B0C">
        <w:trPr>
          <w:trHeight w:val="567"/>
        </w:trPr>
        <w:tc>
          <w:tcPr>
            <w:tcW w:w="1727" w:type="pct"/>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Impact of EP may be restricted to target Madrasah, while there exist other effective channels to spread benefits to non-target Madrasah (see §4.4.4)</w:t>
            </w:r>
          </w:p>
        </w:tc>
        <w:tc>
          <w:tcPr>
            <w:tcW w:w="1719"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R12: EP should continue and increase engagement with sub-national institutions to develop and seek support for non-targeted Madrasah, including engagement with KKM and Madrasah supervisors</w:t>
            </w:r>
            <w:r w:rsidR="00EE18A4">
              <w:rPr>
                <w:sz w:val="20"/>
                <w:szCs w:val="20"/>
                <w:lang w:val="en-AU"/>
              </w:rPr>
              <w:t>.</w:t>
            </w:r>
          </w:p>
        </w:tc>
        <w:tc>
          <w:tcPr>
            <w:tcW w:w="340" w:type="pct"/>
            <w:shd w:val="clear" w:color="auto" w:fill="92D05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4" w:type="pct"/>
          </w:tcPr>
          <w:p w:rsidR="007C6065" w:rsidRPr="00CB10AD" w:rsidRDefault="007C6065" w:rsidP="00E369C9">
            <w:pPr>
              <w:spacing w:before="120"/>
              <w:rPr>
                <w:sz w:val="20"/>
                <w:szCs w:val="20"/>
                <w:lang w:val="en-AU"/>
              </w:rPr>
            </w:pPr>
            <w:r w:rsidRPr="00CB10AD">
              <w:rPr>
                <w:sz w:val="20"/>
                <w:szCs w:val="20"/>
                <w:lang w:val="en-AU"/>
              </w:rPr>
              <w:t>SSQ</w:t>
            </w:r>
          </w:p>
        </w:tc>
      </w:tr>
      <w:tr w:rsidR="007C6065" w:rsidRPr="00CB10AD" w:rsidTr="00DA1B0C">
        <w:trPr>
          <w:trHeight w:val="567"/>
        </w:trPr>
        <w:tc>
          <w:tcPr>
            <w:tcW w:w="1727" w:type="pct"/>
            <w:tcBorders>
              <w:bottom w:val="single" w:sz="4" w:space="0" w:color="auto"/>
            </w:tcBorders>
            <w:shd w:val="clear" w:color="auto" w:fill="FFFFFF" w:themeFill="background1"/>
          </w:tcPr>
          <w:p w:rsidR="007C6065" w:rsidRPr="00CB10AD" w:rsidRDefault="007C6065" w:rsidP="00E369C9">
            <w:pPr>
              <w:spacing w:before="120"/>
              <w:rPr>
                <w:sz w:val="20"/>
                <w:szCs w:val="20"/>
                <w:lang w:val="en-AU"/>
              </w:rPr>
            </w:pPr>
            <w:r w:rsidRPr="00CB10AD">
              <w:rPr>
                <w:sz w:val="20"/>
                <w:szCs w:val="20"/>
                <w:lang w:val="en-AU"/>
              </w:rPr>
              <w:t>EP design does not explicitly target community engagement, an influential factor of Madrasah performance (see §4.4.1)</w:t>
            </w:r>
          </w:p>
        </w:tc>
        <w:tc>
          <w:tcPr>
            <w:tcW w:w="1719" w:type="pct"/>
            <w:tcBorders>
              <w:bottom w:val="single" w:sz="4" w:space="0" w:color="auto"/>
            </w:tcBorders>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R13: EP should develop, support and monitor measures to better involve other key, but currently untargeted</w:t>
            </w:r>
            <w:r w:rsidR="00CB10AD">
              <w:rPr>
                <w:sz w:val="20"/>
                <w:szCs w:val="20"/>
                <w:lang w:val="en-AU"/>
              </w:rPr>
              <w:t xml:space="preserve"> </w:t>
            </w:r>
            <w:r w:rsidRPr="00CB10AD">
              <w:rPr>
                <w:sz w:val="20"/>
                <w:szCs w:val="20"/>
                <w:lang w:val="en-AU"/>
              </w:rPr>
              <w:t xml:space="preserve">stakeholders (e.g. committee members, </w:t>
            </w:r>
            <w:r w:rsidRPr="00CB10AD">
              <w:rPr>
                <w:i/>
                <w:sz w:val="20"/>
                <w:szCs w:val="20"/>
                <w:lang w:val="en-AU"/>
              </w:rPr>
              <w:t>yayasan</w:t>
            </w:r>
            <w:r w:rsidRPr="00CB10AD">
              <w:rPr>
                <w:sz w:val="20"/>
                <w:szCs w:val="20"/>
                <w:lang w:val="en-AU"/>
              </w:rPr>
              <w:t xml:space="preserve"> and community members) in Madrasah quality improvement strategies</w:t>
            </w:r>
            <w:r w:rsidR="00EE18A4">
              <w:rPr>
                <w:sz w:val="20"/>
                <w:szCs w:val="20"/>
                <w:lang w:val="en-AU"/>
              </w:rPr>
              <w:t>.</w:t>
            </w:r>
          </w:p>
        </w:tc>
        <w:tc>
          <w:tcPr>
            <w:tcW w:w="340" w:type="pct"/>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4" w:type="pct"/>
          </w:tcPr>
          <w:p w:rsidR="007C6065" w:rsidRPr="00CB10AD" w:rsidRDefault="007C6065" w:rsidP="00E369C9">
            <w:pPr>
              <w:spacing w:before="120"/>
              <w:rPr>
                <w:sz w:val="20"/>
                <w:szCs w:val="20"/>
                <w:lang w:val="en-AU"/>
              </w:rPr>
            </w:pPr>
            <w:r w:rsidRPr="00CB10AD">
              <w:rPr>
                <w:sz w:val="20"/>
                <w:szCs w:val="20"/>
                <w:lang w:val="en-AU"/>
              </w:rPr>
              <w:t xml:space="preserve">SSQ (with POM support as required) </w:t>
            </w:r>
          </w:p>
        </w:tc>
      </w:tr>
    </w:tbl>
    <w:p w:rsidR="004623D7" w:rsidRPr="00CB10AD" w:rsidRDefault="004623D7" w:rsidP="004623D7">
      <w:pPr>
        <w:rPr>
          <w:i/>
          <w:lang w:val="en-AU"/>
        </w:rPr>
      </w:pPr>
    </w:p>
    <w:p w:rsidR="004623D7" w:rsidRPr="00CB10AD" w:rsidRDefault="004623D7" w:rsidP="004623D7">
      <w:pPr>
        <w:rPr>
          <w:i/>
          <w:lang w:val="en-AU"/>
        </w:rPr>
      </w:pPr>
      <w:r w:rsidRPr="00CB10AD">
        <w:rPr>
          <w:i/>
          <w:lang w:val="en-AU"/>
        </w:rPr>
        <w:t>NB: Red</w:t>
      </w:r>
      <w:r w:rsidR="005F2662" w:rsidRPr="00CB10AD">
        <w:rPr>
          <w:i/>
          <w:lang w:val="en-AU"/>
        </w:rPr>
        <w:t xml:space="preserve"> (***)</w:t>
      </w:r>
      <w:r w:rsidRPr="00CB10AD">
        <w:rPr>
          <w:i/>
          <w:lang w:val="en-AU"/>
        </w:rPr>
        <w:t xml:space="preserve"> -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p>
    <w:p w:rsidR="00B8318A" w:rsidRPr="00CB10AD" w:rsidRDefault="00B8318A" w:rsidP="00B8318A">
      <w:pPr>
        <w:rPr>
          <w:i/>
          <w:lang w:val="en-AU"/>
        </w:rPr>
        <w:sectPr w:rsidR="00B8318A" w:rsidRPr="00CB10AD" w:rsidSect="00A42AA1">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p>
    <w:p w:rsidR="002A2C82" w:rsidRPr="00CB10AD" w:rsidRDefault="002A2C82" w:rsidP="002A2C82">
      <w:pPr>
        <w:pStyle w:val="Heading1"/>
        <w:spacing w:before="120" w:after="120"/>
        <w:ind w:hanging="720"/>
        <w:rPr>
          <w:b/>
          <w:sz w:val="28"/>
          <w:szCs w:val="28"/>
          <w:lang w:val="en-AU"/>
        </w:rPr>
      </w:pPr>
      <w:bookmarkStart w:id="46" w:name="_Toc375124630"/>
      <w:bookmarkStart w:id="47" w:name="_Toc388253139"/>
      <w:r w:rsidRPr="00CB10AD">
        <w:rPr>
          <w:b/>
          <w:sz w:val="28"/>
          <w:szCs w:val="28"/>
          <w:lang w:val="en-AU"/>
        </w:rPr>
        <w:lastRenderedPageBreak/>
        <w:t>Component 4: Analytical and Capacity Development Partnership</w:t>
      </w:r>
      <w:bookmarkEnd w:id="46"/>
      <w:bookmarkEnd w:id="47"/>
    </w:p>
    <w:p w:rsidR="002A2C82" w:rsidRPr="00CB10AD" w:rsidRDefault="002A2C82" w:rsidP="002A2C82">
      <w:pPr>
        <w:pStyle w:val="Heading2"/>
        <w:spacing w:before="120" w:after="120"/>
        <w:ind w:hanging="720"/>
        <w:rPr>
          <w:b/>
          <w:szCs w:val="24"/>
          <w:lang w:val="en-AU"/>
        </w:rPr>
      </w:pPr>
      <w:r w:rsidRPr="00CB10AD">
        <w:rPr>
          <w:b/>
          <w:szCs w:val="24"/>
          <w:lang w:val="en-AU"/>
        </w:rPr>
        <w:t xml:space="preserve">An introduction </w:t>
      </w:r>
    </w:p>
    <w:p w:rsidR="002A2C82" w:rsidRPr="00CB10AD" w:rsidRDefault="002A2C82" w:rsidP="002A2C82">
      <w:pPr>
        <w:pStyle w:val="Heading3"/>
        <w:ind w:left="709" w:hanging="709"/>
        <w:rPr>
          <w:lang w:val="en-AU"/>
        </w:rPr>
      </w:pPr>
      <w:r w:rsidRPr="00CB10AD">
        <w:rPr>
          <w:lang w:val="en-AU"/>
        </w:rPr>
        <w:t xml:space="preserve">The EP investment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Component 4 of the EP seeks to </w:t>
      </w:r>
      <w:r w:rsidRPr="00CB10AD">
        <w:rPr>
          <w:rFonts w:asciiTheme="minorHAnsi" w:hAnsiTheme="minorHAnsi" w:cstheme="minorHAnsi"/>
          <w:bCs/>
          <w:iCs/>
          <w:lang w:val="en-AU"/>
        </w:rPr>
        <w:t xml:space="preserve">promote the use of evidence in </w:t>
      </w:r>
      <w:r w:rsidRPr="00CB10AD">
        <w:rPr>
          <w:lang w:val="en-AU"/>
        </w:rPr>
        <w:t>developing and implementing education sector policies, plans and budgets</w:t>
      </w:r>
      <w:r w:rsidRPr="00CB10AD">
        <w:rPr>
          <w:rFonts w:asciiTheme="minorHAnsi" w:hAnsiTheme="minorHAnsi" w:cstheme="minorHAnsi"/>
          <w:bCs/>
          <w:iCs/>
          <w:lang w:val="en-AU"/>
        </w:rPr>
        <w:t>.</w:t>
      </w:r>
      <w:r w:rsidRPr="00CB10AD">
        <w:rPr>
          <w:rFonts w:asciiTheme="minorHAnsi" w:hAnsiTheme="minorHAnsi" w:cstheme="minorHAnsi"/>
          <w:lang w:val="en-AU"/>
        </w:rPr>
        <w:t xml:space="preserve"> It does so through the activities of the Analytical and Capacity Development Partnership (ACDP). </w:t>
      </w:r>
      <w:r w:rsidRPr="00CB10AD">
        <w:rPr>
          <w:rFonts w:asciiTheme="minorHAnsi" w:hAnsiTheme="minorHAnsi" w:cstheme="minorHAnsi"/>
          <w:bCs/>
          <w:iCs/>
          <w:lang w:val="en-AU"/>
        </w:rPr>
        <w:t xml:space="preserve">The ACDP organizes, coordinates and responds to requests from relevant GoI ministries, most notably Bappenas, MoEC and MoRA, for analytical activities, such as discrete policy research studies. </w:t>
      </w:r>
      <w:r w:rsidRPr="00CB10AD">
        <w:rPr>
          <w:rFonts w:asciiTheme="minorHAnsi" w:hAnsiTheme="minorHAnsi" w:cstheme="minorHAnsi"/>
          <w:lang w:val="en-AU"/>
        </w:rPr>
        <w:t>Participating policy-makers are expected to utilize the analytical work to inform education sector policy, planning and budgeting (EOPO 4). This, in turn, is expected to make a contribution to improved sector governance (Goal 3)</w:t>
      </w:r>
      <w:r w:rsidRPr="00CB10AD">
        <w:rPr>
          <w:rStyle w:val="FootnoteReference"/>
          <w:rFonts w:cstheme="minorHAnsi"/>
          <w:lang w:val="en-AU"/>
        </w:rPr>
        <w:footnoteReference w:id="23"/>
      </w:r>
      <w:r w:rsidRPr="00CB10AD">
        <w:rPr>
          <w:rFonts w:asciiTheme="minorHAnsi" w:hAnsiTheme="minorHAnsi" w:cstheme="minorHAnsi"/>
          <w:lang w:val="en-AU"/>
        </w:rPr>
        <w:t xml:space="preserve">. </w:t>
      </w:r>
    </w:p>
    <w:p w:rsidR="002A2C82" w:rsidRPr="00CB10AD" w:rsidRDefault="002A2C82" w:rsidP="002A2C82">
      <w:pPr>
        <w:pStyle w:val="Heading3"/>
        <w:ind w:left="709" w:hanging="709"/>
        <w:rPr>
          <w:lang w:val="en-AU"/>
        </w:rPr>
      </w:pPr>
      <w:r w:rsidRPr="00CB10AD">
        <w:rPr>
          <w:lang w:val="en-AU"/>
        </w:rPr>
        <w:t>The delivery mechanisms and support provided by the EP</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Government of Australia and the European Union (EU) provide </w:t>
      </w:r>
      <w:r w:rsidR="007878B0" w:rsidRPr="00CB10AD">
        <w:rPr>
          <w:rFonts w:asciiTheme="minorHAnsi" w:hAnsiTheme="minorHAnsi" w:cstheme="minorHAnsi"/>
          <w:lang w:val="en-AU"/>
        </w:rPr>
        <w:t>approximately USD</w:t>
      </w:r>
      <w:r w:rsidRPr="00CB10AD">
        <w:rPr>
          <w:rFonts w:asciiTheme="minorHAnsi" w:hAnsiTheme="minorHAnsi" w:cstheme="minorHAnsi"/>
          <w:lang w:val="en-AU"/>
        </w:rPr>
        <w:t xml:space="preserve"> 50</w:t>
      </w:r>
      <w:r w:rsidR="002746B2" w:rsidRPr="00CB10AD">
        <w:rPr>
          <w:rStyle w:val="FootnoteReference"/>
          <w:rFonts w:cstheme="minorHAnsi"/>
          <w:lang w:val="en-AU"/>
        </w:rPr>
        <w:footnoteReference w:id="24"/>
      </w:r>
      <w:r w:rsidRPr="00CB10AD">
        <w:rPr>
          <w:rFonts w:asciiTheme="minorHAnsi" w:hAnsiTheme="minorHAnsi" w:cstheme="minorHAnsi"/>
          <w:lang w:val="en-AU"/>
        </w:rPr>
        <w:t xml:space="preserve"> million to support implementation of the ACDP. The ACDP technical oversight group (ATOG) is co-chaired by the Deputy Minister of Human Resources and Culture in Bappenas, the Head of Balitbang (MoEC), and the Director General of Islamic Education (MoRA). The ATOG </w:t>
      </w:r>
      <w:r w:rsidR="007878B0" w:rsidRPr="00CB10AD">
        <w:rPr>
          <w:rFonts w:asciiTheme="minorHAnsi" w:hAnsiTheme="minorHAnsi" w:cstheme="minorHAnsi"/>
          <w:lang w:val="en-AU"/>
        </w:rPr>
        <w:t xml:space="preserve">is scheduled to </w:t>
      </w:r>
      <w:r w:rsidRPr="00CB10AD">
        <w:rPr>
          <w:rFonts w:asciiTheme="minorHAnsi" w:hAnsiTheme="minorHAnsi" w:cstheme="minorHAnsi"/>
          <w:lang w:val="en-AU"/>
        </w:rPr>
        <w:t xml:space="preserve">meet quarterly and is responsible for, </w:t>
      </w:r>
      <w:r w:rsidRPr="00CB10AD">
        <w:rPr>
          <w:rFonts w:asciiTheme="minorHAnsi" w:hAnsiTheme="minorHAnsi" w:cstheme="minorHAnsi"/>
          <w:i/>
          <w:lang w:val="en-AU"/>
        </w:rPr>
        <w:t>inter alia</w:t>
      </w:r>
      <w:r w:rsidRPr="00CB10AD">
        <w:rPr>
          <w:rFonts w:asciiTheme="minorHAnsi" w:hAnsiTheme="minorHAnsi" w:cstheme="minorHAnsi"/>
          <w:lang w:val="en-AU"/>
        </w:rPr>
        <w:t>, reviewing and approving ACDP’s annual workplan, approving reports, and organizing technical dialogue between the ADB, DFAT and the EU. ATOG membership includes senior officials from MoEC, MoRA, Bappenas, MoF, MoHA, DFAT and the EU.</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ACDP’s executing agency is MoEC’s National Office for Research and Development (Balitbang), with its Head acting as Director of the ACDP. The ACDP Program Manager, who is the Head of the Centre for Research and Policy at the Balitbang, is responsible for day-to-day management of the program, and this includes preparing the annual workplans and budgets and coordinating dissemination and publication of ACDP reports.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Asian Development Bank (ADB) is responsible for managing and administering the ACDP on behalf of the Balitbang. The ADB has contracted an Operational Management Team (OMT) and a Core Advisory Team (CAT) to provide technical support to </w:t>
      </w:r>
      <w:r w:rsidR="002E1895" w:rsidRPr="00CB10AD">
        <w:rPr>
          <w:rFonts w:asciiTheme="minorHAnsi" w:hAnsiTheme="minorHAnsi" w:cstheme="minorHAnsi"/>
          <w:lang w:val="en-AU"/>
        </w:rPr>
        <w:t xml:space="preserve">the </w:t>
      </w:r>
      <w:r w:rsidRPr="00CB10AD">
        <w:rPr>
          <w:rFonts w:asciiTheme="minorHAnsi" w:hAnsiTheme="minorHAnsi" w:cstheme="minorHAnsi"/>
          <w:lang w:val="en-AU"/>
        </w:rPr>
        <w:t xml:space="preserve">implementation of the program, with both teams being based in the ACDP Secretariat at Balitbang (MoEC). The OMT provides administrative and management support services such that the agreed activities and outputs are delivered in a timely and professional manner. Its primary responsibilities include procurement and subsequent oversight of contracted services. The CAT supports the ACDP Program Director and Program Manager with the preparation and implementation of ACDP activities.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lastRenderedPageBreak/>
        <w:t>All contract activities are procured through a competitive bidding process either among prequalified Indefinite Delivery Contacts (IDC) consortia or individually recruited consultants.</w:t>
      </w:r>
    </w:p>
    <w:p w:rsidR="002A2C82" w:rsidRPr="00CB10AD" w:rsidRDefault="002A2C82" w:rsidP="002A2C82">
      <w:pPr>
        <w:pStyle w:val="Heading2"/>
        <w:spacing w:before="120" w:after="120"/>
        <w:ind w:hanging="720"/>
        <w:rPr>
          <w:b/>
          <w:szCs w:val="24"/>
          <w:lang w:val="en-AU"/>
        </w:rPr>
      </w:pPr>
      <w:r w:rsidRPr="00CB10AD">
        <w:rPr>
          <w:b/>
          <w:szCs w:val="24"/>
          <w:lang w:val="en-AU"/>
        </w:rPr>
        <w:t>Context</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ACDP started in January 2011 and is expected to close in 2015. From a national perspective, this </w:t>
      </w:r>
      <w:r w:rsidR="00655BED" w:rsidRPr="00CB10AD">
        <w:rPr>
          <w:rFonts w:asciiTheme="minorHAnsi" w:hAnsiTheme="minorHAnsi" w:cstheme="minorHAnsi"/>
          <w:lang w:val="en-AU"/>
        </w:rPr>
        <w:t xml:space="preserve">year’s commentary about </w:t>
      </w:r>
      <w:r w:rsidRPr="00CB10AD">
        <w:rPr>
          <w:rFonts w:asciiTheme="minorHAnsi" w:hAnsiTheme="minorHAnsi" w:cstheme="minorHAnsi"/>
          <w:lang w:val="en-AU"/>
        </w:rPr>
        <w:t xml:space="preserve">C4 progress is timely for several reasons: </w:t>
      </w:r>
    </w:p>
    <w:p w:rsidR="002A2C82" w:rsidRPr="00CB10AD" w:rsidRDefault="002A2C82" w:rsidP="002A2C82">
      <w:pPr>
        <w:pStyle w:val="ListParagraph"/>
        <w:numPr>
          <w:ilvl w:val="0"/>
          <w:numId w:val="11"/>
        </w:numPr>
        <w:spacing w:before="120" w:after="120"/>
        <w:ind w:left="714" w:hanging="357"/>
        <w:rPr>
          <w:lang w:val="en-AU"/>
        </w:rPr>
      </w:pPr>
      <w:r w:rsidRPr="00CB10AD">
        <w:rPr>
          <w:lang w:val="en-AU"/>
        </w:rPr>
        <w:t xml:space="preserve">The ACDP has passed its mid-point and is nearly three years into implementation; </w:t>
      </w:r>
    </w:p>
    <w:p w:rsidR="002A2C82" w:rsidRPr="00CB10AD" w:rsidRDefault="002A2C82" w:rsidP="002A2C82">
      <w:pPr>
        <w:pStyle w:val="ListParagraph"/>
        <w:numPr>
          <w:ilvl w:val="0"/>
          <w:numId w:val="11"/>
        </w:numPr>
        <w:spacing w:before="120" w:after="120"/>
        <w:ind w:left="714" w:hanging="357"/>
        <w:rPr>
          <w:lang w:val="en-AU"/>
        </w:rPr>
      </w:pPr>
      <w:r w:rsidRPr="00CB10AD">
        <w:rPr>
          <w:lang w:val="en-AU"/>
        </w:rPr>
        <w:t>The ACDP is expected to contribute to the achievement of GoI education objectives and targets, as outlined in the current MoEC and MoRA Renstras, both of which are due to expire in 2014,</w:t>
      </w:r>
    </w:p>
    <w:p w:rsidR="002A2C82" w:rsidRPr="00CB10AD" w:rsidRDefault="002A2C82" w:rsidP="002A2C82">
      <w:pPr>
        <w:pStyle w:val="ListParagraph"/>
        <w:numPr>
          <w:ilvl w:val="0"/>
          <w:numId w:val="11"/>
        </w:numPr>
        <w:spacing w:before="120" w:after="120"/>
        <w:ind w:left="714" w:hanging="357"/>
        <w:rPr>
          <w:rFonts w:asciiTheme="minorHAnsi" w:hAnsiTheme="minorHAnsi" w:cstheme="minorHAnsi"/>
          <w:lang w:val="en-AU"/>
        </w:rPr>
      </w:pPr>
      <w:r w:rsidRPr="00CB10AD">
        <w:rPr>
          <w:lang w:val="en-AU"/>
        </w:rPr>
        <w:t>The Presidential elections in mid-2014 are likely to usher in changes to political appointees and key civil</w:t>
      </w:r>
      <w:r w:rsidRPr="00CB10AD">
        <w:rPr>
          <w:rFonts w:asciiTheme="minorHAnsi" w:hAnsiTheme="minorHAnsi" w:cstheme="minorHAnsi"/>
          <w:lang w:val="en-AU"/>
        </w:rPr>
        <w:t xml:space="preserve"> servants in target ministries.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With three years of relative stability soon to give way to some uncertainty in the political, policy and institutional environment within which ACDP operates, it is imperative that </w:t>
      </w:r>
      <w:r w:rsidR="002E1895" w:rsidRPr="00CB10AD">
        <w:rPr>
          <w:rFonts w:asciiTheme="minorHAnsi" w:hAnsiTheme="minorHAnsi" w:cstheme="minorHAnsi"/>
          <w:lang w:val="en-AU"/>
        </w:rPr>
        <w:t xml:space="preserve">the </w:t>
      </w:r>
      <w:r w:rsidRPr="00CB10AD">
        <w:rPr>
          <w:rFonts w:asciiTheme="minorHAnsi" w:hAnsiTheme="minorHAnsi" w:cstheme="minorHAnsi"/>
          <w:lang w:val="en-AU"/>
        </w:rPr>
        <w:t>most is made out of the gains made to date and that ACDP is steered successfully through the changes ahead.</w:t>
      </w:r>
      <w:r w:rsidR="00946EBD" w:rsidRPr="00CB10AD">
        <w:rPr>
          <w:rFonts w:asciiTheme="minorHAnsi" w:hAnsiTheme="minorHAnsi" w:cstheme="minorHAnsi"/>
          <w:lang w:val="en-AU"/>
        </w:rPr>
        <w:t xml:space="preserve">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From an international perspective, the ACDP modality offers learning opportunities for those donors investing in Knowledge-to-Policy (K2P) processes: a theme that is receiving increasing attention amongst development partners, and which has broader relevance to DFAT in Indonesia, e.g. see the ongoing Knowledge Sector Initiative. Of utmost important is the implicit assumption that decision-makers develop policy based on objective, high-quality evidence. </w:t>
      </w:r>
    </w:p>
    <w:p w:rsidR="002A2C82" w:rsidRPr="00CB10AD" w:rsidRDefault="002A2C82" w:rsidP="002A2C82">
      <w:pPr>
        <w:pStyle w:val="Heading2"/>
        <w:spacing w:before="120" w:after="120"/>
        <w:ind w:hanging="720"/>
        <w:rPr>
          <w:b/>
          <w:szCs w:val="24"/>
          <w:lang w:val="en-AU"/>
        </w:rPr>
      </w:pPr>
      <w:r w:rsidRPr="00CB10AD">
        <w:rPr>
          <w:b/>
          <w:szCs w:val="24"/>
          <w:lang w:val="en-AU"/>
        </w:rPr>
        <w:t>Achievements</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ACDP has made steady progress to date. As at the end of November 2013 it had procured 25 activities and had planned an additional seven activities to be launched in the first half of 2014. Together, these 32 activities would constitute over USD 26m of contracted commitments (see </w:t>
      </w:r>
      <w:r w:rsidR="009E32C3" w:rsidRPr="00CB10AD">
        <w:rPr>
          <w:rFonts w:asciiTheme="minorHAnsi" w:hAnsiTheme="minorHAnsi" w:cstheme="minorHAnsi"/>
          <w:lang w:val="en-AU"/>
        </w:rPr>
        <w:fldChar w:fldCharType="begin"/>
      </w:r>
      <w:r w:rsidR="009E32C3" w:rsidRPr="00CB10AD">
        <w:rPr>
          <w:rFonts w:asciiTheme="minorHAnsi" w:hAnsiTheme="minorHAnsi" w:cstheme="minorHAnsi"/>
          <w:lang w:val="en-AU"/>
        </w:rPr>
        <w:instrText xml:space="preserve"> REF _Ref379642144 \h </w:instrText>
      </w:r>
      <w:r w:rsidR="009E32C3" w:rsidRPr="00CB10AD">
        <w:rPr>
          <w:rFonts w:asciiTheme="minorHAnsi" w:hAnsiTheme="minorHAnsi" w:cstheme="minorHAnsi"/>
          <w:lang w:val="en-AU"/>
        </w:rPr>
      </w:r>
      <w:r w:rsidR="009E32C3" w:rsidRPr="00CB10AD">
        <w:rPr>
          <w:rFonts w:asciiTheme="minorHAnsi" w:hAnsiTheme="minorHAnsi" w:cstheme="minorHAnsi"/>
          <w:lang w:val="en-AU"/>
        </w:rPr>
        <w:fldChar w:fldCharType="separate"/>
      </w:r>
      <w:r w:rsidR="00662AF4" w:rsidRPr="00CB10AD">
        <w:rPr>
          <w:lang w:val="en-AU"/>
        </w:rPr>
        <w:t xml:space="preserve">Table </w:t>
      </w:r>
      <w:r w:rsidR="00662AF4">
        <w:rPr>
          <w:noProof/>
          <w:lang w:val="en-AU"/>
        </w:rPr>
        <w:t>11</w:t>
      </w:r>
      <w:r w:rsidR="009E32C3" w:rsidRPr="00CB10AD">
        <w:rPr>
          <w:rFonts w:asciiTheme="minorHAnsi" w:hAnsiTheme="minorHAnsi" w:cstheme="minorHAnsi"/>
          <w:lang w:val="en-AU"/>
        </w:rPr>
        <w:fldChar w:fldCharType="end"/>
      </w:r>
      <w:r w:rsidRPr="00CB10AD">
        <w:rPr>
          <w:rFonts w:asciiTheme="minorHAnsi" w:hAnsiTheme="minorHAnsi" w:cstheme="minorHAnsi"/>
          <w:lang w:val="en-AU"/>
        </w:rPr>
        <w:t>).</w:t>
      </w:r>
      <w:r w:rsidR="00946EBD" w:rsidRPr="00CB10AD">
        <w:rPr>
          <w:rFonts w:asciiTheme="minorHAnsi" w:hAnsiTheme="minorHAnsi" w:cstheme="minorHAnsi"/>
          <w:lang w:val="en-AU"/>
        </w:rPr>
        <w:t xml:space="preserve"> </w:t>
      </w:r>
    </w:p>
    <w:p w:rsidR="002A2C82" w:rsidRPr="00CB10AD" w:rsidRDefault="00510D10" w:rsidP="009E32C3">
      <w:pPr>
        <w:pStyle w:val="Caption"/>
        <w:rPr>
          <w:lang w:val="en-AU"/>
        </w:rPr>
      </w:pPr>
      <w:bookmarkStart w:id="48" w:name="_Ref379642144"/>
      <w:bookmarkStart w:id="49" w:name="_Toc379982279"/>
      <w:r w:rsidRPr="00CB10AD">
        <w:rPr>
          <w:lang w:val="en-AU"/>
        </w:rPr>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11</w:t>
      </w:r>
      <w:r w:rsidRPr="00CB10AD">
        <w:rPr>
          <w:lang w:val="en-AU"/>
        </w:rPr>
        <w:fldChar w:fldCharType="end"/>
      </w:r>
      <w:bookmarkEnd w:id="48"/>
      <w:r w:rsidR="002A2C82" w:rsidRPr="00CB10AD">
        <w:rPr>
          <w:lang w:val="en-AU"/>
        </w:rPr>
        <w:t>: Progress against ACDP workplan (as at 30 November 2013)</w:t>
      </w:r>
      <w:bookmarkEnd w:id="49"/>
    </w:p>
    <w:tbl>
      <w:tblPr>
        <w:tblStyle w:val="TableGrid"/>
        <w:tblW w:w="0" w:type="auto"/>
        <w:jc w:val="center"/>
        <w:tblInd w:w="-3065" w:type="dxa"/>
        <w:tblLook w:val="04A0" w:firstRow="1" w:lastRow="0" w:firstColumn="1" w:lastColumn="0" w:noHBand="0" w:noVBand="1"/>
      </w:tblPr>
      <w:tblGrid>
        <w:gridCol w:w="2594"/>
        <w:gridCol w:w="5953"/>
      </w:tblGrid>
      <w:tr w:rsidR="002A2C82" w:rsidRPr="00CB10AD" w:rsidTr="002A2C82">
        <w:trPr>
          <w:trHeight w:val="447"/>
          <w:jc w:val="center"/>
        </w:trPr>
        <w:tc>
          <w:tcPr>
            <w:tcW w:w="2594" w:type="dxa"/>
            <w:vMerge w:val="restart"/>
            <w:shd w:val="clear" w:color="auto" w:fill="17365D" w:themeFill="text2" w:themeFillShade="BF"/>
            <w:vAlign w:val="center"/>
          </w:tcPr>
          <w:p w:rsidR="002A2C82" w:rsidRPr="00CB10AD" w:rsidRDefault="002A2C82" w:rsidP="002A2C82">
            <w:pPr>
              <w:spacing w:before="60" w:after="60"/>
              <w:jc w:val="center"/>
              <w:rPr>
                <w:rFonts w:asciiTheme="minorHAnsi" w:hAnsiTheme="minorHAnsi"/>
                <w:b/>
                <w:lang w:val="en-AU"/>
              </w:rPr>
            </w:pPr>
            <w:r w:rsidRPr="00CB10AD">
              <w:rPr>
                <w:rFonts w:asciiTheme="minorHAnsi" w:hAnsiTheme="minorHAnsi"/>
                <w:b/>
                <w:lang w:val="en-AU"/>
              </w:rPr>
              <w:t>Theme</w:t>
            </w:r>
          </w:p>
        </w:tc>
        <w:tc>
          <w:tcPr>
            <w:tcW w:w="5953" w:type="dxa"/>
            <w:vMerge w:val="restart"/>
            <w:shd w:val="clear" w:color="auto" w:fill="17365D" w:themeFill="text2" w:themeFillShade="BF"/>
            <w:vAlign w:val="center"/>
          </w:tcPr>
          <w:p w:rsidR="002A2C82" w:rsidRPr="00CB10AD" w:rsidRDefault="002A2C82" w:rsidP="002A2C82">
            <w:pPr>
              <w:spacing w:before="60" w:after="60"/>
              <w:jc w:val="center"/>
              <w:rPr>
                <w:rFonts w:asciiTheme="minorHAnsi" w:hAnsiTheme="minorHAnsi"/>
                <w:b/>
                <w:lang w:val="en-AU"/>
              </w:rPr>
            </w:pPr>
            <w:r w:rsidRPr="00CB10AD">
              <w:rPr>
                <w:rFonts w:asciiTheme="minorHAnsi" w:hAnsiTheme="minorHAnsi"/>
                <w:b/>
                <w:lang w:val="en-AU"/>
              </w:rPr>
              <w:t>Comment</w:t>
            </w:r>
          </w:p>
        </w:tc>
      </w:tr>
      <w:tr w:rsidR="002A2C82" w:rsidRPr="00CB10AD" w:rsidTr="002A2C82">
        <w:trPr>
          <w:trHeight w:val="389"/>
          <w:jc w:val="center"/>
        </w:trPr>
        <w:tc>
          <w:tcPr>
            <w:tcW w:w="2594" w:type="dxa"/>
            <w:vMerge/>
          </w:tcPr>
          <w:p w:rsidR="002A2C82" w:rsidRPr="00CB10AD" w:rsidRDefault="002A2C82" w:rsidP="002A2C82">
            <w:pPr>
              <w:spacing w:before="60" w:after="60"/>
              <w:rPr>
                <w:rFonts w:asciiTheme="minorHAnsi" w:hAnsiTheme="minorHAnsi"/>
                <w:lang w:val="en-AU"/>
              </w:rPr>
            </w:pPr>
          </w:p>
        </w:tc>
        <w:tc>
          <w:tcPr>
            <w:tcW w:w="5953" w:type="dxa"/>
            <w:vMerge/>
            <w:shd w:val="clear" w:color="auto" w:fill="FFFFFF" w:themeFill="background1"/>
          </w:tcPr>
          <w:p w:rsidR="002A2C82" w:rsidRPr="00CB10AD" w:rsidRDefault="002A2C82" w:rsidP="002A2C82">
            <w:pPr>
              <w:spacing w:before="60" w:after="60"/>
              <w:jc w:val="center"/>
              <w:rPr>
                <w:rFonts w:asciiTheme="minorHAnsi" w:hAnsiTheme="minorHAnsi"/>
                <w:lang w:val="en-AU"/>
              </w:rPr>
            </w:pPr>
          </w:p>
        </w:tc>
      </w:tr>
      <w:tr w:rsidR="002A2C82" w:rsidRPr="00CB10AD" w:rsidTr="002A2C82">
        <w:trPr>
          <w:trHeight w:val="434"/>
          <w:jc w:val="center"/>
        </w:trPr>
        <w:tc>
          <w:tcPr>
            <w:tcW w:w="2594" w:type="dxa"/>
          </w:tcPr>
          <w:p w:rsidR="002A2C82" w:rsidRPr="00CB10AD" w:rsidRDefault="002A2C82" w:rsidP="002A2C82">
            <w:pPr>
              <w:spacing w:before="60" w:after="60"/>
              <w:rPr>
                <w:rFonts w:asciiTheme="minorHAnsi" w:hAnsiTheme="minorHAnsi"/>
                <w:b/>
                <w:lang w:val="en-AU"/>
              </w:rPr>
            </w:pPr>
            <w:r w:rsidRPr="00CB10AD">
              <w:rPr>
                <w:rFonts w:asciiTheme="minorHAnsi" w:hAnsiTheme="minorHAnsi"/>
                <w:b/>
                <w:lang w:val="en-AU"/>
              </w:rPr>
              <w:t># of procured activities</w:t>
            </w:r>
          </w:p>
        </w:tc>
        <w:tc>
          <w:tcPr>
            <w:tcW w:w="5953" w:type="dxa"/>
            <w:shd w:val="clear" w:color="auto" w:fill="FFFFFF" w:themeFill="background1"/>
          </w:tcPr>
          <w:p w:rsidR="002A2C82" w:rsidRPr="00CB10AD" w:rsidRDefault="002A2C82" w:rsidP="002A2C82">
            <w:pPr>
              <w:spacing w:before="60" w:after="60"/>
              <w:jc w:val="center"/>
              <w:rPr>
                <w:rFonts w:asciiTheme="minorHAnsi" w:hAnsiTheme="minorHAnsi"/>
                <w:lang w:val="en-AU"/>
              </w:rPr>
            </w:pPr>
            <w:r w:rsidRPr="00CB10AD">
              <w:rPr>
                <w:rFonts w:asciiTheme="minorHAnsi" w:hAnsiTheme="minorHAnsi"/>
                <w:lang w:val="en-AU"/>
              </w:rPr>
              <w:t>25</w:t>
            </w:r>
          </w:p>
        </w:tc>
      </w:tr>
      <w:tr w:rsidR="002A2C82" w:rsidRPr="00CB10AD" w:rsidTr="002A2C82">
        <w:trPr>
          <w:trHeight w:val="447"/>
          <w:jc w:val="center"/>
        </w:trPr>
        <w:tc>
          <w:tcPr>
            <w:tcW w:w="2594" w:type="dxa"/>
          </w:tcPr>
          <w:p w:rsidR="002A2C82" w:rsidRPr="00CB10AD" w:rsidRDefault="002A2C82" w:rsidP="002A2C82">
            <w:pPr>
              <w:spacing w:before="60" w:after="60"/>
              <w:rPr>
                <w:rFonts w:asciiTheme="minorHAnsi" w:hAnsiTheme="minorHAnsi"/>
                <w:b/>
                <w:lang w:val="en-AU"/>
              </w:rPr>
            </w:pPr>
            <w:r w:rsidRPr="00CB10AD">
              <w:rPr>
                <w:rFonts w:asciiTheme="minorHAnsi" w:hAnsiTheme="minorHAnsi"/>
                <w:b/>
                <w:lang w:val="en-AU"/>
              </w:rPr>
              <w:t># of person-months procured through IDC consortia</w:t>
            </w:r>
          </w:p>
        </w:tc>
        <w:tc>
          <w:tcPr>
            <w:tcW w:w="5953" w:type="dxa"/>
            <w:shd w:val="clear" w:color="auto" w:fill="FFFFFF" w:themeFill="background1"/>
          </w:tcPr>
          <w:p w:rsidR="002A2C82" w:rsidRPr="00CB10AD" w:rsidRDefault="002A2C82" w:rsidP="002A2C82">
            <w:pPr>
              <w:spacing w:before="60" w:after="60"/>
              <w:jc w:val="center"/>
              <w:rPr>
                <w:rFonts w:asciiTheme="minorHAnsi" w:hAnsiTheme="minorHAnsi"/>
                <w:lang w:val="en-AU"/>
              </w:rPr>
            </w:pPr>
            <w:r w:rsidRPr="00CB10AD">
              <w:rPr>
                <w:rFonts w:asciiTheme="minorHAnsi" w:hAnsiTheme="minorHAnsi"/>
                <w:lang w:val="en-AU"/>
              </w:rPr>
              <w:t>687</w:t>
            </w:r>
          </w:p>
          <w:p w:rsidR="002A2C82" w:rsidRPr="00CB10AD" w:rsidRDefault="002A2C82" w:rsidP="002A2C82">
            <w:pPr>
              <w:spacing w:before="60" w:after="60"/>
              <w:jc w:val="center"/>
              <w:rPr>
                <w:rFonts w:asciiTheme="minorHAnsi" w:hAnsiTheme="minorHAnsi"/>
                <w:lang w:val="en-AU"/>
              </w:rPr>
            </w:pPr>
            <w:r w:rsidRPr="00CB10AD">
              <w:rPr>
                <w:rFonts w:asciiTheme="minorHAnsi" w:hAnsiTheme="minorHAnsi"/>
                <w:lang w:val="en-AU"/>
              </w:rPr>
              <w:t>of which 140 person months (20%) are for international TA and 547 person months (80%) are for national TA</w:t>
            </w:r>
          </w:p>
        </w:tc>
      </w:tr>
      <w:tr w:rsidR="002A2C82" w:rsidRPr="00CB10AD" w:rsidTr="002A2C82">
        <w:trPr>
          <w:trHeight w:val="447"/>
          <w:jc w:val="center"/>
        </w:trPr>
        <w:tc>
          <w:tcPr>
            <w:tcW w:w="2594" w:type="dxa"/>
          </w:tcPr>
          <w:p w:rsidR="002A2C82" w:rsidRPr="00CB10AD" w:rsidRDefault="002A2C82" w:rsidP="002A2C82">
            <w:pPr>
              <w:spacing w:before="60" w:after="60"/>
              <w:rPr>
                <w:rFonts w:asciiTheme="minorHAnsi" w:hAnsiTheme="minorHAnsi"/>
                <w:b/>
                <w:lang w:val="en-AU"/>
              </w:rPr>
            </w:pPr>
            <w:r w:rsidRPr="00CB10AD">
              <w:rPr>
                <w:rFonts w:asciiTheme="minorHAnsi" w:hAnsiTheme="minorHAnsi"/>
                <w:b/>
                <w:lang w:val="en-AU"/>
              </w:rPr>
              <w:t>Value of contracted commitments (USD)</w:t>
            </w:r>
          </w:p>
        </w:tc>
        <w:tc>
          <w:tcPr>
            <w:tcW w:w="5953" w:type="dxa"/>
            <w:shd w:val="clear" w:color="auto" w:fill="FFFFFF" w:themeFill="background1"/>
          </w:tcPr>
          <w:p w:rsidR="002A2C82" w:rsidRPr="00CB10AD" w:rsidRDefault="002A2C82" w:rsidP="002A2C82">
            <w:pPr>
              <w:spacing w:before="60" w:after="60"/>
              <w:jc w:val="center"/>
              <w:rPr>
                <w:rFonts w:asciiTheme="minorHAnsi" w:hAnsiTheme="minorHAnsi"/>
                <w:lang w:val="en-AU"/>
              </w:rPr>
            </w:pPr>
            <w:r w:rsidRPr="00CB10AD">
              <w:rPr>
                <w:rFonts w:asciiTheme="minorHAnsi" w:hAnsiTheme="minorHAnsi"/>
                <w:lang w:val="en-AU"/>
              </w:rPr>
              <w:t>19,629,052</w:t>
            </w:r>
          </w:p>
          <w:p w:rsidR="002A2C82" w:rsidRPr="00CB10AD" w:rsidRDefault="002A2C82" w:rsidP="002A2C82">
            <w:pPr>
              <w:spacing w:before="60" w:after="60"/>
              <w:jc w:val="center"/>
              <w:rPr>
                <w:rFonts w:asciiTheme="minorHAnsi" w:hAnsiTheme="minorHAnsi"/>
                <w:lang w:val="en-AU"/>
              </w:rPr>
            </w:pPr>
            <w:r w:rsidRPr="00CB10AD">
              <w:rPr>
                <w:rFonts w:asciiTheme="minorHAnsi" w:hAnsiTheme="minorHAnsi"/>
                <w:lang w:val="en-AU"/>
              </w:rPr>
              <w:t>It is expected that an additional 7,623,505 will be contracted before the end of May 2014</w:t>
            </w:r>
          </w:p>
        </w:tc>
      </w:tr>
    </w:tbl>
    <w:p w:rsidR="002A2C82" w:rsidRPr="00CB10AD" w:rsidRDefault="002A2C82" w:rsidP="002A2C82">
      <w:pPr>
        <w:pStyle w:val="NormalWeb"/>
        <w:spacing w:before="120" w:beforeAutospacing="0" w:after="120" w:afterAutospacing="0"/>
        <w:jc w:val="center"/>
        <w:rPr>
          <w:rFonts w:asciiTheme="minorHAnsi" w:hAnsiTheme="minorHAnsi"/>
          <w:i/>
          <w:sz w:val="20"/>
          <w:szCs w:val="20"/>
          <w:lang w:val="en-AU"/>
        </w:rPr>
      </w:pPr>
      <w:r w:rsidRPr="00CB10AD">
        <w:rPr>
          <w:rFonts w:asciiTheme="minorHAnsi" w:hAnsiTheme="minorHAnsi"/>
          <w:i/>
          <w:sz w:val="20"/>
          <w:szCs w:val="20"/>
          <w:lang w:val="en-AU"/>
        </w:rPr>
        <w:t>Source: Prouty pers.</w:t>
      </w:r>
      <w:r w:rsidR="000D7878" w:rsidRPr="00CB10AD">
        <w:rPr>
          <w:rFonts w:asciiTheme="minorHAnsi" w:hAnsiTheme="minorHAnsi"/>
          <w:i/>
          <w:sz w:val="20"/>
          <w:szCs w:val="20"/>
          <w:lang w:val="en-AU"/>
        </w:rPr>
        <w:t xml:space="preserve"> </w:t>
      </w:r>
      <w:r w:rsidRPr="00CB10AD">
        <w:rPr>
          <w:rFonts w:asciiTheme="minorHAnsi" w:hAnsiTheme="minorHAnsi"/>
          <w:i/>
          <w:sz w:val="20"/>
          <w:szCs w:val="20"/>
          <w:lang w:val="en-AU"/>
        </w:rPr>
        <w:t>com</w:t>
      </w:r>
      <w:r w:rsidR="000D7878" w:rsidRPr="00CB10AD">
        <w:rPr>
          <w:rFonts w:asciiTheme="minorHAnsi" w:hAnsiTheme="minorHAnsi"/>
          <w:i/>
          <w:sz w:val="20"/>
          <w:szCs w:val="20"/>
          <w:lang w:val="en-AU"/>
        </w:rPr>
        <w:t>m</w:t>
      </w:r>
      <w:r w:rsidRPr="00CB10AD">
        <w:rPr>
          <w:rFonts w:asciiTheme="minorHAnsi" w:hAnsiTheme="minorHAnsi"/>
          <w:i/>
          <w:sz w:val="20"/>
          <w:szCs w:val="20"/>
          <w:lang w:val="en-AU"/>
        </w:rPr>
        <w:t>. to POM</w:t>
      </w:r>
      <w:r w:rsidR="000D7878" w:rsidRPr="00CB10AD">
        <w:rPr>
          <w:rFonts w:asciiTheme="minorHAnsi" w:hAnsiTheme="minorHAnsi"/>
          <w:i/>
          <w:sz w:val="20"/>
          <w:szCs w:val="20"/>
          <w:lang w:val="en-AU"/>
        </w:rPr>
        <w:t>,</w:t>
      </w:r>
      <w:r w:rsidRPr="00CB10AD">
        <w:rPr>
          <w:rFonts w:asciiTheme="minorHAnsi" w:hAnsiTheme="minorHAnsi"/>
          <w:i/>
          <w:sz w:val="20"/>
          <w:szCs w:val="20"/>
          <w:lang w:val="en-AU"/>
        </w:rPr>
        <w:t xml:space="preserve"> 26 November 2013</w:t>
      </w:r>
    </w:p>
    <w:p w:rsidR="009E32C3" w:rsidRPr="00CB10AD" w:rsidRDefault="009E32C3" w:rsidP="002A2C82">
      <w:pPr>
        <w:spacing w:before="120" w:after="120" w:line="276" w:lineRule="auto"/>
        <w:jc w:val="both"/>
        <w:rPr>
          <w:lang w:val="en-AU"/>
        </w:rPr>
      </w:pPr>
    </w:p>
    <w:p w:rsidR="002A2C82" w:rsidRPr="00CB10AD" w:rsidRDefault="002A2C82" w:rsidP="002A2C82">
      <w:pPr>
        <w:spacing w:before="120" w:after="120" w:line="276" w:lineRule="auto"/>
        <w:jc w:val="both"/>
        <w:rPr>
          <w:rFonts w:asciiTheme="minorHAnsi" w:hAnsiTheme="minorHAnsi" w:cstheme="minorHAnsi"/>
          <w:lang w:val="en-AU"/>
        </w:rPr>
      </w:pPr>
      <w:r w:rsidRPr="00CB10AD">
        <w:rPr>
          <w:lang w:val="en-AU"/>
        </w:rPr>
        <w:lastRenderedPageBreak/>
        <w:t xml:space="preserve">The </w:t>
      </w:r>
      <w:r w:rsidRPr="00CB10AD">
        <w:rPr>
          <w:rFonts w:asciiTheme="minorHAnsi" w:hAnsiTheme="minorHAnsi" w:cstheme="minorHAnsi"/>
          <w:lang w:val="en-AU"/>
        </w:rPr>
        <w:t>ACDP brought a number of pieces of work to conclusion in 2013, including the School and Madrasah Principals and Supervisors Competencies Baseline Study (ACDP 007). It has organized over 100 workshops, meetings and training events to date, attracting more than 3000 participants</w:t>
      </w:r>
      <w:r w:rsidRPr="00CB10AD">
        <w:rPr>
          <w:rStyle w:val="FootnoteReference"/>
          <w:rFonts w:eastAsia="Calibri"/>
          <w:lang w:val="en-AU"/>
        </w:rPr>
        <w:footnoteReference w:id="25"/>
      </w:r>
      <w:r w:rsidRPr="00CB10AD">
        <w:rPr>
          <w:rStyle w:val="FootnoteReference"/>
          <w:rFonts w:eastAsia="Calibri"/>
          <w:lang w:val="en-AU"/>
        </w:rPr>
        <w:t>.</w:t>
      </w:r>
      <w:r w:rsidRPr="00CB10AD">
        <w:rPr>
          <w:rFonts w:asciiTheme="minorHAnsi" w:hAnsiTheme="minorHAnsi" w:cstheme="minorHAnsi"/>
          <w:lang w:val="en-AU"/>
        </w:rPr>
        <w:t xml:space="preserve">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ACDP has recorded several significant ‘wins’. For example: </w:t>
      </w:r>
    </w:p>
    <w:p w:rsidR="002A2C82" w:rsidRPr="00CB10AD" w:rsidRDefault="002A2C82" w:rsidP="002A2C82">
      <w:pPr>
        <w:pStyle w:val="ListParagraph"/>
        <w:numPr>
          <w:ilvl w:val="0"/>
          <w:numId w:val="11"/>
        </w:numPr>
        <w:spacing w:before="120" w:after="120"/>
        <w:rPr>
          <w:lang w:val="en-AU"/>
        </w:rPr>
      </w:pPr>
      <w:r w:rsidRPr="00CB10AD">
        <w:rPr>
          <w:lang w:val="en-AU"/>
        </w:rPr>
        <w:t>The recommendations made in Early Childhood Development Strategy Study (ACDP 001) were included in the Presidential Decree on Holistic Integrated – Early Childhood Development (HI-ECD)</w:t>
      </w:r>
      <w:r w:rsidRPr="00CB10AD">
        <w:rPr>
          <w:rStyle w:val="EndnoteReference"/>
          <w:lang w:val="en-AU"/>
        </w:rPr>
        <w:endnoteReference w:id="48"/>
      </w:r>
      <w:r w:rsidRPr="00CB10AD">
        <w:rPr>
          <w:lang w:val="en-AU"/>
        </w:rPr>
        <w:t>.</w:t>
      </w:r>
    </w:p>
    <w:p w:rsidR="002A2C82" w:rsidRPr="00CB10AD" w:rsidRDefault="002A2C82" w:rsidP="002A2C82">
      <w:pPr>
        <w:pStyle w:val="ListParagraph"/>
        <w:numPr>
          <w:ilvl w:val="0"/>
          <w:numId w:val="11"/>
        </w:numPr>
        <w:spacing w:before="120" w:after="120"/>
        <w:rPr>
          <w:lang w:val="en-AU"/>
        </w:rPr>
      </w:pPr>
      <w:r w:rsidRPr="00CB10AD">
        <w:rPr>
          <w:lang w:val="en-AU"/>
        </w:rPr>
        <w:t>The content of Madrasah Education Financing Study (ACDP 003) informed discussions between the Ministers of Religious Affairs and of Home Affairs about Madrasah financing</w:t>
      </w:r>
      <w:r w:rsidR="002746B2" w:rsidRPr="00CB10AD">
        <w:rPr>
          <w:lang w:val="en-AU"/>
        </w:rPr>
        <w:t>.</w:t>
      </w:r>
      <w:r w:rsidRPr="00CB10AD">
        <w:rPr>
          <w:rStyle w:val="EndnoteReference"/>
          <w:lang w:val="en-AU"/>
        </w:rPr>
        <w:endnoteReference w:id="49"/>
      </w:r>
      <w:r w:rsidRPr="00CB10AD">
        <w:rPr>
          <w:lang w:val="en-AU"/>
        </w:rPr>
        <w:t>.</w:t>
      </w:r>
    </w:p>
    <w:p w:rsidR="002A2C82" w:rsidRPr="00CB10AD" w:rsidRDefault="002A2C82" w:rsidP="002A2C82">
      <w:pPr>
        <w:spacing w:before="120" w:after="120"/>
        <w:jc w:val="both"/>
        <w:rPr>
          <w:rFonts w:asciiTheme="minorHAnsi" w:hAnsiTheme="minorHAnsi" w:cstheme="minorHAnsi"/>
          <w:lang w:val="en-AU"/>
        </w:rPr>
      </w:pPr>
      <w:r w:rsidRPr="00CB10AD">
        <w:rPr>
          <w:rFonts w:asciiTheme="minorHAnsi" w:hAnsiTheme="minorHAnsi" w:cstheme="minorHAnsi"/>
          <w:lang w:val="en-AU"/>
        </w:rPr>
        <w:t xml:space="preserve">There is also anecdotal evidence that GoI and development partners responded </w:t>
      </w:r>
      <w:r w:rsidR="00CB10AD" w:rsidRPr="00CB10AD">
        <w:rPr>
          <w:rFonts w:asciiTheme="minorHAnsi" w:hAnsiTheme="minorHAnsi" w:cstheme="minorHAnsi"/>
          <w:lang w:val="en-AU"/>
        </w:rPr>
        <w:t>favourably</w:t>
      </w:r>
      <w:r w:rsidRPr="00CB10AD">
        <w:rPr>
          <w:rFonts w:asciiTheme="minorHAnsi" w:hAnsiTheme="minorHAnsi" w:cstheme="minorHAnsi"/>
          <w:lang w:val="en-AU"/>
        </w:rPr>
        <w:t xml:space="preserve"> to the Background Report on the Education Sector in Indonesia (ACDP 002), with strong ministerial buy-in in advance of the upcoming OECD review</w:t>
      </w:r>
      <w:r w:rsidRPr="00CB10AD">
        <w:rPr>
          <w:rFonts w:asciiTheme="minorHAnsi" w:hAnsiTheme="minorHAnsi" w:cstheme="minorHAnsi"/>
          <w:vertAlign w:val="superscript"/>
          <w:lang w:val="en-AU"/>
        </w:rPr>
        <w:endnoteReference w:id="50"/>
      </w:r>
      <w:r w:rsidRPr="00CB10AD">
        <w:rPr>
          <w:rFonts w:asciiTheme="minorHAnsi" w:hAnsiTheme="minorHAnsi" w:cstheme="minorHAnsi"/>
          <w:lang w:val="en-AU"/>
        </w:rPr>
        <w:t>.</w:t>
      </w:r>
    </w:p>
    <w:p w:rsidR="002A2C82" w:rsidRPr="00CB10AD" w:rsidRDefault="002A2C82" w:rsidP="002A2C82">
      <w:pPr>
        <w:pStyle w:val="Heading2"/>
        <w:spacing w:before="120" w:after="120" w:line="276" w:lineRule="auto"/>
        <w:ind w:hanging="720"/>
        <w:jc w:val="both"/>
        <w:rPr>
          <w:b/>
          <w:szCs w:val="24"/>
          <w:lang w:val="en-AU"/>
        </w:rPr>
      </w:pPr>
      <w:r w:rsidRPr="00CB10AD">
        <w:rPr>
          <w:b/>
          <w:szCs w:val="24"/>
          <w:lang w:val="en-AU"/>
        </w:rPr>
        <w:t>Analysis</w:t>
      </w:r>
    </w:p>
    <w:p w:rsidR="003B5F6B" w:rsidRPr="00CB10AD" w:rsidRDefault="003B5F6B" w:rsidP="003B5F6B">
      <w:pPr>
        <w:pStyle w:val="Heading3"/>
        <w:spacing w:line="276" w:lineRule="auto"/>
        <w:ind w:left="709" w:hanging="709"/>
        <w:jc w:val="both"/>
        <w:rPr>
          <w:lang w:val="en-AU"/>
        </w:rPr>
      </w:pPr>
      <w:r w:rsidRPr="00CB10AD">
        <w:rPr>
          <w:lang w:val="en-AU"/>
        </w:rPr>
        <w:t>Relevance</w:t>
      </w:r>
    </w:p>
    <w:p w:rsidR="003B5F6B" w:rsidRPr="00CB10AD" w:rsidRDefault="003B5F6B" w:rsidP="003B5F6B">
      <w:pPr>
        <w:spacing w:before="120" w:after="120" w:line="276" w:lineRule="auto"/>
        <w:jc w:val="both"/>
        <w:rPr>
          <w:lang w:val="en-AU"/>
        </w:rPr>
      </w:pPr>
      <w:r w:rsidRPr="00CB10AD">
        <w:rPr>
          <w:lang w:val="en-AU"/>
        </w:rPr>
        <w:t>The investment choice – that of providing policy-relevant evidence and advice to key GoI ministries – remains relevant, and the upcoming election and planning cycle in 2014-15 offers further scope to influence decision making. Should that be the case</w:t>
      </w:r>
      <w:r w:rsidR="002E1895" w:rsidRPr="00CB10AD">
        <w:rPr>
          <w:lang w:val="en-AU"/>
        </w:rPr>
        <w:t>,</w:t>
      </w:r>
      <w:r w:rsidRPr="00CB10AD">
        <w:rPr>
          <w:lang w:val="en-AU"/>
        </w:rPr>
        <w:t xml:space="preserve"> the return on ACDP investment could be high. Nevertheless, the extent of ACDP’s relevance may be undermined by </w:t>
      </w:r>
      <w:r w:rsidR="003F1A9A" w:rsidRPr="00CB10AD">
        <w:rPr>
          <w:lang w:val="en-AU"/>
        </w:rPr>
        <w:t xml:space="preserve">any </w:t>
      </w:r>
      <w:r w:rsidRPr="00CB10AD">
        <w:rPr>
          <w:lang w:val="en-AU"/>
        </w:rPr>
        <w:t xml:space="preserve">system inefficiencies, i.e. the relevance of individual outputs inevitably declines </w:t>
      </w:r>
      <w:r w:rsidR="003F1A9A" w:rsidRPr="00CB10AD">
        <w:rPr>
          <w:lang w:val="en-AU"/>
        </w:rPr>
        <w:t xml:space="preserve">should </w:t>
      </w:r>
      <w:r w:rsidRPr="00CB10AD">
        <w:rPr>
          <w:lang w:val="en-AU"/>
        </w:rPr>
        <w:t xml:space="preserve">windows of opportunity </w:t>
      </w:r>
      <w:r w:rsidR="003F1A9A" w:rsidRPr="00CB10AD">
        <w:rPr>
          <w:lang w:val="en-AU"/>
        </w:rPr>
        <w:t xml:space="preserve">be </w:t>
      </w:r>
      <w:r w:rsidRPr="00CB10AD">
        <w:rPr>
          <w:lang w:val="en-AU"/>
        </w:rPr>
        <w:t>missed. Equally, it is frequently realized that the uptake of evidence is informed by a complex array of political-institutional factors. How and when ACDP navigates these complexities, and the extent to which it uses brokers or intermediaries or indeed sees itself as a broker in K2P processes, is unclear to POM</w:t>
      </w:r>
      <w:r w:rsidR="003D6C80" w:rsidRPr="00CB10AD">
        <w:rPr>
          <w:rStyle w:val="FootnoteReference"/>
          <w:lang w:val="en-AU"/>
        </w:rPr>
        <w:footnoteReference w:id="26"/>
      </w:r>
      <w:r w:rsidRPr="00CB10AD">
        <w:rPr>
          <w:lang w:val="en-AU"/>
        </w:rPr>
        <w:t>.</w:t>
      </w:r>
      <w:r w:rsidR="00946EBD" w:rsidRPr="00CB10AD">
        <w:rPr>
          <w:lang w:val="en-AU"/>
        </w:rPr>
        <w:t xml:space="preserve"> </w:t>
      </w:r>
    </w:p>
    <w:p w:rsidR="003B5F6B" w:rsidRPr="00CB10AD" w:rsidRDefault="003B5F6B" w:rsidP="003B5F6B">
      <w:pPr>
        <w:spacing w:before="120" w:after="120" w:line="276" w:lineRule="auto"/>
        <w:jc w:val="both"/>
        <w:rPr>
          <w:lang w:val="en-AU"/>
        </w:rPr>
      </w:pPr>
      <w:r w:rsidRPr="00CB10AD">
        <w:rPr>
          <w:lang w:val="en-AU"/>
        </w:rPr>
        <w:t>ACDP’s interest in supporting activities that address sub-national interests and clients (e.g. in Papua) is noteworthy and reflects a desire for the ACDP to remain relevant and responsive to needs. This is also well in line with the decentralized nature of the education sector and with the effort of other DFAT programs to support such realities.</w:t>
      </w:r>
      <w:r w:rsidR="00946EBD" w:rsidRPr="00CB10AD">
        <w:rPr>
          <w:lang w:val="en-AU"/>
        </w:rPr>
        <w:t xml:space="preserve"> </w:t>
      </w:r>
    </w:p>
    <w:p w:rsidR="002A2C82" w:rsidRPr="00CB10AD" w:rsidRDefault="002A2C82" w:rsidP="002A2C82">
      <w:pPr>
        <w:pStyle w:val="Heading3"/>
        <w:spacing w:line="276" w:lineRule="auto"/>
        <w:ind w:left="709" w:hanging="709"/>
        <w:jc w:val="both"/>
        <w:rPr>
          <w:lang w:val="en-AU"/>
        </w:rPr>
      </w:pPr>
      <w:r w:rsidRPr="00CB10AD">
        <w:rPr>
          <w:lang w:val="en-AU"/>
        </w:rPr>
        <w:t xml:space="preserve">Efficiency </w:t>
      </w:r>
    </w:p>
    <w:p w:rsidR="0068495B" w:rsidRPr="00CB10AD" w:rsidRDefault="0068495B" w:rsidP="002A2C82">
      <w:pPr>
        <w:spacing w:before="120" w:after="120" w:line="276" w:lineRule="auto"/>
        <w:jc w:val="both"/>
        <w:rPr>
          <w:bCs/>
          <w:lang w:val="en-AU"/>
        </w:rPr>
      </w:pPr>
      <w:r w:rsidRPr="00CB10AD">
        <w:rPr>
          <w:bCs/>
          <w:lang w:val="en-AU"/>
        </w:rPr>
        <w:t>As at 31 December 2013</w:t>
      </w:r>
      <w:r w:rsidR="00CB10AD">
        <w:rPr>
          <w:bCs/>
          <w:lang w:val="en-AU"/>
        </w:rPr>
        <w:t>,</w:t>
      </w:r>
      <w:r w:rsidR="0017797D" w:rsidRPr="00CB10AD">
        <w:rPr>
          <w:bCs/>
          <w:lang w:val="en-AU"/>
        </w:rPr>
        <w:t xml:space="preserve"> ACDP</w:t>
      </w:r>
      <w:r w:rsidRPr="00CB10AD">
        <w:rPr>
          <w:bCs/>
          <w:lang w:val="en-AU"/>
        </w:rPr>
        <w:t xml:space="preserve"> had expended USD 10,855,256 (21.7%) of its c. USD 50m allocation. Contract commitments were valued at USD 19,955,290, with a further USD 7,268,100 expected </w:t>
      </w:r>
      <w:r w:rsidR="009A5439" w:rsidRPr="00CB10AD">
        <w:rPr>
          <w:bCs/>
          <w:lang w:val="en-AU"/>
        </w:rPr>
        <w:t xml:space="preserve">to be committed </w:t>
      </w:r>
      <w:r w:rsidRPr="00CB10AD">
        <w:rPr>
          <w:bCs/>
          <w:lang w:val="en-AU"/>
        </w:rPr>
        <w:t>between 01 January and 30 June 2014. Of the total USD 40,211,000 allocated to Technical Cooperation Services (i.e. output delivery) between 2011 and 2015, USD 14,081,558 was committed as at 31 December 2013, with a further USD 6,922,000 expected to be committed before 30 June 2014</w:t>
      </w:r>
      <w:r w:rsidR="009A5439" w:rsidRPr="00CB10AD">
        <w:rPr>
          <w:rStyle w:val="EndnoteReference"/>
          <w:bCs/>
          <w:lang w:val="en-AU"/>
        </w:rPr>
        <w:endnoteReference w:id="51"/>
      </w:r>
      <w:r w:rsidRPr="00CB10AD">
        <w:rPr>
          <w:bCs/>
          <w:lang w:val="en-AU"/>
        </w:rPr>
        <w:t xml:space="preserve">. As such, </w:t>
      </w:r>
      <w:r w:rsidR="009A5439" w:rsidRPr="00CB10AD">
        <w:rPr>
          <w:bCs/>
          <w:lang w:val="en-AU"/>
        </w:rPr>
        <w:t>USD 19,207,442 or 47.7% of the Technical Cooperation Services budget-line will likely remain uncommitted going into the last 18 months of ACDP life’s span.</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lastRenderedPageBreak/>
        <w:t>ACDP is cognizant of the need to be responsive, relevant and timely. It has made a concerted effort to usher in a greater range of related products, such as policy briefs. Nevertheless, stakeholders remain concerned about three challenges:</w:t>
      </w:r>
    </w:p>
    <w:p w:rsidR="002A2C82" w:rsidRPr="00CB10AD" w:rsidRDefault="002A2C82" w:rsidP="002A2C82">
      <w:pPr>
        <w:pStyle w:val="ListParagraph"/>
        <w:numPr>
          <w:ilvl w:val="0"/>
          <w:numId w:val="11"/>
        </w:numPr>
        <w:spacing w:before="120" w:after="120"/>
        <w:ind w:left="714" w:hanging="357"/>
        <w:rPr>
          <w:lang w:val="en-AU"/>
        </w:rPr>
      </w:pPr>
      <w:r w:rsidRPr="00CB10AD">
        <w:rPr>
          <w:lang w:val="en-AU"/>
        </w:rPr>
        <w:t>The ability of the ACDP to respond in a timely manner to the small ‘windows of opportunity’ that arise to provide key decision-makers with critical information, e.g. on options, costings, and necessary actions</w:t>
      </w:r>
      <w:r w:rsidRPr="00CB10AD">
        <w:rPr>
          <w:rStyle w:val="FootnoteReference"/>
          <w:lang w:val="en-AU"/>
        </w:rPr>
        <w:footnoteReference w:id="27"/>
      </w:r>
      <w:r w:rsidRPr="00CB10AD">
        <w:rPr>
          <w:lang w:val="en-AU"/>
        </w:rPr>
        <w:t>.</w:t>
      </w:r>
    </w:p>
    <w:p w:rsidR="002A2C82" w:rsidRPr="00CB10AD" w:rsidRDefault="002A2C82" w:rsidP="002A2C82">
      <w:pPr>
        <w:pStyle w:val="ListParagraph"/>
        <w:numPr>
          <w:ilvl w:val="0"/>
          <w:numId w:val="11"/>
        </w:numPr>
        <w:spacing w:before="120" w:after="120"/>
        <w:ind w:left="714" w:hanging="357"/>
        <w:rPr>
          <w:lang w:val="en-AU"/>
        </w:rPr>
      </w:pPr>
      <w:r w:rsidRPr="00CB10AD">
        <w:rPr>
          <w:lang w:val="en-AU"/>
        </w:rPr>
        <w:t>The variable performance of IDC service providers (and the associated impact on the quality and timeliness of ACDP deliverables)</w:t>
      </w:r>
      <w:r w:rsidRPr="00CB10AD">
        <w:rPr>
          <w:rStyle w:val="FootnoteReference"/>
          <w:lang w:val="en-AU"/>
        </w:rPr>
        <w:footnoteReference w:id="28"/>
      </w:r>
      <w:r w:rsidRPr="00CB10AD">
        <w:rPr>
          <w:lang w:val="en-AU"/>
        </w:rPr>
        <w:t>.</w:t>
      </w:r>
    </w:p>
    <w:p w:rsidR="002A2C82" w:rsidRPr="00CB10AD" w:rsidRDefault="002A2C82" w:rsidP="002A2C82">
      <w:pPr>
        <w:pStyle w:val="ListParagraph"/>
        <w:numPr>
          <w:ilvl w:val="0"/>
          <w:numId w:val="11"/>
        </w:numPr>
        <w:spacing w:before="120" w:after="120"/>
        <w:ind w:left="714" w:hanging="357"/>
        <w:rPr>
          <w:rFonts w:asciiTheme="minorHAnsi" w:hAnsiTheme="minorHAnsi" w:cstheme="minorHAnsi"/>
          <w:lang w:val="en-AU"/>
        </w:rPr>
      </w:pPr>
      <w:r w:rsidRPr="00CB10AD">
        <w:rPr>
          <w:lang w:val="en-AU"/>
        </w:rPr>
        <w:t>Variable reporting</w:t>
      </w:r>
      <w:r w:rsidRPr="00CB10AD">
        <w:rPr>
          <w:rFonts w:asciiTheme="minorHAnsi" w:hAnsiTheme="minorHAnsi" w:cstheme="minorHAnsi"/>
          <w:lang w:val="en-AU"/>
        </w:rPr>
        <w:t xml:space="preserve"> standards (and the associated delays to ACDP deliverables).</w:t>
      </w:r>
    </w:p>
    <w:p w:rsidR="002A2C82" w:rsidRPr="00CB10AD" w:rsidRDefault="002A2C82" w:rsidP="002A2C82">
      <w:pPr>
        <w:spacing w:before="120" w:after="120" w:line="276" w:lineRule="auto"/>
        <w:jc w:val="both"/>
        <w:rPr>
          <w:lang w:val="en-AU"/>
        </w:rPr>
      </w:pPr>
      <w:r w:rsidRPr="00CB10AD">
        <w:rPr>
          <w:rFonts w:asciiTheme="minorHAnsi" w:hAnsiTheme="minorHAnsi" w:cstheme="minorHAnsi"/>
          <w:lang w:val="en-AU"/>
        </w:rPr>
        <w:t>ACDP itself acknowledges its mixed record of delivery to date</w:t>
      </w:r>
      <w:r w:rsidRPr="00CB10AD">
        <w:rPr>
          <w:rStyle w:val="EndnoteReference"/>
          <w:rFonts w:cstheme="minorHAnsi"/>
          <w:lang w:val="en-AU"/>
        </w:rPr>
        <w:endnoteReference w:id="52"/>
      </w:r>
      <w:r w:rsidRPr="00CB10AD">
        <w:rPr>
          <w:rFonts w:asciiTheme="minorHAnsi" w:hAnsiTheme="minorHAnsi" w:cstheme="minorHAnsi"/>
          <w:lang w:val="en-AU"/>
        </w:rPr>
        <w:t>. More needs to be done to improve ACDP’s ‘value proposition’</w:t>
      </w:r>
      <w:r w:rsidR="0017797D" w:rsidRPr="00CB10AD">
        <w:rPr>
          <w:rStyle w:val="FootnoteReference"/>
          <w:rFonts w:cstheme="minorHAnsi"/>
          <w:lang w:val="en-AU"/>
        </w:rPr>
        <w:footnoteReference w:id="29"/>
      </w:r>
      <w:r w:rsidRPr="00CB10AD">
        <w:rPr>
          <w:rFonts w:asciiTheme="minorHAnsi" w:hAnsiTheme="minorHAnsi" w:cstheme="minorHAnsi"/>
          <w:lang w:val="en-AU"/>
        </w:rPr>
        <w:t xml:space="preserve"> if it, and its outputs, are to be regarded as being of optimal worth to key stakeholders: the persistence or re-emergence of a track record of late delivery and of variable report quality will inevitably affect the cost-efficiency of the current arrangements (and, in turn, the extent to which it attains its broader objectives). </w:t>
      </w:r>
    </w:p>
    <w:p w:rsidR="002A2C82" w:rsidRPr="00CB10AD" w:rsidRDefault="002A2C82" w:rsidP="002A2C82">
      <w:pPr>
        <w:pStyle w:val="Heading3"/>
        <w:spacing w:line="276" w:lineRule="auto"/>
        <w:ind w:left="709" w:hanging="709"/>
        <w:jc w:val="both"/>
        <w:rPr>
          <w:lang w:val="en-AU"/>
        </w:rPr>
      </w:pPr>
      <w:r w:rsidRPr="00CB10AD">
        <w:rPr>
          <w:lang w:val="en-AU"/>
        </w:rPr>
        <w:t>Effectiveness</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The ACDP aspires to inform, </w:t>
      </w:r>
      <w:r w:rsidRPr="00CB10AD">
        <w:rPr>
          <w:rFonts w:asciiTheme="minorHAnsi" w:hAnsiTheme="minorHAnsi" w:cstheme="minorHAnsi"/>
          <w:i/>
          <w:lang w:val="en-AU"/>
        </w:rPr>
        <w:t>inter alia</w:t>
      </w:r>
      <w:r w:rsidRPr="00CB10AD">
        <w:rPr>
          <w:rFonts w:asciiTheme="minorHAnsi" w:hAnsiTheme="minorHAnsi" w:cstheme="minorHAnsi"/>
          <w:lang w:val="en-AU"/>
        </w:rPr>
        <w:t>, the development/revision of education policies, regulations, strategies, systems, and programs. Whilst this is laudable, there is some degree of uncertainty about what would represent a good return on the AUD 50m investment, in part because the ACDP M&amp;E Strategy does not provide outcome-level targets</w:t>
      </w:r>
      <w:r w:rsidRPr="00CB10AD">
        <w:rPr>
          <w:rStyle w:val="FootnoteReference"/>
          <w:rFonts w:cstheme="minorHAnsi"/>
          <w:lang w:val="en-AU"/>
        </w:rPr>
        <w:footnoteReference w:id="30"/>
      </w:r>
      <w:r w:rsidRPr="00CB10AD">
        <w:rPr>
          <w:rFonts w:asciiTheme="minorHAnsi" w:hAnsiTheme="minorHAnsi" w:cstheme="minorHAnsi"/>
          <w:lang w:val="en-AU"/>
        </w:rPr>
        <w:t xml:space="preserve">. Without clarity about expected results, ACDP renders itself open to criticism about its effectiveness and whether the costs are aligned with expected (and actual) benefits.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As noted above, ACDP</w:t>
      </w:r>
      <w:r w:rsidR="00D52EA7">
        <w:rPr>
          <w:rFonts w:asciiTheme="minorHAnsi" w:hAnsiTheme="minorHAnsi" w:cstheme="minorHAnsi"/>
          <w:lang w:val="en-AU"/>
        </w:rPr>
        <w:t>’s output to date has contained a large number of studies that require a number of months to conceive, procure and then deliver</w:t>
      </w:r>
      <w:r w:rsidRPr="00CB10AD">
        <w:rPr>
          <w:rFonts w:asciiTheme="minorHAnsi" w:hAnsiTheme="minorHAnsi" w:cstheme="minorHAnsi"/>
          <w:lang w:val="en-AU"/>
        </w:rPr>
        <w:t xml:space="preserve">. Whilst there is a role for </w:t>
      </w:r>
      <w:r w:rsidR="00D52EA7">
        <w:rPr>
          <w:rFonts w:asciiTheme="minorHAnsi" w:hAnsiTheme="minorHAnsi" w:cstheme="minorHAnsi"/>
          <w:lang w:val="en-AU"/>
        </w:rPr>
        <w:t>‘lengthy’</w:t>
      </w:r>
      <w:r w:rsidR="00D52EA7" w:rsidRPr="00CB10AD">
        <w:rPr>
          <w:rFonts w:asciiTheme="minorHAnsi" w:hAnsiTheme="minorHAnsi" w:cstheme="minorHAnsi"/>
          <w:lang w:val="en-AU"/>
        </w:rPr>
        <w:t xml:space="preserve"> </w:t>
      </w:r>
      <w:r w:rsidRPr="00CB10AD">
        <w:rPr>
          <w:rFonts w:asciiTheme="minorHAnsi" w:hAnsiTheme="minorHAnsi" w:cstheme="minorHAnsi"/>
          <w:lang w:val="en-AU"/>
        </w:rPr>
        <w:t xml:space="preserve">studies, it is appropriate to ask whether the weighting put on such studies offers the most effective way for ACDP to pursue its </w:t>
      </w:r>
      <w:r w:rsidRPr="00E00BFA">
        <w:rPr>
          <w:rFonts w:asciiTheme="minorHAnsi" w:hAnsiTheme="minorHAnsi" w:cstheme="minorHAnsi"/>
          <w:lang w:val="en-AU"/>
        </w:rPr>
        <w:t>intended outcome.</w:t>
      </w:r>
      <w:r w:rsidR="00E00BFA">
        <w:rPr>
          <w:rFonts w:asciiTheme="minorHAnsi" w:hAnsiTheme="minorHAnsi" w:cstheme="minorHAnsi"/>
          <w:lang w:val="en-AU"/>
        </w:rPr>
        <w:t xml:space="preserve"> </w:t>
      </w:r>
      <w:r w:rsidR="00D52EA7" w:rsidRPr="00E00BFA">
        <w:rPr>
          <w:rFonts w:asciiTheme="minorHAnsi" w:hAnsiTheme="minorHAnsi" w:cstheme="minorHAnsi"/>
          <w:lang w:val="en-AU"/>
        </w:rPr>
        <w:t>(It should be noted that ACDP’s CAT reports that it has successful</w:t>
      </w:r>
      <w:r w:rsidR="00E00BFA">
        <w:rPr>
          <w:rFonts w:asciiTheme="minorHAnsi" w:hAnsiTheme="minorHAnsi" w:cstheme="minorHAnsi"/>
          <w:lang w:val="en-AU"/>
        </w:rPr>
        <w:t>ly</w:t>
      </w:r>
      <w:r w:rsidR="00D52EA7" w:rsidRPr="00E00BFA">
        <w:rPr>
          <w:rFonts w:asciiTheme="minorHAnsi" w:hAnsiTheme="minorHAnsi" w:cstheme="minorHAnsi"/>
          <w:lang w:val="en-AU"/>
        </w:rPr>
        <w:t xml:space="preserve"> </w:t>
      </w:r>
      <w:r w:rsidR="00D52EA7" w:rsidRPr="00196F93">
        <w:t>argued for smaller sample sizes than proposed by GoI clients)</w:t>
      </w:r>
      <w:r w:rsidRPr="00CB10AD">
        <w:rPr>
          <w:rFonts w:asciiTheme="minorHAnsi" w:hAnsiTheme="minorHAnsi" w:cstheme="minorHAnsi"/>
          <w:lang w:val="en-AU"/>
        </w:rPr>
        <w:t>.</w:t>
      </w:r>
    </w:p>
    <w:p w:rsidR="002A2C82" w:rsidRPr="00CB10AD" w:rsidRDefault="002A2C82" w:rsidP="002A2C82">
      <w:pPr>
        <w:spacing w:before="120" w:after="120" w:line="276" w:lineRule="auto"/>
        <w:jc w:val="both"/>
        <w:rPr>
          <w:lang w:val="en-AU"/>
        </w:rPr>
      </w:pPr>
      <w:r w:rsidRPr="00CB10AD">
        <w:rPr>
          <w:rFonts w:asciiTheme="minorHAnsi" w:hAnsiTheme="minorHAnsi" w:cstheme="minorHAnsi"/>
          <w:lang w:val="en-AU"/>
        </w:rPr>
        <w:t xml:space="preserve">The day-to-day operations of the ACDP are shaped by the actions of the Secretariat. As such, it should add value at both a strategic level and at an operational level, e.g. during activity identification, during quality assurance/enhancement, and in post-activity follow-up. Nevertheless, there appears to be a lack of consensus about whether </w:t>
      </w:r>
      <w:r w:rsidRPr="00CB10AD">
        <w:rPr>
          <w:lang w:val="en-AU"/>
        </w:rPr>
        <w:t>ACDP’s</w:t>
      </w:r>
      <w:r w:rsidRPr="00CB10AD">
        <w:rPr>
          <w:rFonts w:asciiTheme="minorHAnsi" w:hAnsiTheme="minorHAnsi" w:cstheme="minorHAnsi"/>
          <w:lang w:val="en-AU"/>
        </w:rPr>
        <w:t xml:space="preserve"> role, and that of its sub-contractors, </w:t>
      </w:r>
      <w:r w:rsidRPr="00CB10AD">
        <w:rPr>
          <w:rFonts w:asciiTheme="minorHAnsi" w:hAnsiTheme="minorHAnsi" w:cstheme="minorHAnsi"/>
          <w:lang w:val="en-AU"/>
        </w:rPr>
        <w:lastRenderedPageBreak/>
        <w:t xml:space="preserve">is (or should be) to </w:t>
      </w:r>
      <w:r w:rsidRPr="00CB10AD">
        <w:rPr>
          <w:rFonts w:asciiTheme="minorHAnsi" w:hAnsiTheme="minorHAnsi" w:cstheme="minorHAnsi"/>
          <w:i/>
          <w:lang w:val="en-AU"/>
        </w:rPr>
        <w:t>inform</w:t>
      </w:r>
      <w:r w:rsidRPr="00CB10AD">
        <w:rPr>
          <w:rFonts w:asciiTheme="minorHAnsi" w:hAnsiTheme="minorHAnsi" w:cstheme="minorHAnsi"/>
          <w:lang w:val="en-AU"/>
        </w:rPr>
        <w:t xml:space="preserve"> or to </w:t>
      </w:r>
      <w:r w:rsidRPr="00CB10AD">
        <w:rPr>
          <w:rFonts w:asciiTheme="minorHAnsi" w:hAnsiTheme="minorHAnsi" w:cstheme="minorHAnsi"/>
          <w:i/>
          <w:lang w:val="en-AU"/>
        </w:rPr>
        <w:t>influence</w:t>
      </w:r>
      <w:r w:rsidRPr="00CB10AD">
        <w:rPr>
          <w:rFonts w:asciiTheme="minorHAnsi" w:hAnsiTheme="minorHAnsi" w:cstheme="minorHAnsi"/>
          <w:lang w:val="en-AU"/>
        </w:rPr>
        <w:t xml:space="preserve"> decision-making (see the EOPO</w:t>
      </w:r>
      <w:r w:rsidRPr="00CB10AD">
        <w:rPr>
          <w:rStyle w:val="FootnoteReference"/>
          <w:rFonts w:cstheme="minorHAnsi"/>
          <w:lang w:val="en-AU"/>
        </w:rPr>
        <w:footnoteReference w:id="31"/>
      </w:r>
      <w:r w:rsidRPr="00CB10AD">
        <w:rPr>
          <w:rFonts w:asciiTheme="minorHAnsi" w:hAnsiTheme="minorHAnsi" w:cstheme="minorHAnsi"/>
          <w:lang w:val="en-AU"/>
        </w:rPr>
        <w:t xml:space="preserve">), and what, in turn, that means for personnel requirements, the content of ACDP deliverables and perhaps the ways in which the Secretariat and the IDC engage with the client. Equally, there appears to be uncertainty about the </w:t>
      </w:r>
      <w:r w:rsidRPr="00CB10AD">
        <w:rPr>
          <w:lang w:val="en-AU"/>
        </w:rPr>
        <w:t xml:space="preserve">extent to which the Secretariat is the client or a service provider to the ultimate client, and what that means for internal quality assurance processes. </w:t>
      </w:r>
    </w:p>
    <w:p w:rsidR="002A2C82" w:rsidRPr="00CB10AD" w:rsidRDefault="002A2C82" w:rsidP="002A2C82">
      <w:pPr>
        <w:spacing w:before="120" w:after="120" w:line="276" w:lineRule="auto"/>
        <w:jc w:val="both"/>
        <w:rPr>
          <w:rFonts w:asciiTheme="minorHAnsi" w:hAnsiTheme="minorHAnsi" w:cstheme="minorHAnsi"/>
          <w:lang w:val="en-AU"/>
        </w:rPr>
      </w:pPr>
      <w:r w:rsidRPr="00CB10AD">
        <w:rPr>
          <w:rFonts w:asciiTheme="minorHAnsi" w:hAnsiTheme="minorHAnsi" w:cstheme="minorHAnsi"/>
          <w:lang w:val="en-AU"/>
        </w:rPr>
        <w:t xml:space="preserve">DFAT, like many donor agencies, reports a desire to engage with its counterpart government in an informed and strategic manner and, in so doing, to use its investment to leverage greater development (and other) returns. In principle the ACDP offers DFAT such an opportunity, </w:t>
      </w:r>
      <w:r w:rsidRPr="00CB10AD">
        <w:rPr>
          <w:lang w:val="en-AU"/>
        </w:rPr>
        <w:t>though it is important to temper such an ambition with an acknowledgement that development partners have less scope to influence policy-making in a dynamic, well-resourced middle-income country such as Indonesia than in many le</w:t>
      </w:r>
      <w:r w:rsidR="002E1895" w:rsidRPr="00CB10AD">
        <w:rPr>
          <w:lang w:val="en-AU"/>
        </w:rPr>
        <w:t>ss</w:t>
      </w:r>
      <w:r w:rsidRPr="00CB10AD">
        <w:rPr>
          <w:lang w:val="en-AU"/>
        </w:rPr>
        <w:t xml:space="preserve"> developed countries where ministries are reliant on the financial and non-financial support of donor agencies</w:t>
      </w:r>
      <w:r w:rsidRPr="00CB10AD">
        <w:rPr>
          <w:rStyle w:val="FootnoteReference"/>
          <w:lang w:val="en-AU"/>
        </w:rPr>
        <w:footnoteReference w:id="32"/>
      </w:r>
      <w:r w:rsidRPr="00CB10AD">
        <w:rPr>
          <w:lang w:val="en-AU"/>
        </w:rPr>
        <w:t xml:space="preserve">. Nevertheless, there appeared to be comparatively minimal engagement between DFAT and ACDP in 2013, and it is apparent that </w:t>
      </w:r>
      <w:r w:rsidRPr="00CB10AD">
        <w:rPr>
          <w:rFonts w:asciiTheme="minorHAnsi" w:hAnsiTheme="minorHAnsi" w:cstheme="minorHAnsi"/>
          <w:lang w:val="en-AU"/>
        </w:rPr>
        <w:t>GoA could make more of ACDP’s frequent engagement with individuals in key ministries</w:t>
      </w:r>
      <w:r w:rsidRPr="00CB10AD">
        <w:rPr>
          <w:rStyle w:val="FootnoteReference"/>
          <w:rFonts w:cstheme="minorHAnsi"/>
          <w:lang w:val="en-AU"/>
        </w:rPr>
        <w:footnoteReference w:id="33"/>
      </w:r>
      <w:r w:rsidRPr="00CB10AD">
        <w:rPr>
          <w:rFonts w:asciiTheme="minorHAnsi" w:hAnsiTheme="minorHAnsi" w:cstheme="minorHAnsi"/>
          <w:lang w:val="en-AU"/>
        </w:rPr>
        <w:t xml:space="preserve">. The ACDP Secretariat would look </w:t>
      </w:r>
      <w:r w:rsidR="00CB10AD" w:rsidRPr="00CB10AD">
        <w:rPr>
          <w:rFonts w:asciiTheme="minorHAnsi" w:hAnsiTheme="minorHAnsi" w:cstheme="minorHAnsi"/>
          <w:lang w:val="en-AU"/>
        </w:rPr>
        <w:t>favourably</w:t>
      </w:r>
      <w:r w:rsidRPr="00CB10AD">
        <w:rPr>
          <w:rFonts w:asciiTheme="minorHAnsi" w:hAnsiTheme="minorHAnsi" w:cstheme="minorHAnsi"/>
          <w:lang w:val="en-AU"/>
        </w:rPr>
        <w:t xml:space="preserve"> on such measures and POM notes DFAT’s recent appointment of a staff member dedicated to technical and managerial liaison with the ACDP. Equally, the virtues of the ACDP being regarded as the fourth component of the Education Partnership are recognized by most EP stakeholders</w:t>
      </w:r>
      <w:r w:rsidR="002F70BD" w:rsidRPr="00CB10AD">
        <w:rPr>
          <w:rFonts w:asciiTheme="minorHAnsi" w:hAnsiTheme="minorHAnsi" w:cstheme="minorHAnsi"/>
          <w:lang w:val="en-AU"/>
        </w:rPr>
        <w:t xml:space="preserve"> but there is clear scope for more formal engagement across the component parts of the EP</w:t>
      </w:r>
      <w:r w:rsidRPr="00CB10AD">
        <w:rPr>
          <w:rFonts w:asciiTheme="minorHAnsi" w:hAnsiTheme="minorHAnsi" w:cstheme="minorHAnsi"/>
          <w:lang w:val="en-AU"/>
        </w:rPr>
        <w:t>; where frequent dialogue exists</w:t>
      </w:r>
      <w:r w:rsidR="002F70BD" w:rsidRPr="00CB10AD">
        <w:rPr>
          <w:rFonts w:asciiTheme="minorHAnsi" w:hAnsiTheme="minorHAnsi" w:cstheme="minorHAnsi"/>
          <w:lang w:val="en-AU"/>
        </w:rPr>
        <w:t xml:space="preserve"> between the ACDP and other parts of the EP</w:t>
      </w:r>
      <w:r w:rsidRPr="00CB10AD">
        <w:rPr>
          <w:rFonts w:asciiTheme="minorHAnsi" w:hAnsiTheme="minorHAnsi" w:cstheme="minorHAnsi"/>
          <w:lang w:val="en-AU"/>
        </w:rPr>
        <w:t xml:space="preserve"> it usually stems from personal relationships and prior engagement</w:t>
      </w:r>
      <w:r w:rsidRPr="00CB10AD">
        <w:rPr>
          <w:rStyle w:val="FootnoteReference"/>
          <w:rFonts w:cstheme="minorHAnsi"/>
          <w:lang w:val="en-AU"/>
        </w:rPr>
        <w:footnoteReference w:id="34"/>
      </w:r>
      <w:r w:rsidRPr="00CB10AD">
        <w:rPr>
          <w:rFonts w:asciiTheme="minorHAnsi" w:hAnsiTheme="minorHAnsi" w:cstheme="minorHAnsi"/>
          <w:lang w:val="en-AU"/>
        </w:rPr>
        <w:t xml:space="preserve"> rather than a concerted effort to synergize the EP components.</w:t>
      </w:r>
    </w:p>
    <w:p w:rsidR="002A2C82" w:rsidRPr="00CB10AD" w:rsidRDefault="002A2C82" w:rsidP="002A2C82">
      <w:pPr>
        <w:pStyle w:val="Heading3"/>
        <w:spacing w:line="276" w:lineRule="auto"/>
        <w:ind w:left="709" w:hanging="709"/>
        <w:jc w:val="both"/>
        <w:rPr>
          <w:lang w:val="en-AU"/>
        </w:rPr>
      </w:pPr>
      <w:r w:rsidRPr="00CB10AD">
        <w:rPr>
          <w:lang w:val="en-AU"/>
        </w:rPr>
        <w:t>Impact</w:t>
      </w:r>
    </w:p>
    <w:p w:rsidR="002A2C82" w:rsidRPr="00CB10AD" w:rsidRDefault="002A2C82" w:rsidP="002A2C82">
      <w:pPr>
        <w:spacing w:before="120" w:after="120" w:line="276" w:lineRule="auto"/>
        <w:jc w:val="both"/>
        <w:rPr>
          <w:lang w:val="en-AU"/>
        </w:rPr>
      </w:pPr>
      <w:r w:rsidRPr="00CB10AD">
        <w:rPr>
          <w:lang w:val="en-AU"/>
        </w:rPr>
        <w:t>ACDP seeks to make a contribution to “the implementation of Indonesia’s medium to long term national development policies, including poverty reduction, social development, and improved regional and global economic competiveness. This includes national education sector policies and ACDP indicators at the impact level include key education sector performance indicator targets”</w:t>
      </w:r>
      <w:r w:rsidR="00D80C4B" w:rsidRPr="00CB10AD">
        <w:rPr>
          <w:rStyle w:val="EndnoteReference"/>
          <w:lang w:val="en-AU"/>
        </w:rPr>
        <w:endnoteReference w:id="53"/>
      </w:r>
      <w:r w:rsidR="00D80C4B" w:rsidRPr="00CB10AD">
        <w:rPr>
          <w:lang w:val="en-AU"/>
        </w:rPr>
        <w:t>.</w:t>
      </w:r>
      <w:r w:rsidRPr="00CB10AD">
        <w:rPr>
          <w:lang w:val="en-AU"/>
        </w:rPr>
        <w:t xml:space="preserve"> This is evidently a long-term ambition. Much depends on ACDP’s correct reading of and response to the political landscape; much may also depend on good fortune. What is certain is that its contribution to improved sector performance before 2016 will be minimal given lag times between product conception and delivery, resultant policy change, and its subsequent bearing on sector performance. Given the plethora of factors that drive sector performance and the uncertain associated timeframes one cannot state with any confidence the likelihood of ACDP making a definite and sizeable (however defined) contribution to sector performance. </w:t>
      </w:r>
      <w:r w:rsidR="006E3625" w:rsidRPr="00CB10AD">
        <w:rPr>
          <w:lang w:val="en-AU"/>
        </w:rPr>
        <w:t xml:space="preserve">The upcoming finalization of the </w:t>
      </w:r>
      <w:r w:rsidR="00CB10AD" w:rsidRPr="00CB10AD">
        <w:rPr>
          <w:lang w:val="en-AU"/>
        </w:rPr>
        <w:t>PMF</w:t>
      </w:r>
      <w:r w:rsidR="006E3625" w:rsidRPr="00CB10AD">
        <w:rPr>
          <w:lang w:val="en-AU"/>
        </w:rPr>
        <w:t xml:space="preserve"> coupled with POM’s evaluation studies and routine ACDP monitoring and reporting, will inevitably assist capture of results in 2014 and 2015.</w:t>
      </w:r>
    </w:p>
    <w:p w:rsidR="002A2C82" w:rsidRPr="00CB10AD" w:rsidRDefault="002A2C82" w:rsidP="002A2C82">
      <w:pPr>
        <w:pStyle w:val="Heading3"/>
        <w:spacing w:line="276" w:lineRule="auto"/>
        <w:ind w:left="709" w:hanging="709"/>
        <w:jc w:val="both"/>
        <w:rPr>
          <w:lang w:val="en-AU"/>
        </w:rPr>
      </w:pPr>
      <w:r w:rsidRPr="00CB10AD">
        <w:rPr>
          <w:lang w:val="en-AU"/>
        </w:rPr>
        <w:lastRenderedPageBreak/>
        <w:t>Sustainability</w:t>
      </w:r>
    </w:p>
    <w:p w:rsidR="002A2C82" w:rsidRPr="00CB10AD" w:rsidRDefault="002A2C82" w:rsidP="002A2C82">
      <w:pPr>
        <w:spacing w:before="120" w:after="120" w:line="276" w:lineRule="auto"/>
        <w:jc w:val="both"/>
        <w:rPr>
          <w:lang w:val="en-AU"/>
        </w:rPr>
      </w:pPr>
      <w:r w:rsidRPr="00CB10AD">
        <w:rPr>
          <w:lang w:val="en-AU"/>
        </w:rPr>
        <w:t>ACDP was conceived as a means to an end; the Secretariat will not be sustained after the lifetime of the donor investment. Nevertheless, ACDP and therefore the GoI will secure sustained benefits if recommendations made within specific ACDP deliverables are acted upon.</w:t>
      </w:r>
    </w:p>
    <w:p w:rsidR="0024400F" w:rsidRPr="00CB10AD" w:rsidRDefault="0024400F" w:rsidP="002A2C82">
      <w:pPr>
        <w:spacing w:before="120" w:after="120" w:line="276" w:lineRule="auto"/>
        <w:jc w:val="both"/>
        <w:rPr>
          <w:lang w:val="en-AU"/>
        </w:rPr>
      </w:pPr>
    </w:p>
    <w:p w:rsidR="002A2C82" w:rsidRPr="00CB10AD" w:rsidRDefault="002A2C82" w:rsidP="002A2C82">
      <w:pPr>
        <w:pStyle w:val="Heading2"/>
        <w:spacing w:before="120" w:after="120" w:line="276" w:lineRule="auto"/>
        <w:ind w:hanging="720"/>
        <w:jc w:val="both"/>
        <w:rPr>
          <w:b/>
          <w:szCs w:val="24"/>
          <w:lang w:val="en-AU"/>
        </w:rPr>
      </w:pPr>
      <w:r w:rsidRPr="00CB10AD">
        <w:rPr>
          <w:b/>
          <w:szCs w:val="24"/>
          <w:lang w:val="en-AU"/>
        </w:rPr>
        <w:t xml:space="preserve">What does this mean for the EP? The bottom-line </w:t>
      </w:r>
    </w:p>
    <w:p w:rsidR="005E4267" w:rsidRPr="00CB10AD" w:rsidRDefault="00C93234" w:rsidP="002A0085">
      <w:pPr>
        <w:spacing w:before="120" w:after="120" w:line="276" w:lineRule="auto"/>
        <w:jc w:val="both"/>
        <w:rPr>
          <w:lang w:val="en-AU"/>
        </w:rPr>
      </w:pPr>
      <w:r w:rsidRPr="00CB10AD">
        <w:rPr>
          <w:lang w:val="en-AU"/>
        </w:rPr>
        <w:t xml:space="preserve">A summary table of component performance by DAC criteria is presented in </w:t>
      </w:r>
      <w:r w:rsidRPr="00CB10AD">
        <w:rPr>
          <w:lang w:val="en-AU"/>
        </w:rPr>
        <w:fldChar w:fldCharType="begin"/>
      </w:r>
      <w:r w:rsidRPr="00CB10AD">
        <w:rPr>
          <w:lang w:val="en-AU"/>
        </w:rPr>
        <w:instrText xml:space="preserve"> REF _Ref379642331 \h </w:instrText>
      </w:r>
      <w:r w:rsidRPr="00CB10AD">
        <w:rPr>
          <w:lang w:val="en-AU"/>
        </w:rPr>
      </w:r>
      <w:r w:rsidRPr="00CB10AD">
        <w:rPr>
          <w:lang w:val="en-AU"/>
        </w:rPr>
        <w:fldChar w:fldCharType="separate"/>
      </w:r>
      <w:r w:rsidR="00662AF4" w:rsidRPr="00CB10AD">
        <w:rPr>
          <w:lang w:val="en-AU"/>
        </w:rPr>
        <w:t xml:space="preserve">Table </w:t>
      </w:r>
      <w:r w:rsidR="00662AF4">
        <w:rPr>
          <w:noProof/>
          <w:lang w:val="en-AU"/>
        </w:rPr>
        <w:t>12</w:t>
      </w:r>
      <w:r w:rsidRPr="00CB10AD">
        <w:rPr>
          <w:lang w:val="en-AU"/>
        </w:rPr>
        <w:fldChar w:fldCharType="end"/>
      </w:r>
      <w:r w:rsidRPr="00CB10AD">
        <w:rPr>
          <w:lang w:val="en-AU"/>
        </w:rPr>
        <w:t xml:space="preserve">, below. </w:t>
      </w:r>
      <w:r w:rsidR="005E4267" w:rsidRPr="00CB10AD">
        <w:rPr>
          <w:lang w:val="en-AU"/>
        </w:rPr>
        <w:t xml:space="preserve">The ratings scale used with the </w:t>
      </w:r>
      <w:r w:rsidR="005E4267" w:rsidRPr="00CB10AD">
        <w:rPr>
          <w:iCs/>
          <w:lang w:val="en-AU"/>
        </w:rPr>
        <w:t xml:space="preserve">DFAT QRS (QAI and ICR) </w:t>
      </w:r>
      <w:r w:rsidR="005E4267" w:rsidRPr="00CB10AD">
        <w:rPr>
          <w:lang w:val="en-AU"/>
        </w:rPr>
        <w:t xml:space="preserve">has been adopted. Recommendations for improvement and, in particular, on increasing the likelihood of achieving EOPO </w:t>
      </w:r>
      <w:r w:rsidR="002A0085" w:rsidRPr="00CB10AD">
        <w:rPr>
          <w:lang w:val="en-AU"/>
        </w:rPr>
        <w:t>4</w:t>
      </w:r>
      <w:r w:rsidR="005E4267" w:rsidRPr="00CB10AD">
        <w:rPr>
          <w:lang w:val="en-AU"/>
        </w:rPr>
        <w:t xml:space="preserve"> are ma</w:t>
      </w:r>
      <w:r w:rsidR="002A0085" w:rsidRPr="00CB10AD">
        <w:rPr>
          <w:lang w:val="en-AU"/>
        </w:rPr>
        <w:t>de i</w:t>
      </w:r>
      <w:r w:rsidR="0024400F" w:rsidRPr="00CB10AD">
        <w:rPr>
          <w:lang w:val="en-AU"/>
        </w:rPr>
        <w:t xml:space="preserve">n </w:t>
      </w:r>
      <w:r w:rsidR="0024400F" w:rsidRPr="00CB10AD">
        <w:rPr>
          <w:lang w:val="en-AU"/>
        </w:rPr>
        <w:fldChar w:fldCharType="begin"/>
      </w:r>
      <w:r w:rsidR="0024400F" w:rsidRPr="00CB10AD">
        <w:rPr>
          <w:lang w:val="en-AU"/>
        </w:rPr>
        <w:instrText xml:space="preserve"> REF _Ref379642393 \h </w:instrText>
      </w:r>
      <w:r w:rsidR="0024400F" w:rsidRPr="00CB10AD">
        <w:rPr>
          <w:lang w:val="en-AU"/>
        </w:rPr>
      </w:r>
      <w:r w:rsidR="0024400F" w:rsidRPr="00CB10AD">
        <w:rPr>
          <w:lang w:val="en-AU"/>
        </w:rPr>
        <w:fldChar w:fldCharType="separate"/>
      </w:r>
      <w:r w:rsidR="00662AF4" w:rsidRPr="00CB10AD">
        <w:rPr>
          <w:lang w:val="en-AU"/>
        </w:rPr>
        <w:t xml:space="preserve">Table </w:t>
      </w:r>
      <w:r w:rsidR="00662AF4">
        <w:rPr>
          <w:noProof/>
          <w:lang w:val="en-AU"/>
        </w:rPr>
        <w:t>13</w:t>
      </w:r>
      <w:r w:rsidR="0024400F" w:rsidRPr="00CB10AD">
        <w:rPr>
          <w:lang w:val="en-AU"/>
        </w:rPr>
        <w:fldChar w:fldCharType="end"/>
      </w:r>
      <w:r w:rsidR="0024400F" w:rsidRPr="00CB10AD">
        <w:rPr>
          <w:lang w:val="en-AU"/>
        </w:rPr>
        <w:t xml:space="preserve">, below. </w:t>
      </w:r>
    </w:p>
    <w:p w:rsidR="002A0085" w:rsidRPr="00CB10AD" w:rsidRDefault="002A0085" w:rsidP="002A0085">
      <w:pPr>
        <w:spacing w:before="120" w:after="120" w:line="276" w:lineRule="auto"/>
        <w:jc w:val="both"/>
        <w:rPr>
          <w:lang w:val="en-AU"/>
        </w:rPr>
        <w:sectPr w:rsidR="002A0085" w:rsidRPr="00CB10AD" w:rsidSect="00E259CD">
          <w:headerReference w:type="default" r:id="rId33"/>
          <w:pgSz w:w="11909" w:h="16834" w:code="9"/>
          <w:pgMar w:top="1440" w:right="1440" w:bottom="1440" w:left="1440" w:header="432" w:footer="720" w:gutter="0"/>
          <w:cols w:space="720"/>
          <w:noEndnote/>
          <w:docGrid w:linePitch="360"/>
        </w:sectPr>
      </w:pPr>
    </w:p>
    <w:p w:rsidR="002A2C82" w:rsidRPr="00CB10AD" w:rsidRDefault="009E32C3" w:rsidP="009E32C3">
      <w:pPr>
        <w:pStyle w:val="Caption"/>
        <w:rPr>
          <w:rStyle w:val="Strong"/>
          <w:i/>
          <w:iCs/>
          <w:lang w:val="en-AU"/>
        </w:rPr>
      </w:pPr>
      <w:bookmarkStart w:id="50" w:name="_Ref379642331"/>
      <w:bookmarkStart w:id="51" w:name="_Toc379982280"/>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12</w:t>
      </w:r>
      <w:r w:rsidRPr="00CB10AD">
        <w:rPr>
          <w:lang w:val="en-AU"/>
        </w:rPr>
        <w:fldChar w:fldCharType="end"/>
      </w:r>
      <w:bookmarkEnd w:id="50"/>
      <w:r w:rsidR="002A2C82" w:rsidRPr="00CB10AD">
        <w:rPr>
          <w:rStyle w:val="Strong"/>
          <w:b/>
          <w:lang w:val="en-AU"/>
        </w:rPr>
        <w:t xml:space="preserve">: </w:t>
      </w:r>
      <w:r w:rsidR="002A2C82" w:rsidRPr="00CB10AD">
        <w:rPr>
          <w:rStyle w:val="Strong"/>
          <w:b/>
          <w:iCs/>
          <w:lang w:val="en-AU"/>
        </w:rPr>
        <w:t xml:space="preserve">Component 4 </w:t>
      </w:r>
      <w:r w:rsidRPr="00CB10AD">
        <w:rPr>
          <w:rStyle w:val="Strong"/>
          <w:b/>
          <w:iCs/>
          <w:lang w:val="en-AU"/>
        </w:rPr>
        <w:t>s</w:t>
      </w:r>
      <w:r w:rsidR="002A2C82" w:rsidRPr="00CB10AD">
        <w:rPr>
          <w:rStyle w:val="Strong"/>
          <w:b/>
          <w:iCs/>
          <w:lang w:val="en-AU"/>
        </w:rPr>
        <w:t>corecard</w:t>
      </w:r>
      <w:bookmarkEnd w:id="51"/>
    </w:p>
    <w:tbl>
      <w:tblPr>
        <w:tblStyle w:val="TableGrid"/>
        <w:tblW w:w="5000" w:type="pct"/>
        <w:jc w:val="center"/>
        <w:tblLook w:val="04A0" w:firstRow="1" w:lastRow="0" w:firstColumn="1" w:lastColumn="0" w:noHBand="0" w:noVBand="1"/>
      </w:tblPr>
      <w:tblGrid>
        <w:gridCol w:w="1678"/>
        <w:gridCol w:w="1264"/>
        <w:gridCol w:w="6382"/>
        <w:gridCol w:w="4846"/>
      </w:tblGrid>
      <w:tr w:rsidR="002A2C82" w:rsidRPr="00CB10AD" w:rsidTr="0024400F">
        <w:trPr>
          <w:trHeight w:val="434"/>
          <w:jc w:val="center"/>
        </w:trPr>
        <w:tc>
          <w:tcPr>
            <w:tcW w:w="592" w:type="pct"/>
            <w:shd w:val="clear" w:color="auto" w:fill="244061" w:themeFill="accent1" w:themeFillShade="80"/>
            <w:vAlign w:val="center"/>
          </w:tcPr>
          <w:p w:rsidR="002A2C82" w:rsidRPr="00CB10AD" w:rsidRDefault="002A2C82" w:rsidP="002A2C82">
            <w:pPr>
              <w:jc w:val="center"/>
              <w:rPr>
                <w:rFonts w:asciiTheme="minorHAnsi" w:hAnsiTheme="minorHAnsi"/>
                <w:sz w:val="20"/>
                <w:szCs w:val="20"/>
                <w:lang w:val="en-AU"/>
              </w:rPr>
            </w:pPr>
            <w:r w:rsidRPr="00CB10AD">
              <w:rPr>
                <w:rFonts w:asciiTheme="minorHAnsi" w:hAnsiTheme="minorHAnsi"/>
                <w:b/>
                <w:sz w:val="20"/>
                <w:szCs w:val="20"/>
                <w:lang w:val="en-AU"/>
              </w:rPr>
              <w:t>DAC Criterion</w:t>
            </w:r>
          </w:p>
        </w:tc>
        <w:tc>
          <w:tcPr>
            <w:tcW w:w="446" w:type="pct"/>
            <w:tcBorders>
              <w:bottom w:val="single" w:sz="4" w:space="0" w:color="auto"/>
            </w:tcBorders>
            <w:shd w:val="clear" w:color="auto" w:fill="244061" w:themeFill="accent1" w:themeFillShade="80"/>
            <w:vAlign w:val="center"/>
          </w:tcPr>
          <w:p w:rsidR="002A2C82" w:rsidRPr="00CB10AD" w:rsidRDefault="002A2C82" w:rsidP="002A2C82">
            <w:pPr>
              <w:jc w:val="center"/>
              <w:rPr>
                <w:rFonts w:asciiTheme="minorHAnsi" w:hAnsiTheme="minorHAnsi"/>
                <w:b/>
                <w:sz w:val="20"/>
                <w:szCs w:val="20"/>
                <w:lang w:val="en-AU"/>
              </w:rPr>
            </w:pPr>
            <w:r w:rsidRPr="00CB10AD">
              <w:rPr>
                <w:rFonts w:asciiTheme="minorHAnsi" w:hAnsiTheme="minorHAnsi"/>
                <w:b/>
                <w:sz w:val="20"/>
                <w:szCs w:val="20"/>
                <w:lang w:val="en-AU"/>
              </w:rPr>
              <w:t>2013 Score</w:t>
            </w:r>
          </w:p>
        </w:tc>
        <w:tc>
          <w:tcPr>
            <w:tcW w:w="2252" w:type="pct"/>
            <w:shd w:val="clear" w:color="auto" w:fill="244061" w:themeFill="accent1" w:themeFillShade="80"/>
            <w:vAlign w:val="center"/>
          </w:tcPr>
          <w:p w:rsidR="002A2C82" w:rsidRPr="00CB10AD" w:rsidRDefault="002A2C82" w:rsidP="002A2C82">
            <w:pPr>
              <w:jc w:val="center"/>
              <w:rPr>
                <w:rFonts w:asciiTheme="minorHAnsi" w:hAnsiTheme="minorHAnsi"/>
                <w:b/>
                <w:sz w:val="20"/>
                <w:szCs w:val="20"/>
                <w:lang w:val="en-AU"/>
              </w:rPr>
            </w:pPr>
            <w:r w:rsidRPr="00CB10AD">
              <w:rPr>
                <w:rFonts w:asciiTheme="minorHAnsi" w:hAnsiTheme="minorHAnsi"/>
                <w:b/>
                <w:sz w:val="20"/>
                <w:szCs w:val="20"/>
                <w:lang w:val="en-AU"/>
              </w:rPr>
              <w:t>Justification</w:t>
            </w:r>
          </w:p>
        </w:tc>
        <w:tc>
          <w:tcPr>
            <w:tcW w:w="1710" w:type="pct"/>
            <w:shd w:val="clear" w:color="auto" w:fill="244061" w:themeFill="accent1" w:themeFillShade="80"/>
            <w:vAlign w:val="center"/>
          </w:tcPr>
          <w:p w:rsidR="002A2C82" w:rsidRPr="00CB10AD" w:rsidRDefault="002A2C82" w:rsidP="002A2C82">
            <w:pPr>
              <w:jc w:val="center"/>
              <w:rPr>
                <w:rFonts w:asciiTheme="minorHAnsi" w:hAnsiTheme="minorHAnsi"/>
                <w:b/>
                <w:sz w:val="20"/>
                <w:szCs w:val="20"/>
                <w:lang w:val="en-AU"/>
              </w:rPr>
            </w:pPr>
            <w:r w:rsidRPr="00CB10AD">
              <w:rPr>
                <w:rFonts w:asciiTheme="minorHAnsi" w:hAnsiTheme="minorHAnsi"/>
                <w:b/>
                <w:sz w:val="20"/>
                <w:szCs w:val="20"/>
                <w:lang w:val="en-AU"/>
              </w:rPr>
              <w:t>Comments</w:t>
            </w:r>
          </w:p>
        </w:tc>
      </w:tr>
      <w:tr w:rsidR="003B5F6B" w:rsidRPr="00CB10AD" w:rsidTr="001441F4">
        <w:trPr>
          <w:trHeight w:val="447"/>
          <w:jc w:val="center"/>
        </w:trPr>
        <w:tc>
          <w:tcPr>
            <w:tcW w:w="592" w:type="pct"/>
            <w:vAlign w:val="center"/>
          </w:tcPr>
          <w:p w:rsidR="003B5F6B" w:rsidRPr="00CB10AD" w:rsidRDefault="003B5F6B" w:rsidP="001441F4">
            <w:pPr>
              <w:spacing w:before="60" w:after="60"/>
              <w:rPr>
                <w:rFonts w:asciiTheme="minorHAnsi" w:hAnsiTheme="minorHAnsi"/>
                <w:b/>
                <w:sz w:val="20"/>
                <w:szCs w:val="20"/>
                <w:lang w:val="en-AU"/>
              </w:rPr>
            </w:pPr>
            <w:r w:rsidRPr="00CB10AD">
              <w:rPr>
                <w:rFonts w:asciiTheme="minorHAnsi" w:hAnsiTheme="minorHAnsi"/>
                <w:b/>
                <w:sz w:val="20"/>
                <w:szCs w:val="20"/>
                <w:lang w:val="en-AU"/>
              </w:rPr>
              <w:t>Relevance</w:t>
            </w:r>
          </w:p>
        </w:tc>
        <w:tc>
          <w:tcPr>
            <w:tcW w:w="446" w:type="pct"/>
            <w:tcBorders>
              <w:bottom w:val="single" w:sz="4" w:space="0" w:color="auto"/>
            </w:tcBorders>
            <w:shd w:val="clear" w:color="auto" w:fill="FFFF00"/>
            <w:vAlign w:val="center"/>
          </w:tcPr>
          <w:p w:rsidR="003B5F6B" w:rsidRPr="00CB10AD" w:rsidRDefault="003B5F6B" w:rsidP="001441F4">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2252" w:type="pct"/>
            <w:shd w:val="clear" w:color="auto" w:fill="FFFFFF" w:themeFill="background1"/>
          </w:tcPr>
          <w:p w:rsidR="003B5F6B" w:rsidRPr="00CB10AD" w:rsidRDefault="003B5F6B" w:rsidP="001441F4">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Investment in policy processes remains highly relevant but ACDP’s relevance will be undermined if/where ‘windows of opportunity’ are missed.</w:t>
            </w:r>
          </w:p>
        </w:tc>
        <w:tc>
          <w:tcPr>
            <w:tcW w:w="1710" w:type="pct"/>
            <w:shd w:val="clear" w:color="auto" w:fill="FFFFFF" w:themeFill="background1"/>
          </w:tcPr>
          <w:p w:rsidR="003B5F6B" w:rsidRPr="00CB10AD" w:rsidRDefault="003B5F6B" w:rsidP="001441F4">
            <w:pPr>
              <w:pStyle w:val="ListParagraph"/>
              <w:spacing w:before="60" w:after="60"/>
              <w:ind w:left="417"/>
              <w:rPr>
                <w:rFonts w:asciiTheme="minorHAnsi" w:hAnsiTheme="minorHAnsi"/>
                <w:sz w:val="20"/>
                <w:szCs w:val="20"/>
                <w:lang w:val="en-AU"/>
              </w:rPr>
            </w:pPr>
          </w:p>
        </w:tc>
      </w:tr>
      <w:tr w:rsidR="002A2C82" w:rsidRPr="00CB10AD" w:rsidTr="00D80C4B">
        <w:trPr>
          <w:trHeight w:val="434"/>
          <w:jc w:val="center"/>
        </w:trPr>
        <w:tc>
          <w:tcPr>
            <w:tcW w:w="592" w:type="pct"/>
            <w:vAlign w:val="center"/>
          </w:tcPr>
          <w:p w:rsidR="002A2C82" w:rsidRPr="00CB10AD" w:rsidRDefault="002A2C82" w:rsidP="002A2C82">
            <w:pPr>
              <w:spacing w:before="60" w:after="60"/>
              <w:rPr>
                <w:rFonts w:asciiTheme="minorHAnsi" w:hAnsiTheme="minorHAnsi"/>
                <w:b/>
                <w:sz w:val="20"/>
                <w:szCs w:val="20"/>
                <w:lang w:val="en-AU"/>
              </w:rPr>
            </w:pPr>
            <w:r w:rsidRPr="00CB10AD">
              <w:rPr>
                <w:rFonts w:asciiTheme="minorHAnsi" w:hAnsiTheme="minorHAnsi"/>
                <w:b/>
                <w:sz w:val="20"/>
                <w:szCs w:val="20"/>
                <w:lang w:val="en-AU"/>
              </w:rPr>
              <w:t>Efficiency</w:t>
            </w:r>
          </w:p>
        </w:tc>
        <w:tc>
          <w:tcPr>
            <w:tcW w:w="446" w:type="pct"/>
            <w:tcBorders>
              <w:bottom w:val="single" w:sz="4" w:space="0" w:color="auto"/>
            </w:tcBorders>
            <w:shd w:val="clear" w:color="auto" w:fill="FFC000"/>
            <w:vAlign w:val="center"/>
          </w:tcPr>
          <w:p w:rsidR="002A2C82" w:rsidRPr="00CB10AD" w:rsidRDefault="002A2C82" w:rsidP="002A2C82">
            <w:pPr>
              <w:spacing w:before="60" w:after="60"/>
              <w:jc w:val="center"/>
              <w:rPr>
                <w:rFonts w:asciiTheme="minorHAnsi" w:hAnsiTheme="minorHAnsi"/>
                <w:sz w:val="20"/>
                <w:szCs w:val="20"/>
                <w:lang w:val="en-AU"/>
              </w:rPr>
            </w:pPr>
            <w:r w:rsidRPr="00CB10AD">
              <w:rPr>
                <w:rFonts w:asciiTheme="minorHAnsi" w:hAnsiTheme="minorHAnsi"/>
                <w:sz w:val="20"/>
                <w:szCs w:val="20"/>
                <w:lang w:val="en-AU"/>
              </w:rPr>
              <w:t>3</w:t>
            </w:r>
          </w:p>
        </w:tc>
        <w:tc>
          <w:tcPr>
            <w:tcW w:w="2252" w:type="pct"/>
            <w:tcBorders>
              <w:bottom w:val="single" w:sz="4" w:space="0" w:color="auto"/>
            </w:tcBorders>
            <w:shd w:val="clear" w:color="auto" w:fill="FFFFFF" w:themeFill="background1"/>
          </w:tcPr>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Not infrequent replacement of consultants</w:t>
            </w:r>
          </w:p>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 xml:space="preserve">Delays to submissions </w:t>
            </w:r>
          </w:p>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Variable quality of reporting</w:t>
            </w:r>
          </w:p>
        </w:tc>
        <w:tc>
          <w:tcPr>
            <w:tcW w:w="1710" w:type="pct"/>
            <w:tcBorders>
              <w:bottom w:val="single" w:sz="4" w:space="0" w:color="auto"/>
            </w:tcBorders>
            <w:shd w:val="clear" w:color="auto" w:fill="FFFFFF" w:themeFill="background1"/>
          </w:tcPr>
          <w:p w:rsidR="002A2C82" w:rsidRPr="00CB10AD" w:rsidRDefault="002A2C82" w:rsidP="00196F93">
            <w:pPr>
              <w:pStyle w:val="ListParagraph"/>
              <w:spacing w:before="120" w:after="120" w:line="240" w:lineRule="auto"/>
              <w:ind w:left="417"/>
              <w:rPr>
                <w:rFonts w:asciiTheme="minorHAnsi" w:hAnsiTheme="minorHAnsi"/>
                <w:sz w:val="20"/>
                <w:szCs w:val="20"/>
                <w:lang w:val="en-AU"/>
              </w:rPr>
            </w:pPr>
          </w:p>
        </w:tc>
      </w:tr>
      <w:tr w:rsidR="002A2C82" w:rsidRPr="00CB10AD" w:rsidTr="00D80C4B">
        <w:trPr>
          <w:trHeight w:val="447"/>
          <w:jc w:val="center"/>
        </w:trPr>
        <w:tc>
          <w:tcPr>
            <w:tcW w:w="592" w:type="pct"/>
            <w:vAlign w:val="center"/>
          </w:tcPr>
          <w:p w:rsidR="002A2C82" w:rsidRPr="00CB10AD" w:rsidRDefault="002A2C82" w:rsidP="002A2C82">
            <w:pPr>
              <w:spacing w:before="60" w:after="60"/>
              <w:rPr>
                <w:rFonts w:asciiTheme="minorHAnsi" w:hAnsiTheme="minorHAnsi"/>
                <w:b/>
                <w:sz w:val="20"/>
                <w:szCs w:val="20"/>
                <w:lang w:val="en-AU"/>
              </w:rPr>
            </w:pPr>
            <w:r w:rsidRPr="00CB10AD">
              <w:rPr>
                <w:rFonts w:asciiTheme="minorHAnsi" w:hAnsiTheme="minorHAnsi"/>
                <w:b/>
                <w:sz w:val="20"/>
                <w:szCs w:val="20"/>
                <w:lang w:val="en-AU"/>
              </w:rPr>
              <w:t>Effectiveness</w:t>
            </w:r>
          </w:p>
        </w:tc>
        <w:tc>
          <w:tcPr>
            <w:tcW w:w="446" w:type="pct"/>
            <w:tcBorders>
              <w:bottom w:val="single" w:sz="4" w:space="0" w:color="auto"/>
            </w:tcBorders>
            <w:shd w:val="clear" w:color="auto" w:fill="FFFF00"/>
            <w:vAlign w:val="center"/>
          </w:tcPr>
          <w:p w:rsidR="002A2C82" w:rsidRPr="00CB10AD" w:rsidRDefault="002A2C82" w:rsidP="002A2C82">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2252" w:type="pct"/>
            <w:shd w:val="clear" w:color="auto" w:fill="FFFFFF" w:themeFill="background1"/>
          </w:tcPr>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cstheme="minorHAnsi"/>
                <w:sz w:val="20"/>
                <w:szCs w:val="20"/>
                <w:lang w:val="en-AU"/>
              </w:rPr>
              <w:t xml:space="preserve">The </w:t>
            </w:r>
            <w:r w:rsidRPr="00CB10AD">
              <w:rPr>
                <w:sz w:val="20"/>
                <w:szCs w:val="20"/>
                <w:lang w:val="en-AU"/>
              </w:rPr>
              <w:t>long lifecycle of many ACDP activities is seemingly inconsistent with the political realities of decision-making</w:t>
            </w:r>
          </w:p>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sz w:val="20"/>
                <w:szCs w:val="20"/>
                <w:lang w:val="en-AU"/>
              </w:rPr>
              <w:t>Nevertheless, examples of evidence utilization can be cited, e.g. ACDP 001.</w:t>
            </w:r>
          </w:p>
        </w:tc>
        <w:tc>
          <w:tcPr>
            <w:tcW w:w="1710" w:type="pct"/>
            <w:shd w:val="clear" w:color="auto" w:fill="FFFFFF" w:themeFill="background1"/>
          </w:tcPr>
          <w:p w:rsidR="002A2C82" w:rsidRPr="00CB10AD" w:rsidRDefault="002A2C82" w:rsidP="007B17D5">
            <w:pPr>
              <w:pStyle w:val="ListParagraph"/>
              <w:numPr>
                <w:ilvl w:val="0"/>
                <w:numId w:val="21"/>
              </w:numPr>
              <w:spacing w:before="120" w:after="120"/>
              <w:ind w:left="417"/>
              <w:rPr>
                <w:rFonts w:asciiTheme="minorHAnsi" w:hAnsiTheme="minorHAnsi"/>
                <w:sz w:val="20"/>
                <w:szCs w:val="20"/>
                <w:lang w:val="en-AU"/>
              </w:rPr>
            </w:pPr>
            <w:r w:rsidRPr="00CB10AD">
              <w:rPr>
                <w:rFonts w:asciiTheme="minorHAnsi" w:hAnsiTheme="minorHAnsi"/>
                <w:sz w:val="20"/>
                <w:szCs w:val="20"/>
                <w:lang w:val="en-AU"/>
              </w:rPr>
              <w:t>ACDP should consider options to better bundle findings, i.e. so evidence is provided by theme and not just by report-by-report</w:t>
            </w:r>
          </w:p>
        </w:tc>
      </w:tr>
      <w:tr w:rsidR="002A2C82" w:rsidRPr="00CB10AD" w:rsidTr="00D80C4B">
        <w:trPr>
          <w:trHeight w:val="447"/>
          <w:jc w:val="center"/>
        </w:trPr>
        <w:tc>
          <w:tcPr>
            <w:tcW w:w="592" w:type="pct"/>
            <w:vAlign w:val="center"/>
          </w:tcPr>
          <w:p w:rsidR="002A2C82" w:rsidRPr="00CB10AD" w:rsidRDefault="002A2C82" w:rsidP="002A2C82">
            <w:pPr>
              <w:spacing w:before="60" w:after="60"/>
              <w:rPr>
                <w:rFonts w:asciiTheme="minorHAnsi" w:hAnsiTheme="minorHAnsi"/>
                <w:b/>
                <w:sz w:val="20"/>
                <w:szCs w:val="20"/>
                <w:lang w:val="en-AU"/>
              </w:rPr>
            </w:pPr>
            <w:r w:rsidRPr="00CB10AD">
              <w:rPr>
                <w:rFonts w:asciiTheme="minorHAnsi" w:hAnsiTheme="minorHAnsi"/>
                <w:b/>
                <w:sz w:val="20"/>
                <w:szCs w:val="20"/>
                <w:lang w:val="en-AU"/>
              </w:rPr>
              <w:t>Impact</w:t>
            </w:r>
          </w:p>
        </w:tc>
        <w:tc>
          <w:tcPr>
            <w:tcW w:w="446" w:type="pct"/>
            <w:tcBorders>
              <w:bottom w:val="single" w:sz="4" w:space="0" w:color="auto"/>
            </w:tcBorders>
            <w:shd w:val="clear" w:color="auto" w:fill="FFFFFF" w:themeFill="background1"/>
            <w:vAlign w:val="center"/>
          </w:tcPr>
          <w:p w:rsidR="002A2C82" w:rsidRPr="00CB10AD" w:rsidRDefault="002A2C82" w:rsidP="002A2C82">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2252" w:type="pct"/>
            <w:shd w:val="clear" w:color="auto" w:fill="FFFFFF" w:themeFill="background1"/>
          </w:tcPr>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Likelihood is unknown and depends on a number of factors. As such, it is very difficult to provide an accurate, defensible score</w:t>
            </w:r>
          </w:p>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The likelihood of a number of ACDP outputs having impact-level benefits is very uncertain but should one have a direct, significant and meaningful effect on a key policy the impact of the ACDP could be significant.</w:t>
            </w:r>
          </w:p>
        </w:tc>
        <w:tc>
          <w:tcPr>
            <w:tcW w:w="1710" w:type="pct"/>
            <w:shd w:val="clear" w:color="auto" w:fill="FFFFFF" w:themeFill="background1"/>
          </w:tcPr>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ACDP’s six-monthly reports would benefit from improved tracking/reporting of post-report measures and results.</w:t>
            </w:r>
          </w:p>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POM’s upcoming evaluation study will support understanding of policy processes and ACDP’s impact in that regard.</w:t>
            </w:r>
          </w:p>
        </w:tc>
      </w:tr>
      <w:tr w:rsidR="002A2C82" w:rsidRPr="00CB10AD" w:rsidTr="00196F93">
        <w:trPr>
          <w:trHeight w:val="447"/>
          <w:jc w:val="center"/>
        </w:trPr>
        <w:tc>
          <w:tcPr>
            <w:tcW w:w="592" w:type="pct"/>
            <w:vAlign w:val="center"/>
          </w:tcPr>
          <w:p w:rsidR="002A2C82" w:rsidRPr="00CB10AD" w:rsidRDefault="002A2C82" w:rsidP="002A2C82">
            <w:pPr>
              <w:spacing w:before="60" w:after="60"/>
              <w:rPr>
                <w:rFonts w:asciiTheme="minorHAnsi" w:hAnsiTheme="minorHAnsi"/>
                <w:b/>
                <w:sz w:val="20"/>
                <w:szCs w:val="20"/>
                <w:lang w:val="en-AU"/>
              </w:rPr>
            </w:pPr>
            <w:r w:rsidRPr="00CB10AD">
              <w:rPr>
                <w:rFonts w:asciiTheme="minorHAnsi" w:hAnsiTheme="minorHAnsi"/>
                <w:b/>
                <w:sz w:val="20"/>
                <w:szCs w:val="20"/>
                <w:lang w:val="en-AU"/>
              </w:rPr>
              <w:t>Sustainability</w:t>
            </w:r>
          </w:p>
        </w:tc>
        <w:tc>
          <w:tcPr>
            <w:tcW w:w="446" w:type="pct"/>
            <w:shd w:val="clear" w:color="auto" w:fill="FFFF00"/>
            <w:vAlign w:val="center"/>
          </w:tcPr>
          <w:p w:rsidR="002A2C82" w:rsidRPr="00CB10AD" w:rsidRDefault="007269E9" w:rsidP="002A2C82">
            <w:pPr>
              <w:spacing w:before="60" w:after="60"/>
              <w:jc w:val="center"/>
              <w:rPr>
                <w:rFonts w:asciiTheme="minorHAnsi" w:hAnsiTheme="minorHAnsi"/>
                <w:sz w:val="20"/>
                <w:szCs w:val="20"/>
                <w:lang w:val="en-AU"/>
              </w:rPr>
            </w:pPr>
            <w:r>
              <w:rPr>
                <w:rFonts w:asciiTheme="minorHAnsi" w:hAnsiTheme="minorHAnsi"/>
                <w:sz w:val="20"/>
                <w:szCs w:val="20"/>
                <w:lang w:val="en-AU"/>
              </w:rPr>
              <w:t>4</w:t>
            </w:r>
          </w:p>
        </w:tc>
        <w:tc>
          <w:tcPr>
            <w:tcW w:w="2252" w:type="pct"/>
            <w:shd w:val="clear" w:color="auto" w:fill="FFFFFF" w:themeFill="background1"/>
          </w:tcPr>
          <w:p w:rsidR="002A2C82" w:rsidRPr="00CB10AD" w:rsidRDefault="002A2C82"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Sustained benefits will accrue should key report recommendations be implemented.</w:t>
            </w:r>
          </w:p>
          <w:p w:rsidR="00424BE7" w:rsidRPr="00CB10AD" w:rsidRDefault="00424BE7" w:rsidP="007B17D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Insufficient routine capture, tracking and reporting of changes to the policy environment after completion of individual activities limits the extent to which POM can state with confidence that (specific) sustained benefits are likely.</w:t>
            </w:r>
            <w:r w:rsidR="00CB10AD">
              <w:rPr>
                <w:rFonts w:asciiTheme="minorHAnsi" w:hAnsiTheme="minorHAnsi"/>
                <w:sz w:val="20"/>
                <w:szCs w:val="20"/>
                <w:lang w:val="en-AU"/>
              </w:rPr>
              <w:t xml:space="preserve"> </w:t>
            </w:r>
          </w:p>
        </w:tc>
        <w:tc>
          <w:tcPr>
            <w:tcW w:w="1710" w:type="pct"/>
            <w:shd w:val="clear" w:color="auto" w:fill="FFFFFF" w:themeFill="background1"/>
          </w:tcPr>
          <w:p w:rsidR="00424BE7" w:rsidRPr="00CB10AD" w:rsidRDefault="006E3625" w:rsidP="006E3625">
            <w:pPr>
              <w:pStyle w:val="ListParagraph"/>
              <w:numPr>
                <w:ilvl w:val="0"/>
                <w:numId w:val="21"/>
              </w:numPr>
              <w:spacing w:before="60" w:after="60"/>
              <w:ind w:left="417"/>
              <w:rPr>
                <w:rFonts w:asciiTheme="minorHAnsi" w:hAnsiTheme="minorHAnsi"/>
                <w:sz w:val="20"/>
                <w:szCs w:val="20"/>
                <w:lang w:val="en-AU"/>
              </w:rPr>
            </w:pPr>
            <w:r w:rsidRPr="00CB10AD">
              <w:rPr>
                <w:rFonts w:asciiTheme="minorHAnsi" w:hAnsiTheme="minorHAnsi"/>
                <w:sz w:val="20"/>
                <w:szCs w:val="20"/>
                <w:lang w:val="en-AU"/>
              </w:rPr>
              <w:t>The modality – the ACDP delivery vehicle – will not be sustained and is not expected to out-live the EP.</w:t>
            </w:r>
          </w:p>
          <w:p w:rsidR="002A2C82" w:rsidRPr="00CB10AD" w:rsidRDefault="00424BE7" w:rsidP="00EE18A4">
            <w:pPr>
              <w:pStyle w:val="ListParagraph"/>
              <w:spacing w:before="60" w:after="60"/>
              <w:ind w:left="417"/>
              <w:rPr>
                <w:rFonts w:asciiTheme="minorHAnsi" w:hAnsiTheme="minorHAnsi"/>
                <w:sz w:val="20"/>
                <w:szCs w:val="20"/>
                <w:lang w:val="en-AU"/>
              </w:rPr>
            </w:pPr>
            <w:r w:rsidRPr="00CB10AD">
              <w:rPr>
                <w:rFonts w:asciiTheme="minorHAnsi" w:hAnsiTheme="minorHAnsi"/>
                <w:sz w:val="20"/>
                <w:szCs w:val="20"/>
                <w:lang w:val="en-AU"/>
              </w:rPr>
              <w:t xml:space="preserve">The extent to which benefits (e.g. changes to policy content and subsequent implementation) are likely to continue after ACDP closure depends, in part, on the extent to which ACDP and its individual activities have successfully </w:t>
            </w:r>
            <w:r w:rsidR="005F7115" w:rsidRPr="00CB10AD">
              <w:rPr>
                <w:rFonts w:asciiTheme="minorHAnsi" w:hAnsiTheme="minorHAnsi"/>
                <w:sz w:val="20"/>
                <w:szCs w:val="20"/>
                <w:lang w:val="en-AU"/>
              </w:rPr>
              <w:t xml:space="preserve">ushered in improved understanding of and attitudinal change </w:t>
            </w:r>
            <w:r w:rsidR="00400D64" w:rsidRPr="00CB10AD">
              <w:rPr>
                <w:rFonts w:asciiTheme="minorHAnsi" w:hAnsiTheme="minorHAnsi"/>
                <w:sz w:val="20"/>
                <w:szCs w:val="20"/>
                <w:lang w:val="en-AU"/>
              </w:rPr>
              <w:t xml:space="preserve">and </w:t>
            </w:r>
            <w:r w:rsidR="005F7115" w:rsidRPr="00CB10AD">
              <w:rPr>
                <w:rFonts w:asciiTheme="minorHAnsi" w:hAnsiTheme="minorHAnsi"/>
                <w:sz w:val="20"/>
                <w:szCs w:val="20"/>
                <w:lang w:val="en-AU"/>
              </w:rPr>
              <w:t>created ‘space’ for meaningful policy-related discussion</w:t>
            </w:r>
            <w:r w:rsidR="00400D64" w:rsidRPr="00CB10AD">
              <w:rPr>
                <w:rFonts w:asciiTheme="minorHAnsi" w:hAnsiTheme="minorHAnsi"/>
                <w:sz w:val="20"/>
                <w:szCs w:val="20"/>
                <w:lang w:val="en-AU"/>
              </w:rPr>
              <w:t xml:space="preserve"> about the issues.</w:t>
            </w:r>
            <w:r w:rsidR="005F7115" w:rsidRPr="00CB10AD">
              <w:rPr>
                <w:rFonts w:asciiTheme="minorHAnsi" w:hAnsiTheme="minorHAnsi"/>
                <w:sz w:val="20"/>
                <w:szCs w:val="20"/>
                <w:lang w:val="en-AU"/>
              </w:rPr>
              <w:t xml:space="preserve"> </w:t>
            </w:r>
          </w:p>
        </w:tc>
      </w:tr>
    </w:tbl>
    <w:p w:rsidR="002A2C82" w:rsidRPr="00CB10AD" w:rsidRDefault="002A2C82" w:rsidP="009E32C3">
      <w:pPr>
        <w:pStyle w:val="Caption"/>
        <w:rPr>
          <w:rStyle w:val="Strong"/>
          <w:i/>
          <w:iCs/>
          <w:lang w:val="en-AU"/>
        </w:rPr>
      </w:pPr>
      <w:r w:rsidRPr="00CB10AD">
        <w:rPr>
          <w:lang w:val="en-AU"/>
        </w:rPr>
        <w:br w:type="page"/>
      </w:r>
      <w:bookmarkStart w:id="52" w:name="_Ref379642393"/>
      <w:bookmarkStart w:id="53" w:name="_Toc379982281"/>
      <w:r w:rsidR="009E32C3" w:rsidRPr="00CB10AD">
        <w:rPr>
          <w:lang w:val="en-AU"/>
        </w:rPr>
        <w:lastRenderedPageBreak/>
        <w:t xml:space="preserve">Table </w:t>
      </w:r>
      <w:r w:rsidR="009E32C3" w:rsidRPr="00CB10AD">
        <w:rPr>
          <w:lang w:val="en-AU"/>
        </w:rPr>
        <w:fldChar w:fldCharType="begin"/>
      </w:r>
      <w:r w:rsidR="009E32C3" w:rsidRPr="00CB10AD">
        <w:rPr>
          <w:lang w:val="en-AU"/>
        </w:rPr>
        <w:instrText xml:space="preserve"> SEQ Table \* ARABIC </w:instrText>
      </w:r>
      <w:r w:rsidR="009E32C3" w:rsidRPr="00CB10AD">
        <w:rPr>
          <w:lang w:val="en-AU"/>
        </w:rPr>
        <w:fldChar w:fldCharType="separate"/>
      </w:r>
      <w:r w:rsidR="00662AF4">
        <w:rPr>
          <w:noProof/>
          <w:lang w:val="en-AU"/>
        </w:rPr>
        <w:t>13</w:t>
      </w:r>
      <w:r w:rsidR="009E32C3" w:rsidRPr="00CB10AD">
        <w:rPr>
          <w:lang w:val="en-AU"/>
        </w:rPr>
        <w:fldChar w:fldCharType="end"/>
      </w:r>
      <w:bookmarkEnd w:id="52"/>
      <w:r w:rsidRPr="00CB10AD">
        <w:rPr>
          <w:rStyle w:val="Strong"/>
          <w:b/>
          <w:lang w:val="en-AU"/>
        </w:rPr>
        <w:t>: Component 4 key findings and recommendations</w:t>
      </w:r>
      <w:bookmarkEnd w:id="53"/>
    </w:p>
    <w:p w:rsidR="004623D7" w:rsidRPr="00CB10AD" w:rsidRDefault="004623D7" w:rsidP="004623D7">
      <w:pPr>
        <w:rPr>
          <w:lang w:val="en-AU"/>
        </w:rPr>
      </w:pPr>
    </w:p>
    <w:tbl>
      <w:tblPr>
        <w:tblStyle w:val="TableGrid3"/>
        <w:tblW w:w="5000" w:type="pct"/>
        <w:tblLook w:val="04A0" w:firstRow="1" w:lastRow="0" w:firstColumn="1" w:lastColumn="0" w:noHBand="0" w:noVBand="1"/>
      </w:tblPr>
      <w:tblGrid>
        <w:gridCol w:w="4314"/>
        <w:gridCol w:w="5507"/>
        <w:gridCol w:w="877"/>
        <w:gridCol w:w="3472"/>
      </w:tblGrid>
      <w:tr w:rsidR="004623D7" w:rsidRPr="00CB10AD" w:rsidTr="004623D7">
        <w:trPr>
          <w:trHeight w:val="567"/>
          <w:tblHeader/>
        </w:trPr>
        <w:tc>
          <w:tcPr>
            <w:tcW w:w="1522"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Findings</w:t>
            </w:r>
          </w:p>
        </w:tc>
        <w:tc>
          <w:tcPr>
            <w:tcW w:w="1943"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Recommendations</w:t>
            </w:r>
          </w:p>
        </w:tc>
        <w:tc>
          <w:tcPr>
            <w:tcW w:w="309"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Level of urgency</w:t>
            </w:r>
          </w:p>
        </w:tc>
        <w:tc>
          <w:tcPr>
            <w:tcW w:w="1225"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Prime Responsibility</w:t>
            </w:r>
          </w:p>
        </w:tc>
      </w:tr>
      <w:tr w:rsidR="007C6065" w:rsidRPr="00CB10AD" w:rsidTr="00DA1B0C">
        <w:trPr>
          <w:trHeight w:val="758"/>
        </w:trPr>
        <w:tc>
          <w:tcPr>
            <w:tcW w:w="1522" w:type="pct"/>
            <w:shd w:val="clear" w:color="auto" w:fill="FFFFFF" w:themeFill="background1"/>
          </w:tcPr>
          <w:p w:rsidR="007C6065" w:rsidRPr="00CB10AD" w:rsidRDefault="007C6065" w:rsidP="00C34417">
            <w:pPr>
              <w:spacing w:before="120"/>
              <w:rPr>
                <w:sz w:val="20"/>
                <w:szCs w:val="20"/>
                <w:lang w:val="en-AU"/>
              </w:rPr>
            </w:pPr>
            <w:r w:rsidRPr="00CB10AD">
              <w:rPr>
                <w:sz w:val="20"/>
                <w:szCs w:val="20"/>
                <w:lang w:val="en-AU"/>
              </w:rPr>
              <w:t>The ACDP remains insufficiently agile and responsive to the needs of its client</w:t>
            </w:r>
            <w:r w:rsidR="00CB10AD">
              <w:rPr>
                <w:sz w:val="20"/>
                <w:szCs w:val="20"/>
                <w:lang w:val="en-AU"/>
              </w:rPr>
              <w:t xml:space="preserve"> </w:t>
            </w:r>
            <w:r w:rsidRPr="00CB10AD">
              <w:rPr>
                <w:sz w:val="20"/>
                <w:szCs w:val="20"/>
                <w:lang w:val="en-AU"/>
              </w:rPr>
              <w:t>(see §5.4.2)</w:t>
            </w:r>
          </w:p>
        </w:tc>
        <w:tc>
          <w:tcPr>
            <w:tcW w:w="1943"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R14: ACDP should continue to revise and diversify its product offering (activity types) such that it is responsive and timely, and offers value for money</w:t>
            </w:r>
            <w:r w:rsidR="00EE18A4">
              <w:rPr>
                <w:sz w:val="20"/>
                <w:szCs w:val="20"/>
                <w:lang w:val="en-AU"/>
              </w:rPr>
              <w:t>.</w:t>
            </w:r>
          </w:p>
        </w:tc>
        <w:tc>
          <w:tcPr>
            <w:tcW w:w="309" w:type="pct"/>
            <w:tcBorders>
              <w:bottom w:val="single" w:sz="4" w:space="0" w:color="auto"/>
            </w:tcBorders>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5" w:type="pct"/>
          </w:tcPr>
          <w:p w:rsidR="007C6065" w:rsidRPr="00CB10AD" w:rsidRDefault="007C6065" w:rsidP="00E369C9">
            <w:pPr>
              <w:spacing w:before="120"/>
              <w:rPr>
                <w:sz w:val="20"/>
                <w:szCs w:val="20"/>
                <w:lang w:val="en-AU"/>
              </w:rPr>
            </w:pPr>
            <w:r w:rsidRPr="00CB10AD">
              <w:rPr>
                <w:sz w:val="20"/>
                <w:szCs w:val="20"/>
                <w:lang w:val="en-AU"/>
              </w:rPr>
              <w:t>ACDP (with guidance from the ATOG)</w:t>
            </w:r>
          </w:p>
        </w:tc>
      </w:tr>
      <w:tr w:rsidR="007C6065" w:rsidRPr="00CB10AD" w:rsidTr="00DA1B0C">
        <w:trPr>
          <w:trHeight w:val="1173"/>
        </w:trPr>
        <w:tc>
          <w:tcPr>
            <w:tcW w:w="1522" w:type="pct"/>
          </w:tcPr>
          <w:p w:rsidR="007C6065" w:rsidRPr="00CB10AD" w:rsidRDefault="007C6065" w:rsidP="00206BAB">
            <w:pPr>
              <w:spacing w:before="120"/>
              <w:rPr>
                <w:sz w:val="20"/>
                <w:szCs w:val="20"/>
                <w:lang w:val="en-AU"/>
              </w:rPr>
            </w:pPr>
            <w:r w:rsidRPr="00CB10AD">
              <w:rPr>
                <w:sz w:val="20"/>
                <w:szCs w:val="20"/>
                <w:lang w:val="en-AU"/>
              </w:rPr>
              <w:t>ACDP processes and events offer DFAT opportunity to engage in more strategic dialogue with key GoI officials but this potential is under-exploited (see §5.4.3)</w:t>
            </w:r>
          </w:p>
        </w:tc>
        <w:tc>
          <w:tcPr>
            <w:tcW w:w="1943" w:type="pct"/>
          </w:tcPr>
          <w:p w:rsidR="007C6065" w:rsidRPr="00CB10AD" w:rsidRDefault="007C6065" w:rsidP="00EE18A4">
            <w:pPr>
              <w:spacing w:before="120"/>
              <w:ind w:left="459" w:hanging="450"/>
              <w:rPr>
                <w:sz w:val="20"/>
                <w:szCs w:val="20"/>
                <w:lang w:val="en-AU"/>
              </w:rPr>
            </w:pPr>
            <w:r w:rsidRPr="00CB10AD">
              <w:rPr>
                <w:sz w:val="20"/>
                <w:szCs w:val="20"/>
                <w:lang w:val="en-AU"/>
              </w:rPr>
              <w:t>R15: DFAT should better articulate how, when and why it seeks to gain strategic value from its investment in the ACDP</w:t>
            </w:r>
            <w:r w:rsidR="00EE18A4">
              <w:rPr>
                <w:sz w:val="20"/>
                <w:szCs w:val="20"/>
                <w:lang w:val="en-AU"/>
              </w:rPr>
              <w:t>.</w:t>
            </w:r>
          </w:p>
        </w:tc>
        <w:tc>
          <w:tcPr>
            <w:tcW w:w="309" w:type="pct"/>
            <w:tcBorders>
              <w:bottom w:val="single" w:sz="4" w:space="0" w:color="auto"/>
            </w:tcBorders>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5" w:type="pct"/>
          </w:tcPr>
          <w:p w:rsidR="007C6065" w:rsidRPr="00CB10AD" w:rsidRDefault="007C6065" w:rsidP="00E369C9">
            <w:pPr>
              <w:spacing w:before="120"/>
              <w:rPr>
                <w:sz w:val="20"/>
                <w:szCs w:val="20"/>
                <w:lang w:val="en-AU"/>
              </w:rPr>
            </w:pPr>
            <w:r w:rsidRPr="00CB10AD">
              <w:rPr>
                <w:sz w:val="20"/>
                <w:szCs w:val="20"/>
                <w:lang w:val="en-AU"/>
              </w:rPr>
              <w:t>DFAT (with ACDP support as required)</w:t>
            </w:r>
          </w:p>
        </w:tc>
      </w:tr>
      <w:tr w:rsidR="007C6065" w:rsidRPr="00CB10AD" w:rsidTr="00DA1B0C">
        <w:trPr>
          <w:trHeight w:val="567"/>
        </w:trPr>
        <w:tc>
          <w:tcPr>
            <w:tcW w:w="1522" w:type="pct"/>
          </w:tcPr>
          <w:p w:rsidR="007C6065" w:rsidRPr="00CB10AD" w:rsidRDefault="007C6065" w:rsidP="00206BAB">
            <w:pPr>
              <w:spacing w:before="120"/>
              <w:rPr>
                <w:sz w:val="20"/>
                <w:szCs w:val="20"/>
                <w:lang w:val="en-AU"/>
              </w:rPr>
            </w:pPr>
            <w:r w:rsidRPr="00CB10AD">
              <w:rPr>
                <w:rFonts w:asciiTheme="minorHAnsi" w:hAnsiTheme="minorHAnsi" w:cstheme="minorHAnsi"/>
                <w:sz w:val="20"/>
                <w:szCs w:val="20"/>
                <w:lang w:val="en-AU"/>
              </w:rPr>
              <w:t xml:space="preserve">EP implementing partners (e.g. SSQ and POM) have a patchy understanding of upcoming ACDP events </w:t>
            </w:r>
            <w:r w:rsidRPr="00CB10AD">
              <w:rPr>
                <w:sz w:val="20"/>
                <w:szCs w:val="20"/>
                <w:lang w:val="en-AU"/>
              </w:rPr>
              <w:t>(see §5.4.3)</w:t>
            </w:r>
          </w:p>
        </w:tc>
        <w:tc>
          <w:tcPr>
            <w:tcW w:w="1943" w:type="pct"/>
          </w:tcPr>
          <w:p w:rsidR="007C6065" w:rsidRPr="00CB10AD" w:rsidRDefault="007C6065" w:rsidP="00EE18A4">
            <w:pPr>
              <w:spacing w:before="120"/>
              <w:ind w:left="459" w:hanging="450"/>
              <w:rPr>
                <w:sz w:val="20"/>
                <w:szCs w:val="20"/>
                <w:lang w:val="en-AU"/>
              </w:rPr>
            </w:pPr>
            <w:r w:rsidRPr="00CB10AD">
              <w:rPr>
                <w:sz w:val="20"/>
                <w:szCs w:val="20"/>
                <w:lang w:val="en-AU"/>
              </w:rPr>
              <w:t xml:space="preserve">R16: DFAT/ACDP should make a concerted effort to identify cross-component links and to flag relevant upcoming events such that ACDP becomes a more integral part of the EP and that synergies are exploited. </w:t>
            </w:r>
          </w:p>
        </w:tc>
        <w:tc>
          <w:tcPr>
            <w:tcW w:w="309" w:type="pct"/>
            <w:shd w:val="clear" w:color="auto" w:fill="92D05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5" w:type="pct"/>
          </w:tcPr>
          <w:p w:rsidR="007C6065" w:rsidRPr="00CB10AD" w:rsidRDefault="007C6065" w:rsidP="00E369C9">
            <w:pPr>
              <w:spacing w:before="120"/>
              <w:rPr>
                <w:sz w:val="20"/>
                <w:szCs w:val="20"/>
                <w:lang w:val="en-AU"/>
              </w:rPr>
            </w:pPr>
            <w:r w:rsidRPr="00CB10AD">
              <w:rPr>
                <w:sz w:val="20"/>
                <w:szCs w:val="20"/>
                <w:lang w:val="en-AU"/>
              </w:rPr>
              <w:t>DFAT and ACDP</w:t>
            </w:r>
          </w:p>
        </w:tc>
      </w:tr>
    </w:tbl>
    <w:p w:rsidR="004623D7" w:rsidRPr="00CB10AD" w:rsidRDefault="004623D7" w:rsidP="004623D7">
      <w:pPr>
        <w:rPr>
          <w:i/>
          <w:lang w:val="en-AU"/>
        </w:rPr>
      </w:pPr>
    </w:p>
    <w:p w:rsidR="004623D7" w:rsidRPr="00CB10AD" w:rsidRDefault="004623D7" w:rsidP="004623D7">
      <w:pPr>
        <w:rPr>
          <w:i/>
          <w:lang w:val="en-AU"/>
        </w:rPr>
      </w:pPr>
      <w:r w:rsidRPr="00CB10AD">
        <w:rPr>
          <w:i/>
          <w:lang w:val="en-AU"/>
        </w:rPr>
        <w:t>NB: Red</w:t>
      </w:r>
      <w:r w:rsidR="005F2662" w:rsidRPr="00CB10AD">
        <w:rPr>
          <w:i/>
          <w:lang w:val="en-AU"/>
        </w:rPr>
        <w:t xml:space="preserve"> (***)</w:t>
      </w:r>
      <w:r w:rsidRPr="00CB10AD">
        <w:rPr>
          <w:i/>
          <w:lang w:val="en-AU"/>
        </w:rPr>
        <w:t xml:space="preserve"> -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p>
    <w:p w:rsidR="005536C5" w:rsidRPr="00CB10AD" w:rsidRDefault="005536C5" w:rsidP="005536C5">
      <w:pPr>
        <w:rPr>
          <w:i/>
          <w:lang w:val="en-AU"/>
        </w:rPr>
      </w:pPr>
    </w:p>
    <w:p w:rsidR="00B752E9" w:rsidRPr="00CB10AD" w:rsidRDefault="00B752E9" w:rsidP="00B752E9">
      <w:pPr>
        <w:rPr>
          <w:i/>
          <w:lang w:val="en-AU"/>
        </w:rPr>
      </w:pPr>
    </w:p>
    <w:p w:rsidR="00245A84" w:rsidRPr="00CB10AD" w:rsidRDefault="00245A84" w:rsidP="00DE0C5D">
      <w:pPr>
        <w:rPr>
          <w:lang w:val="en-AU"/>
        </w:rPr>
        <w:sectPr w:rsidR="00245A84" w:rsidRPr="00CB10AD" w:rsidSect="00245A84">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p>
    <w:p w:rsidR="00245A84" w:rsidRPr="00CB10AD" w:rsidRDefault="00245A84" w:rsidP="00245A84">
      <w:pPr>
        <w:rPr>
          <w:lang w:val="en-AU"/>
        </w:rPr>
      </w:pPr>
      <w:r w:rsidRPr="00CB10AD">
        <w:rPr>
          <w:noProof/>
          <w:color w:val="000000" w:themeColor="text1"/>
          <w:sz w:val="28"/>
          <w:szCs w:val="28"/>
          <w:lang w:val="en-AU" w:eastAsia="en-AU"/>
        </w:rPr>
        <w:lastRenderedPageBreak/>
        <w:drawing>
          <wp:anchor distT="0" distB="0" distL="114300" distR="114300" simplePos="0" relativeHeight="251679744" behindDoc="1" locked="0" layoutInCell="1" allowOverlap="1" wp14:anchorId="153EB102" wp14:editId="21194650">
            <wp:simplePos x="0" y="0"/>
            <wp:positionH relativeFrom="page">
              <wp:posOffset>-7620</wp:posOffset>
            </wp:positionH>
            <wp:positionV relativeFrom="page">
              <wp:posOffset>2540</wp:posOffset>
            </wp:positionV>
            <wp:extent cx="7580630" cy="10709275"/>
            <wp:effectExtent l="0" t="0" r="1270" b="0"/>
            <wp:wrapNone/>
            <wp:docPr id="15" name="Picture 15"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2D621D" w:rsidP="00245A84">
      <w:pPr>
        <w:tabs>
          <w:tab w:val="left" w:pos="2977"/>
        </w:tabs>
        <w:ind w:left="2880"/>
        <w:rPr>
          <w:b/>
          <w:color w:val="FFFFFF" w:themeColor="background1"/>
          <w:sz w:val="36"/>
          <w:szCs w:val="36"/>
          <w:lang w:val="en-AU"/>
        </w:rPr>
      </w:pPr>
      <w:r w:rsidRPr="00CB10AD">
        <w:rPr>
          <w:b/>
          <w:color w:val="FFFFFF" w:themeColor="background1"/>
          <w:sz w:val="36"/>
          <w:szCs w:val="36"/>
          <w:lang w:val="en-AU"/>
        </w:rPr>
        <w:t xml:space="preserve">Part B: </w:t>
      </w:r>
      <w:r w:rsidR="00062CCA" w:rsidRPr="00CB10AD">
        <w:rPr>
          <w:b/>
          <w:color w:val="FFFFFF" w:themeColor="background1"/>
          <w:sz w:val="36"/>
          <w:szCs w:val="36"/>
          <w:lang w:val="en-AU"/>
        </w:rPr>
        <w:t>Zooming out</w:t>
      </w:r>
    </w:p>
    <w:p w:rsidR="00245A84" w:rsidRPr="00CB10AD" w:rsidRDefault="00245A84" w:rsidP="00245A84">
      <w:pPr>
        <w:tabs>
          <w:tab w:val="left" w:pos="2977"/>
        </w:tabs>
        <w:ind w:left="2880"/>
        <w:rPr>
          <w:b/>
          <w:color w:val="FFFFFF" w:themeColor="background1"/>
          <w:sz w:val="36"/>
          <w:szCs w:val="36"/>
          <w:lang w:val="en-AU"/>
        </w:rPr>
      </w:pPr>
    </w:p>
    <w:p w:rsidR="00245A84" w:rsidRPr="00CB10AD" w:rsidRDefault="00062CCA" w:rsidP="00245A84">
      <w:pPr>
        <w:tabs>
          <w:tab w:val="left" w:pos="2977"/>
        </w:tabs>
        <w:ind w:left="2880"/>
        <w:rPr>
          <w:b/>
          <w:i/>
          <w:color w:val="FFFFFF" w:themeColor="background1"/>
          <w:sz w:val="32"/>
          <w:szCs w:val="32"/>
          <w:lang w:val="en-AU"/>
        </w:rPr>
      </w:pPr>
      <w:r w:rsidRPr="00CB10AD">
        <w:rPr>
          <w:b/>
          <w:i/>
          <w:color w:val="FFFFFF" w:themeColor="background1"/>
          <w:sz w:val="32"/>
          <w:szCs w:val="32"/>
          <w:lang w:val="en-AU"/>
        </w:rPr>
        <w:t>Cross-cutting issues</w:t>
      </w:r>
    </w:p>
    <w:p w:rsidR="00245A84" w:rsidRPr="00CB10AD" w:rsidRDefault="00245A84" w:rsidP="00245A84">
      <w:pPr>
        <w:rPr>
          <w:lang w:val="en-AU"/>
        </w:rPr>
        <w:sectPr w:rsidR="00245A84" w:rsidRPr="00CB10AD" w:rsidSect="00245A84">
          <w:footnotePr>
            <w:numRestart w:val="eachSect"/>
          </w:footnotePr>
          <w:endnotePr>
            <w:numRestart w:val="eachSect"/>
          </w:endnotePr>
          <w:pgSz w:w="11909" w:h="16834" w:code="9"/>
          <w:pgMar w:top="1440" w:right="1440" w:bottom="1440" w:left="1440" w:header="432" w:footer="720" w:gutter="0"/>
          <w:cols w:space="720"/>
          <w:noEndnote/>
          <w:docGrid w:linePitch="360"/>
        </w:sectPr>
      </w:pPr>
    </w:p>
    <w:p w:rsidR="00A64511" w:rsidRPr="00CB10AD" w:rsidRDefault="00A64511" w:rsidP="00A64511">
      <w:pPr>
        <w:keepNext/>
        <w:numPr>
          <w:ilvl w:val="0"/>
          <w:numId w:val="9"/>
        </w:numPr>
        <w:spacing w:before="120" w:after="120" w:line="276" w:lineRule="auto"/>
        <w:ind w:hanging="720"/>
        <w:outlineLvl w:val="0"/>
        <w:rPr>
          <w:rFonts w:asciiTheme="minorHAnsi" w:hAnsiTheme="minorHAnsi" w:cstheme="minorHAnsi"/>
          <w:b/>
          <w:bCs/>
          <w:color w:val="003880"/>
          <w:kern w:val="32"/>
          <w:sz w:val="28"/>
          <w:szCs w:val="28"/>
          <w:lang w:val="en-AU"/>
        </w:rPr>
      </w:pPr>
      <w:bookmarkStart w:id="54" w:name="_Toc375124631"/>
      <w:bookmarkStart w:id="55" w:name="_Toc388253140"/>
      <w:r w:rsidRPr="00CB10AD">
        <w:rPr>
          <w:rFonts w:asciiTheme="minorHAnsi" w:hAnsiTheme="minorHAnsi" w:cstheme="minorHAnsi"/>
          <w:b/>
          <w:bCs/>
          <w:color w:val="003880"/>
          <w:kern w:val="32"/>
          <w:sz w:val="28"/>
          <w:szCs w:val="28"/>
          <w:lang w:val="en-AU"/>
        </w:rPr>
        <w:lastRenderedPageBreak/>
        <w:t>Beneficiaries</w:t>
      </w:r>
      <w:bookmarkEnd w:id="54"/>
      <w:bookmarkEnd w:id="55"/>
    </w:p>
    <w:p w:rsidR="00A64511" w:rsidRPr="00CB10AD" w:rsidRDefault="00A64511" w:rsidP="00A64511">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Identification of beneficiary groups</w:t>
      </w:r>
    </w:p>
    <w:p w:rsidR="00A64511" w:rsidRPr="00CB10AD" w:rsidRDefault="00A64511" w:rsidP="00A64511">
      <w:pPr>
        <w:spacing w:before="120" w:after="120" w:line="276" w:lineRule="auto"/>
        <w:jc w:val="both"/>
        <w:rPr>
          <w:lang w:val="en-AU"/>
        </w:rPr>
      </w:pPr>
      <w:r w:rsidRPr="00CB10AD">
        <w:rPr>
          <w:lang w:val="en-AU"/>
        </w:rPr>
        <w:t>Specific beneficiary groups for the EP can be identified</w:t>
      </w:r>
      <w:r w:rsidR="00BA45D9" w:rsidRPr="00CB10AD">
        <w:rPr>
          <w:lang w:val="en-AU"/>
        </w:rPr>
        <w:t xml:space="preserve"> as</w:t>
      </w:r>
      <w:r w:rsidRPr="00CB10AD">
        <w:rPr>
          <w:lang w:val="en-AU"/>
        </w:rPr>
        <w:t>:</w:t>
      </w:r>
    </w:p>
    <w:p w:rsidR="00A64511" w:rsidRPr="00CB10AD" w:rsidRDefault="00A64511" w:rsidP="00A64511">
      <w:pPr>
        <w:numPr>
          <w:ilvl w:val="0"/>
          <w:numId w:val="5"/>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The immediate beneficiaries of EP investment, e.g. the eligible entities in C2, the SNIPs in C3, the Madrasah receiving block grants in C3, and those decision-makers making requests of ACDP in C4.</w:t>
      </w:r>
    </w:p>
    <w:p w:rsidR="00A64511" w:rsidRPr="00CB10AD" w:rsidRDefault="00A64511" w:rsidP="00A64511">
      <w:pPr>
        <w:numPr>
          <w:ilvl w:val="0"/>
          <w:numId w:val="5"/>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The intermediate beneficiaries, i.e. those receiving benefit through the immediate beneficiaries, such as the principals and supervisors securing PD (C2) and the madrasah receiving support from the SNIPs in C3.</w:t>
      </w:r>
    </w:p>
    <w:p w:rsidR="00A64511" w:rsidRPr="00CB10AD" w:rsidRDefault="00A64511" w:rsidP="00A64511">
      <w:pPr>
        <w:numPr>
          <w:ilvl w:val="0"/>
          <w:numId w:val="5"/>
        </w:numPr>
        <w:spacing w:before="120" w:after="120" w:line="276" w:lineRule="auto"/>
        <w:contextualSpacing/>
        <w:jc w:val="both"/>
        <w:rPr>
          <w:rFonts w:eastAsia="Calibri"/>
          <w:lang w:val="en-AU"/>
        </w:rPr>
      </w:pPr>
      <w:r w:rsidRPr="00CB10AD">
        <w:rPr>
          <w:rFonts w:asciiTheme="minorHAnsi" w:eastAsia="Calibri" w:hAnsiTheme="minorHAnsi" w:cstheme="minorHAnsi"/>
          <w:lang w:val="en-AU"/>
        </w:rPr>
        <w:t xml:space="preserve">The ultimate beneficiaries, i.e. the </w:t>
      </w:r>
      <w:r w:rsidRPr="00CB10AD">
        <w:rPr>
          <w:rFonts w:eastAsia="Calibri"/>
          <w:lang w:val="en-AU"/>
        </w:rPr>
        <w:t>students.</w:t>
      </w:r>
    </w:p>
    <w:p w:rsidR="00BA45D9" w:rsidRPr="00CB10AD" w:rsidRDefault="00BA45D9" w:rsidP="00A64511">
      <w:pPr>
        <w:spacing w:before="120" w:after="120" w:line="276" w:lineRule="auto"/>
        <w:jc w:val="both"/>
        <w:rPr>
          <w:lang w:val="en-AU"/>
        </w:rPr>
      </w:pPr>
    </w:p>
    <w:p w:rsidR="00A64511" w:rsidRPr="00CB10AD" w:rsidRDefault="00A64511" w:rsidP="00A64511">
      <w:pPr>
        <w:spacing w:before="120" w:after="120" w:line="276" w:lineRule="auto"/>
        <w:jc w:val="both"/>
        <w:rPr>
          <w:lang w:val="en-AU"/>
        </w:rPr>
      </w:pPr>
      <w:r w:rsidRPr="00CB10AD">
        <w:rPr>
          <w:lang w:val="en-AU"/>
        </w:rPr>
        <w:t>As noted in the 2012 APPR, it is reasonable to expect that the nature and timing of impacts will vary. For example:</w:t>
      </w:r>
    </w:p>
    <w:p w:rsidR="00A64511" w:rsidRPr="00CB10AD" w:rsidRDefault="00A64511" w:rsidP="00A64511">
      <w:pPr>
        <w:numPr>
          <w:ilvl w:val="0"/>
          <w:numId w:val="5"/>
        </w:numPr>
        <w:spacing w:before="120" w:after="12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 xml:space="preserve">Immediate and intermediate beneficiaries should secure benefits in the short to medium term, i.e. within the next three to five years. </w:t>
      </w:r>
    </w:p>
    <w:p w:rsidR="00A64511" w:rsidRPr="00CB10AD" w:rsidRDefault="00A64511" w:rsidP="00A64511">
      <w:pPr>
        <w:numPr>
          <w:ilvl w:val="0"/>
          <w:numId w:val="5"/>
        </w:numPr>
        <w:spacing w:before="120" w:after="120" w:line="276" w:lineRule="auto"/>
        <w:contextualSpacing/>
        <w:jc w:val="both"/>
        <w:rPr>
          <w:rFonts w:eastAsia="Calibri"/>
          <w:lang w:val="en-AU"/>
        </w:rPr>
      </w:pPr>
      <w:r w:rsidRPr="00CB10AD">
        <w:rPr>
          <w:rFonts w:asciiTheme="minorHAnsi" w:eastAsia="Calibri" w:hAnsiTheme="minorHAnsi" w:cstheme="minorHAnsi"/>
          <w:lang w:val="en-AU"/>
        </w:rPr>
        <w:t>The ultimate beneficiaries</w:t>
      </w:r>
      <w:r w:rsidR="00946EBD" w:rsidRPr="00CB10AD">
        <w:rPr>
          <w:rFonts w:asciiTheme="minorHAnsi" w:eastAsia="Calibri" w:hAnsiTheme="minorHAnsi" w:cstheme="minorHAnsi"/>
          <w:lang w:val="en-AU"/>
        </w:rPr>
        <w:t xml:space="preserve"> </w:t>
      </w:r>
      <w:r w:rsidRPr="00CB10AD">
        <w:rPr>
          <w:rFonts w:asciiTheme="minorHAnsi" w:eastAsia="Calibri" w:hAnsiTheme="minorHAnsi" w:cstheme="minorHAnsi"/>
          <w:lang w:val="en-AU"/>
        </w:rPr>
        <w:t>– the students –</w:t>
      </w:r>
      <w:r w:rsidR="00946EBD" w:rsidRPr="00CB10AD">
        <w:rPr>
          <w:rFonts w:asciiTheme="minorHAnsi" w:eastAsia="Calibri" w:hAnsiTheme="minorHAnsi" w:cstheme="minorHAnsi"/>
          <w:lang w:val="en-AU"/>
        </w:rPr>
        <w:t xml:space="preserve"> </w:t>
      </w:r>
      <w:r w:rsidRPr="00CB10AD">
        <w:rPr>
          <w:rFonts w:asciiTheme="minorHAnsi" w:eastAsia="Calibri" w:hAnsiTheme="minorHAnsi" w:cstheme="minorHAnsi"/>
          <w:lang w:val="en-AU"/>
        </w:rPr>
        <w:t>may receive some benefits in the short-term (e.g. where they are enrolled in a new school) but they may only receive other intended benefits in the medium to long-term (e.g. 3-10 years), particularly where changes to service provision and ultimately learning outcomes are dependent on changes to an improved policy environment, system performance etc</w:t>
      </w:r>
      <w:r w:rsidRPr="00CB10AD">
        <w:rPr>
          <w:rFonts w:eastAsia="Calibri"/>
          <w:lang w:val="en-AU"/>
        </w:rPr>
        <w:t>.</w:t>
      </w:r>
    </w:p>
    <w:p w:rsidR="00BA45D9" w:rsidRPr="00CB10AD" w:rsidRDefault="00BA45D9" w:rsidP="00BA45D9">
      <w:pPr>
        <w:spacing w:before="120" w:after="120" w:line="276" w:lineRule="auto"/>
        <w:ind w:left="720"/>
        <w:contextualSpacing/>
        <w:jc w:val="both"/>
        <w:rPr>
          <w:rFonts w:eastAsia="Calibri"/>
          <w:lang w:val="en-AU"/>
        </w:rPr>
      </w:pPr>
    </w:p>
    <w:p w:rsidR="002219F1" w:rsidRPr="00CB10AD" w:rsidRDefault="002219F1" w:rsidP="002219F1">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Analysis</w:t>
      </w:r>
    </w:p>
    <w:p w:rsidR="002219F1" w:rsidRPr="00CB10AD" w:rsidRDefault="002219F1" w:rsidP="002219F1">
      <w:pPr>
        <w:keepNext/>
        <w:numPr>
          <w:ilvl w:val="2"/>
          <w:numId w:val="9"/>
        </w:numPr>
        <w:spacing w:after="200" w:line="276" w:lineRule="auto"/>
        <w:ind w:left="709" w:hanging="709"/>
        <w:jc w:val="both"/>
        <w:outlineLvl w:val="2"/>
        <w:rPr>
          <w:bCs/>
          <w:color w:val="003880"/>
          <w:sz w:val="24"/>
          <w:szCs w:val="28"/>
          <w:lang w:val="en-AU"/>
        </w:rPr>
      </w:pPr>
      <w:r w:rsidRPr="00CB10AD">
        <w:rPr>
          <w:bCs/>
          <w:color w:val="003880"/>
          <w:sz w:val="24"/>
          <w:szCs w:val="28"/>
          <w:lang w:val="en-AU"/>
        </w:rPr>
        <w:t xml:space="preserve">Social inclusion </w:t>
      </w:r>
    </w:p>
    <w:p w:rsidR="002219F1" w:rsidRPr="00CB10AD" w:rsidRDefault="002219F1" w:rsidP="002219F1">
      <w:pPr>
        <w:spacing w:before="120" w:after="120" w:line="276" w:lineRule="auto"/>
        <w:jc w:val="both"/>
        <w:rPr>
          <w:rFonts w:asciiTheme="minorHAnsi" w:eastAsiaTheme="minorHAnsi" w:hAnsiTheme="minorHAnsi" w:cstheme="minorBidi"/>
          <w:lang w:val="en-AU"/>
        </w:rPr>
      </w:pPr>
      <w:r w:rsidRPr="00CB10AD">
        <w:rPr>
          <w:rFonts w:asciiTheme="minorHAnsi" w:eastAsiaTheme="minorHAnsi" w:hAnsiTheme="minorHAnsi" w:cstheme="minorBidi"/>
          <w:lang w:val="en-AU"/>
        </w:rPr>
        <w:t xml:space="preserve">Social Inclusion (SI) typically concerns the pursuit of </w:t>
      </w:r>
      <w:r w:rsidRPr="00CB10AD">
        <w:rPr>
          <w:rFonts w:asciiTheme="minorHAnsi" w:eastAsiaTheme="minorHAnsi" w:hAnsiTheme="minorHAnsi" w:cstheme="minorBidi"/>
          <w:i/>
          <w:lang w:val="en-AU"/>
        </w:rPr>
        <w:t>equal opportunity</w:t>
      </w:r>
      <w:r w:rsidRPr="00CB10AD">
        <w:rPr>
          <w:rFonts w:asciiTheme="minorHAnsi" w:eastAsiaTheme="minorHAnsi" w:hAnsiTheme="minorHAnsi" w:cstheme="minorBidi"/>
          <w:lang w:val="en-AU"/>
        </w:rPr>
        <w:t xml:space="preserve">. It requires the identification of who is prone to exclusion (e.g. because of gender, location, disability, language) and requires that a program ensures, insofar as possible, that the identified groups receive </w:t>
      </w:r>
      <w:r w:rsidRPr="00CB10AD">
        <w:rPr>
          <w:rFonts w:asciiTheme="minorHAnsi" w:eastAsiaTheme="minorHAnsi" w:hAnsiTheme="minorHAnsi" w:cstheme="minorBidi"/>
          <w:i/>
          <w:lang w:val="en-AU"/>
        </w:rPr>
        <w:t>equal access</w:t>
      </w:r>
      <w:r w:rsidRPr="00CB10AD">
        <w:rPr>
          <w:rFonts w:asciiTheme="minorHAnsi" w:eastAsiaTheme="minorHAnsi" w:hAnsiTheme="minorHAnsi" w:cstheme="minorBidi"/>
          <w:lang w:val="en-AU"/>
        </w:rPr>
        <w:t xml:space="preserve"> to opportunities, resources, information etc. In so doing, a program might promote, for example, equal investment in training opportunities for men and women.</w:t>
      </w:r>
    </w:p>
    <w:p w:rsidR="002219F1" w:rsidRPr="00CB10AD" w:rsidRDefault="002219F1" w:rsidP="002219F1">
      <w:pPr>
        <w:spacing w:before="120" w:after="120" w:line="276" w:lineRule="auto"/>
        <w:jc w:val="both"/>
        <w:rPr>
          <w:lang w:val="en-AU"/>
        </w:rPr>
      </w:pPr>
      <w:r w:rsidRPr="00CB10AD">
        <w:rPr>
          <w:lang w:val="en-AU"/>
        </w:rPr>
        <w:t xml:space="preserve">From a design and delivery perspective, it is praiseworthy that discrete elements of the EP contain dedicated SI-related investments, e.g. the construction of ramps and accessible toilets for children with physical disabilities, and the inclusion of SI subject matter in training modules. Moreover, Implementing Partners have taken steps to address SI. SSQ, for example, has developed a range of SI Guidelines and associated tools, and these are being used during implementation. ACDP has also commissioned or completed </w:t>
      </w:r>
      <w:r w:rsidR="002746B2" w:rsidRPr="00CB10AD">
        <w:rPr>
          <w:lang w:val="en-AU"/>
        </w:rPr>
        <w:t>several</w:t>
      </w:r>
      <w:r w:rsidRPr="00CB10AD">
        <w:rPr>
          <w:lang w:val="en-AU"/>
        </w:rPr>
        <w:t xml:space="preserve"> relevant reports, including a </w:t>
      </w:r>
      <w:r w:rsidRPr="00CB10AD">
        <w:rPr>
          <w:i/>
          <w:lang w:val="en-AU"/>
        </w:rPr>
        <w:t>Review of a Decade of Gender Mainstreaming in Education</w:t>
      </w:r>
      <w:r w:rsidRPr="00CB10AD">
        <w:rPr>
          <w:lang w:val="en-AU"/>
        </w:rPr>
        <w:t xml:space="preserve">. </w:t>
      </w:r>
    </w:p>
    <w:p w:rsidR="002219F1" w:rsidRPr="00CB10AD" w:rsidRDefault="002219F1" w:rsidP="002219F1">
      <w:pPr>
        <w:spacing w:before="120" w:after="120" w:line="276" w:lineRule="auto"/>
        <w:jc w:val="both"/>
        <w:rPr>
          <w:lang w:val="en-AU"/>
        </w:rPr>
      </w:pPr>
      <w:r w:rsidRPr="00CB10AD">
        <w:rPr>
          <w:lang w:val="en-AU"/>
        </w:rPr>
        <w:t>Nevertheless, these gains are offset by the continued absence of an EP SI strategy or framework</w:t>
      </w:r>
      <w:r w:rsidRPr="00CB10AD">
        <w:rPr>
          <w:rFonts w:asciiTheme="minorHAnsi" w:hAnsiTheme="minorHAnsi" w:cstheme="minorHAnsi"/>
          <w:lang w:val="en-AU"/>
        </w:rPr>
        <w:t xml:space="preserve"> (see the 2012 APPR).</w:t>
      </w:r>
      <w:r w:rsidR="00CB10AD">
        <w:rPr>
          <w:rFonts w:asciiTheme="minorHAnsi" w:hAnsiTheme="minorHAnsi" w:cstheme="minorHAnsi"/>
          <w:lang w:val="en-AU"/>
        </w:rPr>
        <w:t xml:space="preserve"> </w:t>
      </w:r>
      <w:r w:rsidRPr="00CB10AD">
        <w:rPr>
          <w:lang w:val="en-AU"/>
        </w:rPr>
        <w:t xml:space="preserve">As such, the EP lacks, </w:t>
      </w:r>
      <w:r w:rsidRPr="00CB10AD">
        <w:rPr>
          <w:i/>
          <w:lang w:val="en-AU"/>
        </w:rPr>
        <w:t>inter alia</w:t>
      </w:r>
      <w:r w:rsidRPr="00CB10AD">
        <w:rPr>
          <w:lang w:val="en-AU"/>
        </w:rPr>
        <w:t>:</w:t>
      </w:r>
    </w:p>
    <w:p w:rsidR="002219F1" w:rsidRPr="00CB10AD" w:rsidRDefault="002219F1" w:rsidP="002219F1">
      <w:pPr>
        <w:numPr>
          <w:ilvl w:val="0"/>
          <w:numId w:val="11"/>
        </w:numPr>
        <w:spacing w:before="120" w:after="120" w:line="276" w:lineRule="auto"/>
        <w:ind w:left="714" w:hanging="357"/>
        <w:contextualSpacing/>
        <w:rPr>
          <w:rFonts w:eastAsia="Calibri"/>
          <w:lang w:val="en-AU"/>
        </w:rPr>
      </w:pPr>
      <w:r w:rsidRPr="00CB10AD">
        <w:rPr>
          <w:rFonts w:eastAsia="Calibri"/>
          <w:lang w:val="en-AU"/>
        </w:rPr>
        <w:t xml:space="preserve">A definition of social inclusion, and a statement about why the Governments of Australia and Indonesia deem it to be important. </w:t>
      </w:r>
    </w:p>
    <w:p w:rsidR="002219F1" w:rsidRPr="00CB10AD" w:rsidRDefault="002219F1" w:rsidP="002219F1">
      <w:pPr>
        <w:numPr>
          <w:ilvl w:val="0"/>
          <w:numId w:val="11"/>
        </w:numPr>
        <w:spacing w:before="120" w:after="120" w:line="276" w:lineRule="auto"/>
        <w:ind w:left="714" w:hanging="357"/>
        <w:contextualSpacing/>
        <w:rPr>
          <w:rFonts w:eastAsia="Calibri"/>
          <w:lang w:val="en-AU"/>
        </w:rPr>
      </w:pPr>
      <w:r w:rsidRPr="00CB10AD">
        <w:rPr>
          <w:rFonts w:eastAsia="Calibri"/>
          <w:lang w:val="en-AU"/>
        </w:rPr>
        <w:lastRenderedPageBreak/>
        <w:t>An articulation of the EP’s broad approach to social inclusion</w:t>
      </w:r>
      <w:r w:rsidRPr="00CB10AD">
        <w:rPr>
          <w:rFonts w:ascii="Times New Roman" w:eastAsia="Calibri" w:hAnsi="Times New Roman"/>
          <w:vertAlign w:val="superscript"/>
          <w:lang w:val="en-AU"/>
        </w:rPr>
        <w:footnoteReference w:id="35"/>
      </w:r>
      <w:r w:rsidRPr="00CB10AD">
        <w:rPr>
          <w:rFonts w:eastAsia="Calibri"/>
          <w:lang w:val="en-AU"/>
        </w:rPr>
        <w:t>.</w:t>
      </w:r>
    </w:p>
    <w:p w:rsidR="002219F1" w:rsidRPr="00CB10AD" w:rsidRDefault="002219F1" w:rsidP="002219F1">
      <w:pPr>
        <w:numPr>
          <w:ilvl w:val="0"/>
          <w:numId w:val="11"/>
        </w:numPr>
        <w:spacing w:before="120" w:after="120" w:line="276" w:lineRule="auto"/>
        <w:ind w:left="714" w:hanging="357"/>
        <w:contextualSpacing/>
        <w:rPr>
          <w:rFonts w:eastAsia="Calibri"/>
          <w:lang w:val="en-AU"/>
        </w:rPr>
      </w:pPr>
      <w:r w:rsidRPr="00CB10AD">
        <w:rPr>
          <w:rFonts w:eastAsia="Calibri"/>
          <w:lang w:val="en-AU"/>
        </w:rPr>
        <w:t xml:space="preserve">An articulation of boundaries and omissions, e.g. because DFAT and/or GoI believe there is no demand, or insufficient limited funds, or because of an absence of a suitable entry-point, or because others are doing it, etc. </w:t>
      </w:r>
    </w:p>
    <w:p w:rsidR="002219F1" w:rsidRPr="00CB10AD" w:rsidRDefault="002219F1" w:rsidP="002219F1">
      <w:pPr>
        <w:numPr>
          <w:ilvl w:val="0"/>
          <w:numId w:val="11"/>
        </w:numPr>
        <w:spacing w:before="120" w:after="120" w:line="276" w:lineRule="auto"/>
        <w:ind w:left="714" w:hanging="357"/>
        <w:contextualSpacing/>
        <w:rPr>
          <w:rFonts w:eastAsia="Calibri"/>
          <w:lang w:val="en-AU"/>
        </w:rPr>
      </w:pPr>
      <w:r w:rsidRPr="00CB10AD">
        <w:rPr>
          <w:rFonts w:eastAsia="Calibri"/>
          <w:lang w:val="en-AU"/>
        </w:rPr>
        <w:t>An articulation of what the EP believes can be done and what it expects to deliver by 2016.</w:t>
      </w:r>
    </w:p>
    <w:p w:rsidR="002219F1" w:rsidRPr="00CB10AD" w:rsidRDefault="002219F1" w:rsidP="002219F1">
      <w:pPr>
        <w:spacing w:before="120" w:after="120" w:line="276" w:lineRule="auto"/>
        <w:jc w:val="both"/>
        <w:rPr>
          <w:lang w:val="en-AU"/>
        </w:rPr>
      </w:pPr>
    </w:p>
    <w:p w:rsidR="002219F1" w:rsidRPr="00CB10AD" w:rsidRDefault="002219F1" w:rsidP="002219F1">
      <w:pPr>
        <w:spacing w:before="120" w:after="120" w:line="276" w:lineRule="auto"/>
        <w:jc w:val="both"/>
        <w:rPr>
          <w:lang w:val="en-AU"/>
        </w:rPr>
      </w:pPr>
      <w:r w:rsidRPr="00CB10AD">
        <w:rPr>
          <w:lang w:val="en-AU"/>
        </w:rPr>
        <w:t>In the absence of a SI strategy, it remains unclear what the EP feels it should be doing with respect to SI</w:t>
      </w:r>
      <w:r w:rsidR="00641550" w:rsidRPr="00CB10AD">
        <w:rPr>
          <w:lang w:val="en-AU"/>
        </w:rPr>
        <w:t xml:space="preserve"> and what targets, if any, the</w:t>
      </w:r>
      <w:r w:rsidR="00CB10AD">
        <w:rPr>
          <w:lang w:val="en-AU"/>
        </w:rPr>
        <w:t xml:space="preserve"> </w:t>
      </w:r>
      <w:r w:rsidR="00641550" w:rsidRPr="00CB10AD">
        <w:rPr>
          <w:lang w:val="en-AU"/>
        </w:rPr>
        <w:t>EP</w:t>
      </w:r>
      <w:r w:rsidRPr="00CB10AD">
        <w:rPr>
          <w:lang w:val="en-AU"/>
        </w:rPr>
        <w:t xml:space="preserve"> has set itself. </w:t>
      </w:r>
      <w:r w:rsidRPr="00CB10AD">
        <w:rPr>
          <w:rFonts w:asciiTheme="minorHAnsi" w:eastAsiaTheme="minorHAnsi" w:hAnsiTheme="minorHAnsi" w:cstheme="minorBidi"/>
          <w:lang w:val="en-AU"/>
        </w:rPr>
        <w:t>DFAT and partners are not obliged to monitor which groups are capturing benefit from EP investments</w:t>
      </w:r>
      <w:r w:rsidRPr="00CB10AD">
        <w:rPr>
          <w:rFonts w:ascii="Times New Roman" w:eastAsiaTheme="minorHAnsi" w:hAnsi="Times New Roman" w:cstheme="minorBidi"/>
          <w:vertAlign w:val="superscript"/>
          <w:lang w:val="en-AU"/>
        </w:rPr>
        <w:footnoteReference w:id="36"/>
      </w:r>
      <w:r w:rsidRPr="00CB10AD">
        <w:rPr>
          <w:rFonts w:asciiTheme="minorHAnsi" w:eastAsiaTheme="minorHAnsi" w:hAnsiTheme="minorHAnsi" w:cstheme="minorBidi"/>
          <w:lang w:val="en-AU"/>
        </w:rPr>
        <w:t xml:space="preserve">. </w:t>
      </w:r>
      <w:r w:rsidRPr="00CB10AD">
        <w:rPr>
          <w:lang w:val="en-AU"/>
        </w:rPr>
        <w:t>As such, POM cannot make a judgment call on progress and sufficiency of achievements.</w:t>
      </w:r>
    </w:p>
    <w:p w:rsidR="002219F1" w:rsidRPr="00CB10AD" w:rsidRDefault="002219F1" w:rsidP="002219F1">
      <w:pPr>
        <w:keepNext/>
        <w:numPr>
          <w:ilvl w:val="2"/>
          <w:numId w:val="9"/>
        </w:numPr>
        <w:spacing w:after="200" w:line="276" w:lineRule="auto"/>
        <w:ind w:left="709" w:hanging="709"/>
        <w:jc w:val="both"/>
        <w:outlineLvl w:val="2"/>
        <w:rPr>
          <w:bCs/>
          <w:color w:val="003880"/>
          <w:sz w:val="24"/>
          <w:szCs w:val="28"/>
          <w:lang w:val="en-AU"/>
        </w:rPr>
      </w:pPr>
      <w:r w:rsidRPr="00CB10AD">
        <w:rPr>
          <w:bCs/>
          <w:color w:val="003880"/>
          <w:sz w:val="24"/>
          <w:szCs w:val="28"/>
          <w:lang w:val="en-AU"/>
        </w:rPr>
        <w:t>Social targeting</w:t>
      </w:r>
    </w:p>
    <w:p w:rsidR="002219F1" w:rsidRPr="00CB10AD" w:rsidRDefault="002219F1" w:rsidP="002219F1">
      <w:pPr>
        <w:spacing w:before="120" w:after="120" w:line="276" w:lineRule="auto"/>
        <w:jc w:val="both"/>
        <w:rPr>
          <w:rFonts w:asciiTheme="minorHAnsi" w:eastAsiaTheme="minorHAnsi" w:hAnsiTheme="minorHAnsi" w:cstheme="minorBidi"/>
          <w:lang w:val="en-AU"/>
        </w:rPr>
      </w:pPr>
      <w:r w:rsidRPr="00CB10AD">
        <w:rPr>
          <w:rFonts w:asciiTheme="minorHAnsi" w:eastAsiaTheme="minorHAnsi" w:hAnsiTheme="minorHAnsi" w:cstheme="minorBidi"/>
          <w:lang w:val="en-AU"/>
        </w:rPr>
        <w:t xml:space="preserve">The notion of social targeting is related to social inclusion but </w:t>
      </w:r>
      <w:r w:rsidR="00641550" w:rsidRPr="00CB10AD">
        <w:rPr>
          <w:rFonts w:asciiTheme="minorHAnsi" w:eastAsiaTheme="minorHAnsi" w:hAnsiTheme="minorHAnsi" w:cstheme="minorBidi"/>
          <w:lang w:val="en-AU"/>
        </w:rPr>
        <w:t xml:space="preserve">is </w:t>
      </w:r>
      <w:r w:rsidRPr="00CB10AD">
        <w:rPr>
          <w:rFonts w:asciiTheme="minorHAnsi" w:eastAsiaTheme="minorHAnsi" w:hAnsiTheme="minorHAnsi" w:cstheme="minorBidi"/>
          <w:lang w:val="en-AU"/>
        </w:rPr>
        <w:t xml:space="preserve">different. It concerns the pursuit of </w:t>
      </w:r>
      <w:r w:rsidRPr="00CB10AD">
        <w:rPr>
          <w:rFonts w:asciiTheme="minorHAnsi" w:eastAsiaTheme="minorHAnsi" w:hAnsiTheme="minorHAnsi" w:cstheme="minorBidi"/>
          <w:i/>
          <w:lang w:val="en-AU"/>
        </w:rPr>
        <w:t>equitable outcomes</w:t>
      </w:r>
      <w:r w:rsidRPr="00CB10AD">
        <w:rPr>
          <w:rFonts w:asciiTheme="minorHAnsi" w:eastAsiaTheme="minorHAnsi" w:hAnsiTheme="minorHAnsi" w:cstheme="minorBidi"/>
          <w:lang w:val="en-AU"/>
        </w:rPr>
        <w:t xml:space="preserve"> (vis-à-vis the pursuit of </w:t>
      </w:r>
      <w:r w:rsidRPr="00CB10AD">
        <w:rPr>
          <w:rFonts w:asciiTheme="minorHAnsi" w:eastAsiaTheme="minorHAnsi" w:hAnsiTheme="minorHAnsi" w:cstheme="minorBidi"/>
          <w:i/>
          <w:lang w:val="en-AU"/>
        </w:rPr>
        <w:t>equal opportunity</w:t>
      </w:r>
      <w:r w:rsidRPr="00CB10AD">
        <w:rPr>
          <w:rFonts w:asciiTheme="minorHAnsi" w:eastAsiaTheme="minorHAnsi" w:hAnsiTheme="minorHAnsi" w:cstheme="minorBidi"/>
          <w:lang w:val="en-AU"/>
        </w:rPr>
        <w:t>). It goes beyond social inclusion by seeking to ensure that benefits are distributed fairly. The basis for social targeting will vary depending on the overarching objectives but it would typically entail making investments that address the specific needs of particular vulnerable groups, ensuring, insofar as possible, that program resources are directed predominantly to those intended groups. As such, it is consistent with the notion of ‘leaving no-one behind’</w:t>
      </w:r>
      <w:r w:rsidR="00641550" w:rsidRPr="00CB10AD">
        <w:rPr>
          <w:rFonts w:asciiTheme="minorHAnsi" w:eastAsiaTheme="minorHAnsi" w:hAnsiTheme="minorHAnsi" w:cstheme="minorBidi"/>
          <w:lang w:val="en-AU"/>
        </w:rPr>
        <w:t>,</w:t>
      </w:r>
      <w:r w:rsidRPr="00CB10AD">
        <w:rPr>
          <w:rFonts w:asciiTheme="minorHAnsi" w:eastAsiaTheme="minorHAnsi" w:hAnsiTheme="minorHAnsi" w:cstheme="minorBidi"/>
          <w:lang w:val="en-AU"/>
        </w:rPr>
        <w:t xml:space="preserve"> something that appears to be emerging as a core theme in the new Australian government’s</w:t>
      </w:r>
      <w:r w:rsidRPr="00CB10AD">
        <w:rPr>
          <w:rFonts w:asciiTheme="minorHAnsi" w:eastAsiaTheme="minorHAnsi" w:hAnsiTheme="minorHAnsi" w:cstheme="minorHAnsi"/>
          <w:lang w:val="en-AU"/>
        </w:rPr>
        <w:t xml:space="preserve"> aid framework.</w:t>
      </w:r>
      <w:r w:rsidRPr="00CB10AD">
        <w:rPr>
          <w:rFonts w:asciiTheme="minorHAnsi" w:eastAsiaTheme="minorHAnsi" w:hAnsiTheme="minorHAnsi" w:cstheme="minorBidi"/>
          <w:lang w:val="en-AU"/>
        </w:rPr>
        <w:t xml:space="preserve"> </w:t>
      </w:r>
    </w:p>
    <w:p w:rsidR="002219F1" w:rsidRPr="00CB10AD" w:rsidRDefault="002219F1" w:rsidP="002219F1">
      <w:pPr>
        <w:spacing w:before="120" w:after="120" w:line="276" w:lineRule="auto"/>
        <w:jc w:val="both"/>
        <w:rPr>
          <w:rFonts w:asciiTheme="minorHAnsi" w:eastAsiaTheme="minorHAnsi" w:hAnsiTheme="minorHAnsi" w:cstheme="minorHAnsi"/>
          <w:lang w:val="en-AU"/>
        </w:rPr>
      </w:pPr>
      <w:r w:rsidRPr="00CB10AD">
        <w:rPr>
          <w:rFonts w:asciiTheme="minorHAnsi" w:eastAsiaTheme="minorHAnsi" w:hAnsiTheme="minorHAnsi" w:cstheme="minorBidi"/>
          <w:lang w:val="en-AU"/>
        </w:rPr>
        <w:t>The EP design does not explicitly uses social targeting to focus favourably on specific vulnerable groups. In the absence of a</w:t>
      </w:r>
      <w:r w:rsidR="00641550" w:rsidRPr="00CB10AD">
        <w:rPr>
          <w:rFonts w:asciiTheme="minorHAnsi" w:eastAsiaTheme="minorHAnsi" w:hAnsiTheme="minorHAnsi" w:cstheme="minorBidi"/>
          <w:lang w:val="en-AU"/>
        </w:rPr>
        <w:t>n</w:t>
      </w:r>
      <w:r w:rsidRPr="00CB10AD">
        <w:rPr>
          <w:rFonts w:asciiTheme="minorHAnsi" w:eastAsiaTheme="minorHAnsi" w:hAnsiTheme="minorHAnsi" w:cstheme="minorBidi"/>
          <w:lang w:val="en-AU"/>
        </w:rPr>
        <w:t xml:space="preserve"> SI strategy, this omission has not been </w:t>
      </w:r>
      <w:r w:rsidR="00641550" w:rsidRPr="00CB10AD">
        <w:rPr>
          <w:rFonts w:asciiTheme="minorHAnsi" w:eastAsiaTheme="minorHAnsi" w:hAnsiTheme="minorHAnsi" w:cstheme="minorBidi"/>
          <w:lang w:val="en-AU"/>
        </w:rPr>
        <w:t>restored</w:t>
      </w:r>
      <w:r w:rsidRPr="00CB10AD">
        <w:rPr>
          <w:rFonts w:asciiTheme="minorHAnsi" w:eastAsiaTheme="minorHAnsi" w:hAnsiTheme="minorHAnsi" w:cstheme="minorBidi"/>
          <w:lang w:val="en-AU"/>
        </w:rPr>
        <w:t xml:space="preserve"> and it constrain</w:t>
      </w:r>
      <w:r w:rsidR="00641550" w:rsidRPr="00CB10AD">
        <w:rPr>
          <w:rFonts w:asciiTheme="minorHAnsi" w:eastAsiaTheme="minorHAnsi" w:hAnsiTheme="minorHAnsi" w:cstheme="minorBidi"/>
          <w:lang w:val="en-AU"/>
        </w:rPr>
        <w:t>s</w:t>
      </w:r>
      <w:r w:rsidRPr="00CB10AD">
        <w:rPr>
          <w:rFonts w:asciiTheme="minorHAnsi" w:eastAsiaTheme="minorHAnsi" w:hAnsiTheme="minorHAnsi" w:cstheme="minorBidi"/>
          <w:lang w:val="en-AU"/>
        </w:rPr>
        <w:t xml:space="preserve"> the ability of the EP to target specific </w:t>
      </w:r>
      <w:r w:rsidR="00641550" w:rsidRPr="00CB10AD">
        <w:rPr>
          <w:rFonts w:asciiTheme="minorHAnsi" w:eastAsiaTheme="minorHAnsi" w:hAnsiTheme="minorHAnsi" w:cstheme="minorBidi"/>
          <w:lang w:val="en-AU"/>
        </w:rPr>
        <w:t>vulnerable</w:t>
      </w:r>
      <w:r w:rsidRPr="00CB10AD">
        <w:rPr>
          <w:rFonts w:asciiTheme="minorHAnsi" w:eastAsiaTheme="minorHAnsi" w:hAnsiTheme="minorHAnsi" w:cstheme="minorBidi"/>
          <w:lang w:val="en-AU"/>
        </w:rPr>
        <w:t xml:space="preserve"> groups.</w:t>
      </w:r>
      <w:r w:rsidR="00CB10AD">
        <w:rPr>
          <w:rFonts w:asciiTheme="minorHAnsi" w:eastAsiaTheme="minorHAnsi" w:hAnsiTheme="minorHAnsi" w:cstheme="minorBidi"/>
          <w:lang w:val="en-AU"/>
        </w:rPr>
        <w:t xml:space="preserve"> </w:t>
      </w:r>
    </w:p>
    <w:p w:rsidR="002219F1" w:rsidRPr="00CB10AD" w:rsidRDefault="002219F1" w:rsidP="002219F1">
      <w:pPr>
        <w:keepNext/>
        <w:numPr>
          <w:ilvl w:val="2"/>
          <w:numId w:val="9"/>
        </w:numPr>
        <w:spacing w:after="200" w:line="276" w:lineRule="auto"/>
        <w:ind w:left="709" w:hanging="709"/>
        <w:jc w:val="both"/>
        <w:outlineLvl w:val="2"/>
        <w:rPr>
          <w:bCs/>
          <w:color w:val="003880"/>
          <w:sz w:val="24"/>
          <w:szCs w:val="28"/>
          <w:lang w:val="en-AU"/>
        </w:rPr>
      </w:pPr>
      <w:r w:rsidRPr="00CB10AD">
        <w:rPr>
          <w:bCs/>
          <w:color w:val="003880"/>
          <w:sz w:val="24"/>
          <w:szCs w:val="28"/>
          <w:lang w:val="en-AU"/>
        </w:rPr>
        <w:t>Outcomes-led targeting</w:t>
      </w:r>
    </w:p>
    <w:p w:rsidR="002219F1" w:rsidRPr="00CB10AD" w:rsidRDefault="002219F1" w:rsidP="002219F1">
      <w:pPr>
        <w:spacing w:before="120" w:after="120" w:line="276" w:lineRule="auto"/>
        <w:jc w:val="both"/>
        <w:rPr>
          <w:rFonts w:asciiTheme="minorHAnsi" w:eastAsiaTheme="minorHAnsi" w:hAnsiTheme="minorHAnsi" w:cstheme="minorBidi"/>
          <w:lang w:val="en-AU"/>
        </w:rPr>
      </w:pPr>
      <w:r w:rsidRPr="00CB10AD">
        <w:rPr>
          <w:rFonts w:asciiTheme="minorHAnsi" w:eastAsiaTheme="minorHAnsi" w:hAnsiTheme="minorHAnsi" w:cstheme="minorBidi"/>
          <w:lang w:val="en-AU"/>
        </w:rPr>
        <w:t>Echoing the concept of social targeting but differing in its purpose, the notion of outcomes</w:t>
      </w:r>
      <w:r w:rsidR="00641550" w:rsidRPr="00CB10AD">
        <w:rPr>
          <w:rFonts w:asciiTheme="minorHAnsi" w:eastAsiaTheme="minorHAnsi" w:hAnsiTheme="minorHAnsi" w:cstheme="minorBidi"/>
          <w:lang w:val="en-AU"/>
        </w:rPr>
        <w:t>-</w:t>
      </w:r>
      <w:r w:rsidRPr="00CB10AD">
        <w:rPr>
          <w:rFonts w:asciiTheme="minorHAnsi" w:eastAsiaTheme="minorHAnsi" w:hAnsiTheme="minorHAnsi" w:cstheme="minorBidi"/>
          <w:lang w:val="en-AU"/>
        </w:rPr>
        <w:t xml:space="preserve">led targeting relates to a systematic focus on those stakeholders that will increase the likelihood of the stated program objectives (in the case of the EP, the EOPOs) being achieved. EP implementation already employs this notion, though with variable intensity and success across the components. Given the mid-point stage of the EP and the importance of focusing on higher level achievements, it is worth considering the value of explicitly targeting categories of beneficiaries to strengthen the chances of reaching the EOPOs. Whilst care needs to be taken not to trade-off the promotion of long-lasting systemic change with the achievement of (sometimes narrower) EP objectives, outcomes-led targeting of EP beneficiaries could </w:t>
      </w:r>
      <w:r w:rsidR="00641550" w:rsidRPr="00CB10AD">
        <w:rPr>
          <w:rFonts w:asciiTheme="minorHAnsi" w:eastAsiaTheme="minorHAnsi" w:hAnsiTheme="minorHAnsi" w:cstheme="minorBidi"/>
          <w:lang w:val="en-AU"/>
        </w:rPr>
        <w:t xml:space="preserve">certainly </w:t>
      </w:r>
      <w:r w:rsidRPr="00CB10AD">
        <w:rPr>
          <w:rFonts w:asciiTheme="minorHAnsi" w:eastAsiaTheme="minorHAnsi" w:hAnsiTheme="minorHAnsi" w:cstheme="minorBidi"/>
          <w:lang w:val="en-AU"/>
        </w:rPr>
        <w:t xml:space="preserve">be improved across </w:t>
      </w:r>
      <w:r w:rsidR="00641550" w:rsidRPr="00CB10AD">
        <w:rPr>
          <w:rFonts w:asciiTheme="minorHAnsi" w:eastAsiaTheme="minorHAnsi" w:hAnsiTheme="minorHAnsi" w:cstheme="minorBidi"/>
          <w:lang w:val="en-AU"/>
        </w:rPr>
        <w:t>EP components and could facilitate realisation of the EOPOs.</w:t>
      </w:r>
    </w:p>
    <w:p w:rsidR="002219F1" w:rsidRPr="00CB10AD" w:rsidRDefault="002219F1" w:rsidP="002219F1">
      <w:pPr>
        <w:spacing w:before="120" w:after="120" w:line="276" w:lineRule="auto"/>
        <w:jc w:val="both"/>
        <w:rPr>
          <w:rFonts w:asciiTheme="minorHAnsi" w:hAnsiTheme="minorHAnsi"/>
          <w:lang w:val="en-AU"/>
        </w:rPr>
      </w:pPr>
      <w:r w:rsidRPr="00CB10AD">
        <w:rPr>
          <w:rFonts w:asciiTheme="minorHAnsi" w:eastAsiaTheme="minorHAnsi" w:hAnsiTheme="minorHAnsi" w:cstheme="minorBidi"/>
          <w:lang w:val="en-AU"/>
        </w:rPr>
        <w:t>As an example, the intention of C</w:t>
      </w:r>
      <w:r w:rsidR="00641550" w:rsidRPr="00CB10AD">
        <w:rPr>
          <w:rFonts w:asciiTheme="minorHAnsi" w:eastAsiaTheme="minorHAnsi" w:hAnsiTheme="minorHAnsi" w:cstheme="minorBidi"/>
          <w:lang w:val="en-AU"/>
        </w:rPr>
        <w:t>1</w:t>
      </w:r>
      <w:r w:rsidRPr="00CB10AD">
        <w:rPr>
          <w:rFonts w:asciiTheme="minorHAnsi" w:eastAsiaTheme="minorHAnsi" w:hAnsiTheme="minorHAnsi" w:cstheme="minorBidi"/>
          <w:lang w:val="en-AU"/>
        </w:rPr>
        <w:t xml:space="preserve"> is to improve access to nine years of basic education for boys and girls in un-served and under-served areas, but the supply-led approach to the</w:t>
      </w:r>
      <w:r w:rsidRPr="00CB10AD">
        <w:rPr>
          <w:rFonts w:asciiTheme="minorHAnsi" w:hAnsiTheme="minorHAnsi"/>
          <w:lang w:val="en-AU"/>
        </w:rPr>
        <w:t xml:space="preserve"> </w:t>
      </w:r>
      <w:r w:rsidR="00641550" w:rsidRPr="00CB10AD">
        <w:rPr>
          <w:rFonts w:asciiTheme="minorHAnsi" w:hAnsiTheme="minorHAnsi"/>
          <w:lang w:val="en-AU"/>
        </w:rPr>
        <w:t xml:space="preserve">challenge of </w:t>
      </w:r>
      <w:r w:rsidRPr="00CB10AD">
        <w:rPr>
          <w:rFonts w:asciiTheme="minorHAnsi" w:hAnsiTheme="minorHAnsi"/>
          <w:lang w:val="en-AU"/>
        </w:rPr>
        <w:t xml:space="preserve">enrolment does not represent effective targeting. The </w:t>
      </w:r>
      <w:r w:rsidR="00641550" w:rsidRPr="00CB10AD">
        <w:rPr>
          <w:rFonts w:asciiTheme="minorHAnsi" w:hAnsiTheme="minorHAnsi"/>
          <w:lang w:val="en-AU"/>
        </w:rPr>
        <w:t>“</w:t>
      </w:r>
      <w:r w:rsidRPr="00CB10AD">
        <w:rPr>
          <w:rFonts w:asciiTheme="minorHAnsi" w:hAnsiTheme="minorHAnsi"/>
          <w:lang w:val="en-AU"/>
        </w:rPr>
        <w:t>one size fits all</w:t>
      </w:r>
      <w:r w:rsidR="00641550" w:rsidRPr="00CB10AD">
        <w:rPr>
          <w:rFonts w:asciiTheme="minorHAnsi" w:hAnsiTheme="minorHAnsi"/>
          <w:lang w:val="en-AU"/>
        </w:rPr>
        <w:t>”</w:t>
      </w:r>
      <w:r w:rsidRPr="00CB10AD">
        <w:rPr>
          <w:rFonts w:asciiTheme="minorHAnsi" w:hAnsiTheme="minorHAnsi"/>
          <w:lang w:val="en-AU"/>
        </w:rPr>
        <w:t xml:space="preserve"> approach to eligibility criteria, technical requirements and infrastructure solutions is inconsistent with the geographical </w:t>
      </w:r>
      <w:r w:rsidRPr="00CB10AD">
        <w:rPr>
          <w:rFonts w:asciiTheme="minorHAnsi" w:hAnsiTheme="minorHAnsi"/>
          <w:lang w:val="en-AU"/>
        </w:rPr>
        <w:lastRenderedPageBreak/>
        <w:t xml:space="preserve">realities of Indonesia and </w:t>
      </w:r>
      <w:r w:rsidR="00641550" w:rsidRPr="00CB10AD">
        <w:rPr>
          <w:rFonts w:asciiTheme="minorHAnsi" w:hAnsiTheme="minorHAnsi"/>
          <w:lang w:val="en-AU"/>
        </w:rPr>
        <w:t xml:space="preserve">institutional </w:t>
      </w:r>
      <w:r w:rsidRPr="00CB10AD">
        <w:rPr>
          <w:rFonts w:asciiTheme="minorHAnsi" w:hAnsiTheme="minorHAnsi"/>
          <w:lang w:val="en-AU"/>
        </w:rPr>
        <w:t>partners’ desire to make incremental improvements to GER</w:t>
      </w:r>
      <w:r w:rsidRPr="00CB10AD">
        <w:rPr>
          <w:rFonts w:asciiTheme="minorHAnsi" w:hAnsiTheme="minorHAnsi"/>
          <w:vertAlign w:val="superscript"/>
          <w:lang w:val="en-AU"/>
        </w:rPr>
        <w:endnoteReference w:id="54"/>
      </w:r>
      <w:r w:rsidRPr="00CB10AD">
        <w:rPr>
          <w:rFonts w:asciiTheme="minorHAnsi" w:hAnsiTheme="minorHAnsi"/>
          <w:lang w:val="en-AU"/>
        </w:rPr>
        <w:t xml:space="preserve">. Moreover, the criterion upon which beneficiary districts are selected (district GER) represents an unreliable measure of demand (only) at an aggregated level which fails to represent </w:t>
      </w:r>
      <w:r w:rsidR="00641550" w:rsidRPr="00CB10AD">
        <w:rPr>
          <w:rFonts w:asciiTheme="minorHAnsi" w:hAnsiTheme="minorHAnsi"/>
          <w:lang w:val="en-AU"/>
        </w:rPr>
        <w:t>demand within a realistic</w:t>
      </w:r>
      <w:r w:rsidRPr="00CB10AD">
        <w:rPr>
          <w:rFonts w:asciiTheme="minorHAnsi" w:hAnsiTheme="minorHAnsi"/>
          <w:lang w:val="en-AU"/>
        </w:rPr>
        <w:t xml:space="preserve"> catchment area </w:t>
      </w:r>
      <w:r w:rsidR="00641550" w:rsidRPr="00CB10AD">
        <w:rPr>
          <w:rFonts w:asciiTheme="minorHAnsi" w:hAnsiTheme="minorHAnsi"/>
          <w:lang w:val="en-AU"/>
        </w:rPr>
        <w:t xml:space="preserve">of selected </w:t>
      </w:r>
      <w:r w:rsidRPr="00CB10AD">
        <w:rPr>
          <w:rFonts w:asciiTheme="minorHAnsi" w:hAnsiTheme="minorHAnsi"/>
          <w:lang w:val="en-AU"/>
        </w:rPr>
        <w:t xml:space="preserve">sites. </w:t>
      </w:r>
    </w:p>
    <w:p w:rsidR="002219F1" w:rsidRPr="00CB10AD" w:rsidRDefault="002219F1" w:rsidP="002219F1">
      <w:pPr>
        <w:spacing w:before="120" w:after="120" w:line="276" w:lineRule="auto"/>
        <w:jc w:val="both"/>
        <w:rPr>
          <w:rFonts w:asciiTheme="minorHAnsi" w:hAnsiTheme="minorHAnsi"/>
          <w:lang w:val="en-AU"/>
        </w:rPr>
      </w:pPr>
      <w:r w:rsidRPr="00CB10AD">
        <w:rPr>
          <w:rFonts w:asciiTheme="minorHAnsi" w:hAnsiTheme="minorHAnsi"/>
          <w:lang w:val="en-AU"/>
        </w:rPr>
        <w:t>As a further example, the baseline capacity of Madrasah benefiting from C3 support has a demonstrated, significant and inversely proportional effect on the likelihood and the extent of change achievable</w:t>
      </w:r>
      <w:r w:rsidRPr="00CB10AD">
        <w:rPr>
          <w:rFonts w:asciiTheme="minorHAnsi" w:hAnsiTheme="minorHAnsi"/>
          <w:vertAlign w:val="superscript"/>
          <w:lang w:val="en-AU"/>
        </w:rPr>
        <w:endnoteReference w:id="55"/>
      </w:r>
      <w:r w:rsidRPr="00CB10AD">
        <w:rPr>
          <w:rFonts w:asciiTheme="minorHAnsi" w:hAnsiTheme="minorHAnsi"/>
          <w:lang w:val="en-AU"/>
        </w:rPr>
        <w:t>. The SSQ baseline assessment for Phase 1 demonstrates that only 37% of the Madrasah supported under Phase 1 were below the designated pass rate to achieve the eight NES prior to receiving C3 support</w:t>
      </w:r>
      <w:r w:rsidRPr="00CB10AD">
        <w:rPr>
          <w:rFonts w:ascii="Times New Roman" w:hAnsi="Times New Roman"/>
          <w:vertAlign w:val="superscript"/>
          <w:lang w:val="en-AU"/>
        </w:rPr>
        <w:footnoteReference w:id="37"/>
      </w:r>
      <w:r w:rsidRPr="00CB10AD">
        <w:rPr>
          <w:rFonts w:asciiTheme="minorHAnsi" w:hAnsiTheme="minorHAnsi"/>
          <w:lang w:val="en-AU"/>
        </w:rPr>
        <w:t xml:space="preserve">. While this situation is indicative of poor efficiency, it also jeopardizes the effectiveness of the support provided and, in turn, reduces the likelihood of achieving the EOPO. </w:t>
      </w:r>
    </w:p>
    <w:p w:rsidR="002219F1" w:rsidRPr="00CB10AD" w:rsidRDefault="002219F1" w:rsidP="002219F1">
      <w:pPr>
        <w:spacing w:after="200" w:line="276" w:lineRule="auto"/>
        <w:rPr>
          <w:rFonts w:asciiTheme="minorHAnsi" w:eastAsiaTheme="minorHAnsi" w:hAnsiTheme="minorHAnsi" w:cstheme="minorBidi"/>
          <w:lang w:val="en-AU"/>
        </w:rPr>
      </w:pPr>
    </w:p>
    <w:p w:rsidR="00A64511" w:rsidRPr="00CB10AD" w:rsidRDefault="00A64511" w:rsidP="00A64511">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What does this mean for the EP? The bottom-line</w:t>
      </w:r>
      <w:r w:rsidR="00946EBD" w:rsidRPr="00CB10AD">
        <w:rPr>
          <w:b/>
          <w:bCs/>
          <w:iCs/>
          <w:color w:val="003880"/>
          <w:sz w:val="24"/>
          <w:szCs w:val="24"/>
          <w:lang w:val="en-AU"/>
        </w:rPr>
        <w:t xml:space="preserve"> </w:t>
      </w:r>
    </w:p>
    <w:p w:rsidR="00A64511" w:rsidRPr="00CB10AD" w:rsidRDefault="00A64511" w:rsidP="00A64511">
      <w:pPr>
        <w:spacing w:before="120" w:after="120" w:line="276" w:lineRule="auto"/>
        <w:jc w:val="both"/>
        <w:rPr>
          <w:bCs/>
          <w:lang w:val="en-AU"/>
        </w:rPr>
      </w:pPr>
      <w:r w:rsidRPr="00CB10AD">
        <w:rPr>
          <w:bCs/>
          <w:lang w:val="en-AU"/>
        </w:rPr>
        <w:t xml:space="preserve">A </w:t>
      </w:r>
      <w:r w:rsidRPr="00CB10AD">
        <w:rPr>
          <w:lang w:val="en-AU"/>
        </w:rPr>
        <w:t>list</w:t>
      </w:r>
      <w:r w:rsidRPr="00CB10AD">
        <w:rPr>
          <w:bCs/>
          <w:lang w:val="en-AU"/>
        </w:rPr>
        <w:t xml:space="preserve"> of recommendations is presented in </w:t>
      </w:r>
      <w:r w:rsidRPr="00CB10AD">
        <w:rPr>
          <w:bCs/>
          <w:lang w:val="en-AU"/>
        </w:rPr>
        <w:fldChar w:fldCharType="begin"/>
      </w:r>
      <w:r w:rsidRPr="00CB10AD">
        <w:rPr>
          <w:bCs/>
          <w:lang w:val="en-AU"/>
        </w:rPr>
        <w:instrText xml:space="preserve"> REF _Ref379652729 \h </w:instrText>
      </w:r>
      <w:r w:rsidRPr="00CB10AD">
        <w:rPr>
          <w:bCs/>
          <w:lang w:val="en-AU"/>
        </w:rPr>
      </w:r>
      <w:r w:rsidRPr="00CB10AD">
        <w:rPr>
          <w:bCs/>
          <w:lang w:val="en-AU"/>
        </w:rPr>
        <w:fldChar w:fldCharType="separate"/>
      </w:r>
      <w:r w:rsidR="00662AF4" w:rsidRPr="00CB10AD">
        <w:rPr>
          <w:b/>
          <w:lang w:val="en-AU"/>
        </w:rPr>
        <w:t xml:space="preserve">Table </w:t>
      </w:r>
      <w:r w:rsidR="00662AF4">
        <w:rPr>
          <w:b/>
          <w:noProof/>
          <w:lang w:val="en-AU"/>
        </w:rPr>
        <w:t>14</w:t>
      </w:r>
      <w:r w:rsidRPr="00CB10AD">
        <w:rPr>
          <w:bCs/>
          <w:lang w:val="en-AU"/>
        </w:rPr>
        <w:fldChar w:fldCharType="end"/>
      </w:r>
      <w:r w:rsidRPr="00CB10AD">
        <w:rPr>
          <w:bCs/>
          <w:lang w:val="en-AU"/>
        </w:rPr>
        <w:t>.</w:t>
      </w:r>
    </w:p>
    <w:p w:rsidR="00A64511" w:rsidRPr="00CB10AD" w:rsidRDefault="00A64511" w:rsidP="00A64511">
      <w:pPr>
        <w:spacing w:before="120" w:after="120" w:line="276" w:lineRule="auto"/>
        <w:jc w:val="both"/>
        <w:rPr>
          <w:lang w:val="en-AU"/>
        </w:rPr>
        <w:sectPr w:rsidR="00A64511" w:rsidRPr="00CB10AD" w:rsidSect="00E550A7">
          <w:pgSz w:w="11909" w:h="16834" w:code="9"/>
          <w:pgMar w:top="1440" w:right="1440" w:bottom="1440" w:left="1440" w:header="432" w:footer="720" w:gutter="0"/>
          <w:cols w:space="720"/>
          <w:noEndnote/>
          <w:docGrid w:linePitch="360"/>
        </w:sectPr>
      </w:pPr>
    </w:p>
    <w:p w:rsidR="00A64511" w:rsidRPr="00CB10AD" w:rsidRDefault="00A64511" w:rsidP="00A64511">
      <w:pPr>
        <w:spacing w:before="120" w:after="120"/>
        <w:ind w:left="86" w:right="43"/>
        <w:jc w:val="center"/>
        <w:rPr>
          <w:bCs/>
          <w:i/>
          <w:iCs/>
          <w:lang w:val="en-AU"/>
        </w:rPr>
      </w:pPr>
      <w:bookmarkStart w:id="56" w:name="_Ref379652729"/>
      <w:bookmarkStart w:id="57" w:name="_Toc379653472"/>
      <w:bookmarkStart w:id="58" w:name="_Toc379982282"/>
      <w:r w:rsidRPr="00CB10AD">
        <w:rPr>
          <w:b/>
          <w:lang w:val="en-AU"/>
        </w:rPr>
        <w:lastRenderedPageBreak/>
        <w:t xml:space="preserve">Table </w:t>
      </w:r>
      <w:r w:rsidRPr="00CB10AD">
        <w:rPr>
          <w:b/>
          <w:lang w:val="en-AU"/>
        </w:rPr>
        <w:fldChar w:fldCharType="begin"/>
      </w:r>
      <w:r w:rsidRPr="00CB10AD">
        <w:rPr>
          <w:b/>
          <w:lang w:val="en-AU"/>
        </w:rPr>
        <w:instrText xml:space="preserve"> SEQ Table \* ARABIC </w:instrText>
      </w:r>
      <w:r w:rsidRPr="00CB10AD">
        <w:rPr>
          <w:b/>
          <w:lang w:val="en-AU"/>
        </w:rPr>
        <w:fldChar w:fldCharType="separate"/>
      </w:r>
      <w:r w:rsidR="00662AF4">
        <w:rPr>
          <w:b/>
          <w:noProof/>
          <w:lang w:val="en-AU"/>
        </w:rPr>
        <w:t>14</w:t>
      </w:r>
      <w:r w:rsidRPr="00CB10AD">
        <w:rPr>
          <w:b/>
          <w:lang w:val="en-AU"/>
        </w:rPr>
        <w:fldChar w:fldCharType="end"/>
      </w:r>
      <w:bookmarkEnd w:id="56"/>
      <w:r w:rsidRPr="00CB10AD">
        <w:rPr>
          <w:b/>
          <w:bCs/>
          <w:lang w:val="en-AU"/>
        </w:rPr>
        <w:t>: Beneficiaries k</w:t>
      </w:r>
      <w:r w:rsidRPr="00CB10AD">
        <w:rPr>
          <w:b/>
          <w:bCs/>
          <w:iCs/>
          <w:lang w:val="en-AU"/>
        </w:rPr>
        <w:t>ey findings and recommendations</w:t>
      </w:r>
      <w:bookmarkEnd w:id="57"/>
      <w:bookmarkEnd w:id="58"/>
    </w:p>
    <w:p w:rsidR="004623D7" w:rsidRPr="00CB10AD" w:rsidRDefault="004623D7" w:rsidP="004623D7">
      <w:pPr>
        <w:rPr>
          <w:lang w:val="en-AU"/>
        </w:rPr>
      </w:pPr>
    </w:p>
    <w:tbl>
      <w:tblPr>
        <w:tblStyle w:val="TableGrid35"/>
        <w:tblW w:w="5000" w:type="pct"/>
        <w:tblLook w:val="04A0" w:firstRow="1" w:lastRow="0" w:firstColumn="1" w:lastColumn="0" w:noHBand="0" w:noVBand="1"/>
      </w:tblPr>
      <w:tblGrid>
        <w:gridCol w:w="4285"/>
        <w:gridCol w:w="5478"/>
        <w:gridCol w:w="964"/>
        <w:gridCol w:w="3443"/>
      </w:tblGrid>
      <w:tr w:rsidR="004623D7" w:rsidRPr="00CB10AD" w:rsidTr="004623D7">
        <w:trPr>
          <w:trHeight w:val="567"/>
          <w:tblHeader/>
        </w:trPr>
        <w:tc>
          <w:tcPr>
            <w:tcW w:w="1512"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Finding</w:t>
            </w:r>
          </w:p>
        </w:tc>
        <w:tc>
          <w:tcPr>
            <w:tcW w:w="1933"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Recommendations</w:t>
            </w:r>
          </w:p>
        </w:tc>
        <w:tc>
          <w:tcPr>
            <w:tcW w:w="340"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Level of urgency</w:t>
            </w:r>
          </w:p>
        </w:tc>
        <w:tc>
          <w:tcPr>
            <w:tcW w:w="1215"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Prime Responsibility</w:t>
            </w:r>
          </w:p>
        </w:tc>
      </w:tr>
      <w:tr w:rsidR="007C6065" w:rsidRPr="00CB10AD" w:rsidTr="00DA1B0C">
        <w:trPr>
          <w:trHeight w:val="758"/>
        </w:trPr>
        <w:tc>
          <w:tcPr>
            <w:tcW w:w="1512" w:type="pct"/>
            <w:shd w:val="clear" w:color="auto" w:fill="FFFFFF" w:themeFill="background1"/>
          </w:tcPr>
          <w:p w:rsidR="007C6065" w:rsidRPr="00CB10AD" w:rsidRDefault="007C6065" w:rsidP="004623D7">
            <w:pPr>
              <w:spacing w:before="120"/>
              <w:rPr>
                <w:sz w:val="20"/>
                <w:szCs w:val="20"/>
                <w:lang w:val="en-AU"/>
              </w:rPr>
            </w:pPr>
            <w:r w:rsidRPr="00CB10AD">
              <w:rPr>
                <w:sz w:val="20"/>
                <w:szCs w:val="20"/>
                <w:lang w:val="en-AU"/>
              </w:rPr>
              <w:t>There remains a lack of clarity about the targeting of specific categories of beneficiary to increase the likelihood of EOPO achievement (see §6.2.3)</w:t>
            </w:r>
          </w:p>
          <w:p w:rsidR="007C6065" w:rsidRPr="00CB10AD" w:rsidRDefault="007C6065" w:rsidP="004623D7">
            <w:pPr>
              <w:spacing w:before="120"/>
              <w:rPr>
                <w:sz w:val="20"/>
                <w:szCs w:val="20"/>
                <w:lang w:val="en-AU"/>
              </w:rPr>
            </w:pPr>
          </w:p>
        </w:tc>
        <w:tc>
          <w:tcPr>
            <w:tcW w:w="1933"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R17: Institutional partners should identify categories of beneficiaries whose targeting will increase the likelihood of EOPO achievement, and devise a targeting strategy for each component</w:t>
            </w:r>
            <w:r w:rsidR="00EE18A4">
              <w:rPr>
                <w:sz w:val="20"/>
                <w:szCs w:val="20"/>
                <w:lang w:val="en-AU"/>
              </w:rPr>
              <w:t>.</w:t>
            </w:r>
          </w:p>
        </w:tc>
        <w:tc>
          <w:tcPr>
            <w:tcW w:w="340"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5" w:type="pct"/>
          </w:tcPr>
          <w:p w:rsidR="007C6065" w:rsidRPr="00CB10AD" w:rsidRDefault="007C6065" w:rsidP="004623D7">
            <w:pPr>
              <w:spacing w:before="60" w:after="60"/>
              <w:rPr>
                <w:sz w:val="20"/>
                <w:szCs w:val="20"/>
                <w:lang w:val="en-AU"/>
              </w:rPr>
            </w:pPr>
            <w:r w:rsidRPr="00CB10AD">
              <w:rPr>
                <w:sz w:val="20"/>
                <w:szCs w:val="20"/>
                <w:lang w:val="en-AU"/>
              </w:rPr>
              <w:t>DFAT and institutional partners (with POM support as required)</w:t>
            </w:r>
          </w:p>
        </w:tc>
      </w:tr>
      <w:tr w:rsidR="007C6065" w:rsidRPr="00CB10AD" w:rsidTr="00DA1B0C">
        <w:trPr>
          <w:trHeight w:val="758"/>
        </w:trPr>
        <w:tc>
          <w:tcPr>
            <w:tcW w:w="1512" w:type="pct"/>
            <w:shd w:val="clear" w:color="auto" w:fill="FFFFFF" w:themeFill="background1"/>
          </w:tcPr>
          <w:p w:rsidR="007C6065" w:rsidRPr="00CB10AD" w:rsidRDefault="007C6065" w:rsidP="004623D7">
            <w:pPr>
              <w:spacing w:before="120"/>
              <w:rPr>
                <w:sz w:val="20"/>
                <w:szCs w:val="20"/>
                <w:lang w:val="en-AU"/>
              </w:rPr>
            </w:pPr>
            <w:r w:rsidRPr="00CB10AD">
              <w:rPr>
                <w:sz w:val="20"/>
                <w:szCs w:val="20"/>
                <w:lang w:val="en-AU"/>
              </w:rPr>
              <w:t>There remains a lack of clarity about social inclusion objectives and targets (see §6.2.1)</w:t>
            </w:r>
          </w:p>
          <w:p w:rsidR="007C6065" w:rsidRPr="00CB10AD" w:rsidRDefault="007C6065" w:rsidP="004623D7">
            <w:pPr>
              <w:spacing w:before="120"/>
              <w:rPr>
                <w:sz w:val="20"/>
                <w:szCs w:val="20"/>
                <w:lang w:val="en-AU"/>
              </w:rPr>
            </w:pPr>
          </w:p>
          <w:p w:rsidR="007C6065" w:rsidRPr="00CB10AD" w:rsidRDefault="007C6065" w:rsidP="004623D7">
            <w:pPr>
              <w:spacing w:before="120"/>
              <w:rPr>
                <w:sz w:val="20"/>
                <w:szCs w:val="20"/>
                <w:lang w:val="en-AU"/>
              </w:rPr>
            </w:pPr>
          </w:p>
        </w:tc>
        <w:tc>
          <w:tcPr>
            <w:tcW w:w="1933"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R18: Institutional partners should finalise and implement a social inclusion strategy that outlines objectives, boundaries, indicators and targets; and describes what the EP aspires to, i.e. what it should be doing,</w:t>
            </w:r>
            <w:r w:rsidR="00EE18A4">
              <w:rPr>
                <w:sz w:val="20"/>
                <w:szCs w:val="20"/>
                <w:lang w:val="en-AU"/>
              </w:rPr>
              <w:t xml:space="preserve"> </w:t>
            </w:r>
            <w:r w:rsidR="00814744" w:rsidRPr="00CB10AD">
              <w:rPr>
                <w:sz w:val="20"/>
                <w:szCs w:val="20"/>
                <w:lang w:val="en-AU"/>
              </w:rPr>
              <w:t>and not</w:t>
            </w:r>
            <w:r w:rsidRPr="00CB10AD">
              <w:rPr>
                <w:sz w:val="20"/>
                <w:szCs w:val="20"/>
                <w:lang w:val="en-AU"/>
              </w:rPr>
              <w:t xml:space="preserve"> just what it is doing</w:t>
            </w:r>
            <w:r w:rsidR="00EE18A4">
              <w:rPr>
                <w:sz w:val="20"/>
                <w:szCs w:val="20"/>
                <w:lang w:val="en-AU"/>
              </w:rPr>
              <w:t>.</w:t>
            </w:r>
          </w:p>
        </w:tc>
        <w:tc>
          <w:tcPr>
            <w:tcW w:w="340"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5" w:type="pct"/>
          </w:tcPr>
          <w:p w:rsidR="007C6065" w:rsidRPr="00CB10AD" w:rsidRDefault="007C6065" w:rsidP="004623D7">
            <w:pPr>
              <w:spacing w:before="60" w:after="60"/>
              <w:rPr>
                <w:sz w:val="20"/>
                <w:szCs w:val="20"/>
                <w:lang w:val="en-AU"/>
              </w:rPr>
            </w:pPr>
            <w:r w:rsidRPr="00CB10AD">
              <w:rPr>
                <w:sz w:val="20"/>
                <w:szCs w:val="20"/>
                <w:lang w:val="en-AU"/>
              </w:rPr>
              <w:t>DFAT and institutional partners (with POM support as required)</w:t>
            </w:r>
          </w:p>
        </w:tc>
      </w:tr>
      <w:tr w:rsidR="007C6065" w:rsidRPr="00CB10AD" w:rsidTr="00DA1B0C">
        <w:trPr>
          <w:trHeight w:val="567"/>
        </w:trPr>
        <w:tc>
          <w:tcPr>
            <w:tcW w:w="1512" w:type="pct"/>
            <w:tcBorders>
              <w:bottom w:val="single" w:sz="4" w:space="0" w:color="auto"/>
            </w:tcBorders>
            <w:shd w:val="clear" w:color="auto" w:fill="FFFFFF" w:themeFill="background1"/>
          </w:tcPr>
          <w:p w:rsidR="007C6065" w:rsidRPr="00CB10AD" w:rsidRDefault="007C6065" w:rsidP="00EE18A4">
            <w:pPr>
              <w:spacing w:before="120"/>
              <w:rPr>
                <w:sz w:val="20"/>
                <w:szCs w:val="20"/>
                <w:lang w:val="en-AU"/>
              </w:rPr>
            </w:pPr>
            <w:r w:rsidRPr="00CB10AD">
              <w:rPr>
                <w:sz w:val="20"/>
                <w:szCs w:val="20"/>
                <w:lang w:val="en-AU"/>
              </w:rPr>
              <w:t xml:space="preserve">There is an unclear distinction between equality and equity in the design and implementation of the EP (see §6.2) </w:t>
            </w:r>
          </w:p>
        </w:tc>
        <w:tc>
          <w:tcPr>
            <w:tcW w:w="1933" w:type="pct"/>
            <w:tcBorders>
              <w:bottom w:val="single" w:sz="4" w:space="0" w:color="auto"/>
            </w:tcBorders>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R19: Institutional partners should clarify the extent to which equity is an objective of the EP and, where appropriate, explore EP targeting objectives and review selection criteria and targeting mechanisms</w:t>
            </w:r>
            <w:r w:rsidR="00EE18A4">
              <w:rPr>
                <w:sz w:val="20"/>
                <w:szCs w:val="20"/>
                <w:lang w:val="en-AU"/>
              </w:rPr>
              <w:t>.</w:t>
            </w:r>
          </w:p>
        </w:tc>
        <w:tc>
          <w:tcPr>
            <w:tcW w:w="340" w:type="pct"/>
            <w:tcBorders>
              <w:bottom w:val="single" w:sz="4" w:space="0" w:color="auto"/>
            </w:tcBorders>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15" w:type="pct"/>
          </w:tcPr>
          <w:p w:rsidR="007C6065" w:rsidRPr="00CB10AD" w:rsidRDefault="007C6065" w:rsidP="004623D7">
            <w:pPr>
              <w:spacing w:before="60" w:after="60"/>
              <w:rPr>
                <w:sz w:val="20"/>
                <w:szCs w:val="20"/>
                <w:lang w:val="en-AU"/>
              </w:rPr>
            </w:pPr>
            <w:r w:rsidRPr="00CB10AD">
              <w:rPr>
                <w:sz w:val="20"/>
                <w:szCs w:val="20"/>
                <w:lang w:val="en-AU"/>
              </w:rPr>
              <w:t>DFAT and institutional partners (with POM support as required)</w:t>
            </w:r>
          </w:p>
        </w:tc>
      </w:tr>
    </w:tbl>
    <w:p w:rsidR="004623D7" w:rsidRPr="00CB10AD" w:rsidRDefault="004623D7" w:rsidP="004623D7">
      <w:pPr>
        <w:rPr>
          <w:i/>
          <w:lang w:val="en-AU"/>
        </w:rPr>
      </w:pPr>
    </w:p>
    <w:p w:rsidR="00E550A7" w:rsidRPr="00CB10AD" w:rsidRDefault="004623D7" w:rsidP="004623D7">
      <w:pPr>
        <w:rPr>
          <w:lang w:val="en-AU"/>
        </w:rPr>
        <w:sectPr w:rsidR="00E550A7" w:rsidRPr="00CB10AD" w:rsidSect="00A42AA1">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r w:rsidRPr="00CB10AD">
        <w:rPr>
          <w:i/>
          <w:lang w:val="en-AU"/>
        </w:rPr>
        <w:t xml:space="preserve">NB: Red </w:t>
      </w:r>
      <w:r w:rsidR="005F2662" w:rsidRPr="00CB10AD">
        <w:rPr>
          <w:i/>
          <w:lang w:val="en-AU"/>
        </w:rPr>
        <w:t xml:space="preserve">(***) </w:t>
      </w:r>
      <w:r w:rsidRPr="00CB10AD">
        <w:rPr>
          <w:i/>
          <w:lang w:val="en-AU"/>
        </w:rPr>
        <w:t>-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r w:rsidRPr="00CB10AD">
        <w:rPr>
          <w:lang w:val="en-AU"/>
        </w:rPr>
        <w:t xml:space="preserve"> </w:t>
      </w:r>
      <w:r w:rsidR="00E550A7" w:rsidRPr="00CB10AD">
        <w:rPr>
          <w:lang w:val="en-AU"/>
        </w:rPr>
        <w:br w:type="page"/>
      </w:r>
    </w:p>
    <w:p w:rsidR="00F6127C" w:rsidRPr="00CB10AD" w:rsidRDefault="00F6127C" w:rsidP="00F6127C">
      <w:pPr>
        <w:keepNext/>
        <w:numPr>
          <w:ilvl w:val="0"/>
          <w:numId w:val="9"/>
        </w:numPr>
        <w:spacing w:before="120" w:after="120" w:line="276" w:lineRule="auto"/>
        <w:ind w:hanging="720"/>
        <w:outlineLvl w:val="0"/>
        <w:rPr>
          <w:rFonts w:asciiTheme="minorHAnsi" w:hAnsiTheme="minorHAnsi" w:cstheme="minorHAnsi"/>
          <w:b/>
          <w:bCs/>
          <w:color w:val="003880"/>
          <w:kern w:val="32"/>
          <w:sz w:val="28"/>
          <w:szCs w:val="28"/>
          <w:lang w:val="en-AU"/>
        </w:rPr>
      </w:pPr>
      <w:bookmarkStart w:id="59" w:name="_Toc388253141"/>
      <w:r w:rsidRPr="00CB10AD">
        <w:rPr>
          <w:rFonts w:asciiTheme="minorHAnsi" w:hAnsiTheme="minorHAnsi" w:cstheme="minorHAnsi"/>
          <w:b/>
          <w:bCs/>
          <w:color w:val="003880"/>
          <w:kern w:val="32"/>
          <w:sz w:val="28"/>
          <w:szCs w:val="28"/>
          <w:lang w:val="en-AU"/>
        </w:rPr>
        <w:lastRenderedPageBreak/>
        <w:t>Management and Governance</w:t>
      </w:r>
      <w:bookmarkEnd w:id="59"/>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 xml:space="preserve">Governance and management arrangements </w:t>
      </w:r>
    </w:p>
    <w:p w:rsidR="00F6127C" w:rsidRPr="00CB10AD" w:rsidRDefault="00F6127C" w:rsidP="00F6127C">
      <w:pPr>
        <w:spacing w:before="120" w:after="120" w:line="276" w:lineRule="auto"/>
        <w:jc w:val="both"/>
        <w:rPr>
          <w:bCs/>
          <w:lang w:val="en-AU"/>
        </w:rPr>
      </w:pPr>
      <w:r w:rsidRPr="00CB10AD">
        <w:rPr>
          <w:bCs/>
          <w:lang w:val="en-AU"/>
        </w:rPr>
        <w:t xml:space="preserve">The EP is governed under the same structure as that which applies to the ESSP. The ESSP Governance Oversight Group (GOG) is mandated to meet at least once every six months and is co-chaired by the Vice-Minister of MoEC and the Secretary General of MoRA. Membership includes representatives from MoEC, MoRA and Bappenas, the Ministry of Finance, Ministry of Home Affairs, DFAT and the EU. </w:t>
      </w:r>
    </w:p>
    <w:p w:rsidR="00F6127C" w:rsidRPr="00CB10AD" w:rsidRDefault="00F6127C" w:rsidP="00F6127C">
      <w:pPr>
        <w:tabs>
          <w:tab w:val="num" w:pos="720"/>
        </w:tabs>
        <w:spacing w:before="120" w:after="120" w:line="276" w:lineRule="auto"/>
        <w:jc w:val="both"/>
        <w:rPr>
          <w:bCs/>
          <w:lang w:val="en-AU"/>
        </w:rPr>
      </w:pPr>
      <w:r w:rsidRPr="00CB10AD">
        <w:rPr>
          <w:bCs/>
          <w:lang w:val="en-AU"/>
        </w:rPr>
        <w:t xml:space="preserve">The GOG is responsible for, </w:t>
      </w:r>
      <w:r w:rsidRPr="00CB10AD">
        <w:rPr>
          <w:bCs/>
          <w:i/>
          <w:lang w:val="en-AU"/>
        </w:rPr>
        <w:t>inter alia</w:t>
      </w:r>
      <w:r w:rsidRPr="00CB10AD">
        <w:rPr>
          <w:bCs/>
          <w:lang w:val="en-AU"/>
        </w:rPr>
        <w:t>, program alignment with emerging sectoral priorities; monitoring performance against the targets set in the ESSP Joint Results Framework (JRF); facilitating GoI, DFAT and EU involvement and support for ESSP monitoring and evaluation processes; and</w:t>
      </w:r>
      <w:r w:rsidR="00E53808" w:rsidRPr="00CB10AD">
        <w:rPr>
          <w:bCs/>
          <w:lang w:val="en-AU"/>
        </w:rPr>
        <w:t>,</w:t>
      </w:r>
      <w:r w:rsidRPr="00CB10AD">
        <w:rPr>
          <w:bCs/>
          <w:lang w:val="en-AU"/>
        </w:rPr>
        <w:t xml:space="preserve"> providing high level strategic responses to monitoring reports and so </w:t>
      </w:r>
      <w:r w:rsidR="00E53808" w:rsidRPr="00CB10AD">
        <w:rPr>
          <w:bCs/>
          <w:lang w:val="en-AU"/>
        </w:rPr>
        <w:t xml:space="preserve">as to </w:t>
      </w:r>
      <w:r w:rsidRPr="00CB10AD">
        <w:rPr>
          <w:bCs/>
          <w:lang w:val="en-AU"/>
        </w:rPr>
        <w:t>guide program direction.</w:t>
      </w:r>
      <w:r w:rsidRPr="00CB10AD" w:rsidDel="009D6EEC">
        <w:rPr>
          <w:bCs/>
          <w:lang w:val="en-AU"/>
        </w:rPr>
        <w:t xml:space="preserve"> </w:t>
      </w:r>
    </w:p>
    <w:p w:rsidR="00F6127C" w:rsidRPr="00CB10AD" w:rsidRDefault="00F6127C" w:rsidP="00F6127C">
      <w:pPr>
        <w:tabs>
          <w:tab w:val="num" w:pos="720"/>
        </w:tabs>
        <w:spacing w:before="120" w:after="120" w:line="276" w:lineRule="auto"/>
        <w:jc w:val="both"/>
        <w:rPr>
          <w:bCs/>
          <w:lang w:val="en-AU"/>
        </w:rPr>
      </w:pPr>
      <w:r w:rsidRPr="00CB10AD">
        <w:rPr>
          <w:bCs/>
          <w:lang w:val="en-AU"/>
        </w:rPr>
        <w:t xml:space="preserve">The MoEC’s Bureau of Planning and International Cooperation is identified as Secretariat and is nominally charged with responsibility for organisation of an Annual Program Review and the coordination of information and analysis related to the attainment of JRF targets. The program review reports form a basis for disbursement of EU funds and, in theory, </w:t>
      </w:r>
      <w:r w:rsidR="00E53808" w:rsidRPr="00CB10AD">
        <w:rPr>
          <w:bCs/>
          <w:lang w:val="en-AU"/>
        </w:rPr>
        <w:t xml:space="preserve">it should also </w:t>
      </w:r>
      <w:r w:rsidRPr="00CB10AD">
        <w:rPr>
          <w:bCs/>
          <w:lang w:val="en-AU"/>
        </w:rPr>
        <w:t xml:space="preserve">inform decisions on DFAT disbursement. In </w:t>
      </w:r>
      <w:r w:rsidR="00E53808" w:rsidRPr="00CB10AD">
        <w:rPr>
          <w:bCs/>
          <w:lang w:val="en-AU"/>
        </w:rPr>
        <w:t>theory</w:t>
      </w:r>
      <w:r w:rsidRPr="00CB10AD">
        <w:rPr>
          <w:bCs/>
          <w:lang w:val="en-AU"/>
        </w:rPr>
        <w:t>, DFAT uses monitoring and evaluation findings and recommendations to inform policy dialogue with</w:t>
      </w:r>
      <w:r w:rsidRPr="00CB10AD">
        <w:rPr>
          <w:b/>
          <w:bCs/>
          <w:lang w:val="en-AU"/>
        </w:rPr>
        <w:t xml:space="preserve"> </w:t>
      </w:r>
      <w:r w:rsidRPr="00CB10AD">
        <w:rPr>
          <w:bCs/>
          <w:lang w:val="en-AU"/>
        </w:rPr>
        <w:t>GoI through engagement with the GOG.</w:t>
      </w:r>
    </w:p>
    <w:p w:rsidR="00F6127C" w:rsidRPr="00CB10AD" w:rsidRDefault="00F6127C" w:rsidP="00F6127C">
      <w:pPr>
        <w:tabs>
          <w:tab w:val="num" w:pos="720"/>
        </w:tabs>
        <w:spacing w:before="120" w:after="120" w:line="276" w:lineRule="auto"/>
        <w:jc w:val="both"/>
        <w:rPr>
          <w:bCs/>
          <w:lang w:val="en-AU"/>
        </w:rPr>
      </w:pPr>
      <w:r w:rsidRPr="00CB10AD">
        <w:rPr>
          <w:bCs/>
          <w:lang w:val="en-AU"/>
        </w:rPr>
        <w:t>In addition to the GOG, four Technical Oversight Groups</w:t>
      </w:r>
      <w:r w:rsidRPr="00CB10AD">
        <w:rPr>
          <w:rFonts w:ascii="Times New Roman" w:hAnsi="Times New Roman"/>
          <w:bCs/>
          <w:vertAlign w:val="superscript"/>
          <w:lang w:val="en-AU"/>
        </w:rPr>
        <w:footnoteReference w:id="38"/>
      </w:r>
      <w:r w:rsidRPr="00CB10AD">
        <w:rPr>
          <w:bCs/>
          <w:lang w:val="en-AU"/>
        </w:rPr>
        <w:t xml:space="preserve"> (TOGs) have been established to coordinate planning and progress under each of the four program components. They are scheduled to meet every three months. They are co-chaired by designated </w:t>
      </w:r>
      <w:r w:rsidR="00ED2DDA" w:rsidRPr="00CB10AD">
        <w:rPr>
          <w:bCs/>
          <w:lang w:val="en-AU"/>
        </w:rPr>
        <w:t>MoEC</w:t>
      </w:r>
      <w:r w:rsidRPr="00CB10AD">
        <w:rPr>
          <w:bCs/>
          <w:lang w:val="en-AU"/>
        </w:rPr>
        <w:t xml:space="preserve"> and </w:t>
      </w:r>
      <w:r w:rsidR="00ED2DDA" w:rsidRPr="00CB10AD">
        <w:rPr>
          <w:bCs/>
          <w:lang w:val="en-AU"/>
        </w:rPr>
        <w:t>MoRA</w:t>
      </w:r>
      <w:r w:rsidRPr="00CB10AD">
        <w:rPr>
          <w:bCs/>
          <w:lang w:val="en-AU"/>
        </w:rPr>
        <w:t xml:space="preserve"> representatives, GoA and the EU, and are responsible for approving workplans and procurement plans; </w:t>
      </w:r>
      <w:r w:rsidR="00E53808" w:rsidRPr="00CB10AD">
        <w:rPr>
          <w:bCs/>
          <w:lang w:val="en-AU"/>
        </w:rPr>
        <w:t xml:space="preserve">the </w:t>
      </w:r>
      <w:r w:rsidRPr="00CB10AD">
        <w:rPr>
          <w:bCs/>
          <w:lang w:val="en-AU"/>
        </w:rPr>
        <w:t>coordination and approval of major technical reports; and</w:t>
      </w:r>
      <w:r w:rsidR="00E53808" w:rsidRPr="00CB10AD">
        <w:rPr>
          <w:bCs/>
          <w:lang w:val="en-AU"/>
        </w:rPr>
        <w:t>,</w:t>
      </w:r>
      <w:r w:rsidRPr="00CB10AD">
        <w:rPr>
          <w:bCs/>
          <w:lang w:val="en-AU"/>
        </w:rPr>
        <w:t xml:space="preserve"> ongoing management, monitoring and oversight of the delivery of the ESSP.</w:t>
      </w:r>
    </w:p>
    <w:p w:rsidR="00F6127C" w:rsidRPr="00CB10AD" w:rsidRDefault="00F6127C" w:rsidP="00F6127C">
      <w:pPr>
        <w:spacing w:after="240" w:line="276" w:lineRule="auto"/>
        <w:jc w:val="both"/>
        <w:rPr>
          <w:bCs/>
          <w:lang w:val="en-AU"/>
        </w:rPr>
      </w:pPr>
      <w:r w:rsidRPr="00CB10AD">
        <w:rPr>
          <w:rFonts w:eastAsia="Calibri" w:cs="Times New Roman"/>
          <w:szCs w:val="24"/>
          <w:lang w:val="en-AU" w:eastAsia="en-AU"/>
        </w:rPr>
        <w:t xml:space="preserve">At a day-to-day level, the EP is managed by the Basic Education Unit of the </w:t>
      </w:r>
      <w:r w:rsidR="000129E9" w:rsidRPr="00CB10AD">
        <w:rPr>
          <w:rFonts w:eastAsia="Calibri" w:cs="Times New Roman"/>
          <w:szCs w:val="24"/>
          <w:lang w:val="en-AU" w:eastAsia="en-AU"/>
        </w:rPr>
        <w:t xml:space="preserve">Development Cooperation </w:t>
      </w:r>
      <w:r w:rsidRPr="00CB10AD">
        <w:rPr>
          <w:rFonts w:eastAsia="Calibri" w:cs="Times New Roman"/>
          <w:szCs w:val="24"/>
          <w:lang w:val="en-AU" w:eastAsia="en-AU"/>
        </w:rPr>
        <w:t xml:space="preserve">Section of the Jakarta Office of DFAT. The EP is delivered through a blend of </w:t>
      </w:r>
      <w:r w:rsidRPr="00CB10AD">
        <w:rPr>
          <w:rFonts w:asciiTheme="minorHAnsi" w:hAnsiTheme="minorHAnsi" w:cstheme="minorHAnsi"/>
          <w:lang w:val="en-AU"/>
        </w:rPr>
        <w:t xml:space="preserve">aid modalities including earmarked budget support (C1, C2), project support (C3), and a financial contribution as part of multi-donor support (C4). </w:t>
      </w:r>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t>Analysis</w:t>
      </w: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 xml:space="preserve">Modalities and transactional management </w:t>
      </w:r>
    </w:p>
    <w:p w:rsidR="00F6127C" w:rsidRPr="00CB10AD" w:rsidRDefault="00F6127C" w:rsidP="00F6127C">
      <w:pPr>
        <w:rPr>
          <w:rFonts w:asciiTheme="minorHAnsi" w:hAnsiTheme="minorHAnsi" w:cstheme="minorHAnsi"/>
          <w:lang w:val="en-AU"/>
        </w:rPr>
      </w:pPr>
    </w:p>
    <w:p w:rsidR="00B31007"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The blend of modalities represents a sound and appropriate response to the operational environment. It appears to offer good opportunity to pilot and trial initiatives through project support and build capacity through systems development, whilst instilling and supporting GoI ownership. That should, in principle, increase the likelihood of long-term impacts and sustainability, whilst also guaranteeing tangible output delivery.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lastRenderedPageBreak/>
        <w:t xml:space="preserve">From an operational perspective, the blend of modalities and the use of managing contractors provide opportunity for institutional partners (through the GOG) to alter </w:t>
      </w:r>
      <w:r w:rsidR="00140032" w:rsidRPr="00CB10AD">
        <w:rPr>
          <w:rFonts w:asciiTheme="minorHAnsi" w:hAnsiTheme="minorHAnsi" w:cstheme="minorHAnsi"/>
          <w:lang w:val="en-AU"/>
        </w:rPr>
        <w:t>their</w:t>
      </w:r>
      <w:r w:rsidRPr="00CB10AD">
        <w:rPr>
          <w:rFonts w:asciiTheme="minorHAnsi" w:hAnsiTheme="minorHAnsi" w:cstheme="minorHAnsi"/>
          <w:lang w:val="en-AU"/>
        </w:rPr>
        <w:t xml:space="preserve"> tactics in response to emerging risks and opportunities. There is evidence of this occurring. In C1, for example, SSQ’s role had originally been envisioned as provider of technical support to MoEC, specifically with regards to monitoring progress and quality. However, SSQ has increasingly been involved in supporting </w:t>
      </w:r>
      <w:r w:rsidR="00ED2DDA" w:rsidRPr="00CB10AD">
        <w:rPr>
          <w:rFonts w:asciiTheme="minorHAnsi" w:hAnsiTheme="minorHAnsi" w:cstheme="minorHAnsi"/>
          <w:lang w:val="en-AU"/>
        </w:rPr>
        <w:t>MoEC</w:t>
      </w:r>
      <w:r w:rsidRPr="00CB10AD">
        <w:rPr>
          <w:rFonts w:asciiTheme="minorHAnsi" w:hAnsiTheme="minorHAnsi" w:cstheme="minorHAnsi"/>
          <w:lang w:val="en-AU"/>
        </w:rPr>
        <w:t xml:space="preserve"> in all aspects of program implementation: site selection and verification; school proposal review, data management, resolution of issues at field level; and providing resource persons and technical support.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The apparent shift in C1 is praiseworthy insofar as it is critically important for development partners to deliver outputs and show the tangible results of aid investments: DFAT, MoEC and SSQ took an appropriate managerial decision to bolster SSQ’s role and resources such that partners were more likely to offer timely delivery of expected outputs. Nevertheless, measures that improve efficiency and increase the likelihood of short-term results can have detrimental effects on ownership and therefore the prospects for sustainability and the probability of long-term results. As such, ongoing monitoring and capacity building activities will need to be prioritized in 2014 if the impressive operational gains are to be cemented and sustained post-2016.</w:t>
      </w: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Transactional management vs. transformational engagement</w:t>
      </w:r>
    </w:p>
    <w:p w:rsidR="00F6127C" w:rsidRPr="00CB10AD" w:rsidRDefault="00F6127C" w:rsidP="00F6127C">
      <w:pPr>
        <w:rPr>
          <w:lang w:val="en-AU"/>
        </w:rPr>
      </w:pP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DFAT’s Basic Education Unit places a heavy emphasis on transactional management, i.e. undertaking managerial activities that enable the timely delivery of contracted deliverables. For example, current EP management decisions appear to be predominantly driven by prescriptive commitments to output achievements, e.g. numbers of schools built, numbers of madrasah accredited, and numbers of reports produced. To an extent, that is an understandable and rational response to the current aid climate, in which importance is placed on the identification and management of risk and the demonstration of the “tangible </w:t>
      </w:r>
      <w:r w:rsidR="00B31007" w:rsidRPr="00CB10AD">
        <w:rPr>
          <w:rFonts w:asciiTheme="minorHAnsi" w:hAnsiTheme="minorHAnsi" w:cstheme="minorHAnsi"/>
          <w:lang w:val="en-AU"/>
        </w:rPr>
        <w:t>results</w:t>
      </w:r>
      <w:r w:rsidRPr="00CB10AD">
        <w:rPr>
          <w:rFonts w:asciiTheme="minorHAnsi" w:hAnsiTheme="minorHAnsi" w:cstheme="minorHAnsi"/>
          <w:lang w:val="en-AU"/>
        </w:rPr>
        <w:t>” of aid programing. There is, however, an associated cost: the merits of and opportunity for transformational engagement is often overlooked.</w:t>
      </w:r>
    </w:p>
    <w:p w:rsidR="00B31007"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The timely delivery of program outputs should be regarded as an increased opportunity to secure higher-level gains, i.e. the EOPO-level targets. The EOPOs, and even more so the aspirational goals to which the EP contributes, are outside of the </w:t>
      </w:r>
      <w:r w:rsidR="00A572C8" w:rsidRPr="00CB10AD">
        <w:rPr>
          <w:rFonts w:asciiTheme="minorHAnsi" w:hAnsiTheme="minorHAnsi" w:cstheme="minorHAnsi"/>
          <w:lang w:val="en-AU"/>
        </w:rPr>
        <w:t xml:space="preserve">direct </w:t>
      </w:r>
      <w:r w:rsidRPr="00CB10AD">
        <w:rPr>
          <w:rFonts w:asciiTheme="minorHAnsi" w:hAnsiTheme="minorHAnsi" w:cstheme="minorHAnsi"/>
          <w:lang w:val="en-AU"/>
        </w:rPr>
        <w:t>control of DFAT. Th</w:t>
      </w:r>
      <w:r w:rsidR="000812F7" w:rsidRPr="00CB10AD">
        <w:rPr>
          <w:rFonts w:asciiTheme="minorHAnsi" w:hAnsiTheme="minorHAnsi" w:cstheme="minorHAnsi"/>
          <w:lang w:val="en-AU"/>
        </w:rPr>
        <w:t xml:space="preserve">eir achievement </w:t>
      </w:r>
      <w:r w:rsidRPr="00CB10AD">
        <w:rPr>
          <w:rFonts w:asciiTheme="minorHAnsi" w:hAnsiTheme="minorHAnsi" w:cstheme="minorHAnsi"/>
          <w:lang w:val="en-AU"/>
        </w:rPr>
        <w:t>requires a different style of management and engagement; it requires DFAT to adopt the philosophy and practices of ‘transformational engagement’, i.e. strategic and politically attuned engagement that tackles issues concerning the policy and sector governance environment. The need for such engagement becomes ever greater as a program exits its inception phase and grows in maturity. At present, however, the deployment of DFAT’s Basic Education Unit’s resources appears to be disproportionally skewed towards transactional management at the expense of transformational engagement. If this is true, it may be that the EP misses the opportunity to really cement its output-level gains</w:t>
      </w:r>
      <w:r w:rsidR="00B31007" w:rsidRPr="00CB10AD">
        <w:rPr>
          <w:rFonts w:asciiTheme="minorHAnsi" w:hAnsiTheme="minorHAnsi" w:cstheme="minorHAnsi"/>
          <w:lang w:val="en-AU"/>
        </w:rPr>
        <w:t xml:space="preserve">. As such, it runs the risk of delivering </w:t>
      </w:r>
      <w:r w:rsidRPr="00CB10AD">
        <w:rPr>
          <w:rFonts w:asciiTheme="minorHAnsi" w:hAnsiTheme="minorHAnsi" w:cstheme="minorHAnsi"/>
          <w:lang w:val="en-AU"/>
        </w:rPr>
        <w:t xml:space="preserve">sub-optimal returns on Australia’s investment in Indonesia’s education service.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Critical to guaranteeing effective transformational engagement is strong inter-government liaison between the institutional champions</w:t>
      </w:r>
      <w:r w:rsidR="00B31007" w:rsidRPr="00CB10AD">
        <w:rPr>
          <w:rFonts w:asciiTheme="minorHAnsi" w:hAnsiTheme="minorHAnsi" w:cstheme="minorHAnsi"/>
          <w:lang w:val="en-AU"/>
        </w:rPr>
        <w:t xml:space="preserve"> (and owners)</w:t>
      </w:r>
      <w:r w:rsidRPr="00CB10AD">
        <w:rPr>
          <w:rFonts w:asciiTheme="minorHAnsi" w:hAnsiTheme="minorHAnsi" w:cstheme="minorHAnsi"/>
          <w:lang w:val="en-AU"/>
        </w:rPr>
        <w:t xml:space="preserve"> of the EP. The GOG and TOGs offer an appropriate platform for this dialogue but they need to be </w:t>
      </w:r>
      <w:r w:rsidR="00A572C8" w:rsidRPr="00CB10AD">
        <w:rPr>
          <w:rFonts w:asciiTheme="minorHAnsi" w:hAnsiTheme="minorHAnsi" w:cstheme="minorHAnsi"/>
          <w:lang w:val="en-AU"/>
        </w:rPr>
        <w:t xml:space="preserve">effectively </w:t>
      </w:r>
      <w:r w:rsidRPr="00CB10AD">
        <w:rPr>
          <w:rFonts w:asciiTheme="minorHAnsi" w:hAnsiTheme="minorHAnsi" w:cstheme="minorHAnsi"/>
          <w:lang w:val="en-AU"/>
        </w:rPr>
        <w:t xml:space="preserve">harnessed to do so. Practically </w:t>
      </w:r>
      <w:r w:rsidRPr="00CB10AD">
        <w:rPr>
          <w:rFonts w:asciiTheme="minorHAnsi" w:hAnsiTheme="minorHAnsi" w:cstheme="minorHAnsi"/>
          <w:lang w:val="en-AU"/>
        </w:rPr>
        <w:lastRenderedPageBreak/>
        <w:t xml:space="preserve">speaking, it may end up being less formal engagement that paves the way for the formal meeting that is crucial. </w:t>
      </w:r>
    </w:p>
    <w:p w:rsidR="00F6127C" w:rsidRPr="00CB10AD" w:rsidRDefault="00F6127C" w:rsidP="00F6127C">
      <w:pPr>
        <w:keepNext/>
        <w:numPr>
          <w:ilvl w:val="2"/>
          <w:numId w:val="9"/>
        </w:numPr>
        <w:ind w:left="709" w:hanging="709"/>
        <w:outlineLvl w:val="2"/>
        <w:rPr>
          <w:rFonts w:asciiTheme="minorHAnsi" w:hAnsiTheme="minorHAnsi" w:cstheme="minorHAnsi"/>
          <w:bCs/>
          <w:color w:val="003880"/>
          <w:sz w:val="24"/>
          <w:szCs w:val="28"/>
          <w:lang w:val="en-AU"/>
        </w:rPr>
      </w:pPr>
      <w:r w:rsidRPr="00CB10AD">
        <w:rPr>
          <w:bCs/>
          <w:color w:val="003880"/>
          <w:sz w:val="24"/>
          <w:szCs w:val="28"/>
          <w:lang w:val="en-AU"/>
        </w:rPr>
        <w:t>Results</w:t>
      </w:r>
      <w:r w:rsidRPr="00CB10AD">
        <w:rPr>
          <w:rFonts w:asciiTheme="minorHAnsi" w:hAnsiTheme="minorHAnsi" w:cstheme="minorHAnsi"/>
          <w:bCs/>
          <w:color w:val="003880"/>
          <w:sz w:val="24"/>
          <w:szCs w:val="28"/>
          <w:lang w:val="en-AU"/>
        </w:rPr>
        <w:t xml:space="preserve"> framework</w:t>
      </w:r>
    </w:p>
    <w:p w:rsidR="00F6127C" w:rsidRPr="00CB10AD" w:rsidRDefault="00F6127C" w:rsidP="00F6127C">
      <w:pPr>
        <w:rPr>
          <w:lang w:val="en-AU"/>
        </w:rPr>
      </w:pP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The EP </w:t>
      </w:r>
      <w:r w:rsidR="00A572C8" w:rsidRPr="00CB10AD">
        <w:rPr>
          <w:rFonts w:asciiTheme="minorHAnsi" w:hAnsiTheme="minorHAnsi" w:cstheme="minorHAnsi"/>
          <w:lang w:val="en-AU"/>
        </w:rPr>
        <w:t>is</w:t>
      </w:r>
      <w:r w:rsidRPr="00CB10AD">
        <w:rPr>
          <w:rFonts w:asciiTheme="minorHAnsi" w:hAnsiTheme="minorHAnsi" w:cstheme="minorHAnsi"/>
          <w:lang w:val="en-AU"/>
        </w:rPr>
        <w:t xml:space="preserve"> Australia’s largest ever </w:t>
      </w:r>
      <w:r w:rsidR="00A572C8" w:rsidRPr="00CB10AD">
        <w:rPr>
          <w:rFonts w:asciiTheme="minorHAnsi" w:hAnsiTheme="minorHAnsi" w:cstheme="minorHAnsi"/>
          <w:lang w:val="en-AU"/>
        </w:rPr>
        <w:t xml:space="preserve">bilateral aid program and </w:t>
      </w:r>
      <w:r w:rsidRPr="00CB10AD">
        <w:rPr>
          <w:rFonts w:asciiTheme="minorHAnsi" w:hAnsiTheme="minorHAnsi" w:cstheme="minorHAnsi"/>
          <w:lang w:val="en-AU"/>
        </w:rPr>
        <w:t>AUD 5</w:t>
      </w:r>
      <w:r w:rsidR="00A572C8" w:rsidRPr="00CB10AD">
        <w:rPr>
          <w:rFonts w:asciiTheme="minorHAnsi" w:hAnsiTheme="minorHAnsi" w:cstheme="minorHAnsi"/>
          <w:lang w:val="en-AU"/>
        </w:rPr>
        <w:t>24</w:t>
      </w:r>
      <w:r w:rsidRPr="00CB10AD">
        <w:rPr>
          <w:rFonts w:asciiTheme="minorHAnsi" w:hAnsiTheme="minorHAnsi" w:cstheme="minorHAnsi"/>
          <w:lang w:val="en-AU"/>
        </w:rPr>
        <w:t>m remains a very significant investment by Australia. It is therefore right that expected development results be articulated and that decision-makers and implementers b</w:t>
      </w:r>
      <w:r w:rsidR="000812F7" w:rsidRPr="00CB10AD">
        <w:rPr>
          <w:rFonts w:asciiTheme="minorHAnsi" w:hAnsiTheme="minorHAnsi" w:cstheme="minorHAnsi"/>
          <w:lang w:val="en-AU"/>
        </w:rPr>
        <w:t>e</w:t>
      </w:r>
      <w:r w:rsidRPr="00CB10AD">
        <w:rPr>
          <w:rFonts w:asciiTheme="minorHAnsi" w:hAnsiTheme="minorHAnsi" w:cstheme="minorHAnsi"/>
          <w:lang w:val="en-AU"/>
        </w:rPr>
        <w:t xml:space="preserve"> held to account for program performance. Not everything will go according to plan: aid is an inherently risky business, change is complex and large programs are complicated. However, without a clear line of sight on expected results at output, outcome and goal level</w:t>
      </w:r>
      <w:r w:rsidR="000812F7" w:rsidRPr="00CB10AD">
        <w:rPr>
          <w:rFonts w:asciiTheme="minorHAnsi" w:hAnsiTheme="minorHAnsi" w:cstheme="minorHAnsi"/>
          <w:lang w:val="en-AU"/>
        </w:rPr>
        <w:t>,</w:t>
      </w:r>
      <w:r w:rsidRPr="00CB10AD">
        <w:rPr>
          <w:rFonts w:asciiTheme="minorHAnsi" w:hAnsiTheme="minorHAnsi" w:cstheme="minorHAnsi"/>
          <w:lang w:val="en-AU"/>
        </w:rPr>
        <w:t xml:space="preserve"> it is difficult to track and assess the direction and speed of travel against expectations.</w:t>
      </w:r>
      <w:r w:rsidR="00ED2DDA" w:rsidRPr="00CB10AD">
        <w:rPr>
          <w:rFonts w:asciiTheme="minorHAnsi" w:hAnsiTheme="minorHAnsi" w:cstheme="minorHAnsi"/>
          <w:lang w:val="en-AU"/>
        </w:rPr>
        <w:t xml:space="preserve">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The 2012 APPR recommended that the EP logic be updated and that a Performance Milestone Framework be developed that would allow for an objective assessment of progress against targets. Both remained incomplete </w:t>
      </w:r>
      <w:r w:rsidR="00B31007" w:rsidRPr="00CB10AD">
        <w:rPr>
          <w:rFonts w:asciiTheme="minorHAnsi" w:hAnsiTheme="minorHAnsi" w:cstheme="minorHAnsi"/>
          <w:lang w:val="en-AU"/>
        </w:rPr>
        <w:t xml:space="preserve">as at </w:t>
      </w:r>
      <w:r w:rsidRPr="00CB10AD">
        <w:rPr>
          <w:rFonts w:asciiTheme="minorHAnsi" w:hAnsiTheme="minorHAnsi" w:cstheme="minorHAnsi"/>
          <w:lang w:val="en-AU"/>
        </w:rPr>
        <w:t xml:space="preserve">the end of December 2013. The task of developing and/or reviewing them has proved to be arduous, not least because there has been some difficulty in clearly articulating the rationale for Australia’s investment and </w:t>
      </w:r>
      <w:r w:rsidR="00B31007" w:rsidRPr="00CB10AD">
        <w:rPr>
          <w:rFonts w:asciiTheme="minorHAnsi" w:hAnsiTheme="minorHAnsi" w:cstheme="minorHAnsi"/>
          <w:lang w:val="en-AU"/>
        </w:rPr>
        <w:t xml:space="preserve">the </w:t>
      </w:r>
      <w:r w:rsidRPr="00CB10AD">
        <w:rPr>
          <w:rFonts w:asciiTheme="minorHAnsi" w:hAnsiTheme="minorHAnsi" w:cstheme="minorHAnsi"/>
          <w:lang w:val="en-AU"/>
        </w:rPr>
        <w:t xml:space="preserve">outputs and outcomes to be expected. This has, in turn, hampered the speed with which indicators, baselines, annual milestones and end-of-program targets have been discussed and agreed by key stakeholders.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So long as these important tools remain absent then:</w:t>
      </w:r>
    </w:p>
    <w:p w:rsidR="00F6127C" w:rsidRPr="00CB10AD" w:rsidRDefault="00F6127C" w:rsidP="007B17D5">
      <w:pPr>
        <w:numPr>
          <w:ilvl w:val="0"/>
          <w:numId w:val="25"/>
        </w:numPr>
        <w:spacing w:after="24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It remains difficult for POM and other EP stakeholders to capture the extent of progress to date, and to assess whether that represents an acceptable level of performance.</w:t>
      </w:r>
    </w:p>
    <w:p w:rsidR="00F6127C" w:rsidRPr="00CB10AD" w:rsidRDefault="00F6127C" w:rsidP="007B17D5">
      <w:pPr>
        <w:numPr>
          <w:ilvl w:val="0"/>
          <w:numId w:val="25"/>
        </w:numPr>
        <w:spacing w:after="24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The need for – the merits of – DFAT to participate in transformational engagement with GoI can be overlooked because there is little explicit requirement for it</w:t>
      </w:r>
      <w:r w:rsidR="00B31007" w:rsidRPr="00CB10AD">
        <w:rPr>
          <w:rFonts w:asciiTheme="minorHAnsi" w:eastAsia="Calibri" w:hAnsiTheme="minorHAnsi" w:cstheme="minorHAnsi"/>
          <w:lang w:val="en-AU"/>
        </w:rPr>
        <w:t>.</w:t>
      </w:r>
    </w:p>
    <w:p w:rsidR="00F6127C" w:rsidRPr="00CB10AD" w:rsidRDefault="00F6127C" w:rsidP="007B17D5">
      <w:pPr>
        <w:numPr>
          <w:ilvl w:val="0"/>
          <w:numId w:val="25"/>
        </w:numPr>
        <w:spacing w:after="240" w:line="276" w:lineRule="auto"/>
        <w:contextualSpacing/>
        <w:jc w:val="both"/>
        <w:rPr>
          <w:rFonts w:asciiTheme="minorHAnsi" w:eastAsia="Calibri" w:hAnsiTheme="minorHAnsi" w:cstheme="minorHAnsi"/>
          <w:lang w:val="en-AU"/>
        </w:rPr>
      </w:pPr>
      <w:r w:rsidRPr="00CB10AD">
        <w:rPr>
          <w:rFonts w:asciiTheme="minorHAnsi" w:eastAsia="Calibri" w:hAnsiTheme="minorHAnsi" w:cstheme="minorHAnsi"/>
          <w:lang w:val="en-AU"/>
        </w:rPr>
        <w:t>Processes of vertical and horizontal accountability</w:t>
      </w:r>
      <w:r w:rsidRPr="00CB10AD">
        <w:rPr>
          <w:rFonts w:ascii="Times New Roman" w:eastAsia="Calibri" w:hAnsi="Times New Roman" w:cstheme="minorHAnsi"/>
          <w:vertAlign w:val="superscript"/>
          <w:lang w:val="en-AU"/>
        </w:rPr>
        <w:footnoteReference w:id="39"/>
      </w:r>
      <w:r w:rsidRPr="00CB10AD">
        <w:rPr>
          <w:rFonts w:asciiTheme="minorHAnsi" w:eastAsia="Calibri" w:hAnsiTheme="minorHAnsi" w:cstheme="minorHAnsi"/>
          <w:lang w:val="en-AU"/>
        </w:rPr>
        <w:t xml:space="preserve"> remain somewhat shallow because of the incomplete evidence base typically required to support such discussions.</w:t>
      </w:r>
    </w:p>
    <w:p w:rsidR="00E91B37" w:rsidRPr="00CB10AD" w:rsidRDefault="00E91B37" w:rsidP="00E91B37">
      <w:pPr>
        <w:spacing w:after="240" w:line="276" w:lineRule="auto"/>
        <w:ind w:left="720"/>
        <w:contextualSpacing/>
        <w:jc w:val="both"/>
        <w:rPr>
          <w:rFonts w:asciiTheme="minorHAnsi" w:eastAsia="Calibri" w:hAnsiTheme="minorHAnsi" w:cstheme="minorHAnsi"/>
          <w:lang w:val="en-AU"/>
        </w:rPr>
      </w:pP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There are opportunities for change. Indeed, there is an appetite for change. A recurrent theme </w:t>
      </w:r>
      <w:r w:rsidR="00B31007" w:rsidRPr="00CB10AD">
        <w:rPr>
          <w:rFonts w:asciiTheme="minorHAnsi" w:hAnsiTheme="minorHAnsi" w:cstheme="minorHAnsi"/>
          <w:lang w:val="en-AU"/>
        </w:rPr>
        <w:t>during the APPR production process</w:t>
      </w:r>
      <w:r w:rsidRPr="00CB10AD">
        <w:rPr>
          <w:rFonts w:asciiTheme="minorHAnsi" w:hAnsiTheme="minorHAnsi" w:cstheme="minorHAnsi"/>
          <w:lang w:val="en-AU"/>
        </w:rPr>
        <w:t xml:space="preserve"> was the desire amongst implementing partners for stronger engagement on strategic issues between institutional partners and this will become increasingly important as systemic and transformational change is targeted. </w:t>
      </w: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Governance</w:t>
      </w:r>
    </w:p>
    <w:p w:rsidR="00F6127C" w:rsidRPr="00CB10AD" w:rsidRDefault="00F6127C" w:rsidP="00F6127C">
      <w:pPr>
        <w:tabs>
          <w:tab w:val="num" w:pos="720"/>
        </w:tabs>
        <w:spacing w:before="120" w:after="120" w:line="276" w:lineRule="auto"/>
        <w:jc w:val="both"/>
        <w:rPr>
          <w:rFonts w:asciiTheme="minorHAnsi" w:hAnsiTheme="minorHAnsi" w:cstheme="minorHAnsi"/>
          <w:lang w:val="en-AU"/>
        </w:rPr>
      </w:pPr>
      <w:r w:rsidRPr="00CB10AD">
        <w:rPr>
          <w:bCs/>
          <w:lang w:val="en-AU"/>
        </w:rPr>
        <w:t>The distinction between governance, management and implementation may on occasions become blurred, and some organisations (DFAT and GoI</w:t>
      </w:r>
      <w:r w:rsidR="00B31007" w:rsidRPr="00CB10AD">
        <w:rPr>
          <w:bCs/>
          <w:lang w:val="en-AU"/>
        </w:rPr>
        <w:t>,</w:t>
      </w:r>
      <w:r w:rsidRPr="00CB10AD">
        <w:rPr>
          <w:bCs/>
          <w:lang w:val="en-AU"/>
        </w:rPr>
        <w:t xml:space="preserve"> for example) have dual roles to play. Regardless of the potential blurring of responsibilities, there is unequivocal demand, on behalf of implement</w:t>
      </w:r>
      <w:r w:rsidR="00B31007" w:rsidRPr="00CB10AD">
        <w:rPr>
          <w:bCs/>
          <w:lang w:val="en-AU"/>
        </w:rPr>
        <w:t xml:space="preserve">ing </w:t>
      </w:r>
      <w:r w:rsidRPr="00CB10AD">
        <w:rPr>
          <w:bCs/>
          <w:lang w:val="en-AU"/>
        </w:rPr>
        <w:t xml:space="preserve">partners, for strategic clarity to be provided by the institutional partners. In particular, this is sought at outcome level. For example, in Component 3, there remains uncertainty </w:t>
      </w:r>
      <w:r w:rsidR="002D52FC" w:rsidRPr="00CB10AD">
        <w:rPr>
          <w:bCs/>
          <w:lang w:val="en-AU"/>
        </w:rPr>
        <w:t>about the extent and nature of s</w:t>
      </w:r>
      <w:r w:rsidRPr="00CB10AD">
        <w:rPr>
          <w:bCs/>
          <w:lang w:val="en-AU"/>
        </w:rPr>
        <w:t xml:space="preserve">ystemic change desired. There is a need for strong leadership at an institutional level and </w:t>
      </w:r>
      <w:r w:rsidRPr="00CB10AD">
        <w:rPr>
          <w:bCs/>
          <w:lang w:val="en-AU"/>
        </w:rPr>
        <w:lastRenderedPageBreak/>
        <w:t>it is not the role of implementing agencies and managing contractors to engage institutional partners at that level.</w:t>
      </w:r>
      <w:r w:rsidR="00ED2DDA" w:rsidRPr="00CB10AD">
        <w:rPr>
          <w:bCs/>
          <w:lang w:val="en-AU"/>
        </w:rPr>
        <w:t xml:space="preserve">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An elaborate, well-designed governance structure has been developed for the EP. Whilst the structure is complex and exists in parallel to GoI and GoA permanent organizational structures, this is probably inevitable and may be necessary given the range of actors and agencies involved</w:t>
      </w:r>
      <w:r w:rsidR="00B67543" w:rsidRPr="00CB10AD">
        <w:rPr>
          <w:rFonts w:asciiTheme="minorHAnsi" w:hAnsiTheme="minorHAnsi" w:cstheme="minorHAnsi"/>
          <w:lang w:val="en-AU"/>
        </w:rPr>
        <w:t xml:space="preserve"> in the EP</w:t>
      </w:r>
      <w:r w:rsidRPr="00CB10AD">
        <w:rPr>
          <w:rFonts w:asciiTheme="minorHAnsi" w:hAnsiTheme="minorHAnsi" w:cstheme="minorHAnsi"/>
          <w:lang w:val="en-AU"/>
        </w:rPr>
        <w:t xml:space="preserve">. However, the frequency and the quality of collaboration and engagement with and between these senior levels of program governance are inconsistent and sub-optimal. </w:t>
      </w:r>
    </w:p>
    <w:p w:rsidR="00F6127C" w:rsidRPr="00CB10AD" w:rsidRDefault="00F6127C" w:rsidP="00F6127C">
      <w:pPr>
        <w:spacing w:after="240" w:line="276" w:lineRule="auto"/>
        <w:jc w:val="both"/>
        <w:rPr>
          <w:rFonts w:eastAsia="Calibri" w:cs="Times New Roman"/>
          <w:szCs w:val="24"/>
          <w:lang w:val="en-AU" w:eastAsia="en-AU"/>
        </w:rPr>
      </w:pPr>
      <w:r w:rsidRPr="00CB10AD">
        <w:rPr>
          <w:rFonts w:eastAsia="Calibri" w:cs="Times New Roman"/>
          <w:szCs w:val="24"/>
          <w:lang w:val="en-AU" w:eastAsia="en-AU"/>
        </w:rPr>
        <w:t>During 2013, one GOG meeting</w:t>
      </w:r>
      <w:r w:rsidR="002746B2" w:rsidRPr="00CB10AD">
        <w:rPr>
          <w:rFonts w:eastAsia="Calibri" w:cs="Times New Roman"/>
          <w:szCs w:val="24"/>
          <w:lang w:val="en-AU" w:eastAsia="en-AU"/>
        </w:rPr>
        <w:t xml:space="preserve"> was held</w:t>
      </w:r>
      <w:r w:rsidRPr="00CB10AD">
        <w:rPr>
          <w:rFonts w:eastAsia="Calibri" w:cs="Times New Roman"/>
          <w:szCs w:val="24"/>
          <w:vertAlign w:val="superscript"/>
          <w:lang w:val="en-AU" w:eastAsia="en-AU"/>
        </w:rPr>
        <w:footnoteReference w:id="40"/>
      </w:r>
      <w:r w:rsidRPr="00CB10AD">
        <w:rPr>
          <w:rFonts w:eastAsia="Calibri" w:cs="Times New Roman"/>
          <w:szCs w:val="24"/>
          <w:vertAlign w:val="superscript"/>
          <w:lang w:val="en-AU" w:eastAsia="en-AU"/>
        </w:rPr>
        <w:t xml:space="preserve"> </w:t>
      </w:r>
      <w:r w:rsidRPr="00CB10AD">
        <w:rPr>
          <w:rFonts w:eastAsia="Calibri" w:cs="Times New Roman"/>
          <w:szCs w:val="24"/>
          <w:lang w:val="en-AU" w:eastAsia="en-AU"/>
        </w:rPr>
        <w:t>and six TOG meetings</w:t>
      </w:r>
      <w:r w:rsidR="002746B2" w:rsidRPr="00CB10AD">
        <w:rPr>
          <w:rFonts w:eastAsia="Calibri" w:cs="Times New Roman"/>
          <w:szCs w:val="24"/>
          <w:lang w:val="en-AU" w:eastAsia="en-AU"/>
        </w:rPr>
        <w:t xml:space="preserve"> were held</w:t>
      </w:r>
      <w:r w:rsidRPr="00CB10AD">
        <w:rPr>
          <w:rFonts w:eastAsia="Calibri" w:cs="Times New Roman"/>
          <w:szCs w:val="24"/>
          <w:vertAlign w:val="superscript"/>
          <w:lang w:val="en-AU" w:eastAsia="en-AU"/>
        </w:rPr>
        <w:footnoteReference w:id="41"/>
      </w:r>
      <w:r w:rsidRPr="00CB10AD">
        <w:rPr>
          <w:rFonts w:eastAsia="Calibri" w:cs="Times New Roman"/>
          <w:szCs w:val="24"/>
          <w:lang w:val="en-AU" w:eastAsia="en-AU"/>
        </w:rPr>
        <w:t xml:space="preserve">. This represents only 50% and 37.5% respectively of the prescribed number (although it should be noted that three of four planned ATOG meetings were held). The low demand for meetings </w:t>
      </w:r>
      <w:r w:rsidR="002D52FC" w:rsidRPr="00CB10AD">
        <w:rPr>
          <w:rFonts w:eastAsia="Calibri" w:cs="Times New Roman"/>
          <w:szCs w:val="24"/>
          <w:lang w:val="en-AU" w:eastAsia="en-AU"/>
        </w:rPr>
        <w:t xml:space="preserve">could </w:t>
      </w:r>
      <w:r w:rsidRPr="00CB10AD">
        <w:rPr>
          <w:rFonts w:eastAsia="Calibri" w:cs="Times New Roman"/>
          <w:szCs w:val="24"/>
          <w:lang w:val="en-AU" w:eastAsia="en-AU"/>
        </w:rPr>
        <w:t xml:space="preserve">point to either a lack of need or a lack of motivation, which may in turn point to concerns about their perceived usefulness.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Whilst the GOG is a necessary forum for the authorization of EU funding tranches, the extent to which performance information is used for strategic decision-making </w:t>
      </w:r>
      <w:r w:rsidR="00B67543" w:rsidRPr="00CB10AD">
        <w:rPr>
          <w:rFonts w:asciiTheme="minorHAnsi" w:hAnsiTheme="minorHAnsi" w:cstheme="minorHAnsi"/>
          <w:lang w:val="en-AU"/>
        </w:rPr>
        <w:t xml:space="preserve">about the EP </w:t>
      </w:r>
      <w:r w:rsidRPr="00CB10AD">
        <w:rPr>
          <w:rFonts w:asciiTheme="minorHAnsi" w:hAnsiTheme="minorHAnsi" w:cstheme="minorHAnsi"/>
          <w:lang w:val="en-AU"/>
        </w:rPr>
        <w:t xml:space="preserve">appears limited. </w:t>
      </w:r>
      <w:r w:rsidRPr="00CB10AD">
        <w:rPr>
          <w:rFonts w:eastAsia="Calibri" w:cs="Times New Roman"/>
          <w:szCs w:val="24"/>
          <w:lang w:val="en-AU" w:eastAsia="en-AU"/>
        </w:rPr>
        <w:t xml:space="preserve">It also appears that the governance meetings focus on the submission of output-level progress reports, with limited performance-related discussion at outcome level. This may be that there has been a dearth of performance-related </w:t>
      </w:r>
      <w:r w:rsidR="0026072B" w:rsidRPr="00CB10AD">
        <w:rPr>
          <w:rFonts w:eastAsia="Calibri" w:cs="Times New Roman"/>
          <w:szCs w:val="24"/>
          <w:lang w:val="en-AU" w:eastAsia="en-AU"/>
        </w:rPr>
        <w:t xml:space="preserve">information </w:t>
      </w:r>
      <w:r w:rsidRPr="00CB10AD">
        <w:rPr>
          <w:rFonts w:eastAsia="Calibri" w:cs="Times New Roman"/>
          <w:szCs w:val="24"/>
          <w:lang w:val="en-AU" w:eastAsia="en-AU"/>
        </w:rPr>
        <w:t xml:space="preserve">available to the forums but, going forward, if the governance structures are to </w:t>
      </w:r>
      <w:r w:rsidRPr="00CB10AD">
        <w:rPr>
          <w:rFonts w:asciiTheme="minorHAnsi" w:hAnsiTheme="minorHAnsi" w:cstheme="minorHAnsi"/>
          <w:lang w:val="en-AU"/>
        </w:rPr>
        <w:t xml:space="preserve">be effective, they need to focus on higher level discussions with an action-oriented agenda. </w:t>
      </w:r>
    </w:p>
    <w:p w:rsidR="00F6127C" w:rsidRPr="00CB10AD" w:rsidRDefault="00F6127C" w:rsidP="00F6127C">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If governance arrangements are not as influential as could be, any detrimental effect will most obviously be felt at the level of the program’s overall impact and sustainability and, to a lesser extent, on its relevance (</w:t>
      </w:r>
      <w:r w:rsidR="002D52FC" w:rsidRPr="00CB10AD">
        <w:rPr>
          <w:rFonts w:asciiTheme="minorHAnsi" w:hAnsiTheme="minorHAnsi" w:cstheme="minorHAnsi"/>
          <w:lang w:val="en-AU"/>
        </w:rPr>
        <w:t xml:space="preserve">and </w:t>
      </w:r>
      <w:r w:rsidRPr="00CB10AD">
        <w:rPr>
          <w:rFonts w:asciiTheme="minorHAnsi" w:hAnsiTheme="minorHAnsi" w:cstheme="minorHAnsi"/>
          <w:lang w:val="en-AU"/>
        </w:rPr>
        <w:t>specifically where risks go unchecked). It is likely that program efficiency and effectiveness</w:t>
      </w:r>
      <w:r w:rsidR="002D52FC" w:rsidRPr="00CB10AD">
        <w:rPr>
          <w:rFonts w:asciiTheme="minorHAnsi" w:hAnsiTheme="minorHAnsi" w:cstheme="minorHAnsi"/>
          <w:lang w:val="en-AU"/>
        </w:rPr>
        <w:t>,</w:t>
      </w:r>
      <w:r w:rsidRPr="00CB10AD">
        <w:rPr>
          <w:rFonts w:asciiTheme="minorHAnsi" w:hAnsiTheme="minorHAnsi" w:cstheme="minorHAnsi"/>
          <w:lang w:val="en-AU"/>
        </w:rPr>
        <w:t xml:space="preserve"> where the direct management of the EP is operating well</w:t>
      </w:r>
      <w:r w:rsidR="002D52FC" w:rsidRPr="00CB10AD">
        <w:rPr>
          <w:rFonts w:asciiTheme="minorHAnsi" w:hAnsiTheme="minorHAnsi" w:cstheme="minorHAnsi"/>
          <w:lang w:val="en-AU"/>
        </w:rPr>
        <w:t>,</w:t>
      </w:r>
      <w:r w:rsidRPr="00CB10AD">
        <w:rPr>
          <w:rFonts w:asciiTheme="minorHAnsi" w:hAnsiTheme="minorHAnsi" w:cstheme="minorHAnsi"/>
          <w:lang w:val="en-AU"/>
        </w:rPr>
        <w:t xml:space="preserve"> will be less affected. </w:t>
      </w:r>
    </w:p>
    <w:p w:rsidR="00F6127C" w:rsidRPr="00CB10AD" w:rsidRDefault="00F6127C" w:rsidP="00F6127C">
      <w:pPr>
        <w:keepNext/>
        <w:numPr>
          <w:ilvl w:val="2"/>
          <w:numId w:val="9"/>
        </w:numPr>
        <w:ind w:left="709" w:hanging="709"/>
        <w:outlineLvl w:val="2"/>
        <w:rPr>
          <w:bCs/>
          <w:color w:val="003880"/>
          <w:sz w:val="24"/>
          <w:szCs w:val="28"/>
          <w:lang w:val="en-AU"/>
        </w:rPr>
      </w:pPr>
      <w:r w:rsidRPr="00CB10AD">
        <w:rPr>
          <w:bCs/>
          <w:color w:val="003880"/>
          <w:sz w:val="24"/>
          <w:szCs w:val="28"/>
          <w:lang w:val="en-AU"/>
        </w:rPr>
        <w:t>Partnership</w:t>
      </w:r>
    </w:p>
    <w:p w:rsidR="00F6127C" w:rsidRPr="00CB10AD" w:rsidRDefault="00F6127C" w:rsidP="00F6127C">
      <w:pPr>
        <w:rPr>
          <w:rFonts w:eastAsia="Calibri"/>
          <w:lang w:val="en-AU"/>
        </w:rPr>
      </w:pPr>
    </w:p>
    <w:p w:rsidR="00F6127C" w:rsidRPr="00CB10AD" w:rsidRDefault="00F6127C" w:rsidP="00F6127C">
      <w:pPr>
        <w:spacing w:after="240" w:line="276" w:lineRule="auto"/>
        <w:jc w:val="both"/>
        <w:rPr>
          <w:rFonts w:eastAsia="Calibri" w:cs="Times New Roman"/>
          <w:szCs w:val="24"/>
          <w:lang w:val="en-AU" w:eastAsia="en-AU"/>
        </w:rPr>
      </w:pPr>
      <w:r w:rsidRPr="00CB10AD">
        <w:rPr>
          <w:rFonts w:eastAsia="Calibri" w:cs="Times New Roman"/>
          <w:szCs w:val="24"/>
          <w:lang w:val="en-AU" w:eastAsia="en-AU"/>
        </w:rPr>
        <w:t xml:space="preserve">Whilst the concept of a “partnership” within the EP should manifest itself in clearly defined joint management arrangements, it more accurately reflects a philosophy, an intention or a commitment on behalf of the two governments to work together. </w:t>
      </w:r>
    </w:p>
    <w:p w:rsidR="00F6127C" w:rsidRPr="00CB10AD" w:rsidRDefault="00F6127C" w:rsidP="006D1FD9">
      <w:pPr>
        <w:spacing w:after="240" w:line="276" w:lineRule="auto"/>
        <w:jc w:val="both"/>
        <w:rPr>
          <w:bCs/>
          <w:lang w:val="en-AU"/>
        </w:rPr>
      </w:pPr>
      <w:r w:rsidRPr="00CB10AD">
        <w:rPr>
          <w:rFonts w:eastAsia="Calibri" w:cs="Times New Roman"/>
          <w:szCs w:val="24"/>
          <w:lang w:val="en-AU" w:eastAsia="en-AU"/>
        </w:rPr>
        <w:t>DFAT’s desire to work through GoI systems wherever possible is an illustration of a commitment to a partnership approach, and one that requires a mature, trusting relationship and joint ownership of successes and failures. That commitment is well received by GoI but the relationship can be tested when GoA seeks to impose its own management standards, most notably with respect to financial control, monitoring and reporting.</w:t>
      </w:r>
      <w:r w:rsidR="00ED2DDA" w:rsidRPr="00CB10AD">
        <w:rPr>
          <w:rFonts w:eastAsia="Calibri" w:cs="Times New Roman"/>
          <w:szCs w:val="24"/>
          <w:lang w:val="en-AU" w:eastAsia="en-AU"/>
        </w:rPr>
        <w:t xml:space="preserve"> </w:t>
      </w:r>
    </w:p>
    <w:p w:rsidR="00E91B37" w:rsidRPr="00CB10AD" w:rsidRDefault="00E91B37" w:rsidP="00F6127C">
      <w:pPr>
        <w:tabs>
          <w:tab w:val="num" w:pos="720"/>
        </w:tabs>
        <w:spacing w:before="120" w:after="120" w:line="276" w:lineRule="auto"/>
        <w:jc w:val="both"/>
        <w:rPr>
          <w:bCs/>
          <w:lang w:val="en-AU"/>
        </w:rPr>
      </w:pPr>
    </w:p>
    <w:p w:rsidR="00F6127C" w:rsidRPr="00CB10AD" w:rsidRDefault="00F6127C" w:rsidP="00F6127C">
      <w:pPr>
        <w:keepNext/>
        <w:numPr>
          <w:ilvl w:val="1"/>
          <w:numId w:val="9"/>
        </w:numPr>
        <w:spacing w:before="120" w:after="120" w:line="276" w:lineRule="auto"/>
        <w:ind w:hanging="720"/>
        <w:outlineLvl w:val="1"/>
        <w:rPr>
          <w:b/>
          <w:bCs/>
          <w:iCs/>
          <w:color w:val="003880"/>
          <w:sz w:val="24"/>
          <w:szCs w:val="24"/>
          <w:lang w:val="en-AU"/>
        </w:rPr>
      </w:pPr>
      <w:r w:rsidRPr="00CB10AD">
        <w:rPr>
          <w:b/>
          <w:bCs/>
          <w:iCs/>
          <w:color w:val="003880"/>
          <w:sz w:val="24"/>
          <w:szCs w:val="24"/>
          <w:lang w:val="en-AU"/>
        </w:rPr>
        <w:lastRenderedPageBreak/>
        <w:t xml:space="preserve">What does this mean for the EP? The bottom-line </w:t>
      </w:r>
    </w:p>
    <w:p w:rsidR="00F6127C" w:rsidRPr="00CB10AD" w:rsidRDefault="00F6127C" w:rsidP="00F6127C">
      <w:pPr>
        <w:spacing w:before="120" w:after="120"/>
        <w:rPr>
          <w:bCs/>
          <w:lang w:val="en-AU"/>
        </w:rPr>
      </w:pPr>
      <w:r w:rsidRPr="00CB10AD">
        <w:rPr>
          <w:bCs/>
          <w:lang w:val="en-AU"/>
        </w:rPr>
        <w:t>A list of recommendations is presented in</w:t>
      </w:r>
      <w:r w:rsidR="00D80C4B" w:rsidRPr="00CB10AD">
        <w:rPr>
          <w:bCs/>
          <w:lang w:val="en-AU"/>
        </w:rPr>
        <w:t xml:space="preserve"> </w:t>
      </w:r>
      <w:r w:rsidR="00D80C4B" w:rsidRPr="00CB10AD">
        <w:rPr>
          <w:bCs/>
          <w:lang w:val="en-AU"/>
        </w:rPr>
        <w:fldChar w:fldCharType="begin"/>
      </w:r>
      <w:r w:rsidR="00D80C4B" w:rsidRPr="00CB10AD">
        <w:rPr>
          <w:bCs/>
          <w:lang w:val="en-AU"/>
        </w:rPr>
        <w:instrText xml:space="preserve"> REF _Ref379652991 \h </w:instrText>
      </w:r>
      <w:r w:rsidR="00D80C4B" w:rsidRPr="00CB10AD">
        <w:rPr>
          <w:bCs/>
          <w:lang w:val="en-AU"/>
        </w:rPr>
      </w:r>
      <w:r w:rsidR="00D80C4B" w:rsidRPr="00CB10AD">
        <w:rPr>
          <w:bCs/>
          <w:lang w:val="en-AU"/>
        </w:rPr>
        <w:fldChar w:fldCharType="separate"/>
      </w:r>
      <w:r w:rsidR="00662AF4" w:rsidRPr="00CB10AD">
        <w:rPr>
          <w:lang w:val="en-AU"/>
        </w:rPr>
        <w:t xml:space="preserve">Table </w:t>
      </w:r>
      <w:r w:rsidR="00662AF4">
        <w:rPr>
          <w:noProof/>
          <w:lang w:val="en-AU"/>
        </w:rPr>
        <w:t>15</w:t>
      </w:r>
      <w:r w:rsidR="00D80C4B" w:rsidRPr="00CB10AD">
        <w:rPr>
          <w:bCs/>
          <w:lang w:val="en-AU"/>
        </w:rPr>
        <w:fldChar w:fldCharType="end"/>
      </w:r>
      <w:r w:rsidRPr="00CB10AD">
        <w:rPr>
          <w:bCs/>
          <w:lang w:val="en-AU"/>
        </w:rPr>
        <w:t>.</w:t>
      </w:r>
    </w:p>
    <w:p w:rsidR="00F6127C" w:rsidRPr="00CB10AD" w:rsidRDefault="00F6127C" w:rsidP="00F6127C">
      <w:pPr>
        <w:rPr>
          <w:sz w:val="20"/>
          <w:lang w:val="en-AU"/>
        </w:rPr>
      </w:pPr>
    </w:p>
    <w:p w:rsidR="00F6127C" w:rsidRPr="00CB10AD" w:rsidRDefault="00F6127C" w:rsidP="00F6127C">
      <w:pPr>
        <w:spacing w:before="120" w:after="120"/>
        <w:rPr>
          <w:lang w:val="en-AU"/>
        </w:rPr>
      </w:pPr>
    </w:p>
    <w:p w:rsidR="00F6127C" w:rsidRPr="00CB10AD" w:rsidRDefault="00F6127C" w:rsidP="00F6127C">
      <w:pPr>
        <w:rPr>
          <w:lang w:val="en-AU"/>
        </w:rPr>
      </w:pPr>
    </w:p>
    <w:p w:rsidR="00F6127C" w:rsidRPr="00CB10AD" w:rsidRDefault="00F6127C" w:rsidP="00F6127C">
      <w:pPr>
        <w:rPr>
          <w:lang w:val="en-AU"/>
        </w:rPr>
        <w:sectPr w:rsidR="00F6127C" w:rsidRPr="00CB10AD" w:rsidSect="00E550A7">
          <w:endnotePr>
            <w:numRestart w:val="eachSect"/>
          </w:endnotePr>
          <w:pgSz w:w="11909" w:h="16834" w:code="9"/>
          <w:pgMar w:top="1440" w:right="1440" w:bottom="1440" w:left="1440" w:header="432" w:footer="720" w:gutter="0"/>
          <w:cols w:space="720"/>
          <w:noEndnote/>
          <w:docGrid w:linePitch="360"/>
        </w:sectPr>
      </w:pPr>
    </w:p>
    <w:p w:rsidR="00F6127C" w:rsidRPr="00CB10AD" w:rsidRDefault="00153207" w:rsidP="00153207">
      <w:pPr>
        <w:pStyle w:val="Caption"/>
        <w:rPr>
          <w:bCs/>
          <w:i/>
          <w:iCs/>
          <w:lang w:val="en-AU"/>
        </w:rPr>
      </w:pPr>
      <w:bookmarkStart w:id="60" w:name="_Ref379652991"/>
      <w:bookmarkStart w:id="61" w:name="_Toc379982283"/>
      <w:r w:rsidRPr="00CB10AD">
        <w:rPr>
          <w:lang w:val="en-AU"/>
        </w:rPr>
        <w:lastRenderedPageBreak/>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15</w:t>
      </w:r>
      <w:r w:rsidRPr="00CB10AD">
        <w:rPr>
          <w:lang w:val="en-AU"/>
        </w:rPr>
        <w:fldChar w:fldCharType="end"/>
      </w:r>
      <w:bookmarkEnd w:id="60"/>
      <w:r w:rsidR="00F6127C" w:rsidRPr="00CB10AD">
        <w:rPr>
          <w:bCs/>
          <w:lang w:val="en-AU"/>
        </w:rPr>
        <w:t xml:space="preserve">: </w:t>
      </w:r>
      <w:r w:rsidR="00D80C4B" w:rsidRPr="00CB10AD">
        <w:rPr>
          <w:bCs/>
          <w:lang w:val="en-AU"/>
        </w:rPr>
        <w:t>Governance and management k</w:t>
      </w:r>
      <w:r w:rsidR="00F6127C" w:rsidRPr="00CB10AD">
        <w:rPr>
          <w:bCs/>
          <w:iCs/>
          <w:lang w:val="en-AU"/>
        </w:rPr>
        <w:t>ey findings and recommendations</w:t>
      </w:r>
      <w:bookmarkEnd w:id="61"/>
    </w:p>
    <w:p w:rsidR="004623D7" w:rsidRPr="00CB10AD" w:rsidRDefault="004623D7" w:rsidP="004623D7">
      <w:pPr>
        <w:rPr>
          <w:lang w:val="en-AU"/>
        </w:rPr>
      </w:pPr>
    </w:p>
    <w:tbl>
      <w:tblPr>
        <w:tblStyle w:val="TableGrid33"/>
        <w:tblW w:w="4890" w:type="pct"/>
        <w:tblLook w:val="04A0" w:firstRow="1" w:lastRow="0" w:firstColumn="1" w:lastColumn="0" w:noHBand="0" w:noVBand="1"/>
      </w:tblPr>
      <w:tblGrid>
        <w:gridCol w:w="4212"/>
        <w:gridCol w:w="5380"/>
        <w:gridCol w:w="876"/>
        <w:gridCol w:w="3390"/>
      </w:tblGrid>
      <w:tr w:rsidR="004623D7" w:rsidRPr="00CB10AD" w:rsidTr="007C6065">
        <w:trPr>
          <w:trHeight w:val="567"/>
          <w:tblHeader/>
        </w:trPr>
        <w:tc>
          <w:tcPr>
            <w:tcW w:w="1520"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Finding</w:t>
            </w:r>
          </w:p>
        </w:tc>
        <w:tc>
          <w:tcPr>
            <w:tcW w:w="1941"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Recommendations</w:t>
            </w:r>
          </w:p>
        </w:tc>
        <w:tc>
          <w:tcPr>
            <w:tcW w:w="316"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Level of urgency</w:t>
            </w:r>
          </w:p>
        </w:tc>
        <w:tc>
          <w:tcPr>
            <w:tcW w:w="1223" w:type="pct"/>
            <w:tcBorders>
              <w:bottom w:val="single" w:sz="4" w:space="0" w:color="auto"/>
            </w:tcBorders>
            <w:shd w:val="clear" w:color="auto" w:fill="244061" w:themeFill="accent1" w:themeFillShade="80"/>
            <w:vAlign w:val="center"/>
          </w:tcPr>
          <w:p w:rsidR="004623D7" w:rsidRPr="00CB10AD" w:rsidRDefault="004623D7" w:rsidP="004623D7">
            <w:pPr>
              <w:spacing w:before="120" w:after="120"/>
              <w:jc w:val="center"/>
              <w:rPr>
                <w:rFonts w:asciiTheme="minorHAnsi" w:hAnsiTheme="minorHAnsi" w:cstheme="minorHAnsi"/>
                <w:b/>
                <w:color w:val="FFFFFF" w:themeColor="background1"/>
                <w:sz w:val="20"/>
                <w:szCs w:val="20"/>
                <w:lang w:val="en-AU"/>
              </w:rPr>
            </w:pPr>
            <w:r w:rsidRPr="00CB10AD">
              <w:rPr>
                <w:rFonts w:asciiTheme="minorHAnsi" w:hAnsiTheme="minorHAnsi" w:cstheme="minorHAnsi"/>
                <w:b/>
                <w:color w:val="FFFFFF" w:themeColor="background1"/>
                <w:sz w:val="20"/>
                <w:szCs w:val="20"/>
                <w:lang w:val="en-AU"/>
              </w:rPr>
              <w:t>Prime Responsibility</w:t>
            </w:r>
          </w:p>
        </w:tc>
      </w:tr>
      <w:tr w:rsidR="007C6065" w:rsidRPr="00CB10AD" w:rsidTr="00DA1B0C">
        <w:trPr>
          <w:trHeight w:val="758"/>
        </w:trPr>
        <w:tc>
          <w:tcPr>
            <w:tcW w:w="1520" w:type="pct"/>
            <w:shd w:val="clear" w:color="auto" w:fill="FFFFFF" w:themeFill="background1"/>
          </w:tcPr>
          <w:p w:rsidR="007C6065" w:rsidRPr="00CB10AD" w:rsidRDefault="007C6065" w:rsidP="00EE18A4">
            <w:pPr>
              <w:spacing w:before="120"/>
              <w:rPr>
                <w:sz w:val="20"/>
                <w:szCs w:val="20"/>
                <w:lang w:val="en-AU"/>
              </w:rPr>
            </w:pPr>
            <w:r w:rsidRPr="00CB10AD">
              <w:rPr>
                <w:sz w:val="20"/>
                <w:szCs w:val="20"/>
                <w:lang w:val="en-AU"/>
              </w:rPr>
              <w:t>DFAT’s management of the EP is strong but tends to be prescriptive and predominantly output-focused(see §7.2.2)</w:t>
            </w:r>
          </w:p>
        </w:tc>
        <w:tc>
          <w:tcPr>
            <w:tcW w:w="1941" w:type="pct"/>
            <w:shd w:val="clear" w:color="auto" w:fill="FFFFFF" w:themeFill="background1"/>
          </w:tcPr>
          <w:p w:rsidR="007C6065" w:rsidRPr="00CB10AD" w:rsidRDefault="007C6065" w:rsidP="007269E9">
            <w:pPr>
              <w:spacing w:before="120"/>
              <w:ind w:left="459" w:hanging="450"/>
              <w:rPr>
                <w:sz w:val="20"/>
                <w:szCs w:val="20"/>
                <w:lang w:val="en-AU"/>
              </w:rPr>
            </w:pPr>
            <w:r w:rsidRPr="00CB10AD">
              <w:rPr>
                <w:sz w:val="20"/>
                <w:szCs w:val="20"/>
                <w:lang w:val="en-AU"/>
              </w:rPr>
              <w:t>R20: DFAT’s management of the EP should be more flexible and adaptive, i.e. be more forward looking (at opportunities) than backward-looking (at the EP design)</w:t>
            </w:r>
            <w:r w:rsidR="00EE18A4">
              <w:rPr>
                <w:sz w:val="20"/>
                <w:szCs w:val="20"/>
                <w:lang w:val="en-AU"/>
              </w:rPr>
              <w:t>.</w:t>
            </w:r>
          </w:p>
        </w:tc>
        <w:tc>
          <w:tcPr>
            <w:tcW w:w="316" w:type="pct"/>
            <w:tcBorders>
              <w:bottom w:val="single" w:sz="4" w:space="0" w:color="auto"/>
            </w:tcBorders>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4623D7">
            <w:pPr>
              <w:spacing w:before="120"/>
              <w:rPr>
                <w:sz w:val="20"/>
                <w:szCs w:val="20"/>
                <w:lang w:val="en-AU"/>
              </w:rPr>
            </w:pPr>
            <w:r w:rsidRPr="00CB10AD">
              <w:rPr>
                <w:sz w:val="20"/>
                <w:szCs w:val="20"/>
                <w:lang w:val="en-AU"/>
              </w:rPr>
              <w:t>DFAT</w:t>
            </w:r>
          </w:p>
        </w:tc>
      </w:tr>
      <w:tr w:rsidR="007C6065" w:rsidRPr="00CB10AD" w:rsidTr="00DA1B0C">
        <w:trPr>
          <w:trHeight w:val="1163"/>
        </w:trPr>
        <w:tc>
          <w:tcPr>
            <w:tcW w:w="1520" w:type="pct"/>
            <w:tcBorders>
              <w:bottom w:val="single" w:sz="4" w:space="0" w:color="auto"/>
            </w:tcBorders>
            <w:shd w:val="clear" w:color="auto" w:fill="FFFFFF" w:themeFill="background1"/>
          </w:tcPr>
          <w:p w:rsidR="007C6065" w:rsidRPr="00CB10AD" w:rsidRDefault="007C6065" w:rsidP="004623D7">
            <w:pPr>
              <w:spacing w:before="120"/>
              <w:rPr>
                <w:sz w:val="20"/>
                <w:szCs w:val="20"/>
                <w:lang w:val="en-AU"/>
              </w:rPr>
            </w:pPr>
            <w:r w:rsidRPr="00CB10AD">
              <w:rPr>
                <w:sz w:val="20"/>
                <w:szCs w:val="20"/>
                <w:lang w:val="en-AU"/>
              </w:rPr>
              <w:t>DFAT resources focus on transactional management at the expense of transformational engagement</w:t>
            </w:r>
            <w:r w:rsidR="00CB10AD">
              <w:rPr>
                <w:sz w:val="20"/>
                <w:szCs w:val="20"/>
                <w:lang w:val="en-AU"/>
              </w:rPr>
              <w:t xml:space="preserve"> </w:t>
            </w:r>
            <w:r w:rsidRPr="00CB10AD">
              <w:rPr>
                <w:sz w:val="20"/>
                <w:szCs w:val="20"/>
                <w:lang w:val="en-AU"/>
              </w:rPr>
              <w:t>(see §7.2.2)</w:t>
            </w:r>
          </w:p>
          <w:p w:rsidR="007C6065" w:rsidRPr="00CB10AD" w:rsidRDefault="007C6065" w:rsidP="004623D7">
            <w:pPr>
              <w:spacing w:before="120"/>
              <w:rPr>
                <w:sz w:val="20"/>
                <w:szCs w:val="20"/>
                <w:lang w:val="en-AU"/>
              </w:rPr>
            </w:pPr>
          </w:p>
        </w:tc>
        <w:tc>
          <w:tcPr>
            <w:tcW w:w="1941" w:type="pct"/>
            <w:tcBorders>
              <w:bottom w:val="single" w:sz="4" w:space="0" w:color="auto"/>
            </w:tcBorders>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R21: DFAT should prioritise (varied) strategic engagement with GoI: e.g. strategic discussion on C1 and C3; advocacy of current EP approach on C2; and broader policy engagement through C4</w:t>
            </w:r>
            <w:r w:rsidR="00EE18A4">
              <w:rPr>
                <w:sz w:val="20"/>
                <w:szCs w:val="20"/>
                <w:lang w:val="en-AU"/>
              </w:rPr>
              <w:t>.</w:t>
            </w:r>
          </w:p>
        </w:tc>
        <w:tc>
          <w:tcPr>
            <w:tcW w:w="316" w:type="pct"/>
            <w:tcBorders>
              <w:bottom w:val="single" w:sz="4" w:space="0" w:color="auto"/>
            </w:tcBorders>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4623D7">
            <w:pPr>
              <w:spacing w:before="120"/>
              <w:rPr>
                <w:sz w:val="20"/>
                <w:szCs w:val="20"/>
                <w:lang w:val="en-AU"/>
              </w:rPr>
            </w:pPr>
            <w:r w:rsidRPr="00CB10AD">
              <w:rPr>
                <w:sz w:val="20"/>
                <w:szCs w:val="20"/>
                <w:lang w:val="en-AU"/>
              </w:rPr>
              <w:t>DFAT</w:t>
            </w:r>
          </w:p>
        </w:tc>
      </w:tr>
      <w:tr w:rsidR="007C6065" w:rsidRPr="00CB10AD" w:rsidTr="00DA1B0C">
        <w:trPr>
          <w:trHeight w:val="567"/>
        </w:trPr>
        <w:tc>
          <w:tcPr>
            <w:tcW w:w="1520" w:type="pct"/>
            <w:shd w:val="clear" w:color="auto" w:fill="FFFFFF" w:themeFill="background1"/>
          </w:tcPr>
          <w:p w:rsidR="007C6065" w:rsidRPr="00CB10AD" w:rsidRDefault="007C6065" w:rsidP="00EE18A4">
            <w:pPr>
              <w:spacing w:before="120"/>
              <w:rPr>
                <w:sz w:val="20"/>
                <w:szCs w:val="20"/>
                <w:lang w:val="en-AU"/>
              </w:rPr>
            </w:pPr>
            <w:r w:rsidRPr="00CB10AD">
              <w:rPr>
                <w:sz w:val="20"/>
                <w:szCs w:val="20"/>
                <w:lang w:val="en-AU"/>
              </w:rPr>
              <w:t>The updating of the EP logic architecture and the development of a PMF has not yet been finalised (see §7.2.3)</w:t>
            </w:r>
          </w:p>
        </w:tc>
        <w:tc>
          <w:tcPr>
            <w:tcW w:w="1941"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R22: The articulation and agreement on the EP logic and the finalisation and socialisation of the Performance Milestone Framework (PMF) should be prioritised</w:t>
            </w:r>
            <w:r w:rsidR="00EE18A4">
              <w:rPr>
                <w:sz w:val="20"/>
                <w:szCs w:val="20"/>
                <w:lang w:val="en-AU"/>
              </w:rPr>
              <w:t>.</w:t>
            </w:r>
          </w:p>
        </w:tc>
        <w:tc>
          <w:tcPr>
            <w:tcW w:w="316" w:type="pct"/>
            <w:shd w:val="clear" w:color="auto" w:fill="FF0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4623D7">
            <w:pPr>
              <w:spacing w:before="120"/>
              <w:rPr>
                <w:sz w:val="20"/>
                <w:szCs w:val="20"/>
                <w:lang w:val="en-AU"/>
              </w:rPr>
            </w:pPr>
            <w:r w:rsidRPr="00CB10AD">
              <w:rPr>
                <w:sz w:val="20"/>
                <w:szCs w:val="20"/>
                <w:lang w:val="en-AU"/>
              </w:rPr>
              <w:t>DFAT (with POM support)</w:t>
            </w:r>
          </w:p>
        </w:tc>
      </w:tr>
      <w:tr w:rsidR="007C6065" w:rsidRPr="00CB10AD" w:rsidTr="00DA1B0C">
        <w:trPr>
          <w:trHeight w:val="567"/>
        </w:trPr>
        <w:tc>
          <w:tcPr>
            <w:tcW w:w="1520" w:type="pct"/>
            <w:shd w:val="clear" w:color="auto" w:fill="FFFFFF" w:themeFill="background1"/>
          </w:tcPr>
          <w:p w:rsidR="007C6065" w:rsidRPr="00CB10AD" w:rsidRDefault="007C6065" w:rsidP="00EE18A4">
            <w:pPr>
              <w:spacing w:before="120"/>
              <w:rPr>
                <w:sz w:val="20"/>
                <w:szCs w:val="20"/>
                <w:lang w:val="en-AU"/>
              </w:rPr>
            </w:pPr>
            <w:r w:rsidRPr="00CB10AD">
              <w:rPr>
                <w:sz w:val="20"/>
                <w:szCs w:val="20"/>
                <w:lang w:val="en-AU"/>
              </w:rPr>
              <w:t xml:space="preserve">GOG and TOGs make limited use of performance information in strategic decision-making and governance meetings focus on output-level issues (see §7.2.4) </w:t>
            </w:r>
          </w:p>
        </w:tc>
        <w:tc>
          <w:tcPr>
            <w:tcW w:w="1941" w:type="pct"/>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R23: Existing governance structures need to be more effectively engaged, utilizing performance evidence to inform strategic, higher-level decisions</w:t>
            </w:r>
            <w:r w:rsidR="00EE18A4">
              <w:rPr>
                <w:sz w:val="20"/>
                <w:szCs w:val="20"/>
                <w:lang w:val="en-AU"/>
              </w:rPr>
              <w:t>.</w:t>
            </w:r>
          </w:p>
        </w:tc>
        <w:tc>
          <w:tcPr>
            <w:tcW w:w="316" w:type="pct"/>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4623D7">
            <w:pPr>
              <w:spacing w:before="120"/>
              <w:rPr>
                <w:sz w:val="20"/>
                <w:szCs w:val="20"/>
                <w:lang w:val="en-AU"/>
              </w:rPr>
            </w:pPr>
            <w:r w:rsidRPr="00CB10AD">
              <w:rPr>
                <w:sz w:val="20"/>
                <w:szCs w:val="20"/>
                <w:lang w:val="en-AU"/>
              </w:rPr>
              <w:t>DFAT and GoI through GOG and TOGs</w:t>
            </w:r>
          </w:p>
        </w:tc>
      </w:tr>
      <w:tr w:rsidR="007C6065" w:rsidRPr="00CB10AD" w:rsidTr="00DA1B0C">
        <w:trPr>
          <w:trHeight w:val="567"/>
        </w:trPr>
        <w:tc>
          <w:tcPr>
            <w:tcW w:w="1520" w:type="pct"/>
            <w:tcBorders>
              <w:bottom w:val="single" w:sz="4" w:space="0" w:color="auto"/>
            </w:tcBorders>
            <w:shd w:val="clear" w:color="auto" w:fill="FFFFFF" w:themeFill="background1"/>
          </w:tcPr>
          <w:p w:rsidR="007C6065" w:rsidRPr="00CB10AD" w:rsidRDefault="007C6065" w:rsidP="00CB10AD">
            <w:pPr>
              <w:spacing w:before="120"/>
              <w:rPr>
                <w:sz w:val="20"/>
                <w:szCs w:val="20"/>
                <w:lang w:val="en-AU"/>
              </w:rPr>
            </w:pPr>
            <w:r w:rsidRPr="00CB10AD">
              <w:rPr>
                <w:sz w:val="20"/>
                <w:szCs w:val="20"/>
                <w:lang w:val="en-AU"/>
              </w:rPr>
              <w:t xml:space="preserve">GOG and TOG meetings are not held in line with the designated scheduling which suggests a lack of need or a lack of motivation (see §7.2.4) </w:t>
            </w:r>
          </w:p>
        </w:tc>
        <w:tc>
          <w:tcPr>
            <w:tcW w:w="1941" w:type="pct"/>
            <w:tcBorders>
              <w:bottom w:val="single" w:sz="4" w:space="0" w:color="auto"/>
            </w:tcBorders>
            <w:shd w:val="clear" w:color="auto" w:fill="FFFFFF" w:themeFill="background1"/>
          </w:tcPr>
          <w:p w:rsidR="007C6065" w:rsidRPr="00CB10AD" w:rsidRDefault="007C6065" w:rsidP="00EE18A4">
            <w:pPr>
              <w:spacing w:before="120"/>
              <w:ind w:left="459" w:hanging="450"/>
              <w:rPr>
                <w:sz w:val="20"/>
                <w:szCs w:val="20"/>
                <w:lang w:val="en-AU"/>
              </w:rPr>
            </w:pPr>
            <w:r w:rsidRPr="00CB10AD">
              <w:rPr>
                <w:sz w:val="20"/>
                <w:szCs w:val="20"/>
                <w:lang w:val="en-AU"/>
              </w:rPr>
              <w:t>R24: Institutional partners should identify potential for stronger linkages between POM and governance structures, possibly in a secretariat role</w:t>
            </w:r>
            <w:r w:rsidR="00EE18A4">
              <w:rPr>
                <w:sz w:val="20"/>
                <w:szCs w:val="20"/>
                <w:lang w:val="en-AU"/>
              </w:rPr>
              <w:t>.</w:t>
            </w:r>
          </w:p>
        </w:tc>
        <w:tc>
          <w:tcPr>
            <w:tcW w:w="316" w:type="pct"/>
            <w:shd w:val="clear" w:color="auto" w:fill="FFC000"/>
            <w:vAlign w:val="center"/>
          </w:tcPr>
          <w:p w:rsidR="007C6065" w:rsidRPr="00CB10AD" w:rsidRDefault="007C6065" w:rsidP="00DA1B0C">
            <w:pPr>
              <w:spacing w:before="60" w:after="60"/>
              <w:jc w:val="center"/>
              <w:rPr>
                <w:sz w:val="20"/>
                <w:szCs w:val="20"/>
                <w:lang w:val="en-AU"/>
              </w:rPr>
            </w:pPr>
            <w:r w:rsidRPr="00CB10AD">
              <w:rPr>
                <w:sz w:val="20"/>
                <w:szCs w:val="20"/>
                <w:lang w:val="en-AU"/>
              </w:rPr>
              <w:t>**</w:t>
            </w:r>
          </w:p>
        </w:tc>
        <w:tc>
          <w:tcPr>
            <w:tcW w:w="1223" w:type="pct"/>
          </w:tcPr>
          <w:p w:rsidR="007C6065" w:rsidRPr="00CB10AD" w:rsidRDefault="007C6065" w:rsidP="004623D7">
            <w:pPr>
              <w:spacing w:before="120"/>
              <w:rPr>
                <w:sz w:val="20"/>
                <w:szCs w:val="20"/>
                <w:lang w:val="en-AU"/>
              </w:rPr>
            </w:pPr>
            <w:r w:rsidRPr="00CB10AD">
              <w:rPr>
                <w:sz w:val="20"/>
                <w:szCs w:val="20"/>
                <w:lang w:val="en-AU"/>
              </w:rPr>
              <w:t>DFAT and GoI (with POM support)</w:t>
            </w:r>
          </w:p>
        </w:tc>
      </w:tr>
    </w:tbl>
    <w:p w:rsidR="004623D7" w:rsidRPr="00CB10AD" w:rsidRDefault="004623D7" w:rsidP="004623D7">
      <w:pPr>
        <w:rPr>
          <w:i/>
          <w:lang w:val="en-AU"/>
        </w:rPr>
      </w:pPr>
    </w:p>
    <w:p w:rsidR="00E550A7" w:rsidRPr="00CB10AD" w:rsidRDefault="004623D7" w:rsidP="004623D7">
      <w:pPr>
        <w:rPr>
          <w:lang w:val="en-AU"/>
        </w:rPr>
        <w:sectPr w:rsidR="00E550A7" w:rsidRPr="00CB10AD" w:rsidSect="00A42AA1">
          <w:footnotePr>
            <w:numRestart w:val="eachSect"/>
          </w:footnotePr>
          <w:endnotePr>
            <w:numRestart w:val="eachSect"/>
          </w:endnotePr>
          <w:pgSz w:w="16834" w:h="11909" w:orient="landscape" w:code="9"/>
          <w:pgMar w:top="1440" w:right="1440" w:bottom="1440" w:left="1440" w:header="432" w:footer="720" w:gutter="0"/>
          <w:cols w:space="720"/>
          <w:noEndnote/>
          <w:docGrid w:linePitch="360"/>
        </w:sectPr>
      </w:pPr>
      <w:r w:rsidRPr="00CB10AD">
        <w:rPr>
          <w:i/>
          <w:lang w:val="en-AU"/>
        </w:rPr>
        <w:t>NB: Red</w:t>
      </w:r>
      <w:r w:rsidR="005F2662" w:rsidRPr="00CB10AD">
        <w:rPr>
          <w:i/>
          <w:lang w:val="en-AU"/>
        </w:rPr>
        <w:t xml:space="preserve"> (***)</w:t>
      </w:r>
      <w:r w:rsidRPr="00CB10AD">
        <w:rPr>
          <w:i/>
          <w:lang w:val="en-AU"/>
        </w:rPr>
        <w:t xml:space="preserve"> - high urgency; orange</w:t>
      </w:r>
      <w:r w:rsidR="005F2662" w:rsidRPr="00CB10AD">
        <w:rPr>
          <w:i/>
          <w:lang w:val="en-AU"/>
        </w:rPr>
        <w:t xml:space="preserve"> (**)</w:t>
      </w:r>
      <w:r w:rsidRPr="00CB10AD">
        <w:rPr>
          <w:i/>
          <w:lang w:val="en-AU"/>
        </w:rPr>
        <w:t xml:space="preserve"> - medium urgency; green</w:t>
      </w:r>
      <w:r w:rsidR="005F2662" w:rsidRPr="00CB10AD">
        <w:rPr>
          <w:i/>
          <w:lang w:val="en-AU"/>
        </w:rPr>
        <w:t xml:space="preserve"> (*)</w:t>
      </w:r>
      <w:r w:rsidRPr="00CB10AD">
        <w:rPr>
          <w:i/>
          <w:lang w:val="en-AU"/>
        </w:rPr>
        <w:t xml:space="preserve"> - low urgency</w:t>
      </w:r>
      <w:r w:rsidRPr="00CB10AD">
        <w:rPr>
          <w:lang w:val="en-AU"/>
        </w:rPr>
        <w:t xml:space="preserve"> </w:t>
      </w:r>
      <w:r w:rsidR="00E550A7" w:rsidRPr="00CB10AD">
        <w:rPr>
          <w:lang w:val="en-AU"/>
        </w:rPr>
        <w:br w:type="page"/>
      </w:r>
    </w:p>
    <w:p w:rsidR="00245A84" w:rsidRPr="00CB10AD" w:rsidRDefault="00245A84" w:rsidP="00245A84">
      <w:pPr>
        <w:rPr>
          <w:rFonts w:asciiTheme="minorHAnsi" w:hAnsiTheme="minorHAnsi" w:cstheme="minorHAnsi"/>
          <w:lang w:val="en-AU"/>
        </w:rPr>
      </w:pPr>
    </w:p>
    <w:p w:rsidR="00245A84" w:rsidRPr="00CB10AD" w:rsidRDefault="00245A84" w:rsidP="00245A84">
      <w:pPr>
        <w:rPr>
          <w:rFonts w:asciiTheme="minorHAnsi" w:hAnsiTheme="minorHAnsi" w:cstheme="minorHAnsi"/>
          <w:lang w:val="en-AU"/>
        </w:rPr>
      </w:pPr>
    </w:p>
    <w:p w:rsidR="00222EFB" w:rsidRPr="00CB10AD" w:rsidRDefault="00222EFB" w:rsidP="00222EFB">
      <w:pPr>
        <w:rPr>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r w:rsidRPr="00CB10AD">
        <w:rPr>
          <w:noProof/>
          <w:color w:val="000000" w:themeColor="text1"/>
          <w:sz w:val="28"/>
          <w:szCs w:val="28"/>
          <w:lang w:val="en-AU" w:eastAsia="en-AU"/>
        </w:rPr>
        <w:drawing>
          <wp:anchor distT="0" distB="0" distL="114300" distR="114300" simplePos="0" relativeHeight="251681792" behindDoc="1" locked="0" layoutInCell="1" allowOverlap="1" wp14:anchorId="1074EAE3" wp14:editId="7063B884">
            <wp:simplePos x="0" y="0"/>
            <wp:positionH relativeFrom="page">
              <wp:posOffset>-5080</wp:posOffset>
            </wp:positionH>
            <wp:positionV relativeFrom="page">
              <wp:posOffset>-12700</wp:posOffset>
            </wp:positionV>
            <wp:extent cx="7580630" cy="10709275"/>
            <wp:effectExtent l="0" t="0" r="1270" b="0"/>
            <wp:wrapNone/>
            <wp:docPr id="19" name="Picture 19"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22EFB" w:rsidP="00222EFB">
      <w:pPr>
        <w:tabs>
          <w:tab w:val="left" w:pos="2977"/>
        </w:tabs>
        <w:ind w:left="2880"/>
        <w:rPr>
          <w:b/>
          <w:color w:val="FFFFFF" w:themeColor="background1"/>
          <w:sz w:val="36"/>
          <w:szCs w:val="36"/>
          <w:lang w:val="en-AU"/>
        </w:rPr>
      </w:pPr>
    </w:p>
    <w:p w:rsidR="00222EFB" w:rsidRPr="00CB10AD" w:rsidRDefault="002D621D" w:rsidP="00222EFB">
      <w:pPr>
        <w:tabs>
          <w:tab w:val="left" w:pos="2977"/>
        </w:tabs>
        <w:ind w:left="2880"/>
        <w:rPr>
          <w:b/>
          <w:i/>
          <w:color w:val="FFFFFF" w:themeColor="background1"/>
          <w:sz w:val="32"/>
          <w:szCs w:val="32"/>
          <w:lang w:val="en-AU"/>
        </w:rPr>
      </w:pPr>
      <w:r w:rsidRPr="00CB10AD">
        <w:rPr>
          <w:b/>
          <w:color w:val="FFFFFF" w:themeColor="background1"/>
          <w:sz w:val="36"/>
          <w:szCs w:val="36"/>
          <w:lang w:val="en-AU"/>
        </w:rPr>
        <w:t xml:space="preserve">Part C: </w:t>
      </w:r>
      <w:r w:rsidR="001409A2" w:rsidRPr="00CB10AD">
        <w:rPr>
          <w:b/>
          <w:color w:val="FFFFFF" w:themeColor="background1"/>
          <w:sz w:val="36"/>
          <w:szCs w:val="36"/>
          <w:lang w:val="en-AU"/>
        </w:rPr>
        <w:t>Conclusions</w:t>
      </w:r>
      <w:r w:rsidR="00902641" w:rsidRPr="00CB10AD">
        <w:rPr>
          <w:b/>
          <w:color w:val="FFFFFF" w:themeColor="background1"/>
          <w:sz w:val="36"/>
          <w:szCs w:val="36"/>
          <w:lang w:val="en-AU"/>
        </w:rPr>
        <w:t xml:space="preserve"> </w:t>
      </w:r>
    </w:p>
    <w:p w:rsidR="00222EFB" w:rsidRPr="00CB10AD" w:rsidRDefault="00222EFB" w:rsidP="00222EFB">
      <w:pPr>
        <w:rPr>
          <w:lang w:val="en-AU"/>
        </w:rPr>
        <w:sectPr w:rsidR="00222EFB" w:rsidRPr="00CB10AD" w:rsidSect="001409A2">
          <w:footnotePr>
            <w:numRestart w:val="eachSect"/>
          </w:footnotePr>
          <w:endnotePr>
            <w:numRestart w:val="eachSect"/>
          </w:endnotePr>
          <w:type w:val="oddPage"/>
          <w:pgSz w:w="11909" w:h="16834" w:code="9"/>
          <w:pgMar w:top="1440" w:right="1440" w:bottom="1440" w:left="1440" w:header="432" w:footer="720" w:gutter="0"/>
          <w:cols w:space="720"/>
          <w:noEndnote/>
          <w:docGrid w:linePitch="360"/>
        </w:sectPr>
      </w:pPr>
    </w:p>
    <w:p w:rsidR="00222EFB" w:rsidRPr="00CB10AD" w:rsidRDefault="00222EFB" w:rsidP="00944AA5">
      <w:pPr>
        <w:pStyle w:val="Heading1"/>
        <w:spacing w:before="120" w:after="120" w:line="276" w:lineRule="auto"/>
        <w:ind w:hanging="720"/>
        <w:rPr>
          <w:b/>
          <w:sz w:val="28"/>
          <w:szCs w:val="28"/>
          <w:lang w:val="en-AU"/>
        </w:rPr>
      </w:pPr>
      <w:bookmarkStart w:id="62" w:name="_Toc372401526"/>
      <w:bookmarkStart w:id="63" w:name="_Toc388253142"/>
      <w:r w:rsidRPr="00CB10AD">
        <w:rPr>
          <w:b/>
          <w:sz w:val="28"/>
          <w:szCs w:val="28"/>
          <w:lang w:val="en-AU"/>
        </w:rPr>
        <w:lastRenderedPageBreak/>
        <w:t>Conclusions</w:t>
      </w:r>
      <w:bookmarkEnd w:id="62"/>
      <w:bookmarkEnd w:id="63"/>
      <w:r w:rsidRPr="00CB10AD">
        <w:rPr>
          <w:b/>
          <w:sz w:val="28"/>
          <w:szCs w:val="28"/>
          <w:lang w:val="en-AU"/>
        </w:rPr>
        <w:t xml:space="preserve"> </w:t>
      </w:r>
    </w:p>
    <w:p w:rsidR="00146082" w:rsidRPr="00CB10AD" w:rsidRDefault="00146082" w:rsidP="00146082">
      <w:pPr>
        <w:spacing w:after="240" w:line="276" w:lineRule="auto"/>
        <w:jc w:val="both"/>
        <w:rPr>
          <w:rFonts w:asciiTheme="minorHAnsi" w:hAnsiTheme="minorHAnsi" w:cstheme="minorHAnsi"/>
          <w:lang w:val="en-AU"/>
        </w:rPr>
      </w:pPr>
      <w:bookmarkStart w:id="64" w:name="_Toc372401531"/>
      <w:r w:rsidRPr="00CB10AD">
        <w:rPr>
          <w:rFonts w:asciiTheme="minorHAnsi" w:hAnsiTheme="minorHAnsi" w:cstheme="minorHAnsi"/>
          <w:lang w:val="en-AU"/>
        </w:rPr>
        <w:t>December 2013 represents the mid-point in the implementation of Australia’s Education Partnership with Indonesia. As such, it is an appropriate time to take stock of progress and to reflect on achievements to date. More importantly it is a time to use those reflections to guide the EP in its second half of implementation.</w:t>
      </w:r>
    </w:p>
    <w:p w:rsidR="00146082" w:rsidRPr="00CB10AD" w:rsidRDefault="00146082" w:rsidP="00146082">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Table 16, below, provides a summary table of the scores assigned to the individual EP components. The table presents mean scores for each DAC criterion, and whilst they do not represent a “whole of EP” assessment, they do provide some guidance for the future.</w:t>
      </w:r>
    </w:p>
    <w:p w:rsidR="00146082" w:rsidRPr="00CB10AD" w:rsidRDefault="00146082" w:rsidP="00146082">
      <w:pPr>
        <w:pStyle w:val="Caption"/>
        <w:rPr>
          <w:bCs/>
          <w:i/>
          <w:iCs/>
          <w:lang w:val="en-AU"/>
        </w:rPr>
      </w:pPr>
      <w:bookmarkStart w:id="65" w:name="_Toc379982284"/>
      <w:bookmarkEnd w:id="64"/>
      <w:r w:rsidRPr="00CB10AD">
        <w:rPr>
          <w:lang w:val="en-AU"/>
        </w:rPr>
        <w:t xml:space="preserve">Table </w:t>
      </w:r>
      <w:r w:rsidRPr="00CB10AD">
        <w:rPr>
          <w:lang w:val="en-AU"/>
        </w:rPr>
        <w:fldChar w:fldCharType="begin"/>
      </w:r>
      <w:r w:rsidRPr="00CB10AD">
        <w:rPr>
          <w:lang w:val="en-AU"/>
        </w:rPr>
        <w:instrText xml:space="preserve"> SEQ Table \* ARABIC </w:instrText>
      </w:r>
      <w:r w:rsidRPr="00CB10AD">
        <w:rPr>
          <w:lang w:val="en-AU"/>
        </w:rPr>
        <w:fldChar w:fldCharType="separate"/>
      </w:r>
      <w:r w:rsidR="00662AF4">
        <w:rPr>
          <w:noProof/>
          <w:lang w:val="en-AU"/>
        </w:rPr>
        <w:t>16</w:t>
      </w:r>
      <w:r w:rsidRPr="00CB10AD">
        <w:rPr>
          <w:lang w:val="en-AU"/>
        </w:rPr>
        <w:fldChar w:fldCharType="end"/>
      </w:r>
      <w:r w:rsidRPr="00CB10AD">
        <w:rPr>
          <w:lang w:val="en-AU"/>
        </w:rPr>
        <w:t xml:space="preserve">: </w:t>
      </w:r>
      <w:r w:rsidRPr="00CB10AD">
        <w:rPr>
          <w:bCs/>
          <w:iCs/>
          <w:lang w:val="en-AU"/>
        </w:rPr>
        <w:t>Combined scorecard</w:t>
      </w:r>
      <w:bookmarkEnd w:id="65"/>
    </w:p>
    <w:tbl>
      <w:tblPr>
        <w:tblStyle w:val="TableGrid17"/>
        <w:tblW w:w="5000" w:type="pct"/>
        <w:jc w:val="center"/>
        <w:tblLook w:val="04A0" w:firstRow="1" w:lastRow="0" w:firstColumn="1" w:lastColumn="0" w:noHBand="0" w:noVBand="1"/>
      </w:tblPr>
      <w:tblGrid>
        <w:gridCol w:w="1632"/>
        <w:gridCol w:w="1269"/>
        <w:gridCol w:w="1269"/>
        <w:gridCol w:w="1269"/>
        <w:gridCol w:w="1269"/>
        <w:gridCol w:w="1269"/>
        <w:gridCol w:w="1268"/>
      </w:tblGrid>
      <w:tr w:rsidR="007C6065" w:rsidRPr="00CB10AD" w:rsidTr="00814744">
        <w:trPr>
          <w:trHeight w:val="593"/>
          <w:jc w:val="center"/>
        </w:trPr>
        <w:tc>
          <w:tcPr>
            <w:tcW w:w="882" w:type="pct"/>
            <w:shd w:val="clear" w:color="auto" w:fill="244061" w:themeFill="accent1" w:themeFillShade="80"/>
            <w:vAlign w:val="center"/>
          </w:tcPr>
          <w:p w:rsidR="007C6065" w:rsidRPr="00CB10AD" w:rsidRDefault="007C6065" w:rsidP="003D2DAC">
            <w:pPr>
              <w:jc w:val="center"/>
              <w:rPr>
                <w:rFonts w:asciiTheme="minorHAnsi" w:hAnsiTheme="minorHAnsi"/>
                <w:sz w:val="20"/>
                <w:szCs w:val="20"/>
                <w:lang w:val="en-AU"/>
              </w:rPr>
            </w:pPr>
            <w:r w:rsidRPr="00CB10AD">
              <w:rPr>
                <w:rFonts w:asciiTheme="minorHAnsi" w:hAnsiTheme="minorHAnsi"/>
                <w:b/>
                <w:sz w:val="20"/>
                <w:szCs w:val="20"/>
                <w:lang w:val="en-AU"/>
              </w:rPr>
              <w:t>DAC Criterion</w:t>
            </w:r>
          </w:p>
        </w:tc>
        <w:tc>
          <w:tcPr>
            <w:tcW w:w="686" w:type="pct"/>
            <w:shd w:val="clear" w:color="auto" w:fill="244061" w:themeFill="accent1" w:themeFillShade="80"/>
            <w:vAlign w:val="center"/>
          </w:tcPr>
          <w:p w:rsidR="007C6065" w:rsidRPr="00CB10AD" w:rsidRDefault="007C6065" w:rsidP="003D2DAC">
            <w:pPr>
              <w:jc w:val="center"/>
              <w:rPr>
                <w:rFonts w:asciiTheme="minorHAnsi" w:hAnsiTheme="minorHAnsi"/>
                <w:b/>
                <w:sz w:val="20"/>
                <w:szCs w:val="20"/>
                <w:lang w:val="en-AU"/>
              </w:rPr>
            </w:pPr>
            <w:r w:rsidRPr="00CB10AD">
              <w:rPr>
                <w:rFonts w:asciiTheme="minorHAnsi" w:hAnsiTheme="minorHAnsi"/>
                <w:b/>
                <w:sz w:val="20"/>
                <w:szCs w:val="20"/>
                <w:lang w:val="en-AU"/>
              </w:rPr>
              <w:t>C1 Score</w:t>
            </w:r>
          </w:p>
        </w:tc>
        <w:tc>
          <w:tcPr>
            <w:tcW w:w="686" w:type="pct"/>
            <w:shd w:val="clear" w:color="auto" w:fill="244061" w:themeFill="accent1" w:themeFillShade="80"/>
            <w:vAlign w:val="center"/>
          </w:tcPr>
          <w:p w:rsidR="007C6065" w:rsidRPr="00CB10AD" w:rsidRDefault="007C6065" w:rsidP="003D2DA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C2 Score</w:t>
            </w:r>
          </w:p>
        </w:tc>
        <w:tc>
          <w:tcPr>
            <w:tcW w:w="686" w:type="pct"/>
            <w:shd w:val="clear" w:color="auto" w:fill="244061" w:themeFill="accent1" w:themeFillShade="80"/>
            <w:vAlign w:val="center"/>
          </w:tcPr>
          <w:p w:rsidR="007C6065" w:rsidRPr="00CB10AD" w:rsidRDefault="007C6065" w:rsidP="003D2DAC">
            <w:pPr>
              <w:jc w:val="center"/>
              <w:rPr>
                <w:rFonts w:asciiTheme="minorHAnsi" w:hAnsiTheme="minorHAnsi"/>
                <w:b/>
                <w:sz w:val="20"/>
                <w:szCs w:val="20"/>
                <w:lang w:val="en-AU"/>
              </w:rPr>
            </w:pPr>
            <w:r w:rsidRPr="00CB10AD">
              <w:rPr>
                <w:rFonts w:asciiTheme="minorHAnsi" w:hAnsiTheme="minorHAnsi"/>
                <w:b/>
                <w:sz w:val="20"/>
                <w:szCs w:val="20"/>
                <w:lang w:val="en-AU"/>
              </w:rPr>
              <w:t>C3 Score</w:t>
            </w:r>
          </w:p>
        </w:tc>
        <w:tc>
          <w:tcPr>
            <w:tcW w:w="686" w:type="pct"/>
            <w:shd w:val="clear" w:color="auto" w:fill="244061" w:themeFill="accent1" w:themeFillShade="80"/>
            <w:vAlign w:val="center"/>
          </w:tcPr>
          <w:p w:rsidR="007C6065" w:rsidRPr="00CB10AD" w:rsidRDefault="007C6065" w:rsidP="003D2DAC">
            <w:pPr>
              <w:jc w:val="center"/>
              <w:rPr>
                <w:rFonts w:asciiTheme="minorHAnsi" w:hAnsiTheme="minorHAnsi"/>
                <w:b/>
                <w:sz w:val="20"/>
                <w:szCs w:val="20"/>
                <w:lang w:val="en-AU"/>
              </w:rPr>
            </w:pPr>
            <w:r w:rsidRPr="00CB10AD">
              <w:rPr>
                <w:rFonts w:asciiTheme="minorHAnsi" w:hAnsiTheme="minorHAnsi"/>
                <w:b/>
                <w:sz w:val="20"/>
                <w:szCs w:val="20"/>
                <w:lang w:val="en-AU"/>
              </w:rPr>
              <w:t>C4 Score</w:t>
            </w:r>
          </w:p>
        </w:tc>
        <w:tc>
          <w:tcPr>
            <w:tcW w:w="686" w:type="pct"/>
            <w:shd w:val="clear" w:color="auto" w:fill="244061" w:themeFill="accent1" w:themeFillShade="80"/>
            <w:vAlign w:val="center"/>
          </w:tcPr>
          <w:p w:rsidR="007C6065" w:rsidRPr="00CB10AD" w:rsidRDefault="007C6065" w:rsidP="003D2DAC">
            <w:pPr>
              <w:jc w:val="center"/>
              <w:rPr>
                <w:rFonts w:asciiTheme="minorHAnsi" w:hAnsiTheme="minorHAnsi"/>
                <w:b/>
                <w:sz w:val="20"/>
                <w:szCs w:val="20"/>
                <w:lang w:val="en-AU"/>
              </w:rPr>
            </w:pPr>
            <w:r w:rsidRPr="00CB10AD">
              <w:rPr>
                <w:rFonts w:asciiTheme="minorHAnsi" w:hAnsiTheme="minorHAnsi"/>
                <w:b/>
                <w:sz w:val="20"/>
                <w:szCs w:val="20"/>
                <w:lang w:val="en-AU"/>
              </w:rPr>
              <w:t>Mean EP Score</w:t>
            </w:r>
          </w:p>
        </w:tc>
        <w:tc>
          <w:tcPr>
            <w:tcW w:w="686" w:type="pct"/>
            <w:shd w:val="clear" w:color="auto" w:fill="244061" w:themeFill="accent1" w:themeFillShade="80"/>
            <w:vAlign w:val="center"/>
          </w:tcPr>
          <w:p w:rsidR="007C6065" w:rsidRPr="00CB10AD" w:rsidRDefault="00E5319C" w:rsidP="00814744">
            <w:pPr>
              <w:jc w:val="center"/>
              <w:rPr>
                <w:rFonts w:asciiTheme="minorHAnsi" w:hAnsiTheme="minorHAnsi"/>
                <w:b/>
                <w:sz w:val="20"/>
                <w:szCs w:val="20"/>
                <w:lang w:val="en-AU"/>
              </w:rPr>
            </w:pPr>
            <w:r w:rsidRPr="00CB10AD">
              <w:rPr>
                <w:rFonts w:asciiTheme="minorHAnsi" w:hAnsiTheme="minorHAnsi"/>
                <w:b/>
                <w:sz w:val="20"/>
                <w:szCs w:val="20"/>
                <w:lang w:val="en-AU"/>
              </w:rPr>
              <w:t>Rounde</w:t>
            </w:r>
            <w:r w:rsidR="00E00BFA">
              <w:rPr>
                <w:rFonts w:asciiTheme="minorHAnsi" w:hAnsiTheme="minorHAnsi"/>
                <w:b/>
                <w:sz w:val="20"/>
                <w:szCs w:val="20"/>
                <w:lang w:val="en-AU"/>
              </w:rPr>
              <w:t>d</w:t>
            </w:r>
            <w:r w:rsidR="00814744">
              <w:rPr>
                <w:rFonts w:asciiTheme="minorHAnsi" w:hAnsiTheme="minorHAnsi"/>
                <w:b/>
                <w:sz w:val="20"/>
                <w:szCs w:val="20"/>
                <w:lang w:val="en-AU"/>
              </w:rPr>
              <w:t xml:space="preserve"> EP Score</w:t>
            </w:r>
          </w:p>
        </w:tc>
      </w:tr>
      <w:tr w:rsidR="007C6065" w:rsidRPr="00CB10AD" w:rsidTr="00E369C9">
        <w:trPr>
          <w:trHeight w:val="610"/>
          <w:jc w:val="center"/>
        </w:trPr>
        <w:tc>
          <w:tcPr>
            <w:tcW w:w="882" w:type="pct"/>
            <w:vAlign w:val="center"/>
          </w:tcPr>
          <w:p w:rsidR="007C6065" w:rsidRPr="00CB10AD" w:rsidRDefault="007C6065" w:rsidP="003D2DAC">
            <w:pPr>
              <w:spacing w:before="60" w:after="60"/>
              <w:rPr>
                <w:rFonts w:asciiTheme="minorHAnsi" w:hAnsiTheme="minorHAnsi"/>
                <w:b/>
                <w:sz w:val="20"/>
                <w:szCs w:val="20"/>
                <w:lang w:val="en-AU"/>
              </w:rPr>
            </w:pPr>
            <w:r w:rsidRPr="00CB10AD">
              <w:rPr>
                <w:rFonts w:asciiTheme="minorHAnsi" w:hAnsiTheme="minorHAnsi"/>
                <w:b/>
                <w:sz w:val="20"/>
                <w:szCs w:val="20"/>
                <w:lang w:val="en-AU"/>
              </w:rPr>
              <w:t>Relevance</w:t>
            </w:r>
          </w:p>
        </w:tc>
        <w:tc>
          <w:tcPr>
            <w:tcW w:w="686" w:type="pct"/>
            <w:shd w:val="clear" w:color="auto" w:fill="FFFF00"/>
            <w:vAlign w:val="center"/>
          </w:tcPr>
          <w:p w:rsidR="007C6065" w:rsidRPr="00CB10AD" w:rsidRDefault="00E369C9" w:rsidP="00E369C9">
            <w:pPr>
              <w:spacing w:before="60" w:after="60"/>
              <w:jc w:val="center"/>
              <w:rPr>
                <w:rFonts w:asciiTheme="minorHAnsi" w:hAnsiTheme="minorHAnsi"/>
                <w:sz w:val="20"/>
                <w:szCs w:val="20"/>
                <w:lang w:val="en-AU"/>
              </w:rPr>
            </w:pPr>
            <w:r>
              <w:rPr>
                <w:rFonts w:asciiTheme="minorHAnsi" w:hAnsiTheme="minorHAnsi"/>
                <w:sz w:val="20"/>
                <w:szCs w:val="20"/>
                <w:lang w:val="en-AU"/>
              </w:rPr>
              <w:t>4</w:t>
            </w:r>
          </w:p>
        </w:tc>
        <w:tc>
          <w:tcPr>
            <w:tcW w:w="686" w:type="pct"/>
            <w:shd w:val="clear" w:color="auto" w:fill="92D050"/>
            <w:vAlign w:val="center"/>
          </w:tcPr>
          <w:p w:rsidR="007C6065" w:rsidRPr="00CB10AD" w:rsidRDefault="007C6065" w:rsidP="003D2DAC">
            <w:pPr>
              <w:spacing w:before="60" w:after="60"/>
              <w:jc w:val="center"/>
              <w:rPr>
                <w:sz w:val="20"/>
                <w:szCs w:val="20"/>
                <w:lang w:val="en-AU"/>
              </w:rPr>
            </w:pPr>
            <w:r w:rsidRPr="00CB10AD">
              <w:rPr>
                <w:sz w:val="20"/>
                <w:szCs w:val="20"/>
                <w:lang w:val="en-AU"/>
              </w:rPr>
              <w:t>5</w:t>
            </w:r>
          </w:p>
        </w:tc>
        <w:tc>
          <w:tcPr>
            <w:tcW w:w="686" w:type="pct"/>
            <w:shd w:val="clear" w:color="auto" w:fill="FFFF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686" w:type="pct"/>
            <w:shd w:val="clear" w:color="auto" w:fill="FFFF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686" w:type="pct"/>
            <w:shd w:val="clear" w:color="auto" w:fill="DBE5F1" w:themeFill="accent1" w:themeFillTint="33"/>
            <w:vAlign w:val="center"/>
          </w:tcPr>
          <w:p w:rsidR="007C6065" w:rsidRPr="00CB10AD" w:rsidRDefault="007C6065" w:rsidP="00E369C9">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4.</w:t>
            </w:r>
            <w:r w:rsidR="00E369C9">
              <w:rPr>
                <w:rFonts w:asciiTheme="minorHAnsi" w:hAnsiTheme="minorHAnsi"/>
                <w:b/>
                <w:sz w:val="20"/>
                <w:szCs w:val="20"/>
                <w:lang w:val="en-AU"/>
              </w:rPr>
              <w:t>25</w:t>
            </w:r>
          </w:p>
        </w:tc>
        <w:tc>
          <w:tcPr>
            <w:tcW w:w="686" w:type="pct"/>
            <w:shd w:val="clear" w:color="auto" w:fill="DBE5F1" w:themeFill="accent1" w:themeFillTint="33"/>
            <w:vAlign w:val="center"/>
          </w:tcPr>
          <w:p w:rsidR="007C6065" w:rsidRPr="00CB10AD" w:rsidRDefault="00E5319C" w:rsidP="00E5319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4.00</w:t>
            </w:r>
          </w:p>
        </w:tc>
      </w:tr>
      <w:tr w:rsidR="007C6065" w:rsidRPr="00CB10AD" w:rsidTr="00196F93">
        <w:trPr>
          <w:trHeight w:val="593"/>
          <w:jc w:val="center"/>
        </w:trPr>
        <w:tc>
          <w:tcPr>
            <w:tcW w:w="882" w:type="pct"/>
            <w:vAlign w:val="center"/>
          </w:tcPr>
          <w:p w:rsidR="007C6065" w:rsidRPr="00CB10AD" w:rsidRDefault="007C6065" w:rsidP="003D2DAC">
            <w:pPr>
              <w:spacing w:before="60" w:after="60"/>
              <w:rPr>
                <w:rFonts w:asciiTheme="minorHAnsi" w:hAnsiTheme="minorHAnsi"/>
                <w:b/>
                <w:sz w:val="20"/>
                <w:szCs w:val="20"/>
                <w:lang w:val="en-AU"/>
              </w:rPr>
            </w:pPr>
            <w:r w:rsidRPr="00CB10AD">
              <w:rPr>
                <w:rFonts w:asciiTheme="minorHAnsi" w:hAnsiTheme="minorHAnsi"/>
                <w:b/>
                <w:sz w:val="20"/>
                <w:szCs w:val="20"/>
                <w:lang w:val="en-AU"/>
              </w:rPr>
              <w:t>Efficiency</w:t>
            </w:r>
          </w:p>
        </w:tc>
        <w:tc>
          <w:tcPr>
            <w:tcW w:w="686" w:type="pct"/>
            <w:shd w:val="clear" w:color="auto" w:fill="92D05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5</w:t>
            </w:r>
          </w:p>
        </w:tc>
        <w:tc>
          <w:tcPr>
            <w:tcW w:w="686" w:type="pct"/>
            <w:shd w:val="clear" w:color="auto" w:fill="FFC000"/>
            <w:vAlign w:val="center"/>
          </w:tcPr>
          <w:p w:rsidR="007C6065" w:rsidRPr="00CB10AD" w:rsidRDefault="007269E9" w:rsidP="003D2DAC">
            <w:pPr>
              <w:spacing w:before="60" w:after="60"/>
              <w:jc w:val="center"/>
              <w:rPr>
                <w:rFonts w:asciiTheme="minorHAnsi" w:hAnsiTheme="minorHAnsi"/>
                <w:sz w:val="20"/>
                <w:szCs w:val="20"/>
                <w:lang w:val="en-AU"/>
              </w:rPr>
            </w:pPr>
            <w:r>
              <w:rPr>
                <w:rFonts w:asciiTheme="minorHAnsi" w:hAnsiTheme="minorHAnsi"/>
                <w:sz w:val="20"/>
                <w:szCs w:val="20"/>
                <w:lang w:val="en-AU"/>
              </w:rPr>
              <w:t>3</w:t>
            </w:r>
          </w:p>
        </w:tc>
        <w:tc>
          <w:tcPr>
            <w:tcW w:w="686" w:type="pct"/>
            <w:shd w:val="clear" w:color="auto" w:fill="92D05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5</w:t>
            </w:r>
          </w:p>
        </w:tc>
        <w:tc>
          <w:tcPr>
            <w:tcW w:w="686" w:type="pct"/>
            <w:shd w:val="clear" w:color="auto" w:fill="FFC0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3</w:t>
            </w:r>
          </w:p>
        </w:tc>
        <w:tc>
          <w:tcPr>
            <w:tcW w:w="686" w:type="pct"/>
            <w:shd w:val="clear" w:color="auto" w:fill="DBE5F1" w:themeFill="accent1" w:themeFillTint="33"/>
            <w:vAlign w:val="center"/>
          </w:tcPr>
          <w:p w:rsidR="007C6065" w:rsidRPr="00CB10AD" w:rsidRDefault="007269E9" w:rsidP="007269E9">
            <w:pPr>
              <w:spacing w:before="60" w:after="60"/>
              <w:jc w:val="center"/>
              <w:rPr>
                <w:rFonts w:asciiTheme="minorHAnsi" w:hAnsiTheme="minorHAnsi"/>
                <w:b/>
                <w:sz w:val="20"/>
                <w:szCs w:val="20"/>
                <w:lang w:val="en-AU"/>
              </w:rPr>
            </w:pPr>
            <w:r>
              <w:rPr>
                <w:rFonts w:asciiTheme="minorHAnsi" w:hAnsiTheme="minorHAnsi"/>
                <w:b/>
                <w:sz w:val="20"/>
                <w:szCs w:val="20"/>
                <w:lang w:val="en-AU"/>
              </w:rPr>
              <w:t>4</w:t>
            </w:r>
            <w:r w:rsidR="007C6065" w:rsidRPr="00CB10AD">
              <w:rPr>
                <w:rFonts w:asciiTheme="minorHAnsi" w:hAnsiTheme="minorHAnsi"/>
                <w:b/>
                <w:sz w:val="20"/>
                <w:szCs w:val="20"/>
                <w:lang w:val="en-AU"/>
              </w:rPr>
              <w:t>.</w:t>
            </w:r>
            <w:r>
              <w:rPr>
                <w:rFonts w:asciiTheme="minorHAnsi" w:hAnsiTheme="minorHAnsi"/>
                <w:b/>
                <w:sz w:val="20"/>
                <w:szCs w:val="20"/>
                <w:lang w:val="en-AU"/>
              </w:rPr>
              <w:t>00</w:t>
            </w:r>
          </w:p>
        </w:tc>
        <w:tc>
          <w:tcPr>
            <w:tcW w:w="686" w:type="pct"/>
            <w:shd w:val="clear" w:color="auto" w:fill="DBE5F1" w:themeFill="accent1" w:themeFillTint="33"/>
            <w:vAlign w:val="center"/>
          </w:tcPr>
          <w:p w:rsidR="007C6065" w:rsidRPr="00CB10AD" w:rsidRDefault="00E5319C" w:rsidP="00E5319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4.00</w:t>
            </w:r>
          </w:p>
        </w:tc>
      </w:tr>
      <w:tr w:rsidR="007C6065" w:rsidRPr="00CB10AD" w:rsidTr="00DA1B0C">
        <w:trPr>
          <w:trHeight w:val="610"/>
          <w:jc w:val="center"/>
        </w:trPr>
        <w:tc>
          <w:tcPr>
            <w:tcW w:w="882" w:type="pct"/>
            <w:vAlign w:val="center"/>
          </w:tcPr>
          <w:p w:rsidR="007C6065" w:rsidRPr="00CB10AD" w:rsidRDefault="007C6065" w:rsidP="003D2DAC">
            <w:pPr>
              <w:spacing w:before="60" w:after="60"/>
              <w:rPr>
                <w:rFonts w:asciiTheme="minorHAnsi" w:hAnsiTheme="minorHAnsi"/>
                <w:b/>
                <w:sz w:val="20"/>
                <w:szCs w:val="20"/>
                <w:lang w:val="en-AU"/>
              </w:rPr>
            </w:pPr>
            <w:r w:rsidRPr="00CB10AD">
              <w:rPr>
                <w:rFonts w:asciiTheme="minorHAnsi" w:hAnsiTheme="minorHAnsi"/>
                <w:b/>
                <w:sz w:val="20"/>
                <w:szCs w:val="20"/>
                <w:lang w:val="en-AU"/>
              </w:rPr>
              <w:t>Effectiveness</w:t>
            </w:r>
          </w:p>
        </w:tc>
        <w:tc>
          <w:tcPr>
            <w:tcW w:w="686" w:type="pct"/>
            <w:shd w:val="clear" w:color="auto" w:fill="FFC0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3</w:t>
            </w:r>
          </w:p>
        </w:tc>
        <w:tc>
          <w:tcPr>
            <w:tcW w:w="686" w:type="pct"/>
            <w:shd w:val="clear" w:color="auto" w:fill="FFFFFF" w:themeFill="background1"/>
            <w:vAlign w:val="center"/>
          </w:tcPr>
          <w:p w:rsidR="007C6065" w:rsidRPr="00CB10AD" w:rsidRDefault="007C6065" w:rsidP="003D2DAC">
            <w:pPr>
              <w:spacing w:before="60" w:after="60"/>
              <w:jc w:val="center"/>
              <w:rPr>
                <w:sz w:val="20"/>
                <w:szCs w:val="20"/>
                <w:lang w:val="en-AU"/>
              </w:rPr>
            </w:pPr>
            <w:r w:rsidRPr="00CB10AD">
              <w:rPr>
                <w:sz w:val="20"/>
                <w:szCs w:val="20"/>
                <w:lang w:val="en-AU"/>
              </w:rPr>
              <w:t>TE</w:t>
            </w:r>
          </w:p>
        </w:tc>
        <w:tc>
          <w:tcPr>
            <w:tcW w:w="686" w:type="pct"/>
            <w:shd w:val="clear" w:color="auto" w:fill="FFFF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686" w:type="pct"/>
            <w:shd w:val="clear" w:color="auto" w:fill="FFFF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686" w:type="pct"/>
            <w:shd w:val="clear" w:color="auto" w:fill="DBE5F1" w:themeFill="accent1" w:themeFillTint="33"/>
            <w:vAlign w:val="center"/>
          </w:tcPr>
          <w:p w:rsidR="007C6065" w:rsidRPr="00CB10AD" w:rsidRDefault="007C6065" w:rsidP="003D2DA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3.66</w:t>
            </w:r>
          </w:p>
        </w:tc>
        <w:tc>
          <w:tcPr>
            <w:tcW w:w="686" w:type="pct"/>
            <w:shd w:val="clear" w:color="auto" w:fill="DBE5F1" w:themeFill="accent1" w:themeFillTint="33"/>
            <w:vAlign w:val="center"/>
          </w:tcPr>
          <w:p w:rsidR="007C6065" w:rsidRPr="00CB10AD" w:rsidRDefault="00E5319C" w:rsidP="00E5319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4.00</w:t>
            </w:r>
          </w:p>
        </w:tc>
      </w:tr>
      <w:tr w:rsidR="007C6065" w:rsidRPr="00CB10AD" w:rsidTr="00DA1B0C">
        <w:trPr>
          <w:trHeight w:val="717"/>
          <w:jc w:val="center"/>
        </w:trPr>
        <w:tc>
          <w:tcPr>
            <w:tcW w:w="882" w:type="pct"/>
            <w:vAlign w:val="center"/>
          </w:tcPr>
          <w:p w:rsidR="007C6065" w:rsidRPr="00CB10AD" w:rsidRDefault="007C6065" w:rsidP="003D2DAC">
            <w:pPr>
              <w:spacing w:before="60" w:after="60"/>
              <w:rPr>
                <w:rFonts w:asciiTheme="minorHAnsi" w:hAnsiTheme="minorHAnsi"/>
                <w:b/>
                <w:sz w:val="20"/>
                <w:szCs w:val="20"/>
                <w:lang w:val="en-AU"/>
              </w:rPr>
            </w:pPr>
            <w:r w:rsidRPr="00CB10AD">
              <w:rPr>
                <w:rFonts w:asciiTheme="minorHAnsi" w:hAnsiTheme="minorHAnsi"/>
                <w:b/>
                <w:sz w:val="20"/>
                <w:szCs w:val="20"/>
                <w:lang w:val="en-AU"/>
              </w:rPr>
              <w:t>Impact</w:t>
            </w:r>
          </w:p>
        </w:tc>
        <w:tc>
          <w:tcPr>
            <w:tcW w:w="686" w:type="pct"/>
            <w:shd w:val="clear" w:color="auto" w:fill="FFFFFF" w:themeFill="background1"/>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686" w:type="pct"/>
            <w:shd w:val="clear" w:color="auto" w:fill="FFFFFF" w:themeFill="background1"/>
            <w:vAlign w:val="center"/>
          </w:tcPr>
          <w:p w:rsidR="007C6065" w:rsidRPr="00CB10AD" w:rsidRDefault="007C6065" w:rsidP="003D2DAC">
            <w:pPr>
              <w:spacing w:before="60" w:after="60"/>
              <w:jc w:val="center"/>
              <w:rPr>
                <w:sz w:val="20"/>
                <w:szCs w:val="20"/>
                <w:lang w:val="en-AU"/>
              </w:rPr>
            </w:pPr>
            <w:r w:rsidRPr="00CB10AD">
              <w:rPr>
                <w:sz w:val="20"/>
                <w:szCs w:val="20"/>
                <w:lang w:val="en-AU"/>
              </w:rPr>
              <w:t>TE</w:t>
            </w:r>
          </w:p>
        </w:tc>
        <w:tc>
          <w:tcPr>
            <w:tcW w:w="686" w:type="pct"/>
            <w:shd w:val="clear" w:color="auto" w:fill="FFFFFF" w:themeFill="background1"/>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686" w:type="pct"/>
            <w:shd w:val="clear" w:color="auto" w:fill="FFFFFF" w:themeFill="background1"/>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TE</w:t>
            </w:r>
          </w:p>
        </w:tc>
        <w:tc>
          <w:tcPr>
            <w:tcW w:w="686" w:type="pct"/>
            <w:shd w:val="clear" w:color="auto" w:fill="DBE5F1" w:themeFill="accent1" w:themeFillTint="33"/>
            <w:vAlign w:val="center"/>
          </w:tcPr>
          <w:p w:rsidR="007C6065" w:rsidRPr="00CB10AD" w:rsidRDefault="007C6065" w:rsidP="003D2DA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TE</w:t>
            </w:r>
          </w:p>
        </w:tc>
        <w:tc>
          <w:tcPr>
            <w:tcW w:w="686" w:type="pct"/>
            <w:shd w:val="clear" w:color="auto" w:fill="DBE5F1" w:themeFill="accent1" w:themeFillTint="33"/>
            <w:vAlign w:val="center"/>
          </w:tcPr>
          <w:p w:rsidR="007C6065" w:rsidRPr="00CB10AD" w:rsidRDefault="00E5319C" w:rsidP="00E5319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TE</w:t>
            </w:r>
          </w:p>
        </w:tc>
      </w:tr>
      <w:tr w:rsidR="007C6065" w:rsidRPr="00CB10AD" w:rsidTr="00196F93">
        <w:trPr>
          <w:trHeight w:val="610"/>
          <w:jc w:val="center"/>
        </w:trPr>
        <w:tc>
          <w:tcPr>
            <w:tcW w:w="882" w:type="pct"/>
            <w:vAlign w:val="center"/>
          </w:tcPr>
          <w:p w:rsidR="007C6065" w:rsidRPr="00CB10AD" w:rsidRDefault="007C6065" w:rsidP="003D2DAC">
            <w:pPr>
              <w:spacing w:before="60" w:after="60"/>
              <w:rPr>
                <w:rFonts w:asciiTheme="minorHAnsi" w:hAnsiTheme="minorHAnsi"/>
                <w:b/>
                <w:sz w:val="20"/>
                <w:szCs w:val="20"/>
                <w:lang w:val="en-AU"/>
              </w:rPr>
            </w:pPr>
            <w:r w:rsidRPr="00CB10AD">
              <w:rPr>
                <w:rFonts w:asciiTheme="minorHAnsi" w:hAnsiTheme="minorHAnsi"/>
                <w:b/>
                <w:sz w:val="20"/>
                <w:szCs w:val="20"/>
                <w:lang w:val="en-AU"/>
              </w:rPr>
              <w:t>Sustainability</w:t>
            </w:r>
          </w:p>
        </w:tc>
        <w:tc>
          <w:tcPr>
            <w:tcW w:w="686" w:type="pct"/>
            <w:shd w:val="clear" w:color="auto" w:fill="FFFF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4</w:t>
            </w:r>
          </w:p>
        </w:tc>
        <w:tc>
          <w:tcPr>
            <w:tcW w:w="686" w:type="pct"/>
            <w:shd w:val="clear" w:color="auto" w:fill="FFC000"/>
            <w:vAlign w:val="center"/>
          </w:tcPr>
          <w:p w:rsidR="007C6065" w:rsidRPr="00CB10AD" w:rsidRDefault="007C6065" w:rsidP="003D2DAC">
            <w:pPr>
              <w:spacing w:before="60" w:after="60"/>
              <w:jc w:val="center"/>
              <w:rPr>
                <w:sz w:val="20"/>
                <w:szCs w:val="20"/>
                <w:lang w:val="en-AU"/>
              </w:rPr>
            </w:pPr>
            <w:r w:rsidRPr="00CB10AD">
              <w:rPr>
                <w:sz w:val="20"/>
                <w:szCs w:val="20"/>
                <w:lang w:val="en-AU"/>
              </w:rPr>
              <w:t>3</w:t>
            </w:r>
          </w:p>
        </w:tc>
        <w:tc>
          <w:tcPr>
            <w:tcW w:w="686" w:type="pct"/>
            <w:shd w:val="clear" w:color="auto" w:fill="FF0000"/>
            <w:vAlign w:val="center"/>
          </w:tcPr>
          <w:p w:rsidR="007C6065" w:rsidRPr="00CB10AD" w:rsidRDefault="007C6065" w:rsidP="003D2DAC">
            <w:pPr>
              <w:spacing w:before="60" w:after="60"/>
              <w:jc w:val="center"/>
              <w:rPr>
                <w:rFonts w:asciiTheme="minorHAnsi" w:hAnsiTheme="minorHAnsi"/>
                <w:sz w:val="20"/>
                <w:szCs w:val="20"/>
                <w:lang w:val="en-AU"/>
              </w:rPr>
            </w:pPr>
            <w:r w:rsidRPr="00CB10AD">
              <w:rPr>
                <w:rFonts w:asciiTheme="minorHAnsi" w:hAnsiTheme="minorHAnsi"/>
                <w:sz w:val="20"/>
                <w:szCs w:val="20"/>
                <w:lang w:val="en-AU"/>
              </w:rPr>
              <w:t>2</w:t>
            </w:r>
          </w:p>
        </w:tc>
        <w:tc>
          <w:tcPr>
            <w:tcW w:w="686" w:type="pct"/>
            <w:shd w:val="clear" w:color="auto" w:fill="FFFF00"/>
            <w:vAlign w:val="center"/>
          </w:tcPr>
          <w:p w:rsidR="007C6065" w:rsidRPr="00CB10AD" w:rsidRDefault="007269E9" w:rsidP="003D2DAC">
            <w:pPr>
              <w:spacing w:before="60" w:after="60"/>
              <w:jc w:val="center"/>
              <w:rPr>
                <w:rFonts w:asciiTheme="minorHAnsi" w:hAnsiTheme="minorHAnsi"/>
                <w:sz w:val="20"/>
                <w:szCs w:val="20"/>
                <w:lang w:val="en-AU"/>
              </w:rPr>
            </w:pPr>
            <w:r>
              <w:rPr>
                <w:rFonts w:asciiTheme="minorHAnsi" w:hAnsiTheme="minorHAnsi"/>
                <w:sz w:val="20"/>
                <w:szCs w:val="20"/>
                <w:lang w:val="en-AU"/>
              </w:rPr>
              <w:t>4</w:t>
            </w:r>
          </w:p>
        </w:tc>
        <w:tc>
          <w:tcPr>
            <w:tcW w:w="686" w:type="pct"/>
            <w:shd w:val="clear" w:color="auto" w:fill="DBE5F1" w:themeFill="accent1" w:themeFillTint="33"/>
            <w:vAlign w:val="center"/>
          </w:tcPr>
          <w:p w:rsidR="007C6065" w:rsidRPr="00CB10AD" w:rsidRDefault="007C6065" w:rsidP="007269E9">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3.</w:t>
            </w:r>
            <w:r w:rsidR="007269E9">
              <w:rPr>
                <w:rFonts w:asciiTheme="minorHAnsi" w:hAnsiTheme="minorHAnsi"/>
                <w:b/>
                <w:sz w:val="20"/>
                <w:szCs w:val="20"/>
                <w:lang w:val="en-AU"/>
              </w:rPr>
              <w:t>25</w:t>
            </w:r>
          </w:p>
        </w:tc>
        <w:tc>
          <w:tcPr>
            <w:tcW w:w="686" w:type="pct"/>
            <w:shd w:val="clear" w:color="auto" w:fill="DBE5F1" w:themeFill="accent1" w:themeFillTint="33"/>
            <w:vAlign w:val="center"/>
          </w:tcPr>
          <w:p w:rsidR="007C6065" w:rsidRPr="00CB10AD" w:rsidRDefault="00E5319C" w:rsidP="00E5319C">
            <w:pPr>
              <w:spacing w:before="60" w:after="60"/>
              <w:jc w:val="center"/>
              <w:rPr>
                <w:rFonts w:asciiTheme="minorHAnsi" w:hAnsiTheme="minorHAnsi"/>
                <w:b/>
                <w:sz w:val="20"/>
                <w:szCs w:val="20"/>
                <w:lang w:val="en-AU"/>
              </w:rPr>
            </w:pPr>
            <w:r w:rsidRPr="00CB10AD">
              <w:rPr>
                <w:rFonts w:asciiTheme="minorHAnsi" w:hAnsiTheme="minorHAnsi"/>
                <w:b/>
                <w:sz w:val="20"/>
                <w:szCs w:val="20"/>
                <w:lang w:val="en-AU"/>
              </w:rPr>
              <w:t>3.00</w:t>
            </w:r>
          </w:p>
        </w:tc>
      </w:tr>
    </w:tbl>
    <w:p w:rsidR="00146082" w:rsidRPr="00CB10AD" w:rsidRDefault="00146082" w:rsidP="00146082">
      <w:pPr>
        <w:spacing w:before="120" w:after="120"/>
        <w:rPr>
          <w:lang w:val="en-AU"/>
        </w:rPr>
      </w:pPr>
    </w:p>
    <w:p w:rsidR="00146082" w:rsidRPr="00CB10AD" w:rsidRDefault="00146082" w:rsidP="00146082">
      <w:pPr>
        <w:spacing w:after="240" w:line="276" w:lineRule="auto"/>
        <w:jc w:val="both"/>
        <w:rPr>
          <w:rFonts w:asciiTheme="minorHAnsi" w:eastAsia="Calibri" w:hAnsiTheme="minorHAnsi" w:cstheme="minorHAnsi"/>
          <w:lang w:val="en-AU"/>
        </w:rPr>
      </w:pPr>
      <w:r w:rsidRPr="00CB10AD">
        <w:rPr>
          <w:rFonts w:asciiTheme="minorHAnsi" w:hAnsiTheme="minorHAnsi" w:cstheme="minorHAnsi"/>
          <w:lang w:val="en-AU"/>
        </w:rPr>
        <w:t xml:space="preserve">Whilst the broad scope of the component interventions remains </w:t>
      </w:r>
      <w:r w:rsidRPr="00CB10AD">
        <w:rPr>
          <w:rFonts w:asciiTheme="minorHAnsi" w:hAnsiTheme="minorHAnsi" w:cstheme="minorHAnsi"/>
          <w:b/>
          <w:lang w:val="en-AU"/>
        </w:rPr>
        <w:t>relevant</w:t>
      </w:r>
      <w:r w:rsidRPr="00CB10AD">
        <w:rPr>
          <w:rFonts w:asciiTheme="minorHAnsi" w:hAnsiTheme="minorHAnsi" w:cstheme="minorHAnsi"/>
          <w:lang w:val="en-AU"/>
        </w:rPr>
        <w:t xml:space="preserve"> with respect to national policies and priorities, two points are noteworthy. A</w:t>
      </w:r>
      <w:r w:rsidRPr="00CB10AD">
        <w:rPr>
          <w:rFonts w:asciiTheme="minorHAnsi" w:eastAsia="Calibri" w:hAnsiTheme="minorHAnsi" w:cstheme="minorHAnsi"/>
          <w:lang w:val="en-AU"/>
        </w:rPr>
        <w:t xml:space="preserve">ny decline in the relative political importance of an EP investment may undermine expected results and should therefore be monitored closely. In addition, the extent to which program activities and outputs are fully consistent with the attainment of stated objectives is not always certain. </w:t>
      </w:r>
    </w:p>
    <w:p w:rsidR="00146082" w:rsidRPr="00CB10AD" w:rsidRDefault="007269E9" w:rsidP="00146082">
      <w:pPr>
        <w:spacing w:after="240" w:line="276" w:lineRule="auto"/>
        <w:jc w:val="both"/>
        <w:rPr>
          <w:rFonts w:asciiTheme="minorHAnsi" w:hAnsiTheme="minorHAnsi" w:cstheme="minorHAnsi"/>
          <w:lang w:val="en-AU"/>
        </w:rPr>
      </w:pPr>
      <w:r>
        <w:rPr>
          <w:rFonts w:asciiTheme="minorHAnsi" w:hAnsiTheme="minorHAnsi" w:cstheme="minorHAnsi"/>
          <w:lang w:val="en-AU"/>
        </w:rPr>
        <w:t>T</w:t>
      </w:r>
      <w:r w:rsidR="00146082" w:rsidRPr="00CB10AD">
        <w:rPr>
          <w:rFonts w:asciiTheme="minorHAnsi" w:hAnsiTheme="minorHAnsi" w:cstheme="minorHAnsi"/>
          <w:lang w:val="en-AU"/>
        </w:rPr>
        <w:t xml:space="preserve">he EP scores well with respect to </w:t>
      </w:r>
      <w:r w:rsidR="00146082" w:rsidRPr="00CB10AD">
        <w:rPr>
          <w:rFonts w:asciiTheme="minorHAnsi" w:hAnsiTheme="minorHAnsi" w:cstheme="minorHAnsi"/>
          <w:b/>
          <w:lang w:val="en-AU"/>
        </w:rPr>
        <w:t>efficiency</w:t>
      </w:r>
      <w:r w:rsidR="00146082" w:rsidRPr="00CB10AD">
        <w:rPr>
          <w:rFonts w:asciiTheme="minorHAnsi" w:hAnsiTheme="minorHAnsi" w:cstheme="minorHAnsi"/>
          <w:lang w:val="en-AU"/>
        </w:rPr>
        <w:t xml:space="preserve">, reflecting pragmatic management choices and the attention paid to the achievement of tangible outputs. This short-term focus on transactional management is and will continue to be justified so long as the balance of attention now transfers to achieving higher order objectives and therefore to </w:t>
      </w:r>
      <w:r w:rsidR="00146082" w:rsidRPr="00CB10AD">
        <w:rPr>
          <w:rFonts w:asciiTheme="minorHAnsi" w:hAnsiTheme="minorHAnsi" w:cstheme="minorHAnsi"/>
          <w:b/>
          <w:lang w:val="en-AU"/>
        </w:rPr>
        <w:t>effectiveness</w:t>
      </w:r>
      <w:r w:rsidR="00146082" w:rsidRPr="00CB10AD">
        <w:rPr>
          <w:rFonts w:asciiTheme="minorHAnsi" w:hAnsiTheme="minorHAnsi" w:cstheme="minorHAnsi"/>
          <w:lang w:val="en-AU"/>
        </w:rPr>
        <w:t xml:space="preserve">. To that end, it is opportune at this mid-point of the EP to take stock of the situation, to re-focus attention on the achievement of the EOPOs, and to pursue measures that will enhance the probability of benefits being sustained. By committing to and targeting the achievement of the EOPOs (as well as the EOCOs), it is possible to build upon progress to date. </w:t>
      </w:r>
    </w:p>
    <w:p w:rsidR="00146082" w:rsidRPr="00CB10AD" w:rsidRDefault="00146082" w:rsidP="00146082">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 xml:space="preserve">Whilst it is too early to make a definitive judgment on the achievement of </w:t>
      </w:r>
      <w:r w:rsidRPr="00CB10AD">
        <w:rPr>
          <w:rFonts w:asciiTheme="minorHAnsi" w:hAnsiTheme="minorHAnsi" w:cstheme="minorHAnsi"/>
          <w:b/>
          <w:lang w:val="en-AU"/>
        </w:rPr>
        <w:t>impact</w:t>
      </w:r>
      <w:r w:rsidRPr="00CB10AD">
        <w:rPr>
          <w:rFonts w:asciiTheme="minorHAnsi" w:hAnsiTheme="minorHAnsi" w:cstheme="minorHAnsi"/>
          <w:lang w:val="en-AU"/>
        </w:rPr>
        <w:t xml:space="preserve">, it is apparent that the prospects for impact will be enhanced should EP institutional partners place more emphasis upon systemic change. Again, the challenge for the EP managers is to weigh up the balance between short- and long-term benefits. The APPR argues that both can be achieved but that proactive </w:t>
      </w:r>
      <w:r w:rsidRPr="00CB10AD">
        <w:rPr>
          <w:rFonts w:asciiTheme="minorHAnsi" w:hAnsiTheme="minorHAnsi" w:cstheme="minorHAnsi"/>
          <w:lang w:val="en-AU"/>
        </w:rPr>
        <w:lastRenderedPageBreak/>
        <w:t xml:space="preserve">management choices now need to be made in favour of securing longer term benefits. In a similar vein, the pursuit of </w:t>
      </w:r>
      <w:r w:rsidRPr="00CB10AD">
        <w:rPr>
          <w:rFonts w:asciiTheme="minorHAnsi" w:hAnsiTheme="minorHAnsi" w:cstheme="minorHAnsi"/>
          <w:b/>
          <w:lang w:val="en-AU"/>
        </w:rPr>
        <w:t>sustainability</w:t>
      </w:r>
      <w:r w:rsidRPr="00CB10AD">
        <w:rPr>
          <w:rFonts w:asciiTheme="minorHAnsi" w:hAnsiTheme="minorHAnsi" w:cstheme="minorHAnsi"/>
          <w:lang w:val="en-AU"/>
        </w:rPr>
        <w:t xml:space="preserve"> requires greater engagement with subnational entities so as to ensure viability and ownership of outputs and outcomes.</w:t>
      </w:r>
    </w:p>
    <w:p w:rsidR="00720A3E" w:rsidRPr="00CB10AD" w:rsidRDefault="00146082" w:rsidP="00146082">
      <w:pPr>
        <w:spacing w:after="240" w:line="276" w:lineRule="auto"/>
        <w:jc w:val="both"/>
        <w:rPr>
          <w:rFonts w:asciiTheme="minorHAnsi" w:hAnsiTheme="minorHAnsi" w:cstheme="minorHAnsi"/>
          <w:lang w:val="en-AU"/>
        </w:rPr>
      </w:pPr>
      <w:r w:rsidRPr="00CB10AD">
        <w:rPr>
          <w:rFonts w:asciiTheme="minorHAnsi" w:hAnsiTheme="minorHAnsi" w:cstheme="minorHAnsi"/>
          <w:lang w:val="en-AU"/>
        </w:rPr>
        <w:t>By assigning scores to each of the components, it is hoped that this performance report provides a challenge and motivation for institutional partners and implementing agencies to increase the relevance of the EP interventions; improve the efficiency and effectiveness of their work; and enhance prospects for impact and sustainability.</w:t>
      </w:r>
    </w:p>
    <w:p w:rsidR="00D06F80" w:rsidRPr="00CB10AD" w:rsidRDefault="00D06F80">
      <w:pPr>
        <w:rPr>
          <w:b/>
          <w:color w:val="FFFFFF" w:themeColor="background1"/>
          <w:sz w:val="36"/>
          <w:szCs w:val="36"/>
          <w:lang w:val="en-AU"/>
        </w:rPr>
      </w:pPr>
      <w:r w:rsidRPr="00CB10AD">
        <w:rPr>
          <w:b/>
          <w:color w:val="FFFFFF" w:themeColor="background1"/>
          <w:sz w:val="36"/>
          <w:szCs w:val="36"/>
          <w:lang w:val="en-AU"/>
        </w:rPr>
        <w:br w:type="page"/>
      </w:r>
    </w:p>
    <w:p w:rsidR="00D06F80" w:rsidRPr="00CB10AD" w:rsidRDefault="00D06F80" w:rsidP="00720A3E">
      <w:pPr>
        <w:tabs>
          <w:tab w:val="left" w:pos="2977"/>
        </w:tabs>
        <w:ind w:left="2880"/>
        <w:rPr>
          <w:b/>
          <w:color w:val="FFFFFF" w:themeColor="background1"/>
          <w:sz w:val="36"/>
          <w:szCs w:val="36"/>
          <w:lang w:val="en-AU"/>
        </w:rPr>
      </w:pPr>
    </w:p>
    <w:p w:rsidR="00720A3E" w:rsidRPr="00CB10AD" w:rsidRDefault="00720A3E" w:rsidP="00720A3E">
      <w:pPr>
        <w:rPr>
          <w:lang w:val="en-AU"/>
        </w:rPr>
        <w:sectPr w:rsidR="00720A3E" w:rsidRPr="00CB10AD" w:rsidSect="00D06F80">
          <w:footnotePr>
            <w:numRestart w:val="eachSect"/>
          </w:footnotePr>
          <w:endnotePr>
            <w:numRestart w:val="eachSect"/>
          </w:endnotePr>
          <w:type w:val="oddPage"/>
          <w:pgSz w:w="11909" w:h="16834" w:code="9"/>
          <w:pgMar w:top="1440" w:right="1440" w:bottom="1440" w:left="1440" w:header="432" w:footer="720" w:gutter="0"/>
          <w:cols w:space="720"/>
          <w:docGrid w:linePitch="360"/>
        </w:sectPr>
      </w:pPr>
    </w:p>
    <w:p w:rsidR="00D06F80" w:rsidRPr="00CB10AD" w:rsidRDefault="00D06F80" w:rsidP="00D06F80">
      <w:pPr>
        <w:spacing w:before="120"/>
        <w:rPr>
          <w:szCs w:val="20"/>
          <w:lang w:val="en-AU"/>
        </w:rPr>
      </w:pPr>
      <w:r w:rsidRPr="00CB10AD">
        <w:rPr>
          <w:b/>
          <w:noProof/>
          <w:szCs w:val="20"/>
          <w:lang w:val="en-AU" w:eastAsia="en-AU"/>
        </w:rPr>
        <w:lastRenderedPageBreak/>
        <w:drawing>
          <wp:anchor distT="0" distB="0" distL="114300" distR="114300" simplePos="0" relativeHeight="251684864" behindDoc="0" locked="1" layoutInCell="0" allowOverlap="1" wp14:anchorId="3CAA86AE" wp14:editId="74FD9C3F">
            <wp:simplePos x="0" y="0"/>
            <wp:positionH relativeFrom="column">
              <wp:posOffset>-714375</wp:posOffset>
            </wp:positionH>
            <wp:positionV relativeFrom="page">
              <wp:posOffset>9959340</wp:posOffset>
            </wp:positionV>
            <wp:extent cx="7086600" cy="401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noProof/>
          <w:sz w:val="40"/>
          <w:szCs w:val="40"/>
          <w:lang w:val="en-AU" w:eastAsia="en-AU"/>
        </w:rPr>
        <w:drawing>
          <wp:anchor distT="0" distB="0" distL="114300" distR="114300" simplePos="0" relativeHeight="251685888" behindDoc="0" locked="1" layoutInCell="0" allowOverlap="1" wp14:anchorId="40601153" wp14:editId="40858155">
            <wp:simplePos x="0" y="0"/>
            <wp:positionH relativeFrom="column">
              <wp:posOffset>3299460</wp:posOffset>
            </wp:positionH>
            <wp:positionV relativeFrom="page">
              <wp:posOffset>4949825</wp:posOffset>
            </wp:positionV>
            <wp:extent cx="372110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Red stripe2.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11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i/>
          <w:noProof/>
          <w:sz w:val="18"/>
          <w:szCs w:val="18"/>
          <w:lang w:val="en-AU" w:eastAsia="en-AU"/>
        </w:rPr>
        <mc:AlternateContent>
          <mc:Choice Requires="wps">
            <w:drawing>
              <wp:anchor distT="0" distB="0" distL="114300" distR="114300" simplePos="0" relativeHeight="251683840" behindDoc="1" locked="1" layoutInCell="1" allowOverlap="1" wp14:anchorId="5CBF6E19" wp14:editId="36EF9537">
                <wp:simplePos x="0" y="0"/>
                <wp:positionH relativeFrom="column">
                  <wp:posOffset>-914400</wp:posOffset>
                </wp:positionH>
                <wp:positionV relativeFrom="page">
                  <wp:posOffset>0</wp:posOffset>
                </wp:positionV>
                <wp:extent cx="7790180" cy="10713085"/>
                <wp:effectExtent l="0" t="0" r="1270" b="0"/>
                <wp:wrapNone/>
                <wp:docPr id="37" name="Rectangle 37"/>
                <wp:cNvGraphicFramePr/>
                <a:graphic xmlns:a="http://schemas.openxmlformats.org/drawingml/2006/main">
                  <a:graphicData uri="http://schemas.microsoft.com/office/word/2010/wordprocessingShape">
                    <wps:wsp>
                      <wps:cNvSpPr/>
                      <wps:spPr>
                        <a:xfrm>
                          <a:off x="0" y="0"/>
                          <a:ext cx="7790180" cy="10713085"/>
                        </a:xfrm>
                        <a:prstGeom prst="rect">
                          <a:avLst/>
                        </a:prstGeom>
                        <a:solidFill>
                          <a:srgbClr val="68BAD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in;margin-top:0;width:613.4pt;height:84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" fillcolor="#68bad6" stroked="f" strokeweight="2pt">
                <w10:wrap anchory="page"/>
                <w10:anchorlock/>
              </v:rect>
            </w:pict>
          </mc:Fallback>
        </mc:AlternateContent>
      </w: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ind w:left="3690"/>
        <w:rPr>
          <w:szCs w:val="20"/>
          <w:lang w:val="en-AU"/>
        </w:rPr>
      </w:pPr>
      <w:r w:rsidRPr="00CB10AD">
        <w:rPr>
          <w:b/>
          <w:color w:val="FFFFFF" w:themeColor="background1"/>
          <w:sz w:val="56"/>
          <w:szCs w:val="56"/>
          <w:lang w:val="en-AU"/>
        </w:rPr>
        <w:t>Annexes</w:t>
      </w:r>
    </w:p>
    <w:p w:rsidR="00D06F80" w:rsidRPr="00CB10AD" w:rsidRDefault="00D06F80" w:rsidP="00D06F80">
      <w:pPr>
        <w:spacing w:before="120"/>
        <w:ind w:left="3420" w:right="209"/>
        <w:rPr>
          <w:color w:val="FFFFFF" w:themeColor="background1"/>
          <w:szCs w:val="20"/>
          <w:lang w:val="en-AU"/>
        </w:rPr>
      </w:pPr>
    </w:p>
    <w:p w:rsidR="00D06F80" w:rsidRPr="00CB10AD" w:rsidRDefault="00D06F80" w:rsidP="00D06F80">
      <w:pPr>
        <w:spacing w:before="120"/>
        <w:rPr>
          <w:color w:val="FFFFFF" w:themeColor="background1"/>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rPr>
          <w:szCs w:val="20"/>
          <w:lang w:val="en-AU"/>
        </w:rPr>
      </w:pPr>
    </w:p>
    <w:p w:rsidR="00D06F80" w:rsidRPr="00CB10AD" w:rsidRDefault="00D06F80" w:rsidP="00D06F80">
      <w:pPr>
        <w:spacing w:before="120"/>
        <w:ind w:left="360"/>
        <w:rPr>
          <w:szCs w:val="20"/>
          <w:lang w:val="en-AU"/>
        </w:rPr>
      </w:pPr>
    </w:p>
    <w:p w:rsidR="00D06F80" w:rsidRPr="00CB10AD" w:rsidRDefault="00D06F80" w:rsidP="00D06F80">
      <w:pPr>
        <w:spacing w:before="120"/>
        <w:ind w:left="360"/>
        <w:rPr>
          <w:szCs w:val="20"/>
          <w:lang w:val="en-AU"/>
        </w:rPr>
        <w:sectPr w:rsidR="00D06F80" w:rsidRPr="00CB10AD" w:rsidSect="00D06F80">
          <w:headerReference w:type="default" r:id="rId35"/>
          <w:pgSz w:w="11907" w:h="16839" w:code="9"/>
          <w:pgMar w:top="1710" w:right="1440" w:bottom="1440" w:left="1440" w:header="720" w:footer="720" w:gutter="0"/>
          <w:cols w:space="720"/>
          <w:docGrid w:linePitch="360"/>
        </w:sectPr>
      </w:pPr>
    </w:p>
    <w:p w:rsidR="00D06F80" w:rsidRPr="00CB10AD" w:rsidRDefault="00D06F80" w:rsidP="00D06F80">
      <w:pPr>
        <w:keepNext/>
        <w:spacing w:before="480"/>
        <w:ind w:left="720" w:hanging="720"/>
        <w:outlineLvl w:val="0"/>
        <w:rPr>
          <w:rFonts w:asciiTheme="minorHAnsi" w:hAnsiTheme="minorHAnsi" w:cstheme="minorHAnsi"/>
          <w:bCs/>
          <w:color w:val="003880"/>
          <w:kern w:val="32"/>
          <w:sz w:val="32"/>
          <w:szCs w:val="72"/>
          <w:lang w:val="en-AU"/>
        </w:rPr>
      </w:pPr>
      <w:bookmarkStart w:id="66" w:name="_Toc379548513"/>
      <w:bookmarkStart w:id="67" w:name="_Toc388253143"/>
      <w:r w:rsidRPr="00CB10AD">
        <w:rPr>
          <w:noProof/>
          <w:szCs w:val="20"/>
          <w:lang w:val="en-AU" w:eastAsia="en-AU"/>
        </w:rPr>
        <w:lastRenderedPageBreak/>
        <w:drawing>
          <wp:anchor distT="0" distB="0" distL="114300" distR="114300" simplePos="0" relativeHeight="251686912" behindDoc="1" locked="0" layoutInCell="1" allowOverlap="1" wp14:anchorId="203C3A8C" wp14:editId="419EBEFD">
            <wp:simplePos x="0" y="0"/>
            <wp:positionH relativeFrom="column">
              <wp:posOffset>520263</wp:posOffset>
            </wp:positionH>
            <wp:positionV relativeFrom="paragraph">
              <wp:posOffset>457201</wp:posOffset>
            </wp:positionV>
            <wp:extent cx="7394028" cy="5545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00502" cy="5550375"/>
                    </a:xfrm>
                    <a:prstGeom prst="rect">
                      <a:avLst/>
                    </a:prstGeom>
                    <a:noFill/>
                  </pic:spPr>
                </pic:pic>
              </a:graphicData>
            </a:graphic>
            <wp14:sizeRelH relativeFrom="page">
              <wp14:pctWidth>0</wp14:pctWidth>
            </wp14:sizeRelH>
            <wp14:sizeRelV relativeFrom="page">
              <wp14:pctHeight>0</wp14:pctHeight>
            </wp14:sizeRelV>
          </wp:anchor>
        </w:drawing>
      </w:r>
      <w:r w:rsidRPr="00CB10AD">
        <w:rPr>
          <w:rFonts w:asciiTheme="minorHAnsi" w:hAnsiTheme="minorHAnsi" w:cstheme="minorHAnsi"/>
          <w:bCs/>
          <w:color w:val="003880"/>
          <w:kern w:val="32"/>
          <w:sz w:val="32"/>
          <w:szCs w:val="72"/>
          <w:lang w:val="en-AU"/>
        </w:rPr>
        <w:t>Annex I – EP Logic Architecture</w:t>
      </w:r>
      <w:bookmarkEnd w:id="66"/>
      <w:bookmarkEnd w:id="67"/>
    </w:p>
    <w:p w:rsidR="00D06F80" w:rsidRPr="00CB10AD" w:rsidRDefault="00D06F80" w:rsidP="00D06F80">
      <w:pPr>
        <w:spacing w:before="120"/>
        <w:jc w:val="center"/>
        <w:rPr>
          <w:szCs w:val="20"/>
          <w:lang w:val="en-AU"/>
        </w:rPr>
        <w:sectPr w:rsidR="00D06F80" w:rsidRPr="00CB10AD" w:rsidSect="00D06F80">
          <w:pgSz w:w="16839" w:h="11907" w:orient="landscape" w:code="9"/>
          <w:pgMar w:top="1440" w:right="1800" w:bottom="1440" w:left="1440" w:header="720" w:footer="720" w:gutter="0"/>
          <w:cols w:space="720"/>
          <w:docGrid w:linePitch="360"/>
        </w:sectPr>
      </w:pPr>
    </w:p>
    <w:p w:rsidR="007269E9" w:rsidRPr="00CB10AD" w:rsidRDefault="007269E9" w:rsidP="007269E9">
      <w:pPr>
        <w:keepNext/>
        <w:ind w:left="720" w:hanging="720"/>
        <w:outlineLvl w:val="0"/>
        <w:rPr>
          <w:rFonts w:asciiTheme="minorHAnsi" w:hAnsiTheme="minorHAnsi" w:cstheme="minorHAnsi"/>
          <w:bCs/>
          <w:color w:val="003880"/>
          <w:kern w:val="32"/>
          <w:sz w:val="32"/>
          <w:szCs w:val="72"/>
          <w:lang w:val="en-AU"/>
        </w:rPr>
      </w:pPr>
      <w:bookmarkStart w:id="68" w:name="_Toc388253144"/>
      <w:r w:rsidRPr="00CB10AD">
        <w:rPr>
          <w:rFonts w:asciiTheme="minorHAnsi" w:hAnsiTheme="minorHAnsi" w:cstheme="minorHAnsi"/>
          <w:bCs/>
          <w:color w:val="003880"/>
          <w:kern w:val="32"/>
          <w:sz w:val="32"/>
          <w:szCs w:val="72"/>
          <w:lang w:val="en-AU"/>
        </w:rPr>
        <w:lastRenderedPageBreak/>
        <w:t xml:space="preserve">Annex </w:t>
      </w:r>
      <w:r>
        <w:rPr>
          <w:rFonts w:asciiTheme="minorHAnsi" w:hAnsiTheme="minorHAnsi" w:cstheme="minorHAnsi"/>
          <w:bCs/>
          <w:color w:val="003880"/>
          <w:kern w:val="32"/>
          <w:sz w:val="32"/>
          <w:szCs w:val="72"/>
          <w:lang w:val="en-AU"/>
        </w:rPr>
        <w:t>I</w:t>
      </w:r>
      <w:r w:rsidRPr="00CB10AD">
        <w:rPr>
          <w:rFonts w:asciiTheme="minorHAnsi" w:hAnsiTheme="minorHAnsi" w:cstheme="minorHAnsi"/>
          <w:bCs/>
          <w:color w:val="003880"/>
          <w:kern w:val="32"/>
          <w:sz w:val="32"/>
          <w:szCs w:val="72"/>
          <w:lang w:val="en-AU"/>
        </w:rPr>
        <w:t>I – Interpretation of DAC Criteria</w:t>
      </w:r>
      <w:bookmarkEnd w:id="68"/>
      <w:r w:rsidRPr="00CB10AD">
        <w:rPr>
          <w:rFonts w:asciiTheme="minorHAnsi" w:hAnsiTheme="minorHAnsi" w:cstheme="minorHAnsi"/>
          <w:bCs/>
          <w:color w:val="003880"/>
          <w:kern w:val="32"/>
          <w:sz w:val="32"/>
          <w:szCs w:val="72"/>
          <w:lang w:val="en-AU"/>
        </w:rPr>
        <w:t xml:space="preserve"> </w:t>
      </w:r>
    </w:p>
    <w:p w:rsidR="007269E9" w:rsidRPr="00CB10AD" w:rsidRDefault="007269E9" w:rsidP="007269E9">
      <w:pPr>
        <w:rPr>
          <w:lang w:val="en-AU"/>
        </w:rPr>
      </w:pPr>
    </w:p>
    <w:tbl>
      <w:tblPr>
        <w:tblStyle w:val="TableGrid"/>
        <w:tblW w:w="5000" w:type="pct"/>
        <w:jc w:val="center"/>
        <w:tblLook w:val="04A0" w:firstRow="1" w:lastRow="0" w:firstColumn="1" w:lastColumn="0" w:noHBand="0" w:noVBand="1"/>
      </w:tblPr>
      <w:tblGrid>
        <w:gridCol w:w="2228"/>
        <w:gridCol w:w="7015"/>
      </w:tblGrid>
      <w:tr w:rsidR="007269E9" w:rsidRPr="00CB10AD" w:rsidTr="00722245">
        <w:trPr>
          <w:trHeight w:val="434"/>
          <w:jc w:val="center"/>
        </w:trPr>
        <w:tc>
          <w:tcPr>
            <w:tcW w:w="1205" w:type="pct"/>
            <w:tcBorders>
              <w:bottom w:val="single" w:sz="4" w:space="0" w:color="auto"/>
            </w:tcBorders>
            <w:shd w:val="clear" w:color="auto" w:fill="365F91" w:themeFill="accent1" w:themeFillShade="BF"/>
            <w:vAlign w:val="center"/>
          </w:tcPr>
          <w:p w:rsidR="007269E9" w:rsidRPr="00CB10AD" w:rsidRDefault="007269E9" w:rsidP="00722245">
            <w:pPr>
              <w:keepNext/>
              <w:jc w:val="center"/>
              <w:rPr>
                <w:b/>
                <w:bCs/>
                <w:color w:val="FFFFFF" w:themeColor="background1"/>
                <w:lang w:val="en-AU"/>
              </w:rPr>
            </w:pPr>
            <w:r w:rsidRPr="00CB10AD">
              <w:rPr>
                <w:b/>
                <w:bCs/>
                <w:color w:val="FFFFFF" w:themeColor="background1"/>
                <w:lang w:val="en-AU"/>
              </w:rPr>
              <w:t>Criterion</w:t>
            </w:r>
          </w:p>
        </w:tc>
        <w:tc>
          <w:tcPr>
            <w:tcW w:w="3795" w:type="pct"/>
            <w:tcBorders>
              <w:bottom w:val="single" w:sz="4" w:space="0" w:color="auto"/>
            </w:tcBorders>
            <w:shd w:val="clear" w:color="auto" w:fill="365F91" w:themeFill="accent1" w:themeFillShade="BF"/>
            <w:vAlign w:val="center"/>
          </w:tcPr>
          <w:p w:rsidR="007269E9" w:rsidRPr="00CB10AD" w:rsidRDefault="007269E9" w:rsidP="00722245">
            <w:pPr>
              <w:keepNext/>
              <w:jc w:val="center"/>
              <w:rPr>
                <w:b/>
                <w:bCs/>
                <w:color w:val="FFFFFF" w:themeColor="background1"/>
                <w:lang w:val="en-AU"/>
              </w:rPr>
            </w:pPr>
            <w:r w:rsidRPr="00CB10AD">
              <w:rPr>
                <w:b/>
                <w:bCs/>
                <w:color w:val="FFFFFF" w:themeColor="background1"/>
                <w:lang w:val="en-AU"/>
              </w:rPr>
              <w:t>Key considerations</w:t>
            </w:r>
          </w:p>
        </w:tc>
      </w:tr>
      <w:tr w:rsidR="007269E9" w:rsidRPr="00CB10AD" w:rsidTr="00722245">
        <w:trPr>
          <w:trHeight w:val="434"/>
          <w:jc w:val="center"/>
        </w:trPr>
        <w:tc>
          <w:tcPr>
            <w:tcW w:w="1205" w:type="pct"/>
            <w:tcBorders>
              <w:bottom w:val="single" w:sz="4" w:space="0" w:color="auto"/>
            </w:tcBorders>
            <w:shd w:val="clear" w:color="auto" w:fill="FFFFFF" w:themeFill="background1"/>
            <w:vAlign w:val="center"/>
          </w:tcPr>
          <w:p w:rsidR="007269E9" w:rsidRPr="00CB10AD" w:rsidRDefault="007269E9" w:rsidP="00722245">
            <w:pPr>
              <w:spacing w:before="60" w:after="60"/>
              <w:rPr>
                <w:rFonts w:asciiTheme="minorHAnsi" w:hAnsiTheme="minorHAnsi"/>
                <w:lang w:val="en-AU"/>
              </w:rPr>
            </w:pPr>
            <w:r w:rsidRPr="00CB10AD">
              <w:rPr>
                <w:rFonts w:asciiTheme="minorHAnsi" w:hAnsiTheme="minorHAnsi"/>
                <w:lang w:val="en-AU"/>
              </w:rPr>
              <w:t>Relevance*</w:t>
            </w:r>
          </w:p>
        </w:tc>
        <w:tc>
          <w:tcPr>
            <w:tcW w:w="3795" w:type="pct"/>
            <w:tcBorders>
              <w:bottom w:val="single" w:sz="4" w:space="0" w:color="auto"/>
            </w:tcBorders>
            <w:shd w:val="clear" w:color="auto" w:fill="FFFFFF" w:themeFill="background1"/>
          </w:tcPr>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extent to which the aid activity is suited to the priorities and policies of target beneficiaries, GoI and GoA.</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extent to which the objectives of the EP/Component </w:t>
            </w:r>
            <w:r w:rsidRPr="00CB10AD">
              <w:rPr>
                <w:rFonts w:asciiTheme="minorHAnsi" w:hAnsiTheme="minorHAnsi"/>
                <w:lang w:val="en-AU"/>
              </w:rPr>
              <w:t>remain valid.</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 xml:space="preserve">The extent to which needs, and political and policy priorities, have evolved from stated policies. </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extent to which the </w:t>
            </w:r>
            <w:r w:rsidRPr="00CB10AD">
              <w:rPr>
                <w:rFonts w:asciiTheme="minorHAnsi" w:hAnsiTheme="minorHAnsi"/>
                <w:lang w:val="en-AU"/>
              </w:rPr>
              <w:t>activities and outputs are consistent with EP Goals and the attainment of EOPOs.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extent to which </w:t>
            </w:r>
            <w:r w:rsidRPr="00CB10AD">
              <w:rPr>
                <w:rFonts w:asciiTheme="minorHAnsi" w:hAnsiTheme="minorHAnsi"/>
                <w:lang w:val="en-AU"/>
              </w:rPr>
              <w:t>activities and outputs are consistent with intended impacts and effects [EOPOs and Goals].</w:t>
            </w:r>
          </w:p>
        </w:tc>
      </w:tr>
      <w:tr w:rsidR="007269E9" w:rsidRPr="00CB10AD" w:rsidTr="00722245">
        <w:trPr>
          <w:trHeight w:val="447"/>
          <w:jc w:val="center"/>
        </w:trPr>
        <w:tc>
          <w:tcPr>
            <w:tcW w:w="1205" w:type="pct"/>
            <w:tcBorders>
              <w:bottom w:val="single" w:sz="4" w:space="0" w:color="auto"/>
            </w:tcBorders>
            <w:shd w:val="clear" w:color="auto" w:fill="FFFFFF" w:themeFill="background1"/>
            <w:vAlign w:val="center"/>
          </w:tcPr>
          <w:p w:rsidR="007269E9" w:rsidRPr="00CB10AD" w:rsidRDefault="007269E9" w:rsidP="00722245">
            <w:pPr>
              <w:spacing w:before="60" w:after="60"/>
              <w:rPr>
                <w:rFonts w:asciiTheme="minorHAnsi" w:hAnsiTheme="minorHAnsi"/>
                <w:lang w:val="en-AU"/>
              </w:rPr>
            </w:pPr>
            <w:r w:rsidRPr="00CB10AD">
              <w:rPr>
                <w:rFonts w:asciiTheme="minorHAnsi" w:hAnsiTheme="minorHAnsi"/>
                <w:lang w:val="en-AU"/>
              </w:rPr>
              <w:t>Efficiency</w:t>
            </w:r>
          </w:p>
        </w:tc>
        <w:tc>
          <w:tcPr>
            <w:tcW w:w="3795" w:type="pct"/>
            <w:tcBorders>
              <w:bottom w:val="single" w:sz="4" w:space="0" w:color="auto"/>
            </w:tcBorders>
            <w:shd w:val="clear" w:color="auto" w:fill="FFFFFF" w:themeFill="background1"/>
          </w:tcPr>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w:t>
            </w:r>
            <w:r w:rsidRPr="00CB10AD">
              <w:rPr>
                <w:rFonts w:asciiTheme="minorHAnsi" w:hAnsiTheme="minorHAnsi"/>
                <w:lang w:val="en-AU"/>
              </w:rPr>
              <w:t>cost-efficiency of EP activities.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extent to which objectives are achieved on time.</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efficiency of </w:t>
            </w:r>
            <w:r w:rsidRPr="00CB10AD">
              <w:rPr>
                <w:rFonts w:asciiTheme="minorHAnsi" w:hAnsiTheme="minorHAnsi"/>
                <w:lang w:val="en-AU"/>
              </w:rPr>
              <w:t>modalities compared to realistic alternatives.</w:t>
            </w:r>
          </w:p>
        </w:tc>
      </w:tr>
      <w:tr w:rsidR="007269E9" w:rsidRPr="00CB10AD" w:rsidTr="00722245">
        <w:trPr>
          <w:trHeight w:val="447"/>
          <w:jc w:val="center"/>
        </w:trPr>
        <w:tc>
          <w:tcPr>
            <w:tcW w:w="1205" w:type="pct"/>
            <w:shd w:val="clear" w:color="auto" w:fill="FFFFFF" w:themeFill="background1"/>
            <w:vAlign w:val="center"/>
          </w:tcPr>
          <w:p w:rsidR="007269E9" w:rsidRPr="00CB10AD" w:rsidRDefault="007269E9" w:rsidP="00722245">
            <w:pPr>
              <w:spacing w:before="60" w:after="60"/>
              <w:rPr>
                <w:rFonts w:asciiTheme="minorHAnsi" w:hAnsiTheme="minorHAnsi"/>
                <w:lang w:val="en-AU"/>
              </w:rPr>
            </w:pPr>
            <w:r w:rsidRPr="00CB10AD">
              <w:rPr>
                <w:rFonts w:asciiTheme="minorHAnsi" w:hAnsiTheme="minorHAnsi"/>
                <w:lang w:val="en-AU"/>
              </w:rPr>
              <w:t>Effectiveness</w:t>
            </w:r>
          </w:p>
        </w:tc>
        <w:tc>
          <w:tcPr>
            <w:tcW w:w="3795" w:type="pct"/>
            <w:shd w:val="clear" w:color="auto" w:fill="FFFFFF" w:themeFill="background1"/>
          </w:tcPr>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extent to which the EP/Components are achieving the intended outcomes, i.e. the EOPOs.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key drivers of the </w:t>
            </w:r>
            <w:r w:rsidRPr="00CB10AD">
              <w:rPr>
                <w:rFonts w:asciiTheme="minorHAnsi" w:hAnsiTheme="minorHAnsi"/>
                <w:lang w:val="en-AU"/>
              </w:rPr>
              <w:t>achievements (or failures).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real differences made to beneficiaries as a result of the EP investment.</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magnitude of the differences.</w:t>
            </w:r>
          </w:p>
        </w:tc>
      </w:tr>
      <w:tr w:rsidR="007269E9" w:rsidRPr="00CB10AD" w:rsidTr="00722245">
        <w:trPr>
          <w:trHeight w:val="447"/>
          <w:jc w:val="center"/>
        </w:trPr>
        <w:tc>
          <w:tcPr>
            <w:tcW w:w="1205" w:type="pct"/>
            <w:shd w:val="clear" w:color="auto" w:fill="FFFFFF" w:themeFill="background1"/>
            <w:vAlign w:val="center"/>
          </w:tcPr>
          <w:p w:rsidR="007269E9" w:rsidRPr="00CB10AD" w:rsidRDefault="007269E9" w:rsidP="00722245">
            <w:pPr>
              <w:spacing w:before="60" w:after="60"/>
              <w:rPr>
                <w:rFonts w:asciiTheme="minorHAnsi" w:hAnsiTheme="minorHAnsi"/>
                <w:lang w:val="en-AU"/>
              </w:rPr>
            </w:pPr>
            <w:r w:rsidRPr="00CB10AD">
              <w:rPr>
                <w:rFonts w:asciiTheme="minorHAnsi" w:hAnsiTheme="minorHAnsi"/>
                <w:lang w:val="en-AU"/>
              </w:rPr>
              <w:t>Impact</w:t>
            </w:r>
          </w:p>
        </w:tc>
        <w:tc>
          <w:tcPr>
            <w:tcW w:w="3795" w:type="pct"/>
            <w:shd w:val="clear" w:color="auto" w:fill="FFFFFF" w:themeFill="background1"/>
          </w:tcPr>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extent to which the EP/Components are making a demonstrable contribution to intended Goals.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lang w:val="en-AU"/>
              </w:rPr>
              <w:t xml:space="preserve">The key drivers of the </w:t>
            </w:r>
            <w:r w:rsidRPr="00CB10AD">
              <w:rPr>
                <w:rFonts w:asciiTheme="minorHAnsi" w:hAnsiTheme="minorHAnsi"/>
                <w:lang w:val="en-AU"/>
              </w:rPr>
              <w:t>achievements (or failures).</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 xml:space="preserve">Positive and negative changes produced by the EP, either directly or indirectly, and intended or unintended. </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real differences made to beneficiaries as a result of the EP investment.</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 xml:space="preserve">The magnitude of the differences. </w:t>
            </w:r>
          </w:p>
        </w:tc>
      </w:tr>
      <w:tr w:rsidR="007269E9" w:rsidRPr="00CB10AD" w:rsidTr="00722245">
        <w:trPr>
          <w:trHeight w:val="447"/>
          <w:jc w:val="center"/>
        </w:trPr>
        <w:tc>
          <w:tcPr>
            <w:tcW w:w="1205" w:type="pct"/>
            <w:shd w:val="clear" w:color="auto" w:fill="FFFFFF" w:themeFill="background1"/>
            <w:vAlign w:val="center"/>
          </w:tcPr>
          <w:p w:rsidR="007269E9" w:rsidRPr="00CB10AD" w:rsidRDefault="007269E9" w:rsidP="00722245">
            <w:pPr>
              <w:spacing w:before="60" w:after="60"/>
              <w:rPr>
                <w:rFonts w:asciiTheme="minorHAnsi" w:hAnsiTheme="minorHAnsi"/>
                <w:lang w:val="en-AU"/>
              </w:rPr>
            </w:pPr>
            <w:r w:rsidRPr="00CB10AD">
              <w:rPr>
                <w:rFonts w:asciiTheme="minorHAnsi" w:hAnsiTheme="minorHAnsi"/>
                <w:lang w:val="en-AU"/>
              </w:rPr>
              <w:t>Sustainability</w:t>
            </w:r>
          </w:p>
        </w:tc>
        <w:tc>
          <w:tcPr>
            <w:tcW w:w="3795" w:type="pct"/>
            <w:shd w:val="clear" w:color="auto" w:fill="FFFFFF" w:themeFill="background1"/>
          </w:tcPr>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 xml:space="preserve">The extent to which the benefits of EP investment are likely to continue after funding/support has been withdrawn. </w:t>
            </w:r>
          </w:p>
          <w:p w:rsidR="007269E9" w:rsidRPr="00CB10AD" w:rsidRDefault="007269E9" w:rsidP="00722245">
            <w:pPr>
              <w:numPr>
                <w:ilvl w:val="0"/>
                <w:numId w:val="40"/>
              </w:numPr>
              <w:spacing w:before="60" w:after="60"/>
              <w:contextualSpacing/>
              <w:rPr>
                <w:rFonts w:asciiTheme="minorHAnsi" w:hAnsiTheme="minorHAnsi"/>
                <w:lang w:val="en-AU"/>
              </w:rPr>
            </w:pPr>
            <w:r w:rsidRPr="00CB10AD">
              <w:rPr>
                <w:rFonts w:asciiTheme="minorHAnsi" w:hAnsiTheme="minorHAnsi"/>
                <w:lang w:val="en-AU"/>
              </w:rPr>
              <w:t>The factors responsible for the achievement or failure of the sustainability objectives.</w:t>
            </w:r>
          </w:p>
        </w:tc>
      </w:tr>
    </w:tbl>
    <w:p w:rsidR="007269E9" w:rsidRPr="00CB10AD" w:rsidRDefault="007269E9" w:rsidP="007269E9">
      <w:pPr>
        <w:rPr>
          <w:lang w:val="en-AU"/>
        </w:rPr>
      </w:pPr>
    </w:p>
    <w:p w:rsidR="007269E9" w:rsidRPr="00CB10AD" w:rsidRDefault="007269E9" w:rsidP="007269E9">
      <w:pPr>
        <w:rPr>
          <w:lang w:val="en-AU"/>
        </w:rPr>
      </w:pPr>
      <w:r w:rsidRPr="00CB10AD">
        <w:rPr>
          <w:sz w:val="18"/>
          <w:szCs w:val="18"/>
          <w:lang w:val="en-AU"/>
        </w:rPr>
        <w:t>* There may be tension between current policy and emerging policy direction. Moreover, it is possible that an investment may be relevant in terms of ‘policy fit’ but irrelevant in the sense that activities and outputs may be inconsistent with intended program results.</w:t>
      </w:r>
      <w:r w:rsidRPr="00CB10AD">
        <w:rPr>
          <w:lang w:val="en-AU"/>
        </w:rPr>
        <w:t xml:space="preserve"> </w:t>
      </w:r>
    </w:p>
    <w:p w:rsidR="007269E9" w:rsidRPr="00CB10AD" w:rsidRDefault="007269E9" w:rsidP="007269E9">
      <w:pPr>
        <w:rPr>
          <w:lang w:val="en-AU"/>
        </w:rPr>
      </w:pPr>
    </w:p>
    <w:p w:rsidR="007269E9" w:rsidRPr="00CB10AD" w:rsidRDefault="007269E9" w:rsidP="007269E9">
      <w:pPr>
        <w:keepNext/>
        <w:ind w:left="720" w:hanging="720"/>
        <w:outlineLvl w:val="0"/>
        <w:rPr>
          <w:rFonts w:asciiTheme="minorHAnsi" w:hAnsiTheme="minorHAnsi" w:cstheme="minorHAnsi"/>
          <w:bCs/>
          <w:color w:val="003880"/>
          <w:kern w:val="32"/>
          <w:sz w:val="32"/>
          <w:szCs w:val="72"/>
          <w:lang w:val="en-AU"/>
        </w:rPr>
      </w:pPr>
      <w:r w:rsidRPr="00CB10AD">
        <w:rPr>
          <w:b/>
          <w:lang w:val="en-AU"/>
        </w:rPr>
        <w:br w:type="page"/>
      </w:r>
      <w:bookmarkStart w:id="69" w:name="_Toc388253145"/>
      <w:r w:rsidRPr="00CB10AD">
        <w:rPr>
          <w:rFonts w:asciiTheme="minorHAnsi" w:hAnsiTheme="minorHAnsi" w:cstheme="minorHAnsi"/>
          <w:bCs/>
          <w:color w:val="003880"/>
          <w:kern w:val="32"/>
          <w:sz w:val="32"/>
          <w:szCs w:val="72"/>
          <w:lang w:val="en-AU"/>
        </w:rPr>
        <w:lastRenderedPageBreak/>
        <w:t xml:space="preserve">Annex </w:t>
      </w:r>
      <w:r>
        <w:rPr>
          <w:rFonts w:asciiTheme="minorHAnsi" w:hAnsiTheme="minorHAnsi" w:cstheme="minorHAnsi"/>
          <w:bCs/>
          <w:color w:val="003880"/>
          <w:kern w:val="32"/>
          <w:sz w:val="32"/>
          <w:szCs w:val="72"/>
          <w:lang w:val="en-AU"/>
        </w:rPr>
        <w:t>I</w:t>
      </w:r>
      <w:r w:rsidRPr="00CB10AD">
        <w:rPr>
          <w:rFonts w:asciiTheme="minorHAnsi" w:hAnsiTheme="minorHAnsi" w:cstheme="minorHAnsi"/>
          <w:bCs/>
          <w:color w:val="003880"/>
          <w:kern w:val="32"/>
          <w:sz w:val="32"/>
          <w:szCs w:val="72"/>
          <w:lang w:val="en-AU"/>
        </w:rPr>
        <w:t>II</w:t>
      </w:r>
      <w:r>
        <w:rPr>
          <w:rFonts w:asciiTheme="minorHAnsi" w:hAnsiTheme="minorHAnsi" w:cstheme="minorHAnsi"/>
          <w:bCs/>
          <w:color w:val="003880"/>
          <w:kern w:val="32"/>
          <w:sz w:val="32"/>
          <w:szCs w:val="72"/>
          <w:lang w:val="en-AU"/>
        </w:rPr>
        <w:t xml:space="preserve"> -</w:t>
      </w:r>
      <w:r w:rsidRPr="00CB10AD">
        <w:rPr>
          <w:rFonts w:asciiTheme="minorHAnsi" w:hAnsiTheme="minorHAnsi" w:cstheme="minorHAnsi"/>
          <w:bCs/>
          <w:color w:val="003880"/>
          <w:kern w:val="32"/>
          <w:sz w:val="32"/>
          <w:szCs w:val="72"/>
          <w:lang w:val="en-AU"/>
        </w:rPr>
        <w:t xml:space="preserve"> APPR Rating Scale (based on DFAT QRS [QAI and ICR])</w:t>
      </w:r>
      <w:bookmarkEnd w:id="69"/>
      <w:r w:rsidRPr="00CB10AD">
        <w:rPr>
          <w:rFonts w:asciiTheme="minorHAnsi" w:hAnsiTheme="minorHAnsi" w:cstheme="minorHAnsi"/>
          <w:bCs/>
          <w:color w:val="003880"/>
          <w:kern w:val="32"/>
          <w:sz w:val="32"/>
          <w:szCs w:val="72"/>
          <w:lang w:val="en-AU"/>
        </w:rPr>
        <w:t xml:space="preserve"> </w:t>
      </w:r>
    </w:p>
    <w:p w:rsidR="007269E9" w:rsidRPr="00CB10AD" w:rsidRDefault="007269E9" w:rsidP="007269E9">
      <w:pPr>
        <w:rPr>
          <w:b/>
          <w:lang w:val="en-AU"/>
        </w:rPr>
      </w:pPr>
    </w:p>
    <w:p w:rsidR="007269E9" w:rsidRPr="00CB10AD" w:rsidRDefault="007269E9" w:rsidP="007269E9">
      <w:pPr>
        <w:rPr>
          <w:b/>
          <w:lang w:val="en-AU"/>
        </w:rPr>
      </w:pPr>
    </w:p>
    <w:tbl>
      <w:tblPr>
        <w:tblStyle w:val="TableGrid"/>
        <w:tblW w:w="0" w:type="auto"/>
        <w:jc w:val="center"/>
        <w:tblInd w:w="-5228" w:type="dxa"/>
        <w:tblLook w:val="04A0" w:firstRow="1" w:lastRow="0" w:firstColumn="1" w:lastColumn="0" w:noHBand="0" w:noVBand="1"/>
      </w:tblPr>
      <w:tblGrid>
        <w:gridCol w:w="3887"/>
        <w:gridCol w:w="4232"/>
      </w:tblGrid>
      <w:tr w:rsidR="007269E9" w:rsidRPr="00CB10AD" w:rsidTr="00722245">
        <w:trPr>
          <w:trHeight w:val="850"/>
          <w:jc w:val="center"/>
        </w:trPr>
        <w:tc>
          <w:tcPr>
            <w:tcW w:w="8119" w:type="dxa"/>
            <w:gridSpan w:val="2"/>
            <w:tcBorders>
              <w:bottom w:val="single" w:sz="4" w:space="0" w:color="auto"/>
            </w:tcBorders>
            <w:shd w:val="clear" w:color="auto" w:fill="365F91" w:themeFill="accent1" w:themeFillShade="BF"/>
            <w:vAlign w:val="center"/>
          </w:tcPr>
          <w:p w:rsidR="007269E9" w:rsidRPr="00CB10AD" w:rsidRDefault="007269E9" w:rsidP="00722245">
            <w:pPr>
              <w:spacing w:before="60" w:after="60"/>
              <w:jc w:val="center"/>
              <w:rPr>
                <w:rFonts w:asciiTheme="minorHAnsi" w:hAnsiTheme="minorHAnsi"/>
                <w:b/>
                <w:color w:val="FFFFFF" w:themeColor="background1"/>
                <w:sz w:val="24"/>
                <w:lang w:val="en-AU"/>
              </w:rPr>
            </w:pPr>
            <w:r w:rsidRPr="00CB10AD">
              <w:rPr>
                <w:rFonts w:asciiTheme="minorHAnsi" w:hAnsiTheme="minorHAnsi"/>
                <w:b/>
                <w:color w:val="FFFFFF" w:themeColor="background1"/>
                <w:sz w:val="24"/>
                <w:lang w:val="en-AU"/>
              </w:rPr>
              <w:t>Rating scale</w:t>
            </w:r>
          </w:p>
        </w:tc>
      </w:tr>
      <w:tr w:rsidR="007269E9" w:rsidRPr="00CB10AD" w:rsidTr="00722245">
        <w:trPr>
          <w:trHeight w:val="850"/>
          <w:jc w:val="center"/>
        </w:trPr>
        <w:tc>
          <w:tcPr>
            <w:tcW w:w="3887" w:type="dxa"/>
            <w:tcBorders>
              <w:bottom w:val="single" w:sz="4" w:space="0" w:color="auto"/>
            </w:tcBorders>
            <w:shd w:val="clear" w:color="auto" w:fill="B8CCE4" w:themeFill="accent1" w:themeFillTint="66"/>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Less than satisfactory</w:t>
            </w:r>
          </w:p>
        </w:tc>
        <w:tc>
          <w:tcPr>
            <w:tcW w:w="4232" w:type="dxa"/>
            <w:tcBorders>
              <w:bottom w:val="single" w:sz="4" w:space="0" w:color="auto"/>
            </w:tcBorders>
            <w:shd w:val="clear" w:color="auto" w:fill="B8CCE4" w:themeFill="accent1" w:themeFillTint="66"/>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Satisfactory</w:t>
            </w:r>
          </w:p>
        </w:tc>
      </w:tr>
      <w:tr w:rsidR="007269E9" w:rsidRPr="00CB10AD" w:rsidTr="00722245">
        <w:trPr>
          <w:trHeight w:val="850"/>
          <w:jc w:val="center"/>
        </w:trPr>
        <w:tc>
          <w:tcPr>
            <w:tcW w:w="3887" w:type="dxa"/>
            <w:tcBorders>
              <w:bottom w:val="single" w:sz="4" w:space="0" w:color="auto"/>
            </w:tcBorders>
            <w:shd w:val="clear" w:color="auto" w:fill="C0000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1: Very poor quality; needs major overhaul</w:t>
            </w:r>
          </w:p>
        </w:tc>
        <w:tc>
          <w:tcPr>
            <w:tcW w:w="4232" w:type="dxa"/>
            <w:tcBorders>
              <w:bottom w:val="single" w:sz="4" w:space="0" w:color="auto"/>
            </w:tcBorders>
            <w:shd w:val="clear" w:color="auto" w:fill="FFFF0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4: Adequate quality; needs some work</w:t>
            </w:r>
          </w:p>
        </w:tc>
      </w:tr>
      <w:tr w:rsidR="007269E9" w:rsidRPr="00CB10AD" w:rsidTr="00722245">
        <w:trPr>
          <w:trHeight w:val="850"/>
          <w:jc w:val="center"/>
        </w:trPr>
        <w:tc>
          <w:tcPr>
            <w:tcW w:w="3887" w:type="dxa"/>
            <w:tcBorders>
              <w:bottom w:val="single" w:sz="4" w:space="0" w:color="auto"/>
            </w:tcBorders>
            <w:shd w:val="clear" w:color="auto" w:fill="FF000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2: Poor quality; needs major work to improve</w:t>
            </w:r>
          </w:p>
        </w:tc>
        <w:tc>
          <w:tcPr>
            <w:tcW w:w="4232" w:type="dxa"/>
            <w:tcBorders>
              <w:bottom w:val="single" w:sz="4" w:space="0" w:color="auto"/>
            </w:tcBorders>
            <w:shd w:val="clear" w:color="auto" w:fill="92D05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5: Good quality</w:t>
            </w:r>
          </w:p>
        </w:tc>
      </w:tr>
      <w:tr w:rsidR="007269E9" w:rsidRPr="00CB10AD" w:rsidTr="00722245">
        <w:trPr>
          <w:trHeight w:val="850"/>
          <w:jc w:val="center"/>
        </w:trPr>
        <w:tc>
          <w:tcPr>
            <w:tcW w:w="3887" w:type="dxa"/>
            <w:shd w:val="clear" w:color="auto" w:fill="FFC00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3: Less than adequate quality; needs significant work</w:t>
            </w:r>
          </w:p>
        </w:tc>
        <w:tc>
          <w:tcPr>
            <w:tcW w:w="4232" w:type="dxa"/>
            <w:shd w:val="clear" w:color="auto" w:fill="00B050"/>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6: Very high quality</w:t>
            </w:r>
          </w:p>
        </w:tc>
      </w:tr>
      <w:tr w:rsidR="007269E9" w:rsidRPr="00CB10AD" w:rsidTr="00722245">
        <w:trPr>
          <w:trHeight w:val="850"/>
          <w:jc w:val="center"/>
        </w:trPr>
        <w:tc>
          <w:tcPr>
            <w:tcW w:w="8119" w:type="dxa"/>
            <w:gridSpan w:val="2"/>
            <w:vAlign w:val="center"/>
          </w:tcPr>
          <w:p w:rsidR="007269E9" w:rsidRPr="00CB10AD" w:rsidRDefault="007269E9" w:rsidP="00722245">
            <w:pPr>
              <w:spacing w:before="60" w:after="60"/>
              <w:jc w:val="center"/>
              <w:rPr>
                <w:rFonts w:asciiTheme="minorHAnsi" w:hAnsiTheme="minorHAnsi"/>
                <w:lang w:val="en-AU"/>
              </w:rPr>
            </w:pPr>
            <w:r w:rsidRPr="00CB10AD">
              <w:rPr>
                <w:rFonts w:asciiTheme="minorHAnsi" w:hAnsiTheme="minorHAnsi"/>
                <w:lang w:val="en-AU"/>
              </w:rPr>
              <w:t>TE: Too early to rate</w:t>
            </w:r>
          </w:p>
        </w:tc>
      </w:tr>
    </w:tbl>
    <w:p w:rsidR="007269E9" w:rsidRPr="00CB10AD" w:rsidRDefault="007269E9" w:rsidP="007269E9">
      <w:pPr>
        <w:rPr>
          <w:lang w:val="en-AU"/>
        </w:rPr>
      </w:pPr>
    </w:p>
    <w:p w:rsidR="007269E9" w:rsidRPr="00CB10AD" w:rsidRDefault="007269E9" w:rsidP="007269E9">
      <w:pPr>
        <w:rPr>
          <w:lang w:val="en-AU"/>
        </w:rPr>
      </w:pPr>
    </w:p>
    <w:p w:rsidR="007269E9" w:rsidRPr="00CB10AD" w:rsidRDefault="007269E9" w:rsidP="007269E9">
      <w:pPr>
        <w:rPr>
          <w:lang w:val="en-AU"/>
        </w:rPr>
      </w:pPr>
    </w:p>
    <w:p w:rsidR="00D06F80" w:rsidRPr="00CB10AD" w:rsidRDefault="00D06F80" w:rsidP="00D06F80">
      <w:pPr>
        <w:spacing w:before="120"/>
        <w:rPr>
          <w:szCs w:val="20"/>
          <w:lang w:val="en-AU"/>
        </w:rPr>
        <w:sectPr w:rsidR="00D06F80" w:rsidRPr="00CB10AD" w:rsidSect="007269E9">
          <w:pgSz w:w="11907" w:h="16839" w:code="9"/>
          <w:pgMar w:top="1800" w:right="1440" w:bottom="1440" w:left="1440" w:header="720" w:footer="720" w:gutter="0"/>
          <w:cols w:space="720"/>
          <w:docGrid w:linePitch="360"/>
        </w:sectPr>
      </w:pPr>
    </w:p>
    <w:p w:rsidR="00D06F80" w:rsidRPr="00CB10AD" w:rsidRDefault="00D06F80" w:rsidP="00D06F80">
      <w:pPr>
        <w:keepNext/>
        <w:ind w:left="720" w:hanging="720"/>
        <w:outlineLvl w:val="0"/>
        <w:rPr>
          <w:rFonts w:asciiTheme="minorHAnsi" w:hAnsiTheme="minorHAnsi" w:cstheme="minorHAnsi"/>
          <w:bCs/>
          <w:color w:val="003880"/>
          <w:kern w:val="32"/>
          <w:sz w:val="32"/>
          <w:szCs w:val="72"/>
          <w:lang w:val="en-AU"/>
        </w:rPr>
      </w:pPr>
      <w:bookmarkStart w:id="70" w:name="_Toc379548515"/>
      <w:bookmarkStart w:id="71" w:name="_Toc388253146"/>
      <w:r w:rsidRPr="00CB10AD">
        <w:rPr>
          <w:rFonts w:asciiTheme="minorHAnsi" w:hAnsiTheme="minorHAnsi" w:cstheme="minorHAnsi"/>
          <w:bCs/>
          <w:color w:val="003880"/>
          <w:kern w:val="32"/>
          <w:sz w:val="32"/>
          <w:szCs w:val="72"/>
          <w:lang w:val="en-AU"/>
        </w:rPr>
        <w:lastRenderedPageBreak/>
        <w:t>Annex I</w:t>
      </w:r>
      <w:r w:rsidR="007269E9">
        <w:rPr>
          <w:rFonts w:asciiTheme="minorHAnsi" w:hAnsiTheme="minorHAnsi" w:cstheme="minorHAnsi"/>
          <w:bCs/>
          <w:color w:val="003880"/>
          <w:kern w:val="32"/>
          <w:sz w:val="32"/>
          <w:szCs w:val="72"/>
          <w:lang w:val="en-AU"/>
        </w:rPr>
        <w:t>V</w:t>
      </w:r>
      <w:r w:rsidRPr="00CB10AD">
        <w:rPr>
          <w:rFonts w:asciiTheme="minorHAnsi" w:hAnsiTheme="minorHAnsi" w:cstheme="minorHAnsi"/>
          <w:bCs/>
          <w:color w:val="003880"/>
          <w:kern w:val="32"/>
          <w:sz w:val="32"/>
          <w:szCs w:val="72"/>
          <w:lang w:val="en-AU"/>
        </w:rPr>
        <w:t xml:space="preserve"> – List of Key Documents and Secondary Sources Reviewed</w:t>
      </w:r>
      <w:bookmarkEnd w:id="70"/>
      <w:bookmarkEnd w:id="71"/>
    </w:p>
    <w:p w:rsidR="00D06F80" w:rsidRPr="00CB10AD" w:rsidRDefault="00D06F80" w:rsidP="00D06F80">
      <w:pPr>
        <w:keepNext/>
        <w:ind w:left="720" w:hanging="720"/>
        <w:outlineLvl w:val="0"/>
        <w:rPr>
          <w:rFonts w:asciiTheme="minorHAnsi" w:hAnsiTheme="minorHAnsi" w:cstheme="minorHAnsi"/>
          <w:bCs/>
          <w:color w:val="003880"/>
          <w:kern w:val="32"/>
          <w:sz w:val="32"/>
          <w:szCs w:val="72"/>
          <w:lang w:val="en-AU"/>
        </w:rPr>
      </w:pPr>
    </w:p>
    <w:tbl>
      <w:tblPr>
        <w:tblW w:w="5000" w:type="pct"/>
        <w:tblLayout w:type="fixed"/>
        <w:tblLook w:val="04A0" w:firstRow="1" w:lastRow="0" w:firstColumn="1" w:lastColumn="0" w:noHBand="0" w:noVBand="1"/>
      </w:tblPr>
      <w:tblGrid>
        <w:gridCol w:w="7621"/>
        <w:gridCol w:w="1621"/>
      </w:tblGrid>
      <w:tr w:rsidR="00D06F80" w:rsidRPr="00CB10AD" w:rsidTr="00D06F80">
        <w:trPr>
          <w:trHeight w:val="495"/>
        </w:trPr>
        <w:tc>
          <w:tcPr>
            <w:tcW w:w="4123" w:type="pct"/>
            <w:tcBorders>
              <w:top w:val="single" w:sz="8" w:space="0" w:color="auto"/>
              <w:left w:val="single" w:sz="8" w:space="0" w:color="auto"/>
              <w:bottom w:val="single" w:sz="8" w:space="0" w:color="auto"/>
              <w:right w:val="single" w:sz="8" w:space="0" w:color="auto"/>
            </w:tcBorders>
            <w:shd w:val="clear" w:color="auto" w:fill="365F91" w:themeFill="accent1" w:themeFillShade="BF"/>
            <w:noWrap/>
            <w:vAlign w:val="center"/>
            <w:hideMark/>
          </w:tcPr>
          <w:p w:rsidR="00D06F80" w:rsidRPr="00CB10AD" w:rsidRDefault="00D06F80" w:rsidP="00D06F80">
            <w:pPr>
              <w:keepNext/>
              <w:jc w:val="center"/>
              <w:rPr>
                <w:b/>
                <w:bCs/>
                <w:color w:val="FFFFFF" w:themeColor="background1"/>
                <w:lang w:val="en-AU"/>
              </w:rPr>
            </w:pPr>
            <w:r w:rsidRPr="00CB10AD">
              <w:rPr>
                <w:b/>
                <w:bCs/>
                <w:color w:val="FFFFFF" w:themeColor="background1"/>
                <w:lang w:val="en-AU"/>
              </w:rPr>
              <w:t>Report</w:t>
            </w:r>
          </w:p>
        </w:tc>
        <w:tc>
          <w:tcPr>
            <w:tcW w:w="877"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rsidR="00D06F80" w:rsidRPr="00CB10AD" w:rsidRDefault="00D06F80" w:rsidP="00D06F80">
            <w:pPr>
              <w:keepNext/>
              <w:jc w:val="center"/>
              <w:rPr>
                <w:b/>
                <w:bCs/>
                <w:color w:val="FFFFFF" w:themeColor="background1"/>
                <w:lang w:val="en-AU"/>
              </w:rPr>
            </w:pPr>
            <w:r w:rsidRPr="00CB10AD">
              <w:rPr>
                <w:b/>
                <w:bCs/>
                <w:color w:val="FFFFFF" w:themeColor="background1"/>
                <w:lang w:val="en-AU"/>
              </w:rPr>
              <w:t>Date submitted</w:t>
            </w:r>
          </w:p>
        </w:tc>
      </w:tr>
      <w:tr w:rsidR="00D06F80" w:rsidRPr="00CB10AD" w:rsidTr="00D06F80">
        <w:trPr>
          <w:trHeight w:val="677"/>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GoI: AEPI Junior Secondary School Construction and Expansion Quarterly Initiative Report No 1: March 2012 - September 2012</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October 2012</w:t>
            </w:r>
          </w:p>
        </w:tc>
      </w:tr>
      <w:tr w:rsidR="00D06F80" w:rsidRPr="00CB10AD" w:rsidTr="00D06F80">
        <w:trPr>
          <w:trHeight w:val="510"/>
        </w:trPr>
        <w:tc>
          <w:tcPr>
            <w:tcW w:w="4123" w:type="pct"/>
            <w:tcBorders>
              <w:top w:val="nil"/>
              <w:left w:val="single" w:sz="8" w:space="0" w:color="auto"/>
              <w:bottom w:val="single" w:sz="4" w:space="0" w:color="auto"/>
              <w:right w:val="single" w:sz="4" w:space="0" w:color="auto"/>
            </w:tcBorders>
            <w:shd w:val="clear" w:color="auto" w:fill="auto"/>
            <w:vAlign w:val="center"/>
          </w:tcPr>
          <w:p w:rsidR="00D06F80" w:rsidRPr="00CB10AD" w:rsidRDefault="00D06F80" w:rsidP="00D06F80">
            <w:pPr>
              <w:keepNext/>
              <w:rPr>
                <w:color w:val="000000"/>
                <w:lang w:val="en-AU"/>
              </w:rPr>
            </w:pPr>
            <w:r w:rsidRPr="00CB10AD">
              <w:rPr>
                <w:color w:val="000000"/>
                <w:lang w:val="en-AU"/>
              </w:rPr>
              <w:t>ACDP Six Monthly Progress Report</w:t>
            </w:r>
          </w:p>
        </w:tc>
        <w:tc>
          <w:tcPr>
            <w:tcW w:w="877" w:type="pct"/>
            <w:tcBorders>
              <w:top w:val="nil"/>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End 2012</w:t>
            </w:r>
          </w:p>
        </w:tc>
      </w:tr>
      <w:tr w:rsidR="00D06F80" w:rsidRPr="00CB10AD" w:rsidTr="00D06F80">
        <w:trPr>
          <w:trHeight w:val="76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rFonts w:asciiTheme="minorHAnsi" w:eastAsiaTheme="minorHAnsi" w:hAnsiTheme="minorHAnsi" w:cstheme="minorBidi"/>
                <w:lang w:val="en-AU"/>
              </w:rPr>
            </w:pPr>
            <w:r w:rsidRPr="00CB10AD">
              <w:rPr>
                <w:rFonts w:asciiTheme="minorHAnsi" w:eastAsiaTheme="minorHAnsi" w:hAnsiTheme="minorHAnsi" w:cstheme="minorBidi"/>
                <w:lang w:val="en-AU"/>
              </w:rPr>
              <w:t xml:space="preserve">AusAID: First Joint Monitoring Visit of School Construction – Engineering and Technical Evaluation Mission Back To Office Report #1 – December 7 - 21, 2012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rFonts w:asciiTheme="minorHAnsi" w:eastAsiaTheme="minorHAnsi" w:hAnsiTheme="minorHAnsi" w:cstheme="minorBidi"/>
                <w:lang w:val="en-AU"/>
              </w:rPr>
              <w:t>January 2013</w:t>
            </w:r>
          </w:p>
        </w:tc>
      </w:tr>
      <w:tr w:rsidR="00D06F80" w:rsidRPr="00CB10AD" w:rsidTr="00D06F80">
        <w:trPr>
          <w:trHeight w:val="510"/>
        </w:trPr>
        <w:tc>
          <w:tcPr>
            <w:tcW w:w="4123" w:type="pct"/>
            <w:tcBorders>
              <w:top w:val="nil"/>
              <w:left w:val="single" w:sz="8" w:space="0" w:color="auto"/>
              <w:bottom w:val="single" w:sz="4" w:space="0" w:color="auto"/>
              <w:right w:val="single" w:sz="4" w:space="0" w:color="auto"/>
            </w:tcBorders>
            <w:shd w:val="clear" w:color="auto" w:fill="auto"/>
            <w:vAlign w:val="center"/>
            <w:hideMark/>
          </w:tcPr>
          <w:p w:rsidR="00D06F80" w:rsidRPr="00CB10AD" w:rsidRDefault="00D06F80" w:rsidP="00D06F80">
            <w:pPr>
              <w:keepNext/>
              <w:rPr>
                <w:color w:val="000000"/>
                <w:lang w:val="en-AU"/>
              </w:rPr>
            </w:pPr>
            <w:r w:rsidRPr="00CB10AD">
              <w:rPr>
                <w:color w:val="000000"/>
                <w:lang w:val="en-AU"/>
              </w:rPr>
              <w:t xml:space="preserve">POM: Annual Partnership Performance Report 2012 </w:t>
            </w:r>
          </w:p>
        </w:tc>
        <w:tc>
          <w:tcPr>
            <w:tcW w:w="877" w:type="pct"/>
            <w:tcBorders>
              <w:top w:val="nil"/>
              <w:left w:val="nil"/>
              <w:bottom w:val="single" w:sz="4" w:space="0" w:color="auto"/>
              <w:right w:val="single" w:sz="8" w:space="0" w:color="auto"/>
            </w:tcBorders>
            <w:shd w:val="clear" w:color="auto" w:fill="auto"/>
            <w:noWrap/>
            <w:vAlign w:val="center"/>
            <w:hideMark/>
          </w:tcPr>
          <w:p w:rsidR="00D06F80" w:rsidRPr="00CB10AD" w:rsidRDefault="00D06F80" w:rsidP="00D06F80">
            <w:pPr>
              <w:rPr>
                <w:color w:val="000000"/>
                <w:lang w:val="en-AU"/>
              </w:rPr>
            </w:pPr>
            <w:r w:rsidRPr="00CB10AD">
              <w:rPr>
                <w:color w:val="000000"/>
                <w:lang w:val="en-AU"/>
              </w:rPr>
              <w:t>January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SSQ: ME005 What value are Field Monitors adding to the quality of construction?</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January 2013</w:t>
            </w:r>
          </w:p>
        </w:tc>
      </w:tr>
      <w:tr w:rsidR="00D06F80" w:rsidRPr="00CB10AD" w:rsidTr="00D06F80">
        <w:trPr>
          <w:trHeight w:val="510"/>
        </w:trPr>
        <w:tc>
          <w:tcPr>
            <w:tcW w:w="4123" w:type="pct"/>
            <w:tcBorders>
              <w:top w:val="nil"/>
              <w:left w:val="single" w:sz="8" w:space="0" w:color="auto"/>
              <w:bottom w:val="single" w:sz="4" w:space="0" w:color="auto"/>
              <w:right w:val="single" w:sz="4" w:space="0" w:color="auto"/>
            </w:tcBorders>
            <w:shd w:val="clear" w:color="auto" w:fill="auto"/>
            <w:vAlign w:val="center"/>
            <w:hideMark/>
          </w:tcPr>
          <w:p w:rsidR="00D06F80" w:rsidRPr="00CB10AD" w:rsidRDefault="00D06F80" w:rsidP="00D06F80">
            <w:pPr>
              <w:keepNext/>
              <w:rPr>
                <w:color w:val="000000"/>
                <w:lang w:val="en-AU"/>
              </w:rPr>
            </w:pPr>
            <w:r w:rsidRPr="00CB10AD">
              <w:rPr>
                <w:color w:val="000000"/>
                <w:lang w:val="en-AU"/>
              </w:rPr>
              <w:t>POM Six monthly Report – July to December 2012</w:t>
            </w:r>
          </w:p>
        </w:tc>
        <w:tc>
          <w:tcPr>
            <w:tcW w:w="877" w:type="pct"/>
            <w:tcBorders>
              <w:top w:val="nil"/>
              <w:left w:val="nil"/>
              <w:bottom w:val="single" w:sz="4" w:space="0" w:color="auto"/>
              <w:right w:val="single" w:sz="8" w:space="0" w:color="auto"/>
            </w:tcBorders>
            <w:shd w:val="clear" w:color="auto" w:fill="auto"/>
            <w:noWrap/>
            <w:vAlign w:val="center"/>
            <w:hideMark/>
          </w:tcPr>
          <w:p w:rsidR="00D06F80" w:rsidRPr="00CB10AD" w:rsidRDefault="00D06F80" w:rsidP="00D06F80">
            <w:pPr>
              <w:keepNext/>
              <w:rPr>
                <w:color w:val="000000"/>
                <w:lang w:val="en-AU"/>
              </w:rPr>
            </w:pPr>
            <w:r w:rsidRPr="00CB10AD">
              <w:rPr>
                <w:color w:val="000000"/>
                <w:lang w:val="en-AU"/>
              </w:rPr>
              <w:t>January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Education Partnership Social Inclusion Options Paper</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January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AusAID: Field Monitoring Model in EP Component 1:</w:t>
            </w:r>
            <w:r w:rsidR="00CB10AD">
              <w:rPr>
                <w:color w:val="000000"/>
                <w:lang w:val="en-AU"/>
              </w:rPr>
              <w:t xml:space="preserve"> </w:t>
            </w:r>
            <w:r w:rsidRPr="00CB10AD">
              <w:rPr>
                <w:color w:val="000000"/>
                <w:lang w:val="en-AU"/>
              </w:rPr>
              <w:t>Final Evaluation Report</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February 2013</w:t>
            </w:r>
          </w:p>
        </w:tc>
      </w:tr>
      <w:tr w:rsidR="00D06F80" w:rsidRPr="00CB10AD" w:rsidTr="00D06F80">
        <w:trPr>
          <w:trHeight w:val="662"/>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GoI: AEPI Junior Secondary School Construction and Expansion Quarterly Initiative Report No 2: September 2012 – February 2013</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March 2013</w:t>
            </w:r>
          </w:p>
        </w:tc>
      </w:tr>
      <w:tr w:rsidR="00D06F80" w:rsidRPr="00CB10AD" w:rsidTr="00D06F80">
        <w:trPr>
          <w:trHeight w:val="686"/>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SSQ: ME006 The relationship between compliance with finance and administration criteria and construction progress</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March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rFonts w:asciiTheme="minorHAnsi" w:eastAsiaTheme="minorHAnsi" w:hAnsiTheme="minorHAnsi" w:cstheme="minorBidi"/>
                <w:lang w:val="en-AU"/>
              </w:rPr>
              <w:t xml:space="preserve">SSQ: ME007 District &amp; Provincial HRMD Training Evaluation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color w:val="000000"/>
                <w:lang w:val="en-AU"/>
              </w:rPr>
            </w:pPr>
            <w:r w:rsidRPr="00CB10AD">
              <w:rPr>
                <w:rFonts w:asciiTheme="minorHAnsi" w:eastAsiaTheme="minorHAnsi" w:hAnsiTheme="minorHAnsi" w:cstheme="minorBidi"/>
                <w:lang w:val="en-AU"/>
              </w:rPr>
              <w:t>March 2013</w:t>
            </w:r>
          </w:p>
        </w:tc>
      </w:tr>
      <w:tr w:rsidR="00D06F80" w:rsidRPr="00CB10AD" w:rsidTr="00D06F80">
        <w:trPr>
          <w:trHeight w:val="76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rFonts w:asciiTheme="minorHAnsi" w:eastAsiaTheme="minorHAnsi" w:hAnsiTheme="minorHAnsi" w:cstheme="minorBidi"/>
                <w:lang w:val="en-AU"/>
              </w:rPr>
            </w:pPr>
            <w:r w:rsidRPr="00CB10AD">
              <w:rPr>
                <w:rFonts w:asciiTheme="minorHAnsi" w:eastAsiaTheme="minorHAnsi" w:hAnsiTheme="minorHAnsi" w:cstheme="minorBidi"/>
                <w:lang w:val="en-AU"/>
              </w:rPr>
              <w:t xml:space="preserve">AusAID: Second Joint Monitoring Visit of School Construction – Engineering and Technical Evaluation Mission Back To Office Report #2 – February 18 - March 3, 2013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rFonts w:asciiTheme="minorHAnsi" w:eastAsiaTheme="minorHAnsi" w:hAnsiTheme="minorHAnsi" w:cstheme="minorBidi"/>
                <w:lang w:val="en-AU"/>
              </w:rPr>
              <w:t>March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SSQ mid-year Progress Report</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May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POM: Education Partnership Health Check #2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May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SSQ: ME008 Evaluation of Learning on CPD Pilot – Stage 1 of Evaluation</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June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POM: Assessment of District Education Infrastructure Planning Capacity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June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SSQ: ME009 Evaluation of CPD Pilot - Stage 2 of Evaluation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color w:val="000000"/>
                <w:lang w:val="en-AU"/>
              </w:rPr>
            </w:pPr>
            <w:r w:rsidRPr="00CB10AD">
              <w:rPr>
                <w:color w:val="000000"/>
                <w:lang w:val="en-AU"/>
              </w:rPr>
              <w:t>June 2013</w:t>
            </w:r>
          </w:p>
        </w:tc>
      </w:tr>
      <w:tr w:rsidR="00D06F80" w:rsidRPr="00CB10AD" w:rsidTr="00D06F80">
        <w:trPr>
          <w:trHeight w:val="510"/>
        </w:trPr>
        <w:tc>
          <w:tcPr>
            <w:tcW w:w="4123" w:type="pct"/>
            <w:tcBorders>
              <w:top w:val="nil"/>
              <w:left w:val="single" w:sz="8" w:space="0" w:color="auto"/>
              <w:bottom w:val="single" w:sz="4" w:space="0" w:color="auto"/>
              <w:right w:val="single" w:sz="4" w:space="0" w:color="auto"/>
            </w:tcBorders>
            <w:shd w:val="clear" w:color="auto" w:fill="auto"/>
            <w:vAlign w:val="center"/>
          </w:tcPr>
          <w:p w:rsidR="00D06F80" w:rsidRPr="00CB10AD" w:rsidRDefault="00D06F80" w:rsidP="00D06F80">
            <w:pPr>
              <w:keepNext/>
              <w:rPr>
                <w:color w:val="000000"/>
                <w:lang w:val="en-AU"/>
              </w:rPr>
            </w:pPr>
            <w:r w:rsidRPr="00CB10AD">
              <w:rPr>
                <w:color w:val="000000"/>
                <w:lang w:val="en-AU"/>
              </w:rPr>
              <w:t>ACDP Six Monthly Progress Report</w:t>
            </w:r>
          </w:p>
        </w:tc>
        <w:tc>
          <w:tcPr>
            <w:tcW w:w="877" w:type="pct"/>
            <w:tcBorders>
              <w:top w:val="nil"/>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Mid 2013</w:t>
            </w:r>
          </w:p>
        </w:tc>
      </w:tr>
      <w:tr w:rsidR="00D06F80" w:rsidRPr="00CB10AD" w:rsidTr="00D06F80">
        <w:trPr>
          <w:trHeight w:val="510"/>
        </w:trPr>
        <w:tc>
          <w:tcPr>
            <w:tcW w:w="4123" w:type="pct"/>
            <w:tcBorders>
              <w:top w:val="nil"/>
              <w:left w:val="single" w:sz="8" w:space="0" w:color="auto"/>
              <w:bottom w:val="single" w:sz="4" w:space="0" w:color="auto"/>
              <w:right w:val="single" w:sz="4" w:space="0" w:color="auto"/>
            </w:tcBorders>
            <w:shd w:val="clear" w:color="auto" w:fill="auto"/>
            <w:vAlign w:val="center"/>
            <w:hideMark/>
          </w:tcPr>
          <w:p w:rsidR="00D06F80" w:rsidRPr="00CB10AD" w:rsidRDefault="00D06F80" w:rsidP="00D06F80">
            <w:pPr>
              <w:keepNext/>
              <w:rPr>
                <w:color w:val="000000"/>
                <w:lang w:val="en-AU"/>
              </w:rPr>
            </w:pPr>
            <w:r w:rsidRPr="00CB10AD">
              <w:rPr>
                <w:color w:val="000000"/>
                <w:lang w:val="en-AU"/>
              </w:rPr>
              <w:t>AusAID: Annual Partnership Performance Report 2012 – Management Response</w:t>
            </w:r>
          </w:p>
        </w:tc>
        <w:tc>
          <w:tcPr>
            <w:tcW w:w="877" w:type="pct"/>
            <w:tcBorders>
              <w:top w:val="nil"/>
              <w:left w:val="nil"/>
              <w:bottom w:val="single" w:sz="4" w:space="0" w:color="auto"/>
              <w:right w:val="single" w:sz="8" w:space="0" w:color="auto"/>
            </w:tcBorders>
            <w:shd w:val="clear" w:color="auto" w:fill="auto"/>
            <w:noWrap/>
            <w:vAlign w:val="center"/>
            <w:hideMark/>
          </w:tcPr>
          <w:p w:rsidR="00D06F80" w:rsidRPr="00CB10AD" w:rsidRDefault="00D06F80" w:rsidP="00D06F80">
            <w:pPr>
              <w:keepNext/>
              <w:rPr>
                <w:color w:val="000000"/>
                <w:lang w:val="en-AU"/>
              </w:rPr>
            </w:pPr>
            <w:r w:rsidRPr="00CB10AD">
              <w:rPr>
                <w:color w:val="000000"/>
                <w:lang w:val="en-AU"/>
              </w:rPr>
              <w:t>July 2013</w:t>
            </w:r>
          </w:p>
        </w:tc>
      </w:tr>
      <w:tr w:rsidR="00D06F80" w:rsidRPr="00CB10AD" w:rsidTr="00D06F80">
        <w:trPr>
          <w:trHeight w:val="747"/>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AusAID: BOS Training: Its Implementation, Impact and Implications for the Development of Indonesia’s Education System - An Independent Review</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color w:val="000000"/>
                <w:lang w:val="en-AU"/>
              </w:rPr>
            </w:pPr>
            <w:r w:rsidRPr="00CB10AD">
              <w:rPr>
                <w:color w:val="000000"/>
                <w:lang w:val="en-AU"/>
              </w:rPr>
              <w:t>July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Six monthly Report – January to June 2013</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July 2013</w:t>
            </w:r>
          </w:p>
        </w:tc>
      </w:tr>
      <w:tr w:rsidR="00D06F80" w:rsidRPr="00CB10AD" w:rsidTr="00D06F80">
        <w:trPr>
          <w:trHeight w:val="738"/>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lastRenderedPageBreak/>
              <w:t>SSQ: Most Significant Change at Human Resources Management for District and Province</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August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POM: C1 Annual Financial Statements Audit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September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POM: Baseline Report for Evaluation of EOPO 3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Annual Sector Monitoring Report</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POM: Baseline Report for Evaluation of EOPO 1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tabs>
                <w:tab w:val="num" w:pos="720"/>
              </w:tabs>
              <w:rPr>
                <w:color w:val="000000"/>
                <w:lang w:val="en-AU"/>
              </w:rPr>
            </w:pPr>
            <w:r w:rsidRPr="00CB10AD">
              <w:rPr>
                <w:color w:val="000000"/>
                <w:lang w:val="en-AU"/>
              </w:rPr>
              <w:t>SSQ: ME010: Construction Quality Desk Top Review</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tabs>
                <w:tab w:val="num" w:pos="720"/>
              </w:tabs>
              <w:rPr>
                <w:color w:val="000000"/>
                <w:lang w:val="en-AU"/>
              </w:rPr>
            </w:pPr>
            <w:r w:rsidRPr="00CB10AD">
              <w:rPr>
                <w:color w:val="000000"/>
                <w:lang w:val="en-AU"/>
              </w:rPr>
              <w:t>SSQ: ME011: Evaluation of Support to Madrasah Achievement of Accreditation</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Annual Sector Financial Report</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November 2013</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C1 MoEC Internal Control and Compliance Review</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C1: School Construction Committee (SCC) Financial Compliance Audit</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Draft</w:t>
            </w:r>
          </w:p>
        </w:tc>
      </w:tr>
      <w:tr w:rsidR="00D06F80" w:rsidRPr="00CB10AD" w:rsidTr="00D06F80">
        <w:trPr>
          <w:trHeight w:val="693"/>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SSQ: Most Significant Change at Continuous Professional Development Program (Makassar, Aceh, Balikpapan, Yogyakarta)</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Compliance Review of Madrasah Accreditation Program</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rFonts w:asciiTheme="minorHAnsi" w:eastAsiaTheme="minorHAnsi" w:hAnsiTheme="minorHAnsi" w:cstheme="minorBidi"/>
                <w:lang w:val="en-AU"/>
              </w:rPr>
              <w:t>ACDP 001: Early Childhood Development Strategy Study</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rFonts w:asciiTheme="minorHAnsi" w:eastAsiaTheme="minorHAnsi" w:hAnsiTheme="minorHAnsi" w:cstheme="minorBidi"/>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ACDP002: Country Background Report on the Education Sector In Indonesia</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ACDP003: Madrasah Education Financing Study</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ACDP005: Review of a Decade of Gender Mainstreaming in Education </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color w:val="000000"/>
                <w:lang w:val="en-AU"/>
              </w:rPr>
              <w:t>Draft</w:t>
            </w:r>
          </w:p>
        </w:tc>
      </w:tr>
      <w:tr w:rsidR="00D06F80" w:rsidRPr="00CB10AD" w:rsidTr="00D06F80">
        <w:trPr>
          <w:trHeight w:val="796"/>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rPr>
                <w:color w:val="000000"/>
                <w:lang w:val="en-AU"/>
              </w:rPr>
            </w:pPr>
            <w:r w:rsidRPr="00CB10AD">
              <w:rPr>
                <w:color w:val="000000"/>
                <w:lang w:val="en-AU"/>
              </w:rPr>
              <w:t>ACDP007: School and Madrasah Principals and Supervisors Competencies Baseline Study</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rFonts w:asciiTheme="minorHAnsi" w:eastAsiaTheme="minorHAnsi" w:hAnsiTheme="minorHAnsi" w:cstheme="minorBidi"/>
                <w:lang w:val="en-AU"/>
              </w:rPr>
              <w:t>ACDP008: Evaluation of the Supplemental Food for School Children Program</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ACDP: ESSP Results Framework Report 2013</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rFonts w:asciiTheme="minorHAnsi" w:eastAsiaTheme="minorHAnsi" w:hAnsiTheme="minorHAnsi" w:cstheme="minorBidi"/>
                <w:lang w:val="en-AU"/>
              </w:rPr>
            </w:pPr>
            <w:r w:rsidRPr="00CB10AD">
              <w:rPr>
                <w:color w:val="000000"/>
                <w:lang w:val="en-AU"/>
              </w:rPr>
              <w:t>Draft</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Financial Audit of 2011 BOS Training Program</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 xml:space="preserve">To be finalised </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POM: Compliance Review of 2011 BOS Training Program</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To be finalised</w:t>
            </w:r>
          </w:p>
        </w:tc>
      </w:tr>
      <w:tr w:rsidR="00D06F80" w:rsidRPr="00CB10AD" w:rsidTr="00D06F80">
        <w:trPr>
          <w:trHeight w:val="510"/>
        </w:trPr>
        <w:tc>
          <w:tcPr>
            <w:tcW w:w="4123" w:type="pct"/>
            <w:tcBorders>
              <w:top w:val="single" w:sz="4" w:space="0" w:color="auto"/>
              <w:left w:val="single" w:sz="8" w:space="0" w:color="auto"/>
              <w:bottom w:val="single" w:sz="4" w:space="0" w:color="auto"/>
              <w:right w:val="single" w:sz="4" w:space="0" w:color="auto"/>
            </w:tcBorders>
            <w:shd w:val="clear" w:color="auto" w:fill="auto"/>
            <w:noWrap/>
            <w:vAlign w:val="center"/>
          </w:tcPr>
          <w:p w:rsidR="00D06F80" w:rsidRPr="00CB10AD" w:rsidRDefault="00D06F80" w:rsidP="00D06F80">
            <w:pPr>
              <w:keepNext/>
              <w:rPr>
                <w:color w:val="000000"/>
                <w:lang w:val="en-AU"/>
              </w:rPr>
            </w:pPr>
            <w:r w:rsidRPr="00CB10AD">
              <w:rPr>
                <w:color w:val="000000"/>
                <w:lang w:val="en-AU"/>
              </w:rPr>
              <w:t>AusAID: Australia’s Education Partnership with Indonesia Social Inclusion Framework</w:t>
            </w:r>
          </w:p>
        </w:tc>
        <w:tc>
          <w:tcPr>
            <w:tcW w:w="877" w:type="pct"/>
            <w:tcBorders>
              <w:top w:val="single" w:sz="4" w:space="0" w:color="auto"/>
              <w:left w:val="nil"/>
              <w:bottom w:val="single" w:sz="4" w:space="0" w:color="auto"/>
              <w:right w:val="single" w:sz="8" w:space="0" w:color="auto"/>
            </w:tcBorders>
            <w:shd w:val="clear" w:color="auto" w:fill="auto"/>
            <w:noWrap/>
            <w:vAlign w:val="center"/>
          </w:tcPr>
          <w:p w:rsidR="00D06F80" w:rsidRPr="00CB10AD" w:rsidRDefault="00D06F80" w:rsidP="00D06F80">
            <w:pPr>
              <w:rPr>
                <w:color w:val="000000"/>
                <w:lang w:val="en-AU"/>
              </w:rPr>
            </w:pPr>
            <w:r w:rsidRPr="00CB10AD">
              <w:rPr>
                <w:color w:val="000000"/>
                <w:lang w:val="en-AU"/>
              </w:rPr>
              <w:t>To be finalised</w:t>
            </w:r>
          </w:p>
        </w:tc>
      </w:tr>
    </w:tbl>
    <w:p w:rsidR="00D06F80" w:rsidRPr="00CB10AD" w:rsidRDefault="00D06F80" w:rsidP="00D06F80">
      <w:pPr>
        <w:rPr>
          <w:lang w:val="en-AU"/>
        </w:rPr>
      </w:pPr>
    </w:p>
    <w:p w:rsidR="00D06F80" w:rsidRPr="00CB10AD" w:rsidRDefault="00D06F80" w:rsidP="00D06F80">
      <w:pPr>
        <w:rPr>
          <w:lang w:val="en-AU"/>
        </w:rPr>
      </w:pPr>
      <w:r w:rsidRPr="00CB10AD">
        <w:rPr>
          <w:lang w:val="en-AU"/>
        </w:rPr>
        <w:br w:type="page"/>
      </w:r>
    </w:p>
    <w:p w:rsidR="007269E9" w:rsidRDefault="007269E9" w:rsidP="007269E9">
      <w:pPr>
        <w:keepNext/>
        <w:ind w:left="720" w:hanging="720"/>
        <w:outlineLvl w:val="0"/>
        <w:rPr>
          <w:rFonts w:asciiTheme="minorHAnsi" w:hAnsiTheme="minorHAnsi" w:cstheme="minorHAnsi"/>
          <w:bCs/>
          <w:color w:val="003880"/>
          <w:kern w:val="32"/>
          <w:sz w:val="32"/>
          <w:szCs w:val="72"/>
          <w:lang w:val="en-AU"/>
        </w:rPr>
        <w:sectPr w:rsidR="007269E9" w:rsidSect="00D06F80">
          <w:headerReference w:type="default" r:id="rId37"/>
          <w:pgSz w:w="11906" w:h="16838"/>
          <w:pgMar w:top="1440" w:right="1440" w:bottom="1440" w:left="1440" w:header="708" w:footer="708" w:gutter="0"/>
          <w:cols w:space="708"/>
          <w:docGrid w:linePitch="360"/>
        </w:sectPr>
      </w:pPr>
      <w:bookmarkStart w:id="72" w:name="_Toc379548514"/>
    </w:p>
    <w:p w:rsidR="007269E9" w:rsidRPr="00CB10AD" w:rsidRDefault="007269E9" w:rsidP="007269E9">
      <w:pPr>
        <w:keepNext/>
        <w:ind w:left="720" w:hanging="720"/>
        <w:outlineLvl w:val="0"/>
        <w:rPr>
          <w:rFonts w:asciiTheme="minorHAnsi" w:hAnsiTheme="minorHAnsi" w:cstheme="minorHAnsi"/>
          <w:bCs/>
          <w:color w:val="003880"/>
          <w:kern w:val="32"/>
          <w:sz w:val="32"/>
          <w:szCs w:val="72"/>
          <w:lang w:val="en-AU"/>
        </w:rPr>
      </w:pPr>
      <w:bookmarkStart w:id="73" w:name="_Toc388253147"/>
      <w:r w:rsidRPr="00CB10AD">
        <w:rPr>
          <w:rFonts w:asciiTheme="minorHAnsi" w:hAnsiTheme="minorHAnsi" w:cstheme="minorHAnsi"/>
          <w:bCs/>
          <w:color w:val="003880"/>
          <w:kern w:val="32"/>
          <w:sz w:val="32"/>
          <w:szCs w:val="72"/>
          <w:lang w:val="en-AU"/>
        </w:rPr>
        <w:lastRenderedPageBreak/>
        <w:t xml:space="preserve">Annex </w:t>
      </w:r>
      <w:r>
        <w:rPr>
          <w:rFonts w:asciiTheme="minorHAnsi" w:hAnsiTheme="minorHAnsi" w:cstheme="minorHAnsi"/>
          <w:bCs/>
          <w:color w:val="003880"/>
          <w:kern w:val="32"/>
          <w:sz w:val="32"/>
          <w:szCs w:val="72"/>
          <w:lang w:val="en-AU"/>
        </w:rPr>
        <w:t>V</w:t>
      </w:r>
      <w:r w:rsidRPr="00CB10AD">
        <w:rPr>
          <w:rFonts w:asciiTheme="minorHAnsi" w:hAnsiTheme="minorHAnsi" w:cstheme="minorHAnsi"/>
          <w:bCs/>
          <w:color w:val="003880"/>
          <w:kern w:val="32"/>
          <w:sz w:val="32"/>
          <w:szCs w:val="72"/>
          <w:lang w:val="en-AU"/>
        </w:rPr>
        <w:t xml:space="preserve"> – EP Analytical Framework 2013</w:t>
      </w:r>
      <w:bookmarkEnd w:id="72"/>
      <w:bookmarkEnd w:id="73"/>
    </w:p>
    <w:p w:rsidR="007269E9" w:rsidRPr="00CB10AD" w:rsidRDefault="007269E9" w:rsidP="007269E9">
      <w:pPr>
        <w:rPr>
          <w:szCs w:val="20"/>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228"/>
        <w:gridCol w:w="2568"/>
        <w:gridCol w:w="6120"/>
        <w:gridCol w:w="2583"/>
      </w:tblGrid>
      <w:tr w:rsidR="007269E9" w:rsidRPr="00CB10AD" w:rsidTr="00722245">
        <w:trPr>
          <w:trHeight w:val="579"/>
          <w:tblHeader/>
        </w:trPr>
        <w:tc>
          <w:tcPr>
            <w:tcW w:w="238" w:type="pct"/>
            <w:tcBorders>
              <w:top w:val="single" w:sz="4" w:space="0" w:color="auto"/>
              <w:left w:val="single" w:sz="4" w:space="0" w:color="auto"/>
              <w:bottom w:val="single" w:sz="4" w:space="0" w:color="auto"/>
              <w:right w:val="single" w:sz="4" w:space="0" w:color="auto"/>
            </w:tcBorders>
            <w:shd w:val="clear" w:color="auto" w:fill="1F497D"/>
            <w:vAlign w:val="center"/>
            <w:hideMark/>
          </w:tcPr>
          <w:p w:rsidR="007269E9" w:rsidRPr="00CB10AD" w:rsidRDefault="007269E9" w:rsidP="00722245">
            <w:pPr>
              <w:jc w:val="center"/>
              <w:rPr>
                <w:rFonts w:asciiTheme="minorHAnsi" w:eastAsiaTheme="minorHAnsi" w:hAnsiTheme="minorHAnsi"/>
                <w:b/>
                <w:smallCaps/>
                <w:color w:val="FFFFFF"/>
                <w:lang w:val="en-AU"/>
              </w:rPr>
            </w:pPr>
          </w:p>
        </w:tc>
        <w:tc>
          <w:tcPr>
            <w:tcW w:w="786" w:type="pct"/>
            <w:tcBorders>
              <w:top w:val="single" w:sz="4" w:space="0" w:color="auto"/>
              <w:left w:val="single" w:sz="4" w:space="0" w:color="auto"/>
              <w:bottom w:val="single" w:sz="4" w:space="0" w:color="auto"/>
              <w:right w:val="single" w:sz="4" w:space="0" w:color="auto"/>
            </w:tcBorders>
            <w:shd w:val="clear" w:color="auto" w:fill="1F497D"/>
            <w:vAlign w:val="center"/>
            <w:hideMark/>
          </w:tcPr>
          <w:p w:rsidR="007269E9" w:rsidRPr="00CB10AD" w:rsidRDefault="007269E9" w:rsidP="00722245">
            <w:pPr>
              <w:jc w:val="center"/>
              <w:rPr>
                <w:rFonts w:asciiTheme="minorHAnsi" w:eastAsiaTheme="minorHAnsi" w:hAnsiTheme="minorHAnsi"/>
                <w:b/>
                <w:color w:val="FFFFFF"/>
                <w:lang w:val="en-AU"/>
              </w:rPr>
            </w:pPr>
            <w:r w:rsidRPr="00CB10AD">
              <w:rPr>
                <w:rFonts w:asciiTheme="minorHAnsi" w:eastAsiaTheme="minorHAnsi" w:hAnsiTheme="minorHAnsi"/>
                <w:b/>
                <w:color w:val="FFFFFF"/>
                <w:lang w:val="en-AU"/>
              </w:rPr>
              <w:t>Overarching themes</w:t>
            </w:r>
          </w:p>
        </w:tc>
        <w:tc>
          <w:tcPr>
            <w:tcW w:w="906" w:type="pct"/>
            <w:tcBorders>
              <w:top w:val="single" w:sz="4" w:space="0" w:color="auto"/>
              <w:left w:val="single" w:sz="4" w:space="0" w:color="auto"/>
              <w:bottom w:val="single" w:sz="4" w:space="0" w:color="auto"/>
              <w:right w:val="single" w:sz="4" w:space="0" w:color="auto"/>
            </w:tcBorders>
            <w:shd w:val="clear" w:color="auto" w:fill="1F497D"/>
            <w:vAlign w:val="center"/>
            <w:hideMark/>
          </w:tcPr>
          <w:p w:rsidR="007269E9" w:rsidRPr="00CB10AD" w:rsidRDefault="007269E9" w:rsidP="00722245">
            <w:pPr>
              <w:jc w:val="center"/>
              <w:rPr>
                <w:rFonts w:asciiTheme="minorHAnsi" w:eastAsiaTheme="minorHAnsi" w:hAnsiTheme="minorHAnsi"/>
                <w:b/>
                <w:color w:val="FFFFFF"/>
                <w:lang w:val="en-AU"/>
              </w:rPr>
            </w:pPr>
            <w:r w:rsidRPr="00CB10AD">
              <w:rPr>
                <w:rFonts w:asciiTheme="minorHAnsi" w:eastAsiaTheme="minorHAnsi" w:hAnsiTheme="minorHAnsi"/>
                <w:b/>
                <w:color w:val="FFFFFF"/>
                <w:lang w:val="en-AU"/>
              </w:rPr>
              <w:t>Key Questions</w:t>
            </w:r>
          </w:p>
        </w:tc>
        <w:tc>
          <w:tcPr>
            <w:tcW w:w="2159" w:type="pct"/>
            <w:tcBorders>
              <w:top w:val="single" w:sz="4" w:space="0" w:color="auto"/>
              <w:left w:val="single" w:sz="4" w:space="0" w:color="auto"/>
              <w:bottom w:val="single" w:sz="4" w:space="0" w:color="auto"/>
              <w:right w:val="single" w:sz="4" w:space="0" w:color="auto"/>
            </w:tcBorders>
            <w:shd w:val="clear" w:color="auto" w:fill="1F497D"/>
            <w:vAlign w:val="center"/>
            <w:hideMark/>
          </w:tcPr>
          <w:p w:rsidR="007269E9" w:rsidRPr="00CB10AD" w:rsidRDefault="007269E9" w:rsidP="00722245">
            <w:pPr>
              <w:jc w:val="center"/>
              <w:rPr>
                <w:rFonts w:asciiTheme="minorHAnsi" w:eastAsiaTheme="minorHAnsi" w:hAnsiTheme="minorHAnsi"/>
                <w:b/>
                <w:color w:val="FFFFFF"/>
                <w:lang w:val="en-AU"/>
              </w:rPr>
            </w:pPr>
            <w:r w:rsidRPr="00CB10AD">
              <w:rPr>
                <w:rFonts w:asciiTheme="minorHAnsi" w:eastAsiaTheme="minorHAnsi" w:hAnsiTheme="minorHAnsi"/>
                <w:b/>
                <w:color w:val="FFFFFF"/>
                <w:lang w:val="en-AU"/>
              </w:rPr>
              <w:t xml:space="preserve"> Sub-Questions/Prompts</w:t>
            </w:r>
          </w:p>
        </w:tc>
        <w:tc>
          <w:tcPr>
            <w:tcW w:w="911" w:type="pct"/>
            <w:tcBorders>
              <w:top w:val="single" w:sz="4" w:space="0" w:color="auto"/>
              <w:left w:val="single" w:sz="4" w:space="0" w:color="auto"/>
              <w:bottom w:val="single" w:sz="4" w:space="0" w:color="auto"/>
              <w:right w:val="single" w:sz="4" w:space="0" w:color="auto"/>
            </w:tcBorders>
            <w:shd w:val="clear" w:color="auto" w:fill="1F497D"/>
            <w:vAlign w:val="center"/>
          </w:tcPr>
          <w:p w:rsidR="007269E9" w:rsidRPr="00CB10AD" w:rsidRDefault="007269E9" w:rsidP="00722245">
            <w:pPr>
              <w:jc w:val="center"/>
              <w:rPr>
                <w:rFonts w:asciiTheme="minorHAnsi" w:eastAsiaTheme="minorHAnsi" w:hAnsiTheme="minorHAnsi"/>
                <w:b/>
                <w:color w:val="FFFFFF"/>
                <w:lang w:val="en-AU"/>
              </w:rPr>
            </w:pPr>
            <w:r w:rsidRPr="00CB10AD">
              <w:rPr>
                <w:rFonts w:asciiTheme="minorHAnsi" w:eastAsiaTheme="minorHAnsi" w:hAnsiTheme="minorHAnsi"/>
                <w:b/>
                <w:color w:val="FFFFFF"/>
                <w:lang w:val="en-AU"/>
              </w:rPr>
              <w:t>Main Sources of Information</w:t>
            </w:r>
          </w:p>
        </w:tc>
      </w:tr>
      <w:tr w:rsidR="007269E9" w:rsidRPr="00CB10AD" w:rsidTr="00722245">
        <w:trPr>
          <w:trHeight w:val="659"/>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rsidR="007269E9" w:rsidRPr="00CB10AD" w:rsidRDefault="007269E9" w:rsidP="00722245">
            <w:pPr>
              <w:jc w:val="center"/>
              <w:rPr>
                <w:rFonts w:asciiTheme="minorHAnsi" w:eastAsiaTheme="minorHAnsi" w:hAnsiTheme="minorHAnsi"/>
                <w:b/>
                <w:lang w:val="en-AU"/>
              </w:rPr>
            </w:pPr>
            <w:r w:rsidRPr="00CB10AD">
              <w:rPr>
                <w:rFonts w:asciiTheme="minorHAnsi" w:eastAsiaTheme="minorHAnsi" w:hAnsiTheme="minorHAnsi"/>
                <w:b/>
                <w:lang w:val="en-AU"/>
              </w:rPr>
              <w:t>DAC criteria</w:t>
            </w:r>
          </w:p>
        </w:tc>
      </w:tr>
      <w:tr w:rsidR="007269E9" w:rsidRPr="00CB10AD" w:rsidTr="00722245">
        <w:trPr>
          <w:trHeight w:val="567"/>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b/>
                <w:lang w:val="en-AU"/>
              </w:rPr>
            </w:pPr>
            <w:r w:rsidRPr="00CB10AD">
              <w:rPr>
                <w:rFonts w:asciiTheme="minorHAnsi" w:eastAsiaTheme="minorHAnsi" w:hAnsiTheme="minorHAnsi"/>
                <w:b/>
                <w:lang w:val="en-AU"/>
              </w:rPr>
              <w:t>Context</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and how do EP interventions remain appropriate to the Indonesian education sector?</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When considered from an education sector perspective, do the objectives of the EP remain valid?</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 xml:space="preserve">Is the context in which the EP operates changing and do such changes open up opportunities or elevate risks for the EP?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Do the main foci of the EP still resonate with GoI RENSTRA and GoA development policy?</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In the context of other donor and GoI interventions, are there more appropriate investments that GoA should be making in the sector?</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rPr>
                <w:rFonts w:asciiTheme="minorHAnsi" w:eastAsiaTheme="minorHAnsi" w:hAnsiTheme="minorHAnsi"/>
                <w:lang w:val="en-AU"/>
              </w:rPr>
            </w:pPr>
          </w:p>
        </w:tc>
      </w:tr>
      <w:tr w:rsidR="007269E9" w:rsidRPr="00CB10AD" w:rsidTr="00722245">
        <w:trPr>
          <w:trHeight w:val="2187"/>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2</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b/>
                <w:lang w:val="en-AU"/>
              </w:rPr>
            </w:pPr>
            <w:r w:rsidRPr="00CB10AD">
              <w:rPr>
                <w:rFonts w:asciiTheme="minorHAnsi" w:eastAsiaTheme="minorHAnsi" w:hAnsiTheme="minorHAnsi"/>
                <w:b/>
                <w:lang w:val="en-AU"/>
              </w:rPr>
              <w:t>Modalities</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Is (Are) the current modality(ies) the most appropriate in delivering the EP?</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 xml:space="preserve">What are the positive and negative features of the partnership approach?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Has the “partnership” changed and/or become stronger over the last year?</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Is there value in working through GoI systems (WiPS) and, if so, what is that value?</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 xml:space="preserve">Are EP component modalities appropriate to implementation and/or should they change? </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 xml:space="preserve"> </w:t>
            </w:r>
          </w:p>
        </w:tc>
      </w:tr>
      <w:tr w:rsidR="007269E9" w:rsidRPr="00CB10AD" w:rsidTr="00722245">
        <w:trPr>
          <w:trHeight w:val="340"/>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b/>
                <w:lang w:val="en-AU"/>
              </w:rPr>
            </w:pPr>
            <w:r w:rsidRPr="00CB10AD">
              <w:rPr>
                <w:rFonts w:asciiTheme="minorHAnsi" w:eastAsiaTheme="minorHAnsi" w:hAnsiTheme="minorHAnsi"/>
                <w:b/>
                <w:lang w:val="en-AU"/>
              </w:rPr>
              <w:t>Delivery mechanisms</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are the EP delivery mechanisms effective, efficient and accountable?</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What are the advantages and disadvantages of the different delivery mechanisms utilised?</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Are more imaginative or flexible mechanisms considered and is the EP able to adjust its mechanisms?</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Are Australian funds used for their intended purpose and is the transfer of funds safe and accountable?</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Are the EP coordination and management arrangements sufficiently supporting the delivery of the interventions?</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7269E9" w:rsidRPr="00CB10AD" w:rsidRDefault="007269E9" w:rsidP="00722245">
            <w:pPr>
              <w:widowControl w:val="0"/>
              <w:autoSpaceDE w:val="0"/>
              <w:autoSpaceDN w:val="0"/>
              <w:adjustRightInd w:val="0"/>
              <w:ind w:left="446"/>
              <w:rPr>
                <w:lang w:val="en-AU"/>
              </w:rPr>
            </w:pPr>
          </w:p>
        </w:tc>
      </w:tr>
      <w:tr w:rsidR="007269E9" w:rsidRPr="00CB10AD" w:rsidTr="00722245">
        <w:trPr>
          <w:trHeight w:val="697"/>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lastRenderedPageBreak/>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b/>
                <w:lang w:val="en-AU"/>
              </w:rPr>
            </w:pPr>
            <w:r w:rsidRPr="00CB10AD">
              <w:rPr>
                <w:rFonts w:asciiTheme="minorHAnsi" w:eastAsiaTheme="minorHAnsi" w:hAnsiTheme="minorHAnsi"/>
                <w:b/>
                <w:lang w:val="en-AU"/>
              </w:rPr>
              <w:t>Sustainability</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are EP benefits likely to be sustained beyond the life of the EP?</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Has sustainability of EP benefits been adequately considered in the design of the interventions?</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Have specific constraints to sustainability been identified?</w:t>
            </w:r>
            <w:r>
              <w:rPr>
                <w:lang w:val="en-AU"/>
              </w:rPr>
              <w:t xml:space="preserve">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 xml:space="preserve">Do partner institutions demonstrate a level of ownership?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Has the level of funding to sustain benefits been considered and is it likely to be forthcoming?</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r w:rsidR="007269E9" w:rsidRPr="00CB10AD" w:rsidTr="00722245">
        <w:trPr>
          <w:trHeight w:val="1685"/>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5</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b/>
                <w:lang w:val="en-AU"/>
              </w:rPr>
            </w:pPr>
            <w:r w:rsidRPr="00CB10AD">
              <w:rPr>
                <w:rFonts w:asciiTheme="minorHAnsi" w:eastAsiaTheme="minorHAnsi" w:hAnsiTheme="minorHAnsi"/>
                <w:b/>
                <w:lang w:val="en-AU"/>
              </w:rPr>
              <w:t>Beneficiaries</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How have EP interventions impacted upon beneficiaries?</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Have the direct and indirect beneficiaries of EP interventions been identified?</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What are the expected and unexpected impacts on these beneficiaries?</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Which potential beneficiaries are excluded?</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r w:rsidR="007269E9" w:rsidRPr="00CB10AD" w:rsidTr="00722245">
        <w:trPr>
          <w:trHeight w:val="500"/>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rsidR="007269E9" w:rsidRPr="00CB10AD" w:rsidRDefault="007269E9" w:rsidP="00722245">
            <w:pPr>
              <w:jc w:val="center"/>
              <w:rPr>
                <w:rFonts w:asciiTheme="minorHAnsi" w:eastAsiaTheme="minorHAnsi" w:hAnsiTheme="minorHAnsi"/>
                <w:b/>
                <w:lang w:val="en-AU"/>
              </w:rPr>
            </w:pPr>
            <w:r w:rsidRPr="00CB10AD">
              <w:rPr>
                <w:rFonts w:asciiTheme="minorHAnsi" w:eastAsiaTheme="minorHAnsi" w:hAnsiTheme="minorHAnsi"/>
                <w:b/>
                <w:lang w:val="en-AU"/>
              </w:rPr>
              <w:t>EOPO</w:t>
            </w:r>
          </w:p>
        </w:tc>
      </w:tr>
      <w:tr w:rsidR="007269E9" w:rsidRPr="00CB10AD" w:rsidTr="00722245">
        <w:trPr>
          <w:trHeight w:val="2144"/>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6</w:t>
            </w:r>
          </w:p>
        </w:tc>
        <w:tc>
          <w:tcPr>
            <w:tcW w:w="78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bCs/>
                <w:lang w:val="en-AU"/>
              </w:rPr>
              <w:t>Enrolment in Junior Secondary Education</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 xml:space="preserve">To what extent have EP interventions contributed to increase enrolment in participating district? </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What is the evidence of increased JSE enrolment in participating districts?</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How do EP interventions contribute to increase in JSE enrolment in participating districts?</w:t>
            </w:r>
          </w:p>
          <w:p w:rsidR="007269E9" w:rsidRPr="00CB10AD" w:rsidRDefault="007269E9" w:rsidP="00722245">
            <w:pPr>
              <w:pStyle w:val="ListParagraph"/>
              <w:widowControl w:val="0"/>
              <w:numPr>
                <w:ilvl w:val="1"/>
                <w:numId w:val="39"/>
              </w:numPr>
              <w:autoSpaceDE w:val="0"/>
              <w:autoSpaceDN w:val="0"/>
              <w:adjustRightInd w:val="0"/>
              <w:spacing w:after="0" w:line="240" w:lineRule="auto"/>
              <w:ind w:left="908" w:hanging="425"/>
              <w:contextualSpacing w:val="0"/>
              <w:rPr>
                <w:rFonts w:asciiTheme="minorHAnsi" w:hAnsiTheme="minorHAnsi"/>
                <w:lang w:val="en-AU"/>
              </w:rPr>
            </w:pPr>
            <w:r w:rsidRPr="00CB10AD">
              <w:rPr>
                <w:rFonts w:asciiTheme="minorHAnsi" w:hAnsiTheme="minorHAnsi"/>
                <w:lang w:val="en-AU"/>
              </w:rPr>
              <w:t>Are EP interventions influencing motivation and incentives for student enrolment?</w:t>
            </w:r>
          </w:p>
          <w:p w:rsidR="007269E9" w:rsidRPr="00CB10AD" w:rsidRDefault="007269E9" w:rsidP="00722245">
            <w:pPr>
              <w:pStyle w:val="ListParagraph"/>
              <w:widowControl w:val="0"/>
              <w:numPr>
                <w:ilvl w:val="1"/>
                <w:numId w:val="39"/>
              </w:numPr>
              <w:autoSpaceDE w:val="0"/>
              <w:autoSpaceDN w:val="0"/>
              <w:adjustRightInd w:val="0"/>
              <w:spacing w:after="0" w:line="240" w:lineRule="auto"/>
              <w:ind w:left="908" w:hanging="425"/>
              <w:contextualSpacing w:val="0"/>
              <w:rPr>
                <w:rFonts w:asciiTheme="minorHAnsi" w:hAnsiTheme="minorHAnsi"/>
                <w:lang w:val="en-AU"/>
              </w:rPr>
            </w:pPr>
            <w:r w:rsidRPr="00CB10AD">
              <w:rPr>
                <w:rFonts w:asciiTheme="minorHAnsi" w:hAnsiTheme="minorHAnsi"/>
                <w:lang w:val="en-AU"/>
              </w:rPr>
              <w:t xml:space="preserve">Have EP interventions improved district capacity to plan and supply access to JSE? </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Has the EP contribution been sufficient to justify the investment?</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spacing w:before="20" w:after="40"/>
              <w:rPr>
                <w:lang w:val="en-AU"/>
              </w:rPr>
            </w:pPr>
          </w:p>
        </w:tc>
      </w:tr>
      <w:tr w:rsidR="007269E9" w:rsidRPr="00CB10AD" w:rsidTr="00722245">
        <w:trPr>
          <w:trHeight w:val="1827"/>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lastRenderedPageBreak/>
              <w:t>7</w:t>
            </w:r>
          </w:p>
        </w:tc>
        <w:tc>
          <w:tcPr>
            <w:tcW w:w="78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bCs/>
                <w:lang w:val="en-AU"/>
              </w:rPr>
              <w:t xml:space="preserve">Management of schools and </w:t>
            </w:r>
          </w:p>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bCs/>
                <w:lang w:val="en-AU"/>
              </w:rPr>
              <w:t xml:space="preserve">Madrasah </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lang w:val="en-AU"/>
              </w:rPr>
            </w:pPr>
            <w:r w:rsidRPr="00CB10AD">
              <w:rPr>
                <w:rFonts w:asciiTheme="minorHAnsi" w:eastAsiaTheme="minorHAnsi" w:hAnsiTheme="minorHAnsi"/>
                <w:lang w:val="en-AU"/>
              </w:rPr>
              <w:t>To what extent has management of schools and Madrasah improved in participating districts?</w:t>
            </w:r>
            <w:r w:rsidRPr="00CB10AD">
              <w:rPr>
                <w:lang w:val="en-AU"/>
              </w:rPr>
              <w:t xml:space="preserve"> </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What is the evidence of improved management of schools and Madrasah in participating districts?</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How do EP interventions contribute to improvement in schools and Madrasah management?</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 xml:space="preserve">What’s the role of improving P and S competencies? </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Has the EP contribution been sufficient to justify the investment?</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spacing w:before="20" w:after="40"/>
              <w:rPr>
                <w:lang w:val="en-AU"/>
              </w:rPr>
            </w:pPr>
          </w:p>
        </w:tc>
      </w:tr>
      <w:tr w:rsidR="007269E9" w:rsidRPr="00CB10AD" w:rsidTr="00722245">
        <w:trPr>
          <w:trHeight w:val="1973"/>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8</w:t>
            </w:r>
          </w:p>
        </w:tc>
        <w:tc>
          <w:tcPr>
            <w:tcW w:w="78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bCs/>
                <w:lang w:val="en-AU"/>
              </w:rPr>
              <w:t xml:space="preserve">Quality of Madrasah service provision </w:t>
            </w:r>
          </w:p>
        </w:tc>
        <w:tc>
          <w:tcPr>
            <w:tcW w:w="90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rPr>
                <w:lang w:val="en-AU"/>
              </w:rPr>
            </w:pPr>
            <w:r w:rsidRPr="00CB10AD">
              <w:rPr>
                <w:rFonts w:asciiTheme="minorHAnsi" w:eastAsiaTheme="minorHAnsi" w:hAnsiTheme="minorHAnsi"/>
                <w:lang w:val="en-AU"/>
              </w:rPr>
              <w:t>To what extent has the quality of Madrasah service provision improved (in line with NES) in targeted provinces?</w:t>
            </w:r>
          </w:p>
        </w:tc>
        <w:tc>
          <w:tcPr>
            <w:tcW w:w="2159"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What is the evidence of improved quality of Madrasah service provision in targeted provinces?</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How do EP interventions contribute to improved quality of Madrasah service provision in targeted provinces?</w:t>
            </w:r>
          </w:p>
          <w:p w:rsidR="007269E9" w:rsidRPr="00CB10AD" w:rsidRDefault="007269E9" w:rsidP="00722245">
            <w:pPr>
              <w:pStyle w:val="ListParagraph"/>
              <w:widowControl w:val="0"/>
              <w:numPr>
                <w:ilvl w:val="1"/>
                <w:numId w:val="39"/>
              </w:numPr>
              <w:autoSpaceDE w:val="0"/>
              <w:autoSpaceDN w:val="0"/>
              <w:adjustRightInd w:val="0"/>
              <w:spacing w:after="0" w:line="240" w:lineRule="auto"/>
              <w:ind w:left="908" w:hanging="425"/>
              <w:contextualSpacing w:val="0"/>
              <w:rPr>
                <w:rFonts w:asciiTheme="minorHAnsi" w:hAnsiTheme="minorHAnsi"/>
                <w:lang w:val="en-AU"/>
              </w:rPr>
            </w:pPr>
            <w:r w:rsidRPr="00CB10AD">
              <w:rPr>
                <w:rFonts w:asciiTheme="minorHAnsi" w:hAnsiTheme="minorHAnsi"/>
                <w:lang w:val="en-AU"/>
              </w:rPr>
              <w:t xml:space="preserve">How have SNIP and Block grants improved the quality of Madrasah service provision? </w:t>
            </w:r>
          </w:p>
          <w:p w:rsidR="007269E9" w:rsidRPr="00CB10AD" w:rsidRDefault="007269E9" w:rsidP="00722245">
            <w:pPr>
              <w:pStyle w:val="ListParagraph"/>
              <w:widowControl w:val="0"/>
              <w:numPr>
                <w:ilvl w:val="1"/>
                <w:numId w:val="39"/>
              </w:numPr>
              <w:autoSpaceDE w:val="0"/>
              <w:autoSpaceDN w:val="0"/>
              <w:adjustRightInd w:val="0"/>
              <w:spacing w:after="0" w:line="240" w:lineRule="auto"/>
              <w:ind w:left="908" w:hanging="425"/>
              <w:contextualSpacing w:val="0"/>
              <w:rPr>
                <w:rFonts w:asciiTheme="minorHAnsi" w:hAnsiTheme="minorHAnsi"/>
                <w:lang w:val="en-AU"/>
              </w:rPr>
            </w:pPr>
            <w:r w:rsidRPr="00CB10AD">
              <w:rPr>
                <w:rFonts w:asciiTheme="minorHAnsi" w:hAnsiTheme="minorHAnsi"/>
                <w:lang w:val="en-AU"/>
              </w:rPr>
              <w:t>What are the key factors of changes in community engagement or perception Madrasah quality?</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Has the EP contribution been sufficient to justify the investment?</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spacing w:before="20" w:after="40"/>
              <w:rPr>
                <w:lang w:val="en-AU"/>
              </w:rPr>
            </w:pPr>
          </w:p>
        </w:tc>
      </w:tr>
      <w:tr w:rsidR="007269E9" w:rsidRPr="00CB10AD" w:rsidTr="00722245">
        <w:trPr>
          <w:trHeight w:val="1973"/>
        </w:trPr>
        <w:tc>
          <w:tcPr>
            <w:tcW w:w="238"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9</w:t>
            </w:r>
          </w:p>
        </w:tc>
        <w:tc>
          <w:tcPr>
            <w:tcW w:w="78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lang w:val="en-AU"/>
              </w:rPr>
              <w:t>Utilisation of analytical work in education sector policy, planning and budgeting</w:t>
            </w:r>
            <w:r w:rsidRPr="00CB10AD">
              <w:rPr>
                <w:rFonts w:asciiTheme="minorHAnsi" w:eastAsiaTheme="minorHAnsi" w:hAnsiTheme="minorHAnsi"/>
                <w:b/>
                <w:bCs/>
                <w:lang w:val="en-AU"/>
              </w:rPr>
              <w:t xml:space="preserve"> </w:t>
            </w:r>
          </w:p>
        </w:tc>
        <w:tc>
          <w:tcPr>
            <w:tcW w:w="906"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have policy-makers utilised analytical work to inform education sector policy, planning and budgeting?</w:t>
            </w:r>
          </w:p>
        </w:tc>
        <w:tc>
          <w:tcPr>
            <w:tcW w:w="2159"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 xml:space="preserve">What is the evidence of increase utilisation of </w:t>
            </w:r>
            <w:r w:rsidRPr="00CB10AD">
              <w:rPr>
                <w:rFonts w:asciiTheme="minorHAnsi" w:eastAsiaTheme="minorHAnsi" w:hAnsiTheme="minorHAnsi"/>
                <w:lang w:val="en-AU"/>
              </w:rPr>
              <w:t>analytical work to inform education sector policy, planning and budgeting</w:t>
            </w:r>
            <w:r w:rsidRPr="00CB10AD">
              <w:rPr>
                <w:rFonts w:asciiTheme="minorHAnsi" w:hAnsiTheme="minorHAnsi"/>
                <w:lang w:val="en-AU"/>
              </w:rPr>
              <w:t>?</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 xml:space="preserve">How do EP interventions contribute to increase utilisation of </w:t>
            </w:r>
            <w:r w:rsidRPr="00CB10AD">
              <w:rPr>
                <w:rFonts w:asciiTheme="minorHAnsi" w:eastAsiaTheme="minorHAnsi" w:hAnsiTheme="minorHAnsi"/>
                <w:lang w:val="en-AU"/>
              </w:rPr>
              <w:t>analytical work to inform education sector policy, planning and budgeting</w:t>
            </w:r>
            <w:r w:rsidRPr="00CB10AD">
              <w:rPr>
                <w:rFonts w:asciiTheme="minorHAnsi" w:hAnsiTheme="minorHAnsi"/>
                <w:lang w:val="en-AU"/>
              </w:rPr>
              <w:t>??</w:t>
            </w:r>
          </w:p>
          <w:p w:rsidR="007269E9" w:rsidRPr="00CB10AD" w:rsidRDefault="007269E9" w:rsidP="00722245">
            <w:pPr>
              <w:widowControl w:val="0"/>
              <w:numPr>
                <w:ilvl w:val="0"/>
                <w:numId w:val="39"/>
              </w:numPr>
              <w:autoSpaceDE w:val="0"/>
              <w:autoSpaceDN w:val="0"/>
              <w:adjustRightInd w:val="0"/>
              <w:ind w:left="446" w:hanging="284"/>
              <w:rPr>
                <w:rFonts w:asciiTheme="minorHAnsi" w:hAnsiTheme="minorHAnsi"/>
                <w:lang w:val="en-AU"/>
              </w:rPr>
            </w:pPr>
            <w:r w:rsidRPr="00CB10AD">
              <w:rPr>
                <w:rFonts w:asciiTheme="minorHAnsi" w:hAnsiTheme="minorHAnsi"/>
                <w:lang w:val="en-AU"/>
              </w:rPr>
              <w:t>Has the EP contribution been sufficient to justify the investment?</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bl>
    <w:p w:rsidR="007269E9" w:rsidRPr="00CB10AD" w:rsidRDefault="007269E9" w:rsidP="007269E9">
      <w:pPr>
        <w:rPr>
          <w:lang w:val="en-AU"/>
        </w:rPr>
      </w:pPr>
      <w:r w:rsidRPr="00CB10AD">
        <w:rPr>
          <w:lang w:val="en-A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228"/>
        <w:gridCol w:w="2568"/>
        <w:gridCol w:w="6120"/>
        <w:gridCol w:w="2583"/>
      </w:tblGrid>
      <w:tr w:rsidR="007269E9" w:rsidRPr="00CB10AD" w:rsidTr="00722245">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rsidR="007269E9" w:rsidRPr="00CB10AD" w:rsidRDefault="007269E9" w:rsidP="00722245">
            <w:pPr>
              <w:jc w:val="center"/>
              <w:rPr>
                <w:rFonts w:asciiTheme="minorHAnsi" w:eastAsiaTheme="minorHAnsi" w:hAnsiTheme="minorHAnsi"/>
                <w:b/>
                <w:lang w:val="en-AU"/>
              </w:rPr>
            </w:pPr>
            <w:r w:rsidRPr="00CB10AD">
              <w:rPr>
                <w:rFonts w:asciiTheme="minorHAnsi" w:eastAsiaTheme="minorHAnsi" w:hAnsiTheme="minorHAnsi"/>
                <w:b/>
                <w:lang w:val="en-AU"/>
              </w:rPr>
              <w:lastRenderedPageBreak/>
              <w:t>Social Inclusion</w:t>
            </w:r>
          </w:p>
        </w:tc>
      </w:tr>
      <w:tr w:rsidR="007269E9" w:rsidRPr="00CB10AD" w:rsidTr="00722245">
        <w:trPr>
          <w:trHeight w:val="2338"/>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10</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lang w:val="en-AU"/>
              </w:rPr>
              <w:t>Gender</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 xml:space="preserve">To what extent has the EP promoted gender equality in the Indonesian education sector? </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Is it apparent which gender-related issues the EP is seeking to tackle?</w:t>
            </w:r>
          </w:p>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 xml:space="preserve">Are the targets and targeting measures appropriate? </w:t>
            </w:r>
          </w:p>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 xml:space="preserve">What are we learning about the different impacts of EP interventions on women and men, girls and boys?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rFonts w:asciiTheme="minorHAnsi" w:eastAsiaTheme="minorHAnsi" w:hAnsiTheme="minorHAnsi"/>
                <w:lang w:val="en-AU"/>
              </w:rPr>
              <w:t>Are EP interventions facilitating increased women’s empowerment and voice in decision-making and leadership?</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r w:rsidR="007269E9" w:rsidRPr="00CB10AD" w:rsidTr="00722245">
        <w:trPr>
          <w:trHeight w:val="2252"/>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11</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lang w:val="en-AU"/>
              </w:rPr>
              <w:t>Disability</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has the EP promoted disability inclusive education in Indonesia?</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Is it apparent which disability-related issues the EP is seeking to tackle?</w:t>
            </w:r>
          </w:p>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Are GoI and GoA policies related to disability being reflected in EP workstreams.</w:t>
            </w:r>
          </w:p>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 xml:space="preserve">Are the targets and targeting measures appropriate? </w:t>
            </w:r>
          </w:p>
          <w:p w:rsidR="007269E9" w:rsidRPr="00CB10AD" w:rsidRDefault="007269E9" w:rsidP="00722245">
            <w:pPr>
              <w:widowControl w:val="0"/>
              <w:numPr>
                <w:ilvl w:val="0"/>
                <w:numId w:val="39"/>
              </w:numPr>
              <w:autoSpaceDE w:val="0"/>
              <w:autoSpaceDN w:val="0"/>
              <w:adjustRightInd w:val="0"/>
              <w:ind w:left="446" w:hanging="284"/>
              <w:rPr>
                <w:rFonts w:asciiTheme="minorHAnsi" w:eastAsiaTheme="minorHAnsi" w:hAnsiTheme="minorHAnsi"/>
                <w:lang w:val="en-AU"/>
              </w:rPr>
            </w:pPr>
            <w:r w:rsidRPr="00CB10AD">
              <w:rPr>
                <w:rFonts w:asciiTheme="minorHAnsi" w:eastAsiaTheme="minorHAnsi" w:hAnsiTheme="minorHAnsi"/>
                <w:lang w:val="en-AU"/>
              </w:rPr>
              <w:t xml:space="preserve">What are we learning about the different impacts of EP interventions on people/children with disabilities? </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r w:rsidR="007269E9" w:rsidRPr="00CB10AD" w:rsidTr="00722245">
        <w:trPr>
          <w:trHeight w:val="2403"/>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12</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lang w:val="en-AU"/>
              </w:rPr>
              <w:t>Poverty</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has the EP targeted poor people?</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Given GoA’s policy focus on poverty reduction:</w:t>
            </w:r>
          </w:p>
          <w:p w:rsidR="007269E9" w:rsidRPr="00CB10AD" w:rsidRDefault="007269E9" w:rsidP="00722245">
            <w:pPr>
              <w:widowControl w:val="0"/>
              <w:numPr>
                <w:ilvl w:val="1"/>
                <w:numId w:val="39"/>
              </w:numPr>
              <w:autoSpaceDE w:val="0"/>
              <w:autoSpaceDN w:val="0"/>
              <w:adjustRightInd w:val="0"/>
              <w:ind w:left="908" w:hanging="283"/>
              <w:rPr>
                <w:lang w:val="en-AU"/>
              </w:rPr>
            </w:pPr>
            <w:r w:rsidRPr="00CB10AD">
              <w:rPr>
                <w:lang w:val="en-AU"/>
              </w:rPr>
              <w:t>How have different components targeted poor people?</w:t>
            </w:r>
          </w:p>
          <w:p w:rsidR="007269E9" w:rsidRPr="00CB10AD" w:rsidRDefault="007269E9" w:rsidP="00722245">
            <w:pPr>
              <w:widowControl w:val="0"/>
              <w:numPr>
                <w:ilvl w:val="1"/>
                <w:numId w:val="39"/>
              </w:numPr>
              <w:autoSpaceDE w:val="0"/>
              <w:autoSpaceDN w:val="0"/>
              <w:adjustRightInd w:val="0"/>
              <w:ind w:left="908" w:hanging="283"/>
              <w:rPr>
                <w:lang w:val="en-AU"/>
              </w:rPr>
            </w:pPr>
            <w:r w:rsidRPr="00CB10AD">
              <w:rPr>
                <w:lang w:val="en-AU"/>
              </w:rPr>
              <w:t>How successful has the EP been in targeting poor people?</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 xml:space="preserve">Who is capturing the benefits?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Is that in line with expectation?</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rFonts w:asciiTheme="minorHAnsi" w:eastAsiaTheme="minorHAnsi" w:hAnsiTheme="minorHAnsi"/>
                <w:lang w:val="en-AU"/>
              </w:rPr>
              <w:t>Are the targets and targeting measures appropriate?</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bl>
    <w:p w:rsidR="007269E9" w:rsidRPr="00CB10AD" w:rsidRDefault="007269E9" w:rsidP="007269E9">
      <w:pPr>
        <w:rPr>
          <w:lang w:val="en-AU"/>
        </w:rPr>
      </w:pPr>
      <w:r w:rsidRPr="00CB10AD">
        <w:rPr>
          <w:lang w:val="en-A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228"/>
        <w:gridCol w:w="2568"/>
        <w:gridCol w:w="6120"/>
        <w:gridCol w:w="2583"/>
      </w:tblGrid>
      <w:tr w:rsidR="007269E9" w:rsidRPr="00CB10AD" w:rsidTr="00722245">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rsidR="007269E9" w:rsidRPr="00CB10AD" w:rsidRDefault="007269E9" w:rsidP="00722245">
            <w:pPr>
              <w:jc w:val="center"/>
              <w:rPr>
                <w:rFonts w:asciiTheme="minorHAnsi" w:eastAsiaTheme="minorHAnsi" w:hAnsiTheme="minorHAnsi"/>
                <w:b/>
                <w:lang w:val="en-AU"/>
              </w:rPr>
            </w:pPr>
            <w:r w:rsidRPr="00CB10AD">
              <w:rPr>
                <w:lang w:val="en-AU"/>
              </w:rPr>
              <w:lastRenderedPageBreak/>
              <w:br w:type="page"/>
            </w:r>
            <w:r w:rsidRPr="00CB10AD">
              <w:rPr>
                <w:rFonts w:asciiTheme="minorHAnsi" w:eastAsiaTheme="minorHAnsi" w:hAnsiTheme="minorHAnsi"/>
                <w:b/>
                <w:lang w:val="en-AU"/>
              </w:rPr>
              <w:t>Value for Money</w:t>
            </w:r>
          </w:p>
        </w:tc>
      </w:tr>
      <w:tr w:rsidR="007269E9" w:rsidRPr="00CB10AD" w:rsidTr="00722245">
        <w:trPr>
          <w:trHeight w:val="2114"/>
        </w:trPr>
        <w:tc>
          <w:tcPr>
            <w:tcW w:w="238"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jc w:val="center"/>
              <w:rPr>
                <w:rFonts w:asciiTheme="minorHAnsi" w:eastAsiaTheme="minorHAnsi" w:hAnsiTheme="minorHAnsi"/>
                <w:smallCaps/>
                <w:lang w:val="en-AU"/>
              </w:rPr>
            </w:pPr>
            <w:r w:rsidRPr="00CB10AD">
              <w:rPr>
                <w:rFonts w:asciiTheme="minorHAnsi" w:eastAsiaTheme="minorHAnsi" w:hAnsiTheme="minorHAnsi"/>
                <w:smallCaps/>
                <w:lang w:val="en-AU"/>
              </w:rPr>
              <w:t>13</w:t>
            </w:r>
          </w:p>
        </w:tc>
        <w:tc>
          <w:tcPr>
            <w:tcW w:w="78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rPr>
                <w:rFonts w:asciiTheme="minorHAnsi" w:eastAsiaTheme="minorHAnsi" w:hAnsiTheme="minorHAnsi"/>
                <w:b/>
                <w:lang w:val="en-AU"/>
              </w:rPr>
            </w:pPr>
            <w:r w:rsidRPr="00CB10AD">
              <w:rPr>
                <w:rFonts w:asciiTheme="minorHAnsi" w:eastAsiaTheme="minorHAnsi" w:hAnsiTheme="minorHAnsi"/>
                <w:b/>
                <w:lang w:val="en-AU"/>
              </w:rPr>
              <w:t>Value for Money</w:t>
            </w:r>
          </w:p>
        </w:tc>
        <w:tc>
          <w:tcPr>
            <w:tcW w:w="906"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autoSpaceDE w:val="0"/>
              <w:autoSpaceDN w:val="0"/>
              <w:adjustRightInd w:val="0"/>
              <w:rPr>
                <w:rFonts w:asciiTheme="minorHAnsi" w:eastAsiaTheme="minorHAnsi" w:hAnsiTheme="minorHAnsi"/>
                <w:lang w:val="en-AU"/>
              </w:rPr>
            </w:pPr>
            <w:r w:rsidRPr="00CB10AD">
              <w:rPr>
                <w:rFonts w:asciiTheme="minorHAnsi" w:eastAsiaTheme="minorHAnsi" w:hAnsiTheme="minorHAnsi"/>
                <w:lang w:val="en-AU"/>
              </w:rPr>
              <w:t>To what extent does the EP represent Value for Money?</w:t>
            </w:r>
          </w:p>
        </w:tc>
        <w:tc>
          <w:tcPr>
            <w:tcW w:w="2159" w:type="pct"/>
            <w:tcBorders>
              <w:top w:val="single" w:sz="4" w:space="0" w:color="auto"/>
              <w:left w:val="single" w:sz="4" w:space="0" w:color="auto"/>
              <w:bottom w:val="single" w:sz="4" w:space="0" w:color="auto"/>
              <w:right w:val="single" w:sz="4" w:space="0" w:color="auto"/>
            </w:tcBorders>
            <w:vAlign w:val="center"/>
            <w:hideMark/>
          </w:tcPr>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rFonts w:asciiTheme="minorHAnsi" w:hAnsiTheme="minorHAnsi"/>
                <w:lang w:val="en-AU"/>
              </w:rPr>
              <w:t xml:space="preserve">What do we mean by “value for money” in the EP? </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rFonts w:asciiTheme="minorHAnsi" w:hAnsiTheme="minorHAnsi"/>
                <w:lang w:val="en-AU"/>
              </w:rPr>
              <w:t>Are there intra-component differences?</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lang w:val="en-AU"/>
              </w:rPr>
              <w:t>How is the EP tracking against agreed metrics?</w:t>
            </w:r>
          </w:p>
          <w:p w:rsidR="007269E9" w:rsidRPr="00CB10AD" w:rsidRDefault="007269E9" w:rsidP="00722245">
            <w:pPr>
              <w:widowControl w:val="0"/>
              <w:numPr>
                <w:ilvl w:val="0"/>
                <w:numId w:val="39"/>
              </w:numPr>
              <w:autoSpaceDE w:val="0"/>
              <w:autoSpaceDN w:val="0"/>
              <w:adjustRightInd w:val="0"/>
              <w:ind w:left="446" w:hanging="284"/>
              <w:rPr>
                <w:lang w:val="en-AU"/>
              </w:rPr>
            </w:pPr>
            <w:r w:rsidRPr="00CB10AD">
              <w:rPr>
                <w:rFonts w:asciiTheme="minorHAnsi" w:hAnsiTheme="minorHAnsi"/>
                <w:lang w:val="en-AU"/>
              </w:rPr>
              <w:t xml:space="preserve">What related considerations do we need to be mindful of, e.g. sustainability, comparability, relativity, risk, and broader GoA policy objectives? </w:t>
            </w:r>
          </w:p>
        </w:tc>
        <w:tc>
          <w:tcPr>
            <w:tcW w:w="911" w:type="pct"/>
            <w:tcBorders>
              <w:top w:val="single" w:sz="4" w:space="0" w:color="auto"/>
              <w:left w:val="single" w:sz="4" w:space="0" w:color="auto"/>
              <w:bottom w:val="single" w:sz="4" w:space="0" w:color="auto"/>
              <w:right w:val="single" w:sz="4" w:space="0" w:color="auto"/>
            </w:tcBorders>
            <w:vAlign w:val="center"/>
          </w:tcPr>
          <w:p w:rsidR="007269E9" w:rsidRPr="00CB10AD" w:rsidRDefault="007269E9" w:rsidP="00722245">
            <w:pPr>
              <w:widowControl w:val="0"/>
              <w:autoSpaceDE w:val="0"/>
              <w:autoSpaceDN w:val="0"/>
              <w:adjustRightInd w:val="0"/>
              <w:ind w:left="446"/>
              <w:rPr>
                <w:lang w:val="en-AU"/>
              </w:rPr>
            </w:pPr>
          </w:p>
        </w:tc>
      </w:tr>
    </w:tbl>
    <w:p w:rsidR="007269E9" w:rsidRPr="00CB10AD" w:rsidRDefault="007269E9" w:rsidP="007269E9">
      <w:pPr>
        <w:spacing w:after="200"/>
        <w:rPr>
          <w:rFonts w:asciiTheme="minorHAnsi" w:eastAsiaTheme="minorHAnsi" w:hAnsiTheme="minorHAnsi" w:cstheme="minorBidi"/>
          <w:b/>
          <w:lang w:val="en-AU"/>
        </w:rPr>
      </w:pPr>
    </w:p>
    <w:p w:rsidR="007269E9" w:rsidRDefault="007269E9" w:rsidP="007269E9">
      <w:pPr>
        <w:keepNext/>
        <w:spacing w:before="480"/>
        <w:ind w:left="720" w:hanging="720"/>
        <w:outlineLvl w:val="0"/>
        <w:rPr>
          <w:rFonts w:asciiTheme="minorHAnsi" w:hAnsiTheme="minorHAnsi" w:cstheme="minorHAnsi"/>
          <w:bCs/>
          <w:color w:val="003880"/>
          <w:kern w:val="32"/>
          <w:sz w:val="32"/>
          <w:szCs w:val="72"/>
          <w:lang w:val="en-AU"/>
        </w:rPr>
        <w:sectPr w:rsidR="007269E9" w:rsidSect="007269E9">
          <w:pgSz w:w="16838" w:h="11906" w:orient="landscape"/>
          <w:pgMar w:top="1440" w:right="1440" w:bottom="1440" w:left="1440" w:header="708" w:footer="708" w:gutter="0"/>
          <w:cols w:space="708"/>
          <w:docGrid w:linePitch="360"/>
        </w:sectPr>
      </w:pPr>
    </w:p>
    <w:p w:rsidR="007269E9" w:rsidRPr="00CB10AD" w:rsidRDefault="00814744" w:rsidP="007269E9">
      <w:pPr>
        <w:keepNext/>
        <w:spacing w:before="480"/>
        <w:ind w:left="720" w:hanging="720"/>
        <w:outlineLvl w:val="0"/>
        <w:rPr>
          <w:rFonts w:asciiTheme="minorHAnsi" w:hAnsiTheme="minorHAnsi" w:cstheme="minorHAnsi"/>
          <w:bCs/>
          <w:color w:val="003880"/>
          <w:kern w:val="32"/>
          <w:sz w:val="32"/>
          <w:szCs w:val="72"/>
          <w:lang w:val="en-AU"/>
        </w:rPr>
      </w:pPr>
      <w:bookmarkStart w:id="74" w:name="_Toc388253148"/>
      <w:r>
        <w:rPr>
          <w:rFonts w:asciiTheme="minorHAnsi" w:hAnsiTheme="minorHAnsi" w:cstheme="minorHAnsi"/>
          <w:bCs/>
          <w:color w:val="003880"/>
          <w:kern w:val="32"/>
          <w:sz w:val="32"/>
          <w:szCs w:val="72"/>
          <w:lang w:val="en-AU"/>
        </w:rPr>
        <w:lastRenderedPageBreak/>
        <w:t xml:space="preserve">Annex </w:t>
      </w:r>
      <w:r w:rsidR="007269E9" w:rsidRPr="00CB10AD">
        <w:rPr>
          <w:rFonts w:asciiTheme="minorHAnsi" w:hAnsiTheme="minorHAnsi" w:cstheme="minorHAnsi"/>
          <w:bCs/>
          <w:color w:val="003880"/>
          <w:kern w:val="32"/>
          <w:sz w:val="32"/>
          <w:szCs w:val="72"/>
          <w:lang w:val="en-AU"/>
        </w:rPr>
        <w:t>V</w:t>
      </w:r>
      <w:r>
        <w:rPr>
          <w:rFonts w:asciiTheme="minorHAnsi" w:hAnsiTheme="minorHAnsi" w:cstheme="minorHAnsi"/>
          <w:bCs/>
          <w:color w:val="003880"/>
          <w:kern w:val="32"/>
          <w:sz w:val="32"/>
          <w:szCs w:val="72"/>
          <w:lang w:val="en-AU"/>
        </w:rPr>
        <w:t>I</w:t>
      </w:r>
      <w:r w:rsidR="007269E9" w:rsidRPr="00CB10AD">
        <w:rPr>
          <w:rFonts w:asciiTheme="minorHAnsi" w:hAnsiTheme="minorHAnsi" w:cstheme="minorHAnsi"/>
          <w:bCs/>
          <w:color w:val="003880"/>
          <w:kern w:val="32"/>
          <w:sz w:val="32"/>
          <w:szCs w:val="72"/>
          <w:lang w:val="en-AU"/>
        </w:rPr>
        <w:t xml:space="preserve"> – List of Key Persons Consulted</w:t>
      </w:r>
      <w:bookmarkEnd w:id="74"/>
    </w:p>
    <w:p w:rsidR="007269E9" w:rsidRPr="00CB10AD" w:rsidRDefault="007269E9" w:rsidP="007269E9">
      <w:pPr>
        <w:keepNext/>
        <w:spacing w:before="480"/>
        <w:ind w:left="720" w:hanging="720"/>
        <w:outlineLvl w:val="0"/>
        <w:rPr>
          <w:rFonts w:asciiTheme="minorHAnsi" w:hAnsiTheme="minorHAnsi" w:cstheme="minorHAnsi"/>
          <w:bCs/>
          <w:color w:val="003880"/>
          <w:kern w:val="32"/>
          <w:sz w:val="32"/>
          <w:szCs w:val="72"/>
          <w:lang w:val="en-AU"/>
        </w:rPr>
      </w:pPr>
    </w:p>
    <w:tbl>
      <w:tblPr>
        <w:tblStyle w:val="TableGrid18"/>
        <w:tblW w:w="0" w:type="auto"/>
        <w:tblLook w:val="04A0" w:firstRow="1" w:lastRow="0" w:firstColumn="1" w:lastColumn="0" w:noHBand="0" w:noVBand="1"/>
      </w:tblPr>
      <w:tblGrid>
        <w:gridCol w:w="3227"/>
        <w:gridCol w:w="5670"/>
      </w:tblGrid>
      <w:tr w:rsidR="007269E9" w:rsidRPr="00CB10AD" w:rsidTr="00722245">
        <w:trPr>
          <w:trHeight w:val="434"/>
          <w:tblHeader/>
        </w:trPr>
        <w:tc>
          <w:tcPr>
            <w:tcW w:w="3227" w:type="dxa"/>
            <w:shd w:val="clear" w:color="auto" w:fill="365F91" w:themeFill="accent1" w:themeFillShade="BF"/>
            <w:vAlign w:val="center"/>
          </w:tcPr>
          <w:p w:rsidR="007269E9" w:rsidRPr="00CB10AD" w:rsidRDefault="007269E9" w:rsidP="00722245">
            <w:pPr>
              <w:spacing w:line="276" w:lineRule="auto"/>
              <w:jc w:val="center"/>
              <w:rPr>
                <w:rFonts w:asciiTheme="minorHAnsi" w:hAnsiTheme="minorHAnsi"/>
                <w:b/>
                <w:color w:val="FFFFFF" w:themeColor="background1"/>
              </w:rPr>
            </w:pPr>
            <w:r w:rsidRPr="00CB10AD">
              <w:rPr>
                <w:rFonts w:asciiTheme="minorHAnsi" w:hAnsiTheme="minorHAnsi"/>
                <w:b/>
                <w:color w:val="FFFFFF" w:themeColor="background1"/>
              </w:rPr>
              <w:t>Name</w:t>
            </w:r>
          </w:p>
        </w:tc>
        <w:tc>
          <w:tcPr>
            <w:tcW w:w="5670" w:type="dxa"/>
            <w:shd w:val="clear" w:color="auto" w:fill="365F91" w:themeFill="accent1" w:themeFillShade="BF"/>
            <w:vAlign w:val="center"/>
          </w:tcPr>
          <w:p w:rsidR="007269E9" w:rsidRPr="00CB10AD" w:rsidRDefault="007269E9" w:rsidP="00722245">
            <w:pPr>
              <w:spacing w:line="276" w:lineRule="auto"/>
              <w:jc w:val="center"/>
              <w:rPr>
                <w:rFonts w:asciiTheme="minorHAnsi" w:hAnsiTheme="minorHAnsi"/>
                <w:b/>
                <w:color w:val="FFFFFF" w:themeColor="background1"/>
              </w:rPr>
            </w:pPr>
            <w:r w:rsidRPr="00CB10AD">
              <w:rPr>
                <w:rFonts w:asciiTheme="minorHAnsi" w:hAnsiTheme="minorHAnsi"/>
                <w:b/>
                <w:color w:val="FFFFFF" w:themeColor="background1"/>
              </w:rPr>
              <w:t>Title</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H. Susetyo Widiasmoro</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 xml:space="preserve">Head of Sub-directorate for Infrastructure and Facilities </w:t>
            </w:r>
            <w:r w:rsidRPr="00CB10AD">
              <w:rPr>
                <w:rFonts w:asciiTheme="minorHAnsi" w:hAnsiTheme="minorHAnsi"/>
              </w:rPr>
              <w:br/>
              <w:t>DG Junior Secondary Education Development</w:t>
            </w:r>
            <w:r w:rsidRPr="00CB10AD">
              <w:rPr>
                <w:rFonts w:asciiTheme="minorHAnsi" w:hAnsiTheme="minorHAnsi"/>
              </w:rPr>
              <w:tab/>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Aziz Purwanto</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Staff at the DG Junior Secondary Education Development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Dedi Karyana</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Head of Infrastructure Unit</w:t>
            </w:r>
            <w:r w:rsidRPr="00CB10AD">
              <w:rPr>
                <w:rFonts w:asciiTheme="minorHAnsi" w:hAnsiTheme="minorHAnsi"/>
              </w:rPr>
              <w:br/>
              <w:t>DG Junior Secondary Education Development, MOEC</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Maulani Mega Hapsari</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Staff at the DG Junior Secondary Education Development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Prof. Dr. Syawal Gultom</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 xml:space="preserve">Head of MOEC’s Agency for </w:t>
            </w:r>
            <w:r w:rsidRPr="00CB10AD">
              <w:rPr>
                <w:szCs w:val="24"/>
              </w:rPr>
              <w:t xml:space="preserve">Human Resource Development and </w:t>
            </w:r>
            <w:r w:rsidRPr="00CB10AD">
              <w:rPr>
                <w:iCs/>
                <w:szCs w:val="24"/>
              </w:rPr>
              <w:t>Education Quality Assurance</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Prof. Dr. Phil. H. Nurkholis Setiawan</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Director of Madrasah Education</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Jean-Bernard Carrasco</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Minister-Counsellor,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Hannah Birdsey</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Counsellor, Education and Scholarships,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Jerry Strudwick</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Lead Education Specialist,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Joanne Dowling</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Unit Manager,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Donny Syukri</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Program Manager,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Niken Wardhani</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Program Manager,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 xml:space="preserve">Jenny Donohoe </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First Secretary,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Bia Puspita</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Program Manager,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Sri Novelma</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Program Manager, Development Cooperation, DFAT</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Sarah Leslie</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Senior Program Manager, Development Cooperation</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Julia Wheeler</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Senior Program Manager, Development Cooperation</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Sam Muller</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Operations Manager,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Brian Spicer</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 xml:space="preserve">Senior Education Quality Adviser, SSQ </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Robert Kingham</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Islamic Education Specialist,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Tania Dora Warokka</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Monitoring &amp; Evaluation Leader,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Jihad Saad</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Component 1 Manager, School Construction,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Graham Dawson</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Component 2 Manager, Education Quality,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Roslyn Davis</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International Education Adviser (Professional Development),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lastRenderedPageBreak/>
              <w:t>Yaya Kardiawarman</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Senior Professional Development Advisor,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Alison Atwell</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International Adviser Provincial and District Development,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Abdul Munir</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Component 3 Manager, Madrasah Accreditation,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Tjipto Prakosa</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Data Analyst &amp; Training Advisor,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Mokhamad Iksan</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Sub-National Institutional Capacity Development Advisor, SSQ</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John Virtue</w:t>
            </w:r>
          </w:p>
        </w:tc>
        <w:tc>
          <w:tcPr>
            <w:tcW w:w="5670" w:type="dxa"/>
            <w:vAlign w:val="center"/>
          </w:tcPr>
          <w:p w:rsidR="007269E9" w:rsidRPr="00CB10AD" w:rsidRDefault="007269E9" w:rsidP="00722245">
            <w:pPr>
              <w:rPr>
                <w:rFonts w:asciiTheme="minorHAnsi" w:hAnsiTheme="minorHAnsi"/>
              </w:rPr>
            </w:pPr>
            <w:r w:rsidRPr="00CB10AD">
              <w:rPr>
                <w:szCs w:val="24"/>
              </w:rPr>
              <w:t>Education Sector Governance &amp; Capacity Development Advisor, ACDP</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Alan Prouty</w:t>
            </w:r>
          </w:p>
        </w:tc>
        <w:tc>
          <w:tcPr>
            <w:tcW w:w="5670" w:type="dxa"/>
            <w:vAlign w:val="center"/>
          </w:tcPr>
          <w:p w:rsidR="007269E9" w:rsidRPr="00CB10AD" w:rsidRDefault="007269E9" w:rsidP="00722245">
            <w:pPr>
              <w:ind w:firstLine="34"/>
              <w:rPr>
                <w:rFonts w:asciiTheme="minorHAnsi" w:hAnsiTheme="minorHAnsi"/>
              </w:rPr>
            </w:pPr>
            <w:r w:rsidRPr="00CB10AD">
              <w:rPr>
                <w:rFonts w:asciiTheme="minorHAnsi" w:hAnsiTheme="minorHAnsi"/>
              </w:rPr>
              <w:t>Team Leader (Operational Management Specialist), ACDP</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David Harding</w:t>
            </w:r>
          </w:p>
        </w:tc>
        <w:tc>
          <w:tcPr>
            <w:tcW w:w="5670" w:type="dxa"/>
            <w:vAlign w:val="center"/>
          </w:tcPr>
          <w:p w:rsidR="007269E9" w:rsidRPr="00CB10AD" w:rsidRDefault="007269E9" w:rsidP="00722245">
            <w:pPr>
              <w:rPr>
                <w:rFonts w:asciiTheme="minorHAnsi" w:hAnsiTheme="minorHAnsi"/>
              </w:rPr>
            </w:pPr>
            <w:r w:rsidRPr="00CB10AD">
              <w:rPr>
                <w:szCs w:val="24"/>
              </w:rPr>
              <w:t>Senior Education Advisor, ACDP</w:t>
            </w:r>
            <w:r w:rsidRPr="00CB10AD">
              <w:rPr>
                <w:rFonts w:asciiTheme="minorHAnsi" w:hAnsiTheme="minorHAnsi"/>
              </w:rPr>
              <w:tab/>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Basilius Bengoteku</w:t>
            </w:r>
          </w:p>
        </w:tc>
        <w:tc>
          <w:tcPr>
            <w:tcW w:w="5670" w:type="dxa"/>
            <w:vAlign w:val="center"/>
          </w:tcPr>
          <w:p w:rsidR="007269E9" w:rsidRPr="00CB10AD" w:rsidRDefault="007269E9" w:rsidP="00722245">
            <w:pPr>
              <w:rPr>
                <w:rFonts w:asciiTheme="minorHAnsi" w:hAnsiTheme="minorHAnsi"/>
              </w:rPr>
            </w:pPr>
            <w:r w:rsidRPr="00CB10AD">
              <w:rPr>
                <w:szCs w:val="24"/>
              </w:rPr>
              <w:t>Education Sector Research and Capacity Planning Advisor, ACDP</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Abdul Malik</w:t>
            </w:r>
          </w:p>
        </w:tc>
        <w:tc>
          <w:tcPr>
            <w:tcW w:w="5670" w:type="dxa"/>
            <w:vAlign w:val="center"/>
          </w:tcPr>
          <w:p w:rsidR="007269E9" w:rsidRPr="00CB10AD" w:rsidRDefault="007269E9" w:rsidP="00722245">
            <w:pPr>
              <w:rPr>
                <w:rFonts w:asciiTheme="minorHAnsi" w:hAnsiTheme="minorHAnsi"/>
              </w:rPr>
            </w:pPr>
            <w:r w:rsidRPr="00CB10AD">
              <w:rPr>
                <w:szCs w:val="24"/>
              </w:rPr>
              <w:t>Education Sector Research, Information &amp; Accountability Advisor, ACDP</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Bambang Indriyanto</w:t>
            </w:r>
          </w:p>
        </w:tc>
        <w:tc>
          <w:tcPr>
            <w:tcW w:w="5670" w:type="dxa"/>
            <w:vAlign w:val="center"/>
          </w:tcPr>
          <w:p w:rsidR="007269E9" w:rsidRPr="00CB10AD" w:rsidRDefault="007269E9" w:rsidP="00722245">
            <w:pPr>
              <w:rPr>
                <w:szCs w:val="24"/>
              </w:rPr>
            </w:pPr>
            <w:r w:rsidRPr="00CB10AD">
              <w:rPr>
                <w:szCs w:val="24"/>
              </w:rPr>
              <w:t>Director, Center for Policy Research, MoEC</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Karen Taylor</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Operations Manager, EPOS</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Sarah Gray</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Public Affairs Specialist, EPOS</w:t>
            </w:r>
          </w:p>
        </w:tc>
      </w:tr>
      <w:tr w:rsidR="007269E9" w:rsidRPr="00CB10AD" w:rsidTr="00722245">
        <w:trPr>
          <w:trHeight w:val="454"/>
        </w:trPr>
        <w:tc>
          <w:tcPr>
            <w:tcW w:w="3227" w:type="dxa"/>
            <w:vAlign w:val="center"/>
          </w:tcPr>
          <w:p w:rsidR="007269E9" w:rsidRPr="00CB10AD" w:rsidRDefault="007269E9" w:rsidP="00722245">
            <w:pPr>
              <w:rPr>
                <w:rFonts w:asciiTheme="minorHAnsi" w:hAnsiTheme="minorHAnsi"/>
              </w:rPr>
            </w:pPr>
            <w:r w:rsidRPr="00CB10AD">
              <w:rPr>
                <w:rFonts w:asciiTheme="minorHAnsi" w:hAnsiTheme="minorHAnsi"/>
              </w:rPr>
              <w:t>Joanne Dickinson</w:t>
            </w:r>
          </w:p>
        </w:tc>
        <w:tc>
          <w:tcPr>
            <w:tcW w:w="5670" w:type="dxa"/>
            <w:vAlign w:val="center"/>
          </w:tcPr>
          <w:p w:rsidR="007269E9" w:rsidRPr="00CB10AD" w:rsidRDefault="007269E9" w:rsidP="00722245">
            <w:pPr>
              <w:rPr>
                <w:rFonts w:asciiTheme="minorHAnsi" w:hAnsiTheme="minorHAnsi"/>
              </w:rPr>
            </w:pPr>
            <w:r w:rsidRPr="00CB10AD">
              <w:rPr>
                <w:rFonts w:asciiTheme="minorHAnsi" w:hAnsiTheme="minorHAnsi"/>
              </w:rPr>
              <w:t>English Language Learning Specialist, EPOS</w:t>
            </w:r>
          </w:p>
        </w:tc>
      </w:tr>
    </w:tbl>
    <w:p w:rsidR="007269E9" w:rsidRPr="00CB10AD" w:rsidRDefault="007269E9" w:rsidP="007269E9">
      <w:pPr>
        <w:keepNext/>
        <w:spacing w:before="480"/>
        <w:ind w:left="720" w:hanging="720"/>
        <w:outlineLvl w:val="0"/>
        <w:rPr>
          <w:rFonts w:asciiTheme="minorHAnsi" w:hAnsiTheme="minorHAnsi" w:cstheme="minorHAnsi"/>
          <w:bCs/>
          <w:color w:val="003880"/>
          <w:kern w:val="32"/>
          <w:sz w:val="32"/>
          <w:szCs w:val="72"/>
          <w:lang w:val="en-AU"/>
        </w:rPr>
        <w:sectPr w:rsidR="007269E9" w:rsidRPr="00CB10AD" w:rsidSect="007269E9">
          <w:pgSz w:w="11906" w:h="16838"/>
          <w:pgMar w:top="1440" w:right="1440" w:bottom="1440" w:left="1440" w:header="708" w:footer="708" w:gutter="0"/>
          <w:cols w:space="708"/>
          <w:docGrid w:linePitch="360"/>
        </w:sectPr>
      </w:pPr>
    </w:p>
    <w:p w:rsidR="007269E9" w:rsidRPr="00CB10AD" w:rsidRDefault="007269E9" w:rsidP="007269E9">
      <w:pPr>
        <w:rPr>
          <w:lang w:val="en-AU"/>
        </w:rPr>
      </w:pPr>
    </w:p>
    <w:p w:rsidR="00D06F80" w:rsidRPr="00CB10AD" w:rsidRDefault="00D06F80" w:rsidP="00D06F80">
      <w:pPr>
        <w:rPr>
          <w:lang w:val="en-AU"/>
        </w:rPr>
      </w:pPr>
    </w:p>
    <w:p w:rsidR="007269E9" w:rsidRPr="00CB10AD" w:rsidRDefault="007269E9" w:rsidP="007269E9">
      <w:pPr>
        <w:keepNext/>
        <w:ind w:left="720" w:hanging="720"/>
        <w:outlineLvl w:val="0"/>
        <w:rPr>
          <w:rFonts w:asciiTheme="minorHAnsi" w:hAnsiTheme="minorHAnsi" w:cstheme="minorHAnsi"/>
          <w:bCs/>
          <w:color w:val="003880"/>
          <w:kern w:val="32"/>
          <w:sz w:val="32"/>
          <w:szCs w:val="72"/>
          <w:lang w:val="en-AU"/>
        </w:rPr>
      </w:pPr>
      <w:bookmarkStart w:id="75" w:name="_Toc388253149"/>
      <w:r w:rsidRPr="00CB10AD">
        <w:rPr>
          <w:rFonts w:asciiTheme="minorHAnsi" w:hAnsiTheme="minorHAnsi" w:cstheme="minorHAnsi"/>
          <w:bCs/>
          <w:color w:val="003880"/>
          <w:kern w:val="32"/>
          <w:sz w:val="32"/>
          <w:szCs w:val="72"/>
          <w:lang w:val="en-AU"/>
        </w:rPr>
        <w:t>Annex V</w:t>
      </w:r>
      <w:r w:rsidR="00814744">
        <w:rPr>
          <w:rFonts w:asciiTheme="minorHAnsi" w:hAnsiTheme="minorHAnsi" w:cstheme="minorHAnsi"/>
          <w:bCs/>
          <w:color w:val="003880"/>
          <w:kern w:val="32"/>
          <w:sz w:val="32"/>
          <w:szCs w:val="72"/>
          <w:lang w:val="en-AU"/>
        </w:rPr>
        <w:t>II</w:t>
      </w:r>
      <w:r w:rsidRPr="00CB10AD">
        <w:rPr>
          <w:rFonts w:asciiTheme="minorHAnsi" w:hAnsiTheme="minorHAnsi" w:cstheme="minorHAnsi"/>
          <w:bCs/>
          <w:color w:val="003880"/>
          <w:kern w:val="32"/>
          <w:sz w:val="32"/>
          <w:szCs w:val="72"/>
          <w:lang w:val="en-AU"/>
        </w:rPr>
        <w:t xml:space="preserve"> – ECBP M&amp;E Standards Standard 3: Initiative Progress Reporting</w:t>
      </w:r>
      <w:bookmarkEnd w:id="75"/>
    </w:p>
    <w:p w:rsidR="007269E9" w:rsidRPr="00CB10AD" w:rsidRDefault="007269E9" w:rsidP="007269E9">
      <w:pPr>
        <w:rPr>
          <w:lang w:val="en-AU"/>
        </w:rPr>
      </w:pPr>
    </w:p>
    <w:tbl>
      <w:tblPr>
        <w:tblW w:w="5000" w:type="pct"/>
        <w:tblLayout w:type="fixed"/>
        <w:tblLook w:val="04A0" w:firstRow="1" w:lastRow="0" w:firstColumn="1" w:lastColumn="0" w:noHBand="0" w:noVBand="1"/>
      </w:tblPr>
      <w:tblGrid>
        <w:gridCol w:w="675"/>
        <w:gridCol w:w="9355"/>
        <w:gridCol w:w="4144"/>
      </w:tblGrid>
      <w:tr w:rsidR="007269E9" w:rsidRPr="00CB10AD" w:rsidTr="00722245">
        <w:trPr>
          <w:trHeight w:val="660"/>
        </w:trPr>
        <w:tc>
          <w:tcPr>
            <w:tcW w:w="238" w:type="pct"/>
            <w:tcBorders>
              <w:top w:val="single" w:sz="8" w:space="0" w:color="auto"/>
              <w:left w:val="single" w:sz="8" w:space="0" w:color="auto"/>
              <w:bottom w:val="nil"/>
              <w:right w:val="single" w:sz="4" w:space="0" w:color="auto"/>
            </w:tcBorders>
            <w:shd w:val="clear" w:color="auto" w:fill="365F91" w:themeFill="accent1" w:themeFillShade="BF"/>
            <w:noWrap/>
            <w:vAlign w:val="center"/>
            <w:hideMark/>
          </w:tcPr>
          <w:p w:rsidR="007269E9" w:rsidRPr="00CB10AD" w:rsidRDefault="007269E9" w:rsidP="00722245">
            <w:pPr>
              <w:keepNext/>
              <w:jc w:val="center"/>
              <w:rPr>
                <w:b/>
                <w:bCs/>
                <w:color w:val="FFFFFF" w:themeColor="background1"/>
                <w:lang w:val="en-AU"/>
              </w:rPr>
            </w:pPr>
            <w:r w:rsidRPr="00CB10AD">
              <w:rPr>
                <w:b/>
                <w:bCs/>
                <w:color w:val="FFFFFF" w:themeColor="background1"/>
                <w:lang w:val="en-AU"/>
              </w:rPr>
              <w:t>No</w:t>
            </w:r>
          </w:p>
        </w:tc>
        <w:tc>
          <w:tcPr>
            <w:tcW w:w="3300" w:type="pct"/>
            <w:tcBorders>
              <w:top w:val="single" w:sz="8" w:space="0" w:color="auto"/>
              <w:left w:val="nil"/>
              <w:bottom w:val="nil"/>
              <w:right w:val="single" w:sz="4" w:space="0" w:color="auto"/>
            </w:tcBorders>
            <w:shd w:val="clear" w:color="auto" w:fill="365F91" w:themeFill="accent1" w:themeFillShade="BF"/>
            <w:noWrap/>
            <w:vAlign w:val="center"/>
            <w:hideMark/>
          </w:tcPr>
          <w:p w:rsidR="007269E9" w:rsidRPr="00CB10AD" w:rsidRDefault="007269E9" w:rsidP="00722245">
            <w:pPr>
              <w:keepNext/>
              <w:jc w:val="center"/>
              <w:rPr>
                <w:b/>
                <w:bCs/>
                <w:color w:val="FFFFFF" w:themeColor="background1"/>
                <w:lang w:val="en-AU"/>
              </w:rPr>
            </w:pPr>
            <w:r w:rsidRPr="00CB10AD">
              <w:rPr>
                <w:b/>
                <w:bCs/>
                <w:color w:val="FFFFFF" w:themeColor="background1"/>
                <w:lang w:val="en-AU"/>
              </w:rPr>
              <w:t>Feature of Progress Report</w:t>
            </w:r>
          </w:p>
        </w:tc>
        <w:tc>
          <w:tcPr>
            <w:tcW w:w="1462" w:type="pct"/>
            <w:tcBorders>
              <w:top w:val="single" w:sz="8" w:space="0" w:color="auto"/>
              <w:left w:val="nil"/>
              <w:bottom w:val="nil"/>
              <w:right w:val="single" w:sz="8" w:space="0" w:color="auto"/>
            </w:tcBorders>
            <w:shd w:val="clear" w:color="auto" w:fill="365F91" w:themeFill="accent1" w:themeFillShade="BF"/>
            <w:noWrap/>
            <w:vAlign w:val="center"/>
            <w:hideMark/>
          </w:tcPr>
          <w:p w:rsidR="007269E9" w:rsidRPr="00CB10AD" w:rsidRDefault="007269E9" w:rsidP="00722245">
            <w:pPr>
              <w:keepNext/>
              <w:jc w:val="center"/>
              <w:rPr>
                <w:b/>
                <w:bCs/>
                <w:color w:val="FFFFFF" w:themeColor="background1"/>
                <w:lang w:val="en-AU"/>
              </w:rPr>
            </w:pPr>
            <w:r w:rsidRPr="00CB10AD">
              <w:rPr>
                <w:b/>
                <w:bCs/>
                <w:color w:val="FFFFFF" w:themeColor="background1"/>
                <w:lang w:val="en-AU"/>
              </w:rPr>
              <w:t>EP-APPR Compliance</w:t>
            </w:r>
          </w:p>
        </w:tc>
      </w:tr>
      <w:tr w:rsidR="007269E9" w:rsidRPr="00CB10AD" w:rsidTr="00722245">
        <w:trPr>
          <w:trHeight w:val="510"/>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3.1</w:t>
            </w:r>
          </w:p>
        </w:tc>
        <w:tc>
          <w:tcPr>
            <w:tcW w:w="3300" w:type="pct"/>
            <w:tcBorders>
              <w:top w:val="single" w:sz="4" w:space="0" w:color="auto"/>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There is an executive summary that communicates the key information required for QAI reporting</w:t>
            </w:r>
          </w:p>
        </w:tc>
        <w:tc>
          <w:tcPr>
            <w:tcW w:w="1462" w:type="pct"/>
            <w:tcBorders>
              <w:top w:val="single" w:sz="4" w:space="0" w:color="auto"/>
              <w:left w:val="nil"/>
              <w:bottom w:val="single" w:sz="4" w:space="0" w:color="auto"/>
              <w:right w:val="single" w:sz="8"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See Executive Summary</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3.2</w:t>
            </w:r>
          </w:p>
        </w:tc>
        <w:tc>
          <w:tcPr>
            <w:tcW w:w="3300" w:type="pct"/>
            <w:tcBorders>
              <w:top w:val="nil"/>
              <w:left w:val="nil"/>
              <w:bottom w:val="single" w:sz="4" w:space="0" w:color="auto"/>
              <w:right w:val="single" w:sz="4"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The relevant aspects of the context are adequately described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Each component section has an individual section on Context</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3.3</w:t>
            </w:r>
          </w:p>
        </w:tc>
        <w:tc>
          <w:tcPr>
            <w:tcW w:w="3300" w:type="pct"/>
            <w:tcBorders>
              <w:top w:val="nil"/>
              <w:left w:val="nil"/>
              <w:bottom w:val="single" w:sz="4" w:space="0" w:color="auto"/>
              <w:right w:val="single" w:sz="4"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There is a reflection on the continuing relevance of the expected end-of-program outcomes</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Each component section has an individual section on Relevance</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3.4</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An assessment of the adequacy of progress toward sustained end-of-program outcomes is described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Assessment of progress against DAC criteria are scored for each component</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3.5</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 quality, reach and coverage of key outputs or deliverables for the reporting period are described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Achievements are listed for each component</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3.6</w:t>
            </w:r>
          </w:p>
        </w:tc>
        <w:tc>
          <w:tcPr>
            <w:tcW w:w="3300" w:type="pct"/>
            <w:tcBorders>
              <w:top w:val="nil"/>
              <w:left w:val="nil"/>
              <w:bottom w:val="single" w:sz="4" w:space="0" w:color="auto"/>
              <w:right w:val="single" w:sz="4"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The adequacy of progress implementing the annual plan is described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n/a (implementing partners provide reporting against annual plans) </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3.7</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A reflection on the adequacy of planned inputs to meet the expected end-of-program outcomes is provided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Each component section has an individual section on Efficiency and Effectiveness</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3.8</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 adequacy of progress against the budget is assessed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Not done</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3.9</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 efficiency and effectiveness of key management or implementation system is assessed or demonstrated</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 xml:space="preserve">Each component section has an individual section on Efficiency and Effectiveness and one section is dedicated to Governance and Management </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3.10</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 report achieves a fair balance between reporting of positive or negative issues or achievements</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Quasi-independence of POM lends itself to this</w:t>
            </w:r>
          </w:p>
        </w:tc>
      </w:tr>
      <w:tr w:rsidR="007269E9" w:rsidRPr="00CB10AD" w:rsidTr="00722245">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3.11</w:t>
            </w:r>
          </w:p>
        </w:tc>
        <w:tc>
          <w:tcPr>
            <w:tcW w:w="3300" w:type="pct"/>
            <w:tcBorders>
              <w:top w:val="nil"/>
              <w:left w:val="nil"/>
              <w:bottom w:val="single" w:sz="4"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The report provides credible evidence of claims made</w:t>
            </w:r>
          </w:p>
        </w:tc>
        <w:tc>
          <w:tcPr>
            <w:tcW w:w="1462" w:type="pct"/>
            <w:tcBorders>
              <w:top w:val="nil"/>
              <w:left w:val="nil"/>
              <w:bottom w:val="single" w:sz="4"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Considerable evidence is presented to justify claims</w:t>
            </w:r>
          </w:p>
        </w:tc>
      </w:tr>
      <w:tr w:rsidR="007269E9" w:rsidRPr="00CB10AD" w:rsidTr="00722245">
        <w:trPr>
          <w:trHeight w:val="510"/>
        </w:trPr>
        <w:tc>
          <w:tcPr>
            <w:tcW w:w="238" w:type="pct"/>
            <w:tcBorders>
              <w:top w:val="nil"/>
              <w:left w:val="single" w:sz="8" w:space="0" w:color="auto"/>
              <w:bottom w:val="single" w:sz="8" w:space="0" w:color="auto"/>
              <w:right w:val="single" w:sz="4" w:space="0" w:color="auto"/>
            </w:tcBorders>
            <w:shd w:val="clear" w:color="auto" w:fill="auto"/>
            <w:noWrap/>
            <w:vAlign w:val="center"/>
            <w:hideMark/>
          </w:tcPr>
          <w:p w:rsidR="007269E9" w:rsidRPr="00CB10AD" w:rsidRDefault="007269E9" w:rsidP="00722245">
            <w:pPr>
              <w:jc w:val="center"/>
              <w:rPr>
                <w:color w:val="000000"/>
                <w:lang w:val="en-AU" w:eastAsia="en-GB"/>
              </w:rPr>
            </w:pPr>
            <w:r w:rsidRPr="00CB10AD">
              <w:rPr>
                <w:color w:val="000000"/>
                <w:lang w:val="en-AU" w:eastAsia="en-GB"/>
              </w:rPr>
              <w:t>3.12</w:t>
            </w:r>
          </w:p>
        </w:tc>
        <w:tc>
          <w:tcPr>
            <w:tcW w:w="3300" w:type="pct"/>
            <w:tcBorders>
              <w:top w:val="nil"/>
              <w:left w:val="nil"/>
              <w:bottom w:val="single" w:sz="8" w:space="0" w:color="auto"/>
              <w:right w:val="single" w:sz="4" w:space="0" w:color="auto"/>
            </w:tcBorders>
            <w:shd w:val="clear" w:color="auto" w:fill="auto"/>
            <w:vAlign w:val="center"/>
            <w:hideMark/>
          </w:tcPr>
          <w:p w:rsidR="007269E9" w:rsidRPr="00CB10AD" w:rsidRDefault="007269E9" w:rsidP="00722245">
            <w:pPr>
              <w:rPr>
                <w:color w:val="000000"/>
                <w:lang w:val="en-AU" w:eastAsia="en-GB"/>
              </w:rPr>
            </w:pPr>
            <w:r w:rsidRPr="00CB10AD">
              <w:rPr>
                <w:color w:val="000000"/>
                <w:lang w:val="en-AU" w:eastAsia="en-GB"/>
              </w:rPr>
              <w:t>Important lessons are summarised</w:t>
            </w:r>
          </w:p>
        </w:tc>
        <w:tc>
          <w:tcPr>
            <w:tcW w:w="1462" w:type="pct"/>
            <w:tcBorders>
              <w:top w:val="nil"/>
              <w:left w:val="nil"/>
              <w:bottom w:val="single" w:sz="8" w:space="0" w:color="auto"/>
              <w:right w:val="single" w:sz="8" w:space="0" w:color="auto"/>
            </w:tcBorders>
            <w:shd w:val="clear" w:color="auto" w:fill="auto"/>
            <w:noWrap/>
            <w:vAlign w:val="center"/>
            <w:hideMark/>
          </w:tcPr>
          <w:p w:rsidR="007269E9" w:rsidRPr="00CB10AD" w:rsidRDefault="007269E9" w:rsidP="00722245">
            <w:pPr>
              <w:rPr>
                <w:color w:val="000000"/>
                <w:lang w:val="en-AU" w:eastAsia="en-GB"/>
              </w:rPr>
            </w:pPr>
            <w:r w:rsidRPr="00CB10AD">
              <w:rPr>
                <w:color w:val="000000"/>
                <w:lang w:val="en-AU" w:eastAsia="en-GB"/>
              </w:rPr>
              <w:t>Findings and associated recommendations are summarised in each section</w:t>
            </w:r>
          </w:p>
        </w:tc>
      </w:tr>
    </w:tbl>
    <w:p w:rsidR="007269E9" w:rsidRPr="00CB10AD" w:rsidRDefault="007269E9" w:rsidP="007269E9">
      <w:pPr>
        <w:rPr>
          <w:lang w:val="en-AU"/>
        </w:rPr>
        <w:sectPr w:rsidR="007269E9" w:rsidRPr="00CB10AD" w:rsidSect="00D06F80">
          <w:headerReference w:type="default" r:id="rId38"/>
          <w:pgSz w:w="16838" w:h="11906" w:orient="landscape"/>
          <w:pgMar w:top="1440" w:right="1440" w:bottom="1440" w:left="1440" w:header="708" w:footer="708" w:gutter="0"/>
          <w:cols w:space="708"/>
          <w:docGrid w:linePitch="360"/>
        </w:sect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p>
    <w:p w:rsidR="00854A82" w:rsidRPr="00CB10AD" w:rsidRDefault="00854A82" w:rsidP="00854A82">
      <w:pPr>
        <w:rPr>
          <w:rFonts w:asciiTheme="minorHAnsi" w:hAnsiTheme="minorHAnsi" w:cstheme="minorHAnsi"/>
          <w:b/>
          <w:color w:val="003880"/>
          <w:sz w:val="24"/>
          <w:szCs w:val="24"/>
          <w:lang w:val="en-AU"/>
        </w:rPr>
      </w:pPr>
      <w:r w:rsidRPr="00CB10AD">
        <w:rPr>
          <w:rFonts w:asciiTheme="minorHAnsi" w:hAnsiTheme="minorHAnsi" w:cstheme="minorHAnsi"/>
          <w:b/>
          <w:noProof/>
          <w:color w:val="003880"/>
          <w:sz w:val="24"/>
          <w:szCs w:val="24"/>
          <w:lang w:val="en-AU" w:eastAsia="en-AU"/>
        </w:rPr>
        <w:drawing>
          <wp:anchor distT="0" distB="0" distL="114300" distR="114300" simplePos="0" relativeHeight="251662336" behindDoc="0" locked="1" layoutInCell="0" allowOverlap="1" wp14:anchorId="0211B73F" wp14:editId="7CAF9C5D">
            <wp:simplePos x="0" y="0"/>
            <wp:positionH relativeFrom="column">
              <wp:posOffset>-567690</wp:posOffset>
            </wp:positionH>
            <wp:positionV relativeFrom="page">
              <wp:posOffset>10022205</wp:posOffset>
            </wp:positionV>
            <wp:extent cx="7086600" cy="401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rFonts w:asciiTheme="minorHAnsi" w:hAnsiTheme="minorHAnsi" w:cstheme="minorHAnsi"/>
          <w:b/>
          <w:noProof/>
          <w:color w:val="003880"/>
          <w:sz w:val="24"/>
          <w:szCs w:val="24"/>
          <w:lang w:val="en-AU" w:eastAsia="en-AU"/>
        </w:rPr>
        <w:drawing>
          <wp:anchor distT="0" distB="0" distL="114300" distR="114300" simplePos="0" relativeHeight="251661312" behindDoc="0" locked="1" layoutInCell="1" allowOverlap="1" wp14:anchorId="780E89A1" wp14:editId="60C2E131">
            <wp:simplePos x="0" y="0"/>
            <wp:positionH relativeFrom="column">
              <wp:posOffset>-883920</wp:posOffset>
            </wp:positionH>
            <wp:positionV relativeFrom="paragraph">
              <wp:posOffset>-990600</wp:posOffset>
            </wp:positionV>
            <wp:extent cx="3840480" cy="246380"/>
            <wp:effectExtent l="0" t="0" r="7620" b="1270"/>
            <wp:wrapNone/>
            <wp:docPr id="13" name="Picture 13" descr="F:\WORK\EPOS\REPORT &amp; STATIONARY\emf\Red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EPOS\REPORT &amp; STATIONARY\emf\Red stripe.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38404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rFonts w:asciiTheme="minorHAnsi" w:hAnsiTheme="minorHAnsi" w:cstheme="minorHAnsi"/>
          <w:b/>
          <w:color w:val="003880"/>
          <w:sz w:val="24"/>
          <w:szCs w:val="24"/>
          <w:lang w:val="en-AU"/>
        </w:rPr>
        <w:t>Australia’s Education Partnership with Indonesia</w:t>
      </w:r>
    </w:p>
    <w:p w:rsidR="00854A82" w:rsidRPr="00CB10AD" w:rsidRDefault="00854A82" w:rsidP="00854A82">
      <w:pPr>
        <w:rPr>
          <w:b/>
          <w:color w:val="003880"/>
          <w:sz w:val="24"/>
          <w:szCs w:val="24"/>
          <w:lang w:val="en-AU"/>
        </w:rPr>
      </w:pPr>
      <w:r w:rsidRPr="00CB10AD">
        <w:rPr>
          <w:b/>
          <w:color w:val="003880"/>
          <w:sz w:val="24"/>
          <w:szCs w:val="24"/>
          <w:lang w:val="en-AU"/>
        </w:rPr>
        <w:t xml:space="preserve">Education Partnership </w:t>
      </w:r>
      <w:r w:rsidR="00814744">
        <w:rPr>
          <w:b/>
          <w:color w:val="003880"/>
          <w:sz w:val="24"/>
          <w:szCs w:val="24"/>
          <w:lang w:val="en-AU"/>
        </w:rPr>
        <w:t xml:space="preserve">- </w:t>
      </w:r>
      <w:r w:rsidRPr="00CB10AD">
        <w:rPr>
          <w:b/>
          <w:color w:val="003880"/>
          <w:sz w:val="24"/>
          <w:szCs w:val="24"/>
          <w:lang w:val="en-AU"/>
        </w:rPr>
        <w:t>Performance Oversight and Monitoring</w:t>
      </w:r>
    </w:p>
    <w:p w:rsidR="00854A82" w:rsidRPr="00CB10AD" w:rsidRDefault="00854A82" w:rsidP="00854A82">
      <w:pPr>
        <w:rPr>
          <w:b/>
          <w:sz w:val="20"/>
          <w:lang w:val="en-AU"/>
        </w:rPr>
      </w:pPr>
    </w:p>
    <w:p w:rsidR="00854A82" w:rsidRPr="00CB10AD" w:rsidRDefault="00854A82" w:rsidP="00854A82">
      <w:pPr>
        <w:rPr>
          <w:b/>
          <w:color w:val="595959" w:themeColor="text1" w:themeTint="A6"/>
          <w:sz w:val="20"/>
          <w:lang w:val="en-AU"/>
        </w:rPr>
      </w:pPr>
    </w:p>
    <w:p w:rsidR="00854A82" w:rsidRPr="00814744" w:rsidRDefault="00854A82" w:rsidP="00854A82">
      <w:pPr>
        <w:rPr>
          <w:color w:val="595959" w:themeColor="text1" w:themeTint="A6"/>
          <w:lang w:val="en-AU"/>
        </w:rPr>
      </w:pPr>
      <w:r w:rsidRPr="00814744">
        <w:rPr>
          <w:color w:val="595959" w:themeColor="text1" w:themeTint="A6"/>
          <w:lang w:val="en-AU"/>
        </w:rPr>
        <w:t>EP-POM</w:t>
      </w:r>
    </w:p>
    <w:p w:rsidR="00854A82" w:rsidRPr="00814744" w:rsidRDefault="00854A82" w:rsidP="00854A82">
      <w:pPr>
        <w:rPr>
          <w:color w:val="595959" w:themeColor="text1" w:themeTint="A6"/>
          <w:lang w:val="en-AU"/>
        </w:rPr>
      </w:pPr>
      <w:r w:rsidRPr="00814744">
        <w:rPr>
          <w:color w:val="595959" w:themeColor="text1" w:themeTint="A6"/>
          <w:lang w:val="en-AU"/>
        </w:rPr>
        <w:t>19</w:t>
      </w:r>
      <w:r w:rsidRPr="00814744">
        <w:rPr>
          <w:color w:val="595959" w:themeColor="text1" w:themeTint="A6"/>
          <w:vertAlign w:val="superscript"/>
          <w:lang w:val="en-AU"/>
        </w:rPr>
        <w:t>th</w:t>
      </w:r>
      <w:r w:rsidRPr="00814744">
        <w:rPr>
          <w:color w:val="595959" w:themeColor="text1" w:themeTint="A6"/>
          <w:lang w:val="en-AU"/>
        </w:rPr>
        <w:t xml:space="preserve"> floor Ratu Plaza Building</w:t>
      </w:r>
    </w:p>
    <w:p w:rsidR="00854A82" w:rsidRPr="00814744" w:rsidRDefault="00854A82" w:rsidP="00854A82">
      <w:pPr>
        <w:rPr>
          <w:color w:val="595959" w:themeColor="text1" w:themeTint="A6"/>
          <w:lang w:val="en-AU"/>
        </w:rPr>
      </w:pPr>
      <w:r w:rsidRPr="00814744">
        <w:rPr>
          <w:color w:val="595959" w:themeColor="text1" w:themeTint="A6"/>
          <w:lang w:val="en-AU"/>
        </w:rPr>
        <w:t>Jl. Jend. Sudirman No. 9</w:t>
      </w:r>
    </w:p>
    <w:p w:rsidR="00854A82" w:rsidRPr="00814744" w:rsidRDefault="00854A82" w:rsidP="00854A82">
      <w:pPr>
        <w:rPr>
          <w:color w:val="595959" w:themeColor="text1" w:themeTint="A6"/>
          <w:lang w:val="en-AU"/>
        </w:rPr>
      </w:pPr>
      <w:r w:rsidRPr="00814744">
        <w:rPr>
          <w:color w:val="595959" w:themeColor="text1" w:themeTint="A6"/>
          <w:lang w:val="en-AU"/>
        </w:rPr>
        <w:t>Jakarta 10270</w:t>
      </w:r>
    </w:p>
    <w:p w:rsidR="00854A82" w:rsidRPr="00814744" w:rsidRDefault="00854A82" w:rsidP="00854A82">
      <w:pPr>
        <w:rPr>
          <w:color w:val="595959" w:themeColor="text1" w:themeTint="A6"/>
          <w:lang w:val="fr-BE"/>
        </w:rPr>
      </w:pPr>
      <w:r w:rsidRPr="00814744">
        <w:rPr>
          <w:color w:val="595959" w:themeColor="text1" w:themeTint="A6"/>
          <w:lang w:val="fr-BE"/>
        </w:rPr>
        <w:t xml:space="preserve">T: 021 720 6616 </w:t>
      </w:r>
    </w:p>
    <w:p w:rsidR="00854A82" w:rsidRPr="00814744" w:rsidRDefault="00854A82" w:rsidP="00854A82">
      <w:pPr>
        <w:rPr>
          <w:color w:val="595959" w:themeColor="text1" w:themeTint="A6"/>
          <w:lang w:val="fr-BE"/>
        </w:rPr>
      </w:pPr>
      <w:r w:rsidRPr="00814744">
        <w:rPr>
          <w:color w:val="595959" w:themeColor="text1" w:themeTint="A6"/>
          <w:lang w:val="fr-BE"/>
        </w:rPr>
        <w:t>F: 021 720 6616 ext.100</w:t>
      </w:r>
    </w:p>
    <w:p w:rsidR="00854A82" w:rsidRPr="00814744" w:rsidRDefault="00854A82" w:rsidP="00854A82">
      <w:pPr>
        <w:rPr>
          <w:color w:val="595959" w:themeColor="text1" w:themeTint="A6"/>
          <w:lang w:val="fr-BE"/>
        </w:rPr>
      </w:pPr>
      <w:r w:rsidRPr="00814744">
        <w:rPr>
          <w:color w:val="595959" w:themeColor="text1" w:themeTint="A6"/>
          <w:lang w:val="fr-BE"/>
        </w:rPr>
        <w:t xml:space="preserve">E: </w:t>
      </w:r>
      <w:r w:rsidR="003C0AE1" w:rsidRPr="00814744">
        <w:rPr>
          <w:color w:val="595959" w:themeColor="text1" w:themeTint="A6"/>
          <w:lang w:val="fr-BE"/>
        </w:rPr>
        <w:t>nick.clinch</w:t>
      </w:r>
      <w:r w:rsidRPr="00814744">
        <w:rPr>
          <w:color w:val="595959" w:themeColor="text1" w:themeTint="A6"/>
          <w:lang w:val="fr-BE"/>
        </w:rPr>
        <w:t>@ep-pom.com</w:t>
      </w:r>
    </w:p>
    <w:p w:rsidR="00854A82" w:rsidRPr="00814744" w:rsidRDefault="00854A82" w:rsidP="00854A82">
      <w:pPr>
        <w:rPr>
          <w:color w:val="595959" w:themeColor="text1" w:themeTint="A6"/>
          <w:lang w:val="fr-BE"/>
        </w:rPr>
      </w:pPr>
    </w:p>
    <w:p w:rsidR="00854A82" w:rsidRPr="00814744" w:rsidRDefault="00854A82" w:rsidP="00854A82">
      <w:pPr>
        <w:rPr>
          <w:color w:val="595959" w:themeColor="text1" w:themeTint="A6"/>
          <w:lang w:val="en-AU"/>
        </w:rPr>
      </w:pPr>
      <w:r w:rsidRPr="00814744">
        <w:rPr>
          <w:color w:val="595959" w:themeColor="text1" w:themeTint="A6"/>
          <w:lang w:val="en-AU"/>
        </w:rPr>
        <w:t>Australian Aid – mana</w:t>
      </w:r>
      <w:r w:rsidR="00814744">
        <w:rPr>
          <w:color w:val="595959" w:themeColor="text1" w:themeTint="A6"/>
          <w:lang w:val="en-AU"/>
        </w:rPr>
        <w:t>ged by GRM International on behalf of the Australian Government</w:t>
      </w:r>
    </w:p>
    <w:p w:rsidR="00854A82" w:rsidRPr="00814744" w:rsidRDefault="00854A82" w:rsidP="00854A82">
      <w:pPr>
        <w:rPr>
          <w:color w:val="595959" w:themeColor="text1" w:themeTint="A6"/>
          <w:lang w:val="en-AU"/>
        </w:rPr>
      </w:pPr>
    </w:p>
    <w:p w:rsidR="00854A82" w:rsidRPr="00814744" w:rsidRDefault="00854A82" w:rsidP="00854A82">
      <w:pPr>
        <w:rPr>
          <w:b/>
          <w:color w:val="595959" w:themeColor="text1" w:themeTint="A6"/>
          <w:lang w:val="en-AU"/>
        </w:rPr>
      </w:pPr>
      <w:r w:rsidRPr="00814744">
        <w:rPr>
          <w:b/>
          <w:color w:val="595959" w:themeColor="text1" w:themeTint="A6"/>
          <w:lang w:val="en-AU"/>
        </w:rPr>
        <w:t>www.kemitraanpendidikan.or.id</w:t>
      </w:r>
    </w:p>
    <w:p w:rsidR="00854A82" w:rsidRPr="00814744" w:rsidRDefault="00854A82" w:rsidP="00854A82">
      <w:pPr>
        <w:rPr>
          <w:lang w:val="en-AU"/>
        </w:rPr>
      </w:pPr>
    </w:p>
    <w:sectPr w:rsidR="00854A82" w:rsidRPr="00814744" w:rsidSect="00854A82">
      <w:headerReference w:type="default" r:id="rId40"/>
      <w:footerReference w:type="default" r:id="rId41"/>
      <w:footnotePr>
        <w:numRestart w:val="eachSect"/>
      </w:footnotePr>
      <w:endnotePr>
        <w:numRestart w:val="eachSect"/>
      </w:endnotePr>
      <w:type w:val="evenPage"/>
      <w:pgSz w:w="11909" w:h="16834" w:code="9"/>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9C1" w:rsidRDefault="00CE29C1">
      <w:r>
        <w:separator/>
      </w:r>
    </w:p>
  </w:endnote>
  <w:endnote w:type="continuationSeparator" w:id="0">
    <w:p w:rsidR="00CE29C1" w:rsidRDefault="00CE29C1">
      <w:r>
        <w:continuationSeparator/>
      </w:r>
    </w:p>
  </w:endnote>
  <w:endnote w:id="1">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C83FCE">
        <w:rPr>
          <w:rStyle w:val="EndnoteReference"/>
          <w:rFonts w:asciiTheme="minorHAnsi" w:hAnsiTheme="minorHAnsi"/>
          <w:szCs w:val="20"/>
        </w:rPr>
        <w:endnoteRef/>
      </w:r>
      <w:r w:rsidRPr="00C83FCE">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2">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Schedule 1, </w:t>
      </w:r>
      <w:r w:rsidRPr="00EC5ADA">
        <w:rPr>
          <w:rFonts w:asciiTheme="minorHAnsi" w:hAnsiTheme="minorHAnsi"/>
          <w:szCs w:val="20"/>
          <w:lang w:val="en-AU"/>
        </w:rPr>
        <w:t>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3">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Schedule 1, 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4">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AusAID. Draft. The Education Partnership Theory of Change.</w:t>
      </w:r>
    </w:p>
  </w:endnote>
  <w:endnote w:id="5">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Schedule 1, 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6">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7">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 xml:space="preserve">SSQ. 2013. </w:t>
      </w:r>
      <w:r w:rsidRPr="00EC5ADA">
        <w:rPr>
          <w:rFonts w:asciiTheme="minorHAnsi" w:hAnsiTheme="minorHAnsi" w:cstheme="minorHAnsi"/>
          <w:szCs w:val="20"/>
        </w:rPr>
        <w:t>SSQ C1 Evaluation: What value are Field Monitors adding to the quality of construction? (ME005)</w:t>
      </w:r>
    </w:p>
  </w:endnote>
  <w:endnote w:id="8">
    <w:p w:rsidR="00CE29C1" w:rsidRPr="00EC5ADA" w:rsidRDefault="00CE29C1" w:rsidP="008576B7">
      <w:pPr>
        <w:pStyle w:val="EndnoteText"/>
        <w:tabs>
          <w:tab w:val="left" w:pos="709"/>
        </w:tabs>
        <w:spacing w:line="276" w:lineRule="auto"/>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POM. Draft. </w:t>
      </w:r>
      <w:r w:rsidRPr="00EC5ADA">
        <w:rPr>
          <w:rFonts w:asciiTheme="minorHAnsi" w:hAnsiTheme="minorHAnsi"/>
          <w:szCs w:val="20"/>
          <w:lang w:val="en-AU"/>
        </w:rPr>
        <w:t>EOPO 1 Evaluation Baseline Report.</w:t>
      </w:r>
    </w:p>
  </w:endnote>
  <w:endnote w:id="9">
    <w:p w:rsidR="00CE29C1" w:rsidRPr="00DA1B0C" w:rsidRDefault="00CE29C1">
      <w:pPr>
        <w:pStyle w:val="EndnoteText"/>
        <w:rPr>
          <w:lang w:val="en-AU"/>
        </w:rPr>
      </w:pPr>
      <w:r>
        <w:rPr>
          <w:rStyle w:val="EndnoteReference"/>
        </w:rPr>
        <w:endnoteRef/>
      </w:r>
      <w:r>
        <w:t xml:space="preserve"> </w:t>
      </w:r>
      <w:r>
        <w:rPr>
          <w:lang w:val="en-AU"/>
        </w:rPr>
        <w:tab/>
      </w:r>
      <w:r>
        <w:t>EP. Draft. Performance Milestone Framework</w:t>
      </w:r>
    </w:p>
  </w:endnote>
  <w:endnote w:id="10">
    <w:p w:rsidR="00CE29C1" w:rsidRPr="00EC5ADA" w:rsidRDefault="00CE29C1" w:rsidP="00A338AE">
      <w:pPr>
        <w:pStyle w:val="EndnoteText"/>
        <w:tabs>
          <w:tab w:val="left" w:pos="709"/>
        </w:tabs>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AusAID. Draft. The Education Partnership Theory of Change. </w:t>
      </w:r>
    </w:p>
  </w:endnote>
  <w:endnote w:id="11">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Schedule 1, 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64705. </w:t>
      </w:r>
    </w:p>
  </w:endnote>
  <w:endnote w:id="12">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Schedule 1, 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64705. </w:t>
      </w:r>
    </w:p>
  </w:endnote>
  <w:endnote w:id="13">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AusAID. Draft. The Education Partnership Theory of Change. </w:t>
      </w:r>
    </w:p>
  </w:endnote>
  <w:endnote w:id="14">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AusAID. Draft. The Education Partnership Theory of Change.</w:t>
      </w:r>
      <w:r>
        <w:rPr>
          <w:rFonts w:asciiTheme="minorHAnsi" w:hAnsiTheme="minorHAnsi"/>
          <w:szCs w:val="20"/>
        </w:rPr>
        <w:t xml:space="preserve"> </w:t>
      </w:r>
    </w:p>
  </w:endnote>
  <w:endnote w:id="15">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AusAID. Draft. The Education Partnership Theory of Change.</w:t>
      </w:r>
    </w:p>
  </w:endnote>
  <w:endnote w:id="16">
    <w:p w:rsidR="00CE29C1" w:rsidRPr="00EC5ADA" w:rsidRDefault="00CE29C1" w:rsidP="00A338AE">
      <w:pPr>
        <w:pStyle w:val="EndnoteText"/>
        <w:tabs>
          <w:tab w:val="left" w:pos="709"/>
        </w:tabs>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Grant Agreement Deed between the Commonwealth of Australia and the Government of the Republic of Indonesia relating to the Professional Development for Education Personnel through Australia’s Education Partnership with Indonesia. A contribution to the Government of Indonesia’s Education Sector Support Program. AusAID Agreement No. 60472</w:t>
      </w:r>
    </w:p>
  </w:endnote>
  <w:endnote w:id="17">
    <w:p w:rsidR="00CE29C1" w:rsidRPr="00EC5ADA" w:rsidRDefault="00CE29C1" w:rsidP="00A338AE">
      <w:pPr>
        <w:pStyle w:val="EndnoteText"/>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OECD, PISA. 2012. Results in Focus, What 15-year-olds know and what they can do with what they know, December 2013, p. 5. </w:t>
      </w:r>
    </w:p>
  </w:endnote>
  <w:endnote w:id="18">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Component 2. Weekly update, 18 December 2013, p. 3. </w:t>
      </w:r>
    </w:p>
  </w:endnote>
  <w:endnote w:id="19">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GoI-GoA. Procedures Manual First Edition, Appendix 4 – Draft PAF Version 2, September 2013, p.4. </w:t>
      </w:r>
    </w:p>
  </w:endnote>
  <w:endnote w:id="20">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Component 2. Weekly update, 29 January 2013, p.1. </w:t>
      </w:r>
    </w:p>
  </w:endnote>
  <w:endnote w:id="21">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Component 2. Weekly Update, 8 January 2014, p. 1. </w:t>
      </w:r>
    </w:p>
  </w:endnote>
  <w:endnote w:id="22">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District &amp; Provincial HRMD Training Evaluation, March, 2013.</w:t>
      </w:r>
    </w:p>
  </w:endnote>
  <w:endnote w:id="23">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POM. Annual Sector Monitoring Report 2013. P. 29.</w:t>
      </w:r>
    </w:p>
  </w:endnote>
  <w:endnote w:id="24">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Annual Plan 2013, November 2012, p. 10.</w:t>
      </w:r>
    </w:p>
  </w:endnote>
  <w:endnote w:id="25">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Annual Plan 2013, November 2012. </w:t>
      </w:r>
    </w:p>
  </w:endnote>
  <w:endnote w:id="26">
    <w:p w:rsidR="00CE29C1" w:rsidRPr="00EC5ADA" w:rsidRDefault="00CE29C1" w:rsidP="00A338AE">
      <w:pPr>
        <w:pStyle w:val="EndnoteText"/>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The Jakarta Post, “Govt seeks to expand access to education”, retrieved from </w:t>
      </w:r>
      <w:hyperlink r:id="rId1" w:history="1">
        <w:r w:rsidRPr="00EC5ADA">
          <w:rPr>
            <w:rStyle w:val="Hyperlink"/>
            <w:rFonts w:asciiTheme="minorHAnsi" w:hAnsiTheme="minorHAnsi"/>
            <w:sz w:val="20"/>
            <w:szCs w:val="20"/>
          </w:rPr>
          <w:t>http://www.thejakartapost.com/news/2013/08/22/govt-seeks-expand-access-education.html</w:t>
        </w:r>
        <w:r w:rsidRPr="00EC5ADA">
          <w:rPr>
            <w:rStyle w:val="Hyperlink"/>
            <w:rFonts w:asciiTheme="minorHAnsi" w:hAnsiTheme="minorHAnsi"/>
            <w:sz w:val="20"/>
            <w:szCs w:val="20"/>
            <w:u w:val="none"/>
          </w:rPr>
          <w:t xml:space="preserve"> on 5 January 2013</w:t>
        </w:r>
      </w:hyperlink>
      <w:r w:rsidRPr="00EC5ADA">
        <w:rPr>
          <w:rFonts w:asciiTheme="minorHAnsi" w:hAnsiTheme="minorHAnsi"/>
          <w:szCs w:val="20"/>
        </w:rPr>
        <w:t xml:space="preserve">. </w:t>
      </w:r>
    </w:p>
  </w:endnote>
  <w:endnote w:id="27">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Annual Progress Report 2013, October 2013, p. 18. </w:t>
      </w:r>
    </w:p>
  </w:endnote>
  <w:endnote w:id="28">
    <w:p w:rsidR="00CE29C1" w:rsidRPr="00381FED" w:rsidRDefault="00CE29C1" w:rsidP="009B2D0E">
      <w:pPr>
        <w:pStyle w:val="EndnoteText"/>
        <w:rPr>
          <w:lang w:val="en-AU"/>
        </w:rPr>
      </w:pPr>
      <w:r>
        <w:rPr>
          <w:rStyle w:val="EndnoteReference"/>
        </w:rPr>
        <w:endnoteRef/>
      </w:r>
      <w:r>
        <w:t xml:space="preserve"> </w:t>
      </w:r>
      <w:r>
        <w:rPr>
          <w:lang w:val="en-AU"/>
        </w:rPr>
        <w:tab/>
        <w:t>AusAID. EP Component 2 Updated Design Document, 17 December 2012, p.4.</w:t>
      </w:r>
    </w:p>
  </w:endnote>
  <w:endnote w:id="29">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Report Evaluation of CPD Pilot, Stage 2 of Evaluation, June 2013, July 2013 p. 18. </w:t>
      </w:r>
    </w:p>
  </w:endnote>
  <w:endnote w:id="30">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Report Evaluation of CPD Pilot, Stage 2 of Evaluation June 2013, July 2013 p. 19.</w:t>
      </w:r>
    </w:p>
  </w:endnote>
  <w:endnote w:id="31">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POM. Annual Sector Monitoring Report 2013, p. 99. </w:t>
      </w:r>
    </w:p>
  </w:endnote>
  <w:endnote w:id="32">
    <w:p w:rsidR="00CE29C1" w:rsidRPr="00EC5ADA" w:rsidRDefault="00CE29C1" w:rsidP="00A338AE">
      <w:pPr>
        <w:pStyle w:val="EndnoteText"/>
        <w:spacing w:before="60" w:line="276" w:lineRule="auto"/>
        <w:ind w:left="709" w:hanging="709"/>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ACDP. School and </w:t>
      </w:r>
      <w:r w:rsidRPr="00EC5ADA">
        <w:rPr>
          <w:rFonts w:asciiTheme="minorHAnsi" w:hAnsiTheme="minorHAnsi"/>
          <w:i/>
          <w:szCs w:val="20"/>
        </w:rPr>
        <w:t>Madrasah</w:t>
      </w:r>
      <w:r w:rsidRPr="00EC5ADA">
        <w:rPr>
          <w:rFonts w:asciiTheme="minorHAnsi" w:hAnsiTheme="minorHAnsi"/>
          <w:szCs w:val="20"/>
        </w:rPr>
        <w:t xml:space="preserve"> Principals and Supervisors Competency Baseline Study, September 2013, p. 21</w:t>
      </w:r>
    </w:p>
  </w:endnote>
  <w:endnote w:id="33">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POM. Annual Sector Monitoring Report 2013, p.104.</w:t>
      </w:r>
    </w:p>
  </w:endnote>
  <w:endnote w:id="34">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POM. Annual Sector Monitoring Report 2013 p. 29. </w:t>
      </w:r>
    </w:p>
  </w:endnote>
  <w:endnote w:id="35">
    <w:p w:rsidR="00CE29C1" w:rsidRPr="00EC5ADA" w:rsidRDefault="00CE29C1" w:rsidP="00EC5ADA">
      <w:pPr>
        <w:pStyle w:val="EndnoteText"/>
        <w:spacing w:before="60" w:line="276" w:lineRule="auto"/>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AusAID. Draft. The Education Partnership Theory of Change.</w:t>
      </w:r>
    </w:p>
  </w:endnote>
  <w:endnote w:id="36">
    <w:p w:rsidR="00CE29C1" w:rsidRPr="00EC5ADA" w:rsidRDefault="00CE29C1" w:rsidP="00EC5ADA">
      <w:pPr>
        <w:pStyle w:val="EndnoteText"/>
        <w:spacing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POM.</w:t>
      </w:r>
      <w:r>
        <w:rPr>
          <w:rFonts w:asciiTheme="minorHAnsi" w:hAnsiTheme="minorHAnsi"/>
          <w:szCs w:val="20"/>
        </w:rPr>
        <w:t xml:space="preserve"> </w:t>
      </w:r>
      <w:r w:rsidRPr="00EC5ADA">
        <w:rPr>
          <w:rFonts w:asciiTheme="minorHAnsi" w:hAnsiTheme="minorHAnsi"/>
          <w:szCs w:val="20"/>
        </w:rPr>
        <w:t>Annual Sector Monitoring Report 2013</w:t>
      </w:r>
    </w:p>
  </w:endnote>
  <w:endnote w:id="37">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Evaluation of Component 3 Phase 1, November 2013</w:t>
      </w:r>
    </w:p>
  </w:endnote>
  <w:endnote w:id="38">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Annual Progress Report 2013, p.28</w:t>
      </w:r>
    </w:p>
  </w:endnote>
  <w:endnote w:id="39">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POM. Annual Sector Monitoring Report 2013, p.28</w:t>
      </w:r>
    </w:p>
  </w:endnote>
  <w:endnote w:id="40">
    <w:p w:rsidR="00CE29C1" w:rsidRPr="00DA1B0C" w:rsidRDefault="00CE29C1">
      <w:pPr>
        <w:pStyle w:val="EndnoteText"/>
        <w:rPr>
          <w:lang w:val="en-AU"/>
        </w:rPr>
      </w:pPr>
      <w:r>
        <w:rPr>
          <w:rStyle w:val="EndnoteReference"/>
        </w:rPr>
        <w:endnoteRef/>
      </w:r>
      <w:r>
        <w:t xml:space="preserve"> </w:t>
      </w:r>
      <w:r>
        <w:rPr>
          <w:lang w:val="en-AU"/>
        </w:rPr>
        <w:tab/>
        <w:t>SSQ. Annual Plan 2013.</w:t>
      </w:r>
    </w:p>
  </w:endnote>
  <w:endnote w:id="41">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Component 3 Evaluation Report 2013, p. 36</w:t>
      </w:r>
    </w:p>
  </w:endnote>
  <w:endnote w:id="42">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Component 3 Evaluation Report 2013</w:t>
      </w:r>
    </w:p>
  </w:endnote>
  <w:endnote w:id="43">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Component 3 Evaluation Report 2013</w:t>
      </w:r>
    </w:p>
  </w:endnote>
  <w:endnote w:id="44">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Component 3 Evaluation Report 2013 </w:t>
      </w:r>
    </w:p>
  </w:endnote>
  <w:endnote w:id="45">
    <w:p w:rsidR="00CE29C1" w:rsidRPr="00DA1B0C" w:rsidRDefault="00CE29C1">
      <w:pPr>
        <w:pStyle w:val="EndnoteText"/>
        <w:rPr>
          <w:lang w:val="en-AU"/>
        </w:rPr>
      </w:pPr>
      <w:r>
        <w:rPr>
          <w:rStyle w:val="EndnoteReference"/>
        </w:rPr>
        <w:endnoteRef/>
      </w:r>
      <w:r>
        <w:t xml:space="preserve"> </w:t>
      </w:r>
      <w:r>
        <w:rPr>
          <w:lang w:val="en-AU"/>
        </w:rPr>
        <w:tab/>
      </w:r>
      <w:r w:rsidRPr="00C83FCE">
        <w:rPr>
          <w:rFonts w:asciiTheme="minorHAnsi" w:hAnsiTheme="minorHAnsi"/>
          <w:szCs w:val="20"/>
        </w:rPr>
        <w:t>SSQ</w:t>
      </w:r>
      <w:r>
        <w:rPr>
          <w:rFonts w:asciiTheme="minorHAnsi" w:hAnsiTheme="minorHAnsi"/>
          <w:szCs w:val="20"/>
        </w:rPr>
        <w:t>.</w:t>
      </w:r>
      <w:r w:rsidRPr="00C83FCE">
        <w:rPr>
          <w:rFonts w:asciiTheme="minorHAnsi" w:hAnsiTheme="minorHAnsi"/>
          <w:szCs w:val="20"/>
        </w:rPr>
        <w:t xml:space="preserve"> Evaluation of Component 3 </w:t>
      </w:r>
      <w:r>
        <w:rPr>
          <w:rFonts w:asciiTheme="minorHAnsi" w:hAnsiTheme="minorHAnsi"/>
          <w:szCs w:val="20"/>
        </w:rPr>
        <w:t>P</w:t>
      </w:r>
      <w:r w:rsidRPr="00C83FCE">
        <w:rPr>
          <w:rFonts w:asciiTheme="minorHAnsi" w:hAnsiTheme="minorHAnsi"/>
          <w:szCs w:val="20"/>
        </w:rPr>
        <w:t>hase 1, November 2013</w:t>
      </w:r>
    </w:p>
  </w:endnote>
  <w:endnote w:id="46">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SSQ. Component 3 Evaluation Report 2013</w:t>
      </w:r>
    </w:p>
  </w:endnote>
  <w:endnote w:id="47">
    <w:p w:rsidR="00CE29C1" w:rsidRPr="00EC5ADA" w:rsidRDefault="00CE29C1" w:rsidP="00EC5ADA">
      <w:pPr>
        <w:pStyle w:val="EndnoteText"/>
        <w:spacing w:before="60" w:line="276" w:lineRule="auto"/>
        <w:jc w:val="both"/>
        <w:rPr>
          <w:rFonts w:asciiTheme="minorHAnsi" w:hAnsiTheme="minorHAnsi"/>
          <w:szCs w:val="20"/>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POM.</w:t>
      </w:r>
      <w:r w:rsidRPr="00EC5ADA">
        <w:rPr>
          <w:rFonts w:asciiTheme="minorHAnsi" w:hAnsiTheme="minorHAnsi"/>
          <w:bCs/>
          <w:szCs w:val="20"/>
          <w:lang w:val="en-AU"/>
        </w:rPr>
        <w:t xml:space="preserve"> Annual Sector Monitoring Report 2013</w:t>
      </w:r>
    </w:p>
  </w:endnote>
  <w:endnote w:id="48">
    <w:p w:rsidR="00CE29C1" w:rsidRPr="00EC5ADA" w:rsidRDefault="00CE29C1" w:rsidP="00EC5ADA">
      <w:pPr>
        <w:pStyle w:val="EndnoteText"/>
        <w:spacing w:before="60" w:line="276" w:lineRule="auto"/>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lang w:val="en-AU"/>
        </w:rPr>
        <w:tab/>
        <w:t>A</w:t>
      </w:r>
      <w:r w:rsidRPr="00EC5ADA">
        <w:rPr>
          <w:rFonts w:asciiTheme="minorHAnsi" w:hAnsiTheme="minorHAnsi"/>
          <w:szCs w:val="20"/>
          <w:lang w:val="en-AU"/>
        </w:rPr>
        <w:t>CDP. Six Monthly Progress Report, Mid 2013, July 2013.</w:t>
      </w:r>
    </w:p>
  </w:endnote>
  <w:endnote w:id="49">
    <w:p w:rsidR="00CE29C1" w:rsidRPr="00EC5ADA" w:rsidRDefault="00CE29C1" w:rsidP="00EC5ADA">
      <w:pPr>
        <w:pStyle w:val="EndnoteText"/>
        <w:spacing w:before="60" w:line="276" w:lineRule="auto"/>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ACDP. Six Monthly Progress Report, Mid 2013, July 2013.</w:t>
      </w:r>
    </w:p>
  </w:endnote>
  <w:endnote w:id="50">
    <w:p w:rsidR="00CE29C1" w:rsidRPr="00EC5ADA" w:rsidRDefault="00CE29C1" w:rsidP="00EC5ADA">
      <w:pPr>
        <w:pStyle w:val="EndnoteText"/>
        <w:spacing w:before="60" w:line="276" w:lineRule="auto"/>
        <w:jc w:val="both"/>
        <w:rPr>
          <w:rFonts w:asciiTheme="minorHAnsi" w:hAnsiTheme="minorHAnsi"/>
          <w:color w:val="000000" w:themeColor="text1"/>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Wheeler &amp; Leslie, interview with POM, October 2013. </w:t>
      </w:r>
    </w:p>
  </w:endnote>
  <w:endnote w:id="51">
    <w:p w:rsidR="00CE29C1" w:rsidRPr="00DA1B0C" w:rsidRDefault="00CE29C1" w:rsidP="009A5439">
      <w:pPr>
        <w:pStyle w:val="EndnoteText"/>
        <w:rPr>
          <w:lang w:val="en-AU"/>
        </w:rPr>
      </w:pPr>
      <w:r>
        <w:rPr>
          <w:rStyle w:val="EndnoteReference"/>
        </w:rPr>
        <w:endnoteRef/>
      </w:r>
      <w:r>
        <w:t xml:space="preserve"> </w:t>
      </w:r>
      <w:r>
        <w:tab/>
      </w:r>
      <w:r w:rsidRPr="00DA1B0C">
        <w:rPr>
          <w:rFonts w:asciiTheme="minorHAnsi" w:hAnsiTheme="minorHAnsi"/>
          <w:szCs w:val="20"/>
        </w:rPr>
        <w:t>ACDP. Six Monthly Progress Report, End 2013. Revision. March 2014</w:t>
      </w:r>
    </w:p>
  </w:endnote>
  <w:endnote w:id="52">
    <w:p w:rsidR="00CE29C1" w:rsidRPr="00EC5ADA" w:rsidRDefault="00CE29C1" w:rsidP="00A338AE">
      <w:pPr>
        <w:pStyle w:val="EndnoteText"/>
        <w:spacing w:before="60" w:line="276" w:lineRule="auto"/>
        <w:ind w:left="709" w:hanging="709"/>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 xml:space="preserve">See, for example, ACDP Six Monthly Progress Report, Mid 2013, July 2013. Also see ACDP Six Monthly Progress Report, End 2012, January 2013. </w:t>
      </w:r>
    </w:p>
  </w:endnote>
  <w:endnote w:id="53">
    <w:p w:rsidR="00CE29C1" w:rsidRPr="00EC5ADA" w:rsidRDefault="00CE29C1" w:rsidP="00EC5ADA">
      <w:pPr>
        <w:pStyle w:val="EndnoteText"/>
        <w:spacing w:line="276" w:lineRule="auto"/>
        <w:jc w:val="both"/>
        <w:rPr>
          <w:rFonts w:asciiTheme="minorHAnsi" w:hAnsiTheme="minorHAnsi"/>
          <w:szCs w:val="20"/>
          <w:lang w:val="en-AU"/>
        </w:rPr>
      </w:pPr>
      <w:r w:rsidRPr="00EC5ADA">
        <w:rPr>
          <w:rStyle w:val="EndnoteReference"/>
          <w:rFonts w:ascii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ACDP. Monitoring and Evaluation Strategy, Revised Version, December 2012.</w:t>
      </w:r>
    </w:p>
  </w:endnote>
  <w:endnote w:id="54">
    <w:p w:rsidR="00CE29C1" w:rsidRPr="00EC5ADA" w:rsidRDefault="00CE29C1" w:rsidP="00A338AE">
      <w:pPr>
        <w:pStyle w:val="EndnoteText"/>
        <w:spacing w:line="276" w:lineRule="auto"/>
        <w:ind w:left="709" w:hanging="709"/>
        <w:rPr>
          <w:rFonts w:asciiTheme="minorHAnsi" w:hAnsiTheme="minorHAnsi"/>
          <w:szCs w:val="20"/>
          <w:lang w:val="en-AU"/>
        </w:rPr>
      </w:pPr>
      <w:r w:rsidRPr="00EC5ADA">
        <w:rPr>
          <w:rStyle w:val="EndnoteReference"/>
          <w:rFonts w:asciiTheme="minorHAnsi" w:eastAsia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lang w:val="en-AU"/>
        </w:rPr>
        <w:t>Assessment of District Education Infrastructure Planning Capacity, Final Report, 11 July 2013 (v1.1), POM.</w:t>
      </w:r>
    </w:p>
  </w:endnote>
  <w:endnote w:id="55">
    <w:p w:rsidR="00CE29C1" w:rsidRPr="00EC5ADA" w:rsidRDefault="00CE29C1" w:rsidP="00EC5ADA">
      <w:pPr>
        <w:pStyle w:val="EndnoteText"/>
        <w:spacing w:line="276" w:lineRule="auto"/>
        <w:rPr>
          <w:rFonts w:asciiTheme="minorHAnsi" w:hAnsiTheme="minorHAnsi"/>
          <w:szCs w:val="20"/>
        </w:rPr>
      </w:pPr>
      <w:r w:rsidRPr="00EC5ADA">
        <w:rPr>
          <w:rStyle w:val="EndnoteReference"/>
          <w:rFonts w:asciiTheme="minorHAnsi" w:eastAsiaTheme="minorHAnsi" w:hAnsiTheme="minorHAnsi"/>
          <w:szCs w:val="20"/>
        </w:rPr>
        <w:endnoteRef/>
      </w:r>
      <w:r w:rsidRPr="00EC5ADA">
        <w:rPr>
          <w:rFonts w:asciiTheme="minorHAnsi" w:hAnsiTheme="minorHAnsi"/>
          <w:szCs w:val="20"/>
        </w:rPr>
        <w:t xml:space="preserve"> </w:t>
      </w:r>
      <w:r>
        <w:rPr>
          <w:rFonts w:asciiTheme="minorHAnsi" w:hAnsiTheme="minorHAnsi"/>
          <w:szCs w:val="20"/>
        </w:rPr>
        <w:tab/>
      </w:r>
      <w:r w:rsidRPr="00EC5ADA">
        <w:rPr>
          <w:rFonts w:asciiTheme="minorHAnsi" w:hAnsiTheme="minorHAnsi"/>
          <w:szCs w:val="20"/>
        </w:rPr>
        <w:t xml:space="preserve">SSQ. C3 Phase 1 evaluation, p.23 and beyond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HelveticaNeueLT Std">
    <w:panose1 w:val="00000000000000000000"/>
    <w:charset w:val="00"/>
    <w:family w:val="swiss"/>
    <w:notTrueType/>
    <w:pitch w:val="variable"/>
    <w:sig w:usb0="800000AF" w:usb1="4000204A" w:usb2="00000000" w:usb3="00000000" w:csb0="00000001" w:csb1="00000000"/>
  </w:font>
  <w:font w:name="MinioMM_485 SB 585 NO 11 OP">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w:charset w:val="00"/>
    <w:family w:val="swiss"/>
    <w:pitch w:val="variable"/>
    <w:sig w:usb0="80000067" w:usb1="00000000" w:usb2="00000000" w:usb3="00000000" w:csb0="00000001" w:csb1="00000000"/>
  </w:font>
  <w:font w:name="Cardo">
    <w:charset w:val="00"/>
    <w:family w:val="roman"/>
    <w:pitch w:val="variable"/>
    <w:sig w:usb0="E40008FF" w:usb1="5201E0FB" w:usb2="04608000" w:usb3="00000000" w:csb0="000000BB"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Pr="00AF7AFA" w:rsidRDefault="00CE29C1"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PARTNERSHIP PERFORMANCE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661633" w:rsidRPr="00661633">
      <w:rPr>
        <w:rFonts w:ascii="Arial Narrow" w:hAnsi="Arial Narrow"/>
        <w:b/>
        <w:noProof/>
        <w:color w:val="7F7F7F"/>
        <w:sz w:val="20"/>
      </w:rPr>
      <w:t>iii</w:t>
    </w:r>
    <w:r w:rsidRPr="00AF7AFA">
      <w:rPr>
        <w:rFonts w:ascii="Arial Narrow" w:hAnsi="Arial Narrow"/>
        <w:b/>
        <w:caps/>
        <w:noProof/>
        <w:color w:val="7F7F7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Pr="00AF7AFA" w:rsidRDefault="00CE29C1"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PARTNERSHIP PERFORMANCE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661633">
      <w:rPr>
        <w:rFonts w:ascii="Arial Narrow" w:hAnsi="Arial Narrow"/>
        <w:b/>
        <w:caps/>
        <w:noProof/>
        <w:color w:val="7F7F7F"/>
        <w:sz w:val="20"/>
      </w:rPr>
      <w:t>72</w:t>
    </w:r>
    <w:r w:rsidRPr="00AF7AFA">
      <w:rPr>
        <w:rFonts w:ascii="Arial Narrow" w:hAnsi="Arial Narrow"/>
        <w:b/>
        <w:caps/>
        <w:noProof/>
        <w:color w:val="7F7F7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Pr="00854A82" w:rsidRDefault="00CE29C1" w:rsidP="00854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9C1" w:rsidRDefault="00CE29C1">
      <w:r>
        <w:separator/>
      </w:r>
    </w:p>
  </w:footnote>
  <w:footnote w:type="continuationSeparator" w:id="0">
    <w:p w:rsidR="00CE29C1" w:rsidRDefault="00CE29C1">
      <w:r>
        <w:continuationSeparator/>
      </w:r>
    </w:p>
    <w:p w:rsidR="00CE29C1" w:rsidRDefault="00CE29C1"/>
    <w:p w:rsidR="00CE29C1" w:rsidRDefault="00CE29C1" w:rsidP="00633791"/>
    <w:p w:rsidR="00CE29C1" w:rsidRDefault="00CE29C1" w:rsidP="001F37C9"/>
    <w:p w:rsidR="00CE29C1" w:rsidRDefault="00CE29C1" w:rsidP="001C41DC"/>
    <w:p w:rsidR="00CE29C1" w:rsidRDefault="00CE29C1"/>
  </w:footnote>
  <w:footnote w:id="1">
    <w:p w:rsidR="00CE29C1" w:rsidRPr="0022598A" w:rsidRDefault="00CE29C1">
      <w:pPr>
        <w:pStyle w:val="FootnoteText"/>
        <w:rPr>
          <w:lang w:val="en-AU"/>
        </w:rPr>
      </w:pPr>
      <w:r>
        <w:rPr>
          <w:rStyle w:val="FootnoteReference"/>
        </w:rPr>
        <w:footnoteRef/>
      </w:r>
      <w:r>
        <w:t xml:space="preserve"> </w:t>
      </w:r>
      <w:r>
        <w:rPr>
          <w:lang w:val="en-AU"/>
        </w:rPr>
        <w:t>The original budget for the Education Partnership was AUD 500m. A minute was signed by the Director General of AusAID on 23 April 2013, increasing the value of the EP from AUD 500m to AUD 524m.</w:t>
      </w:r>
    </w:p>
  </w:footnote>
  <w:footnote w:id="2">
    <w:p w:rsidR="00CE29C1" w:rsidRPr="00196F93" w:rsidRDefault="00CE29C1">
      <w:pPr>
        <w:pStyle w:val="FootnoteText"/>
        <w:rPr>
          <w:lang w:val="en-AU"/>
        </w:rPr>
      </w:pPr>
      <w:r>
        <w:rPr>
          <w:rStyle w:val="FootnoteReference"/>
        </w:rPr>
        <w:footnoteRef/>
      </w:r>
      <w:r>
        <w:t xml:space="preserve"> </w:t>
      </w:r>
      <w:r>
        <w:rPr>
          <w:lang w:val="en-AU"/>
        </w:rPr>
        <w:t>As at end of November 2013.</w:t>
      </w:r>
    </w:p>
  </w:footnote>
  <w:footnote w:id="3">
    <w:p w:rsidR="00CE29C1" w:rsidRPr="00E73BA8" w:rsidRDefault="00CE29C1" w:rsidP="000649AC">
      <w:pPr>
        <w:pStyle w:val="FootnoteText"/>
        <w:rPr>
          <w:rFonts w:asciiTheme="minorHAnsi" w:hAnsiTheme="minorHAnsi"/>
          <w:szCs w:val="20"/>
          <w:lang w:val="en-AU"/>
        </w:rPr>
      </w:pPr>
      <w:r w:rsidRPr="00E73BA8">
        <w:rPr>
          <w:rStyle w:val="FootnoteReference"/>
          <w:rFonts w:asciiTheme="minorHAnsi" w:hAnsiTheme="minorHAnsi"/>
          <w:sz w:val="20"/>
          <w:szCs w:val="20"/>
        </w:rPr>
        <w:footnoteRef/>
      </w:r>
      <w:r w:rsidRPr="00E73BA8">
        <w:rPr>
          <w:rFonts w:asciiTheme="minorHAnsi" w:hAnsiTheme="minorHAnsi"/>
          <w:szCs w:val="20"/>
        </w:rPr>
        <w:t xml:space="preserve"> </w:t>
      </w:r>
      <w:r w:rsidRPr="00E73BA8">
        <w:rPr>
          <w:rFonts w:asciiTheme="minorHAnsi" w:hAnsiTheme="minorHAnsi"/>
          <w:szCs w:val="20"/>
          <w:lang w:val="en-AU"/>
        </w:rPr>
        <w:t>The o</w:t>
      </w:r>
      <w:r>
        <w:rPr>
          <w:rFonts w:asciiTheme="minorHAnsi" w:hAnsiTheme="minorHAnsi"/>
          <w:szCs w:val="20"/>
          <w:lang w:val="en-AU"/>
        </w:rPr>
        <w:t xml:space="preserve">fficial </w:t>
      </w:r>
      <w:r w:rsidRPr="00E73BA8">
        <w:rPr>
          <w:rFonts w:asciiTheme="minorHAnsi" w:hAnsiTheme="minorHAnsi"/>
          <w:szCs w:val="20"/>
          <w:lang w:val="en-AU"/>
        </w:rPr>
        <w:t xml:space="preserve">target </w:t>
      </w:r>
      <w:r>
        <w:rPr>
          <w:rFonts w:asciiTheme="minorHAnsi" w:hAnsiTheme="minorHAnsi"/>
          <w:szCs w:val="20"/>
          <w:lang w:val="en-AU"/>
        </w:rPr>
        <w:t xml:space="preserve">remains </w:t>
      </w:r>
      <w:r w:rsidRPr="00E73BA8">
        <w:rPr>
          <w:rFonts w:asciiTheme="minorHAnsi" w:hAnsiTheme="minorHAnsi"/>
          <w:szCs w:val="20"/>
          <w:lang w:val="en-AU"/>
        </w:rPr>
        <w:t>2</w:t>
      </w:r>
      <w:r>
        <w:rPr>
          <w:rFonts w:asciiTheme="minorHAnsi" w:hAnsiTheme="minorHAnsi"/>
          <w:szCs w:val="20"/>
          <w:lang w:val="en-AU"/>
        </w:rPr>
        <w:t>,</w:t>
      </w:r>
      <w:r w:rsidRPr="00E73BA8">
        <w:rPr>
          <w:rFonts w:asciiTheme="minorHAnsi" w:hAnsiTheme="minorHAnsi"/>
          <w:szCs w:val="20"/>
          <w:lang w:val="en-AU"/>
        </w:rPr>
        <w:t>000 schools</w:t>
      </w:r>
      <w:r>
        <w:rPr>
          <w:rFonts w:asciiTheme="minorHAnsi" w:hAnsiTheme="minorHAnsi"/>
          <w:szCs w:val="20"/>
          <w:lang w:val="en-AU"/>
        </w:rPr>
        <w:t xml:space="preserve"> but a </w:t>
      </w:r>
      <w:r w:rsidRPr="00E73BA8">
        <w:rPr>
          <w:rFonts w:asciiTheme="minorHAnsi" w:hAnsiTheme="minorHAnsi"/>
          <w:szCs w:val="20"/>
          <w:lang w:val="en-AU"/>
        </w:rPr>
        <w:t xml:space="preserve">revised target </w:t>
      </w:r>
      <w:r>
        <w:rPr>
          <w:rFonts w:asciiTheme="minorHAnsi" w:hAnsiTheme="minorHAnsi"/>
          <w:szCs w:val="20"/>
          <w:lang w:val="en-AU"/>
        </w:rPr>
        <w:t xml:space="preserve">of around 1,400 </w:t>
      </w:r>
      <w:r w:rsidRPr="00E73BA8">
        <w:rPr>
          <w:rFonts w:asciiTheme="minorHAnsi" w:hAnsiTheme="minorHAnsi"/>
          <w:szCs w:val="20"/>
          <w:lang w:val="en-AU"/>
        </w:rPr>
        <w:t xml:space="preserve">was </w:t>
      </w:r>
      <w:r>
        <w:rPr>
          <w:rFonts w:asciiTheme="minorHAnsi" w:hAnsiTheme="minorHAnsi"/>
          <w:szCs w:val="20"/>
          <w:lang w:val="en-AU"/>
        </w:rPr>
        <w:t xml:space="preserve">proposed by DFAT </w:t>
      </w:r>
      <w:r w:rsidRPr="00E73BA8">
        <w:rPr>
          <w:rFonts w:asciiTheme="minorHAnsi" w:hAnsiTheme="minorHAnsi"/>
          <w:szCs w:val="20"/>
          <w:lang w:val="en-AU"/>
        </w:rPr>
        <w:t>in the second half of 2013</w:t>
      </w:r>
      <w:r>
        <w:rPr>
          <w:rFonts w:asciiTheme="minorHAnsi" w:hAnsiTheme="minorHAnsi"/>
          <w:szCs w:val="20"/>
          <w:lang w:val="en-AU"/>
        </w:rPr>
        <w:t xml:space="preserve"> based on an increase in school building unit costs, on the desired standard number of classrooms in each school type and on GoI requirements. </w:t>
      </w:r>
    </w:p>
  </w:footnote>
  <w:footnote w:id="4">
    <w:p w:rsidR="00CE29C1" w:rsidRPr="00E73BA8" w:rsidRDefault="00CE29C1" w:rsidP="000649AC">
      <w:pPr>
        <w:pStyle w:val="FootnoteText"/>
        <w:rPr>
          <w:rFonts w:asciiTheme="minorHAnsi" w:hAnsiTheme="minorHAnsi"/>
          <w:szCs w:val="20"/>
          <w:lang w:val="en-AU"/>
        </w:rPr>
      </w:pPr>
      <w:r w:rsidRPr="00E73BA8">
        <w:rPr>
          <w:rStyle w:val="FootnoteReference"/>
          <w:rFonts w:asciiTheme="minorHAnsi" w:hAnsiTheme="minorHAnsi"/>
          <w:sz w:val="20"/>
          <w:szCs w:val="20"/>
        </w:rPr>
        <w:footnoteRef/>
      </w:r>
      <w:r w:rsidRPr="00E73BA8">
        <w:rPr>
          <w:rFonts w:asciiTheme="minorHAnsi" w:hAnsiTheme="minorHAnsi"/>
          <w:szCs w:val="20"/>
        </w:rPr>
        <w:t xml:space="preserve"> i.e. a change in practice and/or relationships which create better performance, e.g. in terms of the services received by end users.</w:t>
      </w:r>
      <w:r>
        <w:rPr>
          <w:rFonts w:asciiTheme="minorHAnsi" w:hAnsiTheme="minorHAnsi"/>
          <w:szCs w:val="20"/>
        </w:rPr>
        <w:t xml:space="preserve"> This may be because JSS expansion is winding down and will not be a priority area for GoI in the future.</w:t>
      </w:r>
    </w:p>
  </w:footnote>
  <w:footnote w:id="5">
    <w:p w:rsidR="00CE29C1" w:rsidRPr="00DA1B0C" w:rsidRDefault="00CE29C1">
      <w:pPr>
        <w:pStyle w:val="FootnoteText"/>
        <w:rPr>
          <w:lang w:val="en-AU"/>
        </w:rPr>
      </w:pPr>
      <w:r>
        <w:rPr>
          <w:rStyle w:val="FootnoteReference"/>
        </w:rPr>
        <w:footnoteRef/>
      </w:r>
      <w:r>
        <w:t xml:space="preserve"> </w:t>
      </w:r>
      <w:r>
        <w:rPr>
          <w:lang w:val="en-AU"/>
        </w:rPr>
        <w:t>450 schools have been completed with one school incomplete – some EP reporting reports 450 schools as the total number built.</w:t>
      </w:r>
    </w:p>
  </w:footnote>
  <w:footnote w:id="6">
    <w:p w:rsidR="00CE29C1" w:rsidRPr="00DA1B0C" w:rsidRDefault="00CE29C1">
      <w:pPr>
        <w:pStyle w:val="FootnoteText"/>
        <w:rPr>
          <w:lang w:val="en-AU"/>
        </w:rPr>
      </w:pPr>
      <w:r>
        <w:rPr>
          <w:rStyle w:val="FootnoteReference"/>
        </w:rPr>
        <w:footnoteRef/>
      </w:r>
      <w:r>
        <w:t xml:space="preserve"> </w:t>
      </w:r>
      <w:r>
        <w:rPr>
          <w:lang w:val="en-AU"/>
        </w:rPr>
        <w:t>This assumes revised target of 1,400 schools proposed by DFAT is accepted.</w:t>
      </w:r>
    </w:p>
  </w:footnote>
  <w:footnote w:id="7">
    <w:p w:rsidR="00CE29C1" w:rsidRPr="00E73BA8" w:rsidRDefault="00CE29C1" w:rsidP="00196F93">
      <w:pPr>
        <w:pStyle w:val="FootnoteText"/>
        <w:rPr>
          <w:rFonts w:asciiTheme="minorHAnsi" w:hAnsiTheme="minorHAnsi"/>
          <w:szCs w:val="20"/>
        </w:rPr>
      </w:pPr>
      <w:r w:rsidRPr="00E73BA8">
        <w:rPr>
          <w:rStyle w:val="FootnoteReference"/>
          <w:rFonts w:asciiTheme="minorHAnsi" w:hAnsiTheme="minorHAnsi"/>
          <w:sz w:val="20"/>
          <w:szCs w:val="20"/>
        </w:rPr>
        <w:footnoteRef/>
      </w:r>
      <w:r w:rsidRPr="00E73BA8">
        <w:rPr>
          <w:rFonts w:asciiTheme="minorHAnsi" w:hAnsiTheme="minorHAnsi"/>
          <w:szCs w:val="20"/>
        </w:rPr>
        <w:t xml:space="preserve"> The number of new places available</w:t>
      </w:r>
      <w:r>
        <w:rPr>
          <w:rFonts w:asciiTheme="minorHAnsi" w:hAnsiTheme="minorHAnsi"/>
          <w:szCs w:val="20"/>
        </w:rPr>
        <w:t xml:space="preserve"> for first grade enrolment</w:t>
      </w:r>
      <w:r w:rsidRPr="00E73BA8">
        <w:rPr>
          <w:rFonts w:asciiTheme="minorHAnsi" w:hAnsiTheme="minorHAnsi"/>
          <w:szCs w:val="20"/>
        </w:rPr>
        <w:t xml:space="preserve"> </w:t>
      </w:r>
      <w:r>
        <w:rPr>
          <w:rFonts w:asciiTheme="minorHAnsi" w:hAnsiTheme="minorHAnsi"/>
          <w:szCs w:val="20"/>
        </w:rPr>
        <w:t>is</w:t>
      </w:r>
      <w:r w:rsidRPr="00E73BA8">
        <w:rPr>
          <w:rFonts w:asciiTheme="minorHAnsi" w:hAnsiTheme="minorHAnsi"/>
          <w:szCs w:val="20"/>
        </w:rPr>
        <w:t xml:space="preserve"> calculated by multiplying the number of 7</w:t>
      </w:r>
      <w:r w:rsidRPr="00E73BA8">
        <w:rPr>
          <w:rFonts w:asciiTheme="minorHAnsi" w:hAnsiTheme="minorHAnsi"/>
          <w:szCs w:val="20"/>
          <w:vertAlign w:val="superscript"/>
        </w:rPr>
        <w:t>th</w:t>
      </w:r>
      <w:r w:rsidRPr="00E73BA8">
        <w:rPr>
          <w:rFonts w:asciiTheme="minorHAnsi" w:hAnsiTheme="minorHAnsi"/>
          <w:szCs w:val="20"/>
        </w:rPr>
        <w:t xml:space="preserve"> Grade (JSE 1</w:t>
      </w:r>
      <w:r w:rsidRPr="00E73BA8">
        <w:rPr>
          <w:rFonts w:asciiTheme="minorHAnsi" w:hAnsiTheme="minorHAnsi"/>
          <w:szCs w:val="20"/>
          <w:vertAlign w:val="superscript"/>
        </w:rPr>
        <w:t>st</w:t>
      </w:r>
      <w:r w:rsidRPr="00E73BA8">
        <w:rPr>
          <w:rFonts w:asciiTheme="minorHAnsi" w:hAnsiTheme="minorHAnsi"/>
          <w:szCs w:val="20"/>
        </w:rPr>
        <w:t xml:space="preserve"> year) classes by the maximum number of students allowed by NES (32 students). Thus, 16</w:t>
      </w:r>
      <w:r>
        <w:rPr>
          <w:rFonts w:asciiTheme="minorHAnsi" w:hAnsiTheme="minorHAnsi"/>
          <w:szCs w:val="20"/>
        </w:rPr>
        <w:t>1</w:t>
      </w:r>
      <w:r w:rsidRPr="00E73BA8">
        <w:rPr>
          <w:rFonts w:asciiTheme="minorHAnsi" w:hAnsiTheme="minorHAnsi"/>
          <w:szCs w:val="20"/>
        </w:rPr>
        <w:t xml:space="preserve"> USB</w:t>
      </w:r>
      <w:r>
        <w:rPr>
          <w:rFonts w:asciiTheme="minorHAnsi" w:hAnsiTheme="minorHAnsi"/>
          <w:szCs w:val="20"/>
        </w:rPr>
        <w:t>s</w:t>
      </w:r>
      <w:r w:rsidRPr="00E73BA8">
        <w:rPr>
          <w:rFonts w:asciiTheme="minorHAnsi" w:hAnsiTheme="minorHAnsi"/>
          <w:szCs w:val="20"/>
        </w:rPr>
        <w:t xml:space="preserve"> yield 32</w:t>
      </w:r>
      <w:r>
        <w:rPr>
          <w:rFonts w:asciiTheme="minorHAnsi" w:hAnsiTheme="minorHAnsi"/>
          <w:szCs w:val="20"/>
        </w:rPr>
        <w:t>2</w:t>
      </w:r>
      <w:r w:rsidRPr="00E73BA8">
        <w:rPr>
          <w:rFonts w:asciiTheme="minorHAnsi" w:hAnsiTheme="minorHAnsi"/>
          <w:szCs w:val="20"/>
        </w:rPr>
        <w:t xml:space="preserve"> classes</w:t>
      </w:r>
      <w:r>
        <w:rPr>
          <w:rFonts w:asciiTheme="minorHAnsi" w:hAnsiTheme="minorHAnsi"/>
          <w:szCs w:val="20"/>
        </w:rPr>
        <w:t xml:space="preserve"> </w:t>
      </w:r>
      <w:r w:rsidRPr="00E73BA8">
        <w:rPr>
          <w:rFonts w:asciiTheme="minorHAnsi" w:hAnsiTheme="minorHAnsi"/>
          <w:szCs w:val="20"/>
        </w:rPr>
        <w:t>plus 289 7</w:t>
      </w:r>
      <w:r w:rsidRPr="00E73BA8">
        <w:rPr>
          <w:rFonts w:asciiTheme="minorHAnsi" w:hAnsiTheme="minorHAnsi"/>
          <w:szCs w:val="20"/>
          <w:vertAlign w:val="superscript"/>
        </w:rPr>
        <w:t>th</w:t>
      </w:r>
      <w:r w:rsidRPr="00E73BA8">
        <w:rPr>
          <w:rFonts w:asciiTheme="minorHAnsi" w:hAnsiTheme="minorHAnsi"/>
          <w:szCs w:val="20"/>
        </w:rPr>
        <w:t xml:space="preserve"> Grade classes in SATAP, totaling 61</w:t>
      </w:r>
      <w:r>
        <w:rPr>
          <w:rFonts w:asciiTheme="minorHAnsi" w:hAnsiTheme="minorHAnsi"/>
          <w:szCs w:val="20"/>
        </w:rPr>
        <w:t>1</w:t>
      </w:r>
      <w:r w:rsidRPr="00E73BA8">
        <w:rPr>
          <w:rFonts w:asciiTheme="minorHAnsi" w:hAnsiTheme="minorHAnsi"/>
          <w:szCs w:val="20"/>
        </w:rPr>
        <w:t xml:space="preserve"> classes. Multiplying this figure by 32 gives 19</w:t>
      </w:r>
      <w:r>
        <w:rPr>
          <w:rFonts w:asciiTheme="minorHAnsi" w:hAnsiTheme="minorHAnsi"/>
          <w:szCs w:val="20"/>
        </w:rPr>
        <w:t>,552</w:t>
      </w:r>
      <w:r w:rsidRPr="00E73BA8">
        <w:rPr>
          <w:rFonts w:asciiTheme="minorHAnsi" w:hAnsiTheme="minorHAnsi"/>
          <w:szCs w:val="20"/>
        </w:rPr>
        <w:t xml:space="preserve"> new places.</w:t>
      </w:r>
    </w:p>
  </w:footnote>
  <w:footnote w:id="8">
    <w:p w:rsidR="00CE29C1" w:rsidRDefault="00CE29C1">
      <w:pPr>
        <w:pStyle w:val="FootnoteText"/>
      </w:pPr>
      <w:r>
        <w:rPr>
          <w:rStyle w:val="FootnoteReference"/>
        </w:rPr>
        <w:footnoteRef/>
      </w:r>
      <w:r>
        <w:t xml:space="preserve"> 268 proposals were received from low GER districts (GER &lt;90%) equivalent to 43% of total proposal submission in 2013 and, from those proposals, only 102 were considered eligible and selected. </w:t>
      </w:r>
    </w:p>
  </w:footnote>
  <w:footnote w:id="9">
    <w:p w:rsidR="00CE29C1" w:rsidRPr="008576B7" w:rsidRDefault="00CE29C1">
      <w:pPr>
        <w:pStyle w:val="FootnoteText"/>
      </w:pPr>
      <w:r>
        <w:rPr>
          <w:rStyle w:val="FootnoteReference"/>
        </w:rPr>
        <w:footnoteRef/>
      </w:r>
      <w:r>
        <w:t xml:space="preserve"> For the </w:t>
      </w:r>
      <w:r>
        <w:rPr>
          <w:rFonts w:asciiTheme="minorHAnsi" w:hAnsiTheme="minorHAnsi" w:cstheme="minorHAnsi"/>
          <w:lang w:val="en-AU"/>
        </w:rPr>
        <w:t>EOPO 1 baseline evaluation study, POM team interviewed 956 households about their decision to send their children to JSE.</w:t>
      </w:r>
      <w:r w:rsidRPr="00CB10AD">
        <w:rPr>
          <w:rFonts w:asciiTheme="minorHAnsi" w:hAnsiTheme="minorHAnsi" w:cstheme="minorHAnsi"/>
          <w:lang w:val="en-AU"/>
        </w:rPr>
        <w:t xml:space="preserve"> </w:t>
      </w:r>
      <w:r>
        <w:rPr>
          <w:rFonts w:asciiTheme="minorHAnsi" w:hAnsiTheme="minorHAnsi" w:cstheme="minorHAnsi"/>
          <w:lang w:val="en-AU"/>
        </w:rPr>
        <w:t xml:space="preserve">From 72 of those households that choose to not send their children to JSE, 54% (39 households) indicated a lack of </w:t>
      </w:r>
      <w:r w:rsidRPr="00CB10AD">
        <w:rPr>
          <w:rFonts w:asciiTheme="minorHAnsi" w:hAnsiTheme="minorHAnsi" w:cstheme="minorHAnsi"/>
          <w:lang w:val="en-AU"/>
        </w:rPr>
        <w:t>perceived comparative advantage</w:t>
      </w:r>
      <w:r>
        <w:rPr>
          <w:rFonts w:asciiTheme="minorHAnsi" w:hAnsiTheme="minorHAnsi" w:cstheme="minorHAnsi"/>
          <w:lang w:val="en-AU"/>
        </w:rPr>
        <w:t xml:space="preserve"> of </w:t>
      </w:r>
      <w:r w:rsidRPr="00CB10AD">
        <w:rPr>
          <w:rFonts w:asciiTheme="minorHAnsi" w:hAnsiTheme="minorHAnsi" w:cstheme="minorHAnsi"/>
          <w:lang w:val="en-AU"/>
        </w:rPr>
        <w:t>JSE education</w:t>
      </w:r>
      <w:r>
        <w:rPr>
          <w:rFonts w:asciiTheme="minorHAnsi" w:hAnsiTheme="minorHAnsi" w:cstheme="minorHAnsi"/>
          <w:lang w:val="en-AU"/>
        </w:rPr>
        <w:t xml:space="preserve"> vis-à-vis </w:t>
      </w:r>
      <w:r w:rsidRPr="00CB10AD">
        <w:rPr>
          <w:rFonts w:asciiTheme="minorHAnsi" w:hAnsiTheme="minorHAnsi" w:cstheme="minorHAnsi"/>
          <w:lang w:val="en-AU"/>
        </w:rPr>
        <w:t>other activities (e.g. work and marr</w:t>
      </w:r>
      <w:r>
        <w:rPr>
          <w:rFonts w:asciiTheme="minorHAnsi" w:hAnsiTheme="minorHAnsi" w:cstheme="minorHAnsi"/>
          <w:lang w:val="en-AU"/>
        </w:rPr>
        <w:t>iage)</w:t>
      </w:r>
      <w:r w:rsidRPr="00CB10AD">
        <w:rPr>
          <w:rFonts w:asciiTheme="minorHAnsi" w:hAnsiTheme="minorHAnsi" w:cstheme="minorHAnsi"/>
          <w:lang w:val="en-AU"/>
        </w:rPr>
        <w:t>.</w:t>
      </w:r>
    </w:p>
  </w:footnote>
  <w:footnote w:id="10">
    <w:p w:rsidR="00CE29C1" w:rsidRPr="00DA1B0C" w:rsidRDefault="00CE29C1">
      <w:pPr>
        <w:pStyle w:val="FootnoteText"/>
        <w:rPr>
          <w:lang w:val="en-AU"/>
        </w:rPr>
      </w:pPr>
      <w:r>
        <w:rPr>
          <w:rStyle w:val="FootnoteReference"/>
        </w:rPr>
        <w:footnoteRef/>
      </w:r>
      <w:r>
        <w:t xml:space="preserve"> </w:t>
      </w:r>
      <w:r>
        <w:rPr>
          <w:lang w:val="en-AU"/>
        </w:rPr>
        <w:t>Based on the revised total number of schools to be built of around 1,400.</w:t>
      </w:r>
    </w:p>
  </w:footnote>
  <w:footnote w:id="11">
    <w:p w:rsidR="00CE29C1" w:rsidRDefault="00CE29C1" w:rsidP="00196F93">
      <w:r>
        <w:rPr>
          <w:rStyle w:val="FootnoteReference"/>
        </w:rPr>
        <w:footnoteRef/>
      </w:r>
      <w:r>
        <w:t xml:space="preserve"> </w:t>
      </w:r>
      <w:r w:rsidRPr="00181F7B">
        <w:rPr>
          <w:sz w:val="20"/>
          <w:szCs w:val="20"/>
        </w:rPr>
        <w:t xml:space="preserve">The number of new places </w:t>
      </w:r>
      <w:r>
        <w:rPr>
          <w:sz w:val="20"/>
          <w:szCs w:val="20"/>
        </w:rPr>
        <w:t xml:space="preserve">made </w:t>
      </w:r>
      <w:r w:rsidRPr="00181F7B">
        <w:rPr>
          <w:sz w:val="20"/>
          <w:szCs w:val="20"/>
        </w:rPr>
        <w:t>available is calculated by multiplying the number of classes from all the three grades (7</w:t>
      </w:r>
      <w:r w:rsidRPr="00181F7B">
        <w:rPr>
          <w:sz w:val="20"/>
          <w:szCs w:val="20"/>
          <w:vertAlign w:val="superscript"/>
        </w:rPr>
        <w:t>th</w:t>
      </w:r>
      <w:r w:rsidRPr="00181F7B">
        <w:rPr>
          <w:sz w:val="20"/>
          <w:szCs w:val="20"/>
        </w:rPr>
        <w:t>, 8</w:t>
      </w:r>
      <w:r w:rsidRPr="00181F7B">
        <w:rPr>
          <w:sz w:val="20"/>
          <w:szCs w:val="20"/>
          <w:vertAlign w:val="superscript"/>
        </w:rPr>
        <w:t>th</w:t>
      </w:r>
      <w:r w:rsidRPr="00181F7B">
        <w:rPr>
          <w:sz w:val="20"/>
          <w:szCs w:val="20"/>
        </w:rPr>
        <w:t>, and 9</w:t>
      </w:r>
      <w:r w:rsidRPr="00181F7B">
        <w:rPr>
          <w:sz w:val="20"/>
          <w:szCs w:val="20"/>
          <w:vertAlign w:val="superscript"/>
        </w:rPr>
        <w:t>th</w:t>
      </w:r>
      <w:r w:rsidRPr="00181F7B">
        <w:rPr>
          <w:sz w:val="20"/>
          <w:szCs w:val="20"/>
        </w:rPr>
        <w:t>) by the maximum number of students allowed by NES (32 students). Thus, 16</w:t>
      </w:r>
      <w:r>
        <w:rPr>
          <w:sz w:val="20"/>
          <w:szCs w:val="20"/>
        </w:rPr>
        <w:t>1</w:t>
      </w:r>
      <w:r w:rsidRPr="00181F7B">
        <w:rPr>
          <w:sz w:val="20"/>
          <w:szCs w:val="20"/>
        </w:rPr>
        <w:t xml:space="preserve"> USBs yield 9</w:t>
      </w:r>
      <w:r>
        <w:rPr>
          <w:sz w:val="20"/>
          <w:szCs w:val="20"/>
        </w:rPr>
        <w:t>66</w:t>
      </w:r>
      <w:r w:rsidRPr="00181F7B">
        <w:rPr>
          <w:sz w:val="20"/>
          <w:szCs w:val="20"/>
        </w:rPr>
        <w:t xml:space="preserve"> classes plus 867 classes in SATAP, totaling 1,83</w:t>
      </w:r>
      <w:r>
        <w:rPr>
          <w:sz w:val="20"/>
          <w:szCs w:val="20"/>
        </w:rPr>
        <w:t>3</w:t>
      </w:r>
      <w:r w:rsidRPr="00181F7B">
        <w:rPr>
          <w:sz w:val="20"/>
          <w:szCs w:val="20"/>
        </w:rPr>
        <w:t xml:space="preserve"> classes. Multiplying this figure by 32 gives 58,</w:t>
      </w:r>
      <w:r>
        <w:rPr>
          <w:sz w:val="20"/>
          <w:szCs w:val="20"/>
        </w:rPr>
        <w:t>656</w:t>
      </w:r>
      <w:r w:rsidRPr="00181F7B">
        <w:rPr>
          <w:sz w:val="20"/>
          <w:szCs w:val="20"/>
        </w:rPr>
        <w:t xml:space="preserve"> new places.</w:t>
      </w:r>
    </w:p>
  </w:footnote>
  <w:footnote w:id="12">
    <w:p w:rsidR="00CE29C1" w:rsidRPr="00DA1B0C" w:rsidRDefault="00CE29C1">
      <w:pPr>
        <w:pStyle w:val="FootnoteText"/>
        <w:rPr>
          <w:lang w:val="en-AU"/>
        </w:rPr>
      </w:pPr>
      <w:r>
        <w:rPr>
          <w:rStyle w:val="FootnoteReference"/>
        </w:rPr>
        <w:footnoteRef/>
      </w:r>
      <w:r>
        <w:t xml:space="preserve"> </w:t>
      </w:r>
      <w:r>
        <w:rPr>
          <w:lang w:val="en-AU"/>
        </w:rPr>
        <w:t xml:space="preserve">EP POM undertook a baseline evaluation study in 2013 related to the achievement of EOPO 1. Endline data will be collected towards the end of the EP at which time a definitive judgement should be possible. </w:t>
      </w:r>
    </w:p>
  </w:footnote>
  <w:footnote w:id="13">
    <w:p w:rsidR="00CE29C1" w:rsidRPr="00E73BA8" w:rsidRDefault="00CE29C1">
      <w:pPr>
        <w:pStyle w:val="FootnoteText"/>
        <w:rPr>
          <w:rFonts w:asciiTheme="minorHAnsi" w:hAnsiTheme="minorHAnsi"/>
          <w:szCs w:val="20"/>
          <w:lang w:val="en-AU"/>
        </w:rPr>
      </w:pPr>
      <w:r w:rsidRPr="00E73BA8">
        <w:rPr>
          <w:rStyle w:val="FootnoteReference"/>
          <w:rFonts w:asciiTheme="minorHAnsi" w:hAnsiTheme="minorHAnsi"/>
          <w:sz w:val="20"/>
          <w:szCs w:val="20"/>
        </w:rPr>
        <w:footnoteRef/>
      </w:r>
      <w:r w:rsidRPr="00E73BA8">
        <w:rPr>
          <w:rFonts w:asciiTheme="minorHAnsi" w:hAnsiTheme="minorHAnsi"/>
          <w:szCs w:val="20"/>
        </w:rPr>
        <w:t xml:space="preserve"> </w:t>
      </w:r>
      <w:r>
        <w:rPr>
          <w:rFonts w:asciiTheme="minorHAnsi" w:hAnsiTheme="minorHAnsi"/>
          <w:szCs w:val="20"/>
        </w:rPr>
        <w:t>The EOPO 1 evaluation baseline analyses a sample of Cycle 1 sites</w:t>
      </w:r>
      <w:r w:rsidRPr="00E73BA8">
        <w:rPr>
          <w:rFonts w:asciiTheme="minorHAnsi" w:hAnsiTheme="minorHAnsi" w:cstheme="minorHAnsi"/>
          <w:szCs w:val="20"/>
        </w:rPr>
        <w:t>.</w:t>
      </w:r>
    </w:p>
  </w:footnote>
  <w:footnote w:id="14">
    <w:p w:rsidR="00CE29C1" w:rsidRPr="00DA1B0C" w:rsidRDefault="00CE29C1" w:rsidP="000649AC">
      <w:pPr>
        <w:pStyle w:val="FootnoteText"/>
        <w:rPr>
          <w:lang w:val="en-AU"/>
        </w:rPr>
      </w:pPr>
      <w:r>
        <w:rPr>
          <w:rStyle w:val="FootnoteReference"/>
        </w:rPr>
        <w:footnoteRef/>
      </w:r>
      <w:r>
        <w:t xml:space="preserve"> The figure of 84,204 students is the enrolment target in the draft Performance Milestone Framework for C1. The calculation assumes that not all the available places created by the construction of new schools will translate into increased enrolment. The figure is calculated using an average of 12 students per class for SATAP and 24 students per class in USB. This figure also take account of the fact that, by June 2016, the Cycle 4 schools will have only just started to operate and will only have 7</w:t>
      </w:r>
      <w:r>
        <w:rPr>
          <w:vertAlign w:val="superscript"/>
        </w:rPr>
        <w:t>th</w:t>
      </w:r>
      <w:r>
        <w:t xml:space="preserve"> grade students enrolled.</w:t>
      </w:r>
    </w:p>
  </w:footnote>
  <w:footnote w:id="15">
    <w:p w:rsidR="00CE29C1" w:rsidRPr="00016D57" w:rsidRDefault="00CE29C1" w:rsidP="00CB43F5">
      <w:pPr>
        <w:pStyle w:val="FootnoteText"/>
        <w:jc w:val="both"/>
      </w:pPr>
      <w:r>
        <w:rPr>
          <w:rStyle w:val="FootnoteReference"/>
        </w:rPr>
        <w:footnoteRef/>
      </w:r>
      <w:r>
        <w:t xml:space="preserve"> See Key Performance Indicator (KPI) 2 from the PAF: “The National System of Professional Development is managed and operationalized effectively.” </w:t>
      </w:r>
    </w:p>
  </w:footnote>
  <w:footnote w:id="16">
    <w:p w:rsidR="00CE29C1" w:rsidRPr="00C83FCE" w:rsidRDefault="00CE29C1" w:rsidP="00C83FCE">
      <w:pPr>
        <w:pStyle w:val="FootnoteText"/>
        <w:spacing w:before="60"/>
        <w:jc w:val="both"/>
        <w:rPr>
          <w:rFonts w:asciiTheme="minorHAnsi" w:hAnsiTheme="minorHAnsi"/>
          <w:szCs w:val="20"/>
        </w:rPr>
      </w:pPr>
      <w:r w:rsidRPr="00C83FCE">
        <w:rPr>
          <w:rStyle w:val="FootnoteReference"/>
          <w:rFonts w:asciiTheme="minorHAnsi" w:hAnsiTheme="minorHAnsi"/>
          <w:szCs w:val="20"/>
        </w:rPr>
        <w:footnoteRef/>
      </w:r>
      <w:r w:rsidRPr="00C83FCE">
        <w:rPr>
          <w:rFonts w:asciiTheme="minorHAnsi" w:hAnsiTheme="minorHAnsi"/>
          <w:szCs w:val="20"/>
        </w:rPr>
        <w:t xml:space="preserve"> To be measured by, </w:t>
      </w:r>
      <w:r w:rsidRPr="00C83FCE">
        <w:rPr>
          <w:rFonts w:asciiTheme="minorHAnsi" w:hAnsiTheme="minorHAnsi"/>
          <w:i/>
          <w:szCs w:val="20"/>
        </w:rPr>
        <w:t>inter alia</w:t>
      </w:r>
      <w:r w:rsidRPr="00C83FCE">
        <w:rPr>
          <w:rFonts w:asciiTheme="minorHAnsi" w:hAnsiTheme="minorHAnsi"/>
          <w:szCs w:val="20"/>
        </w:rPr>
        <w:t>, pre- and post-tests conducted by SSQ.</w:t>
      </w:r>
    </w:p>
  </w:footnote>
  <w:footnote w:id="17">
    <w:p w:rsidR="00CE29C1" w:rsidRPr="003E7329" w:rsidRDefault="00CE29C1" w:rsidP="003E7329">
      <w:pPr>
        <w:pStyle w:val="FootnoteText"/>
        <w:jc w:val="both"/>
        <w:rPr>
          <w:rFonts w:asciiTheme="minorHAnsi" w:hAnsiTheme="minorHAnsi"/>
          <w:szCs w:val="20"/>
        </w:rPr>
      </w:pPr>
      <w:r w:rsidRPr="003E7329">
        <w:rPr>
          <w:rStyle w:val="FootnoteReference"/>
          <w:rFonts w:asciiTheme="minorHAnsi" w:hAnsiTheme="minorHAnsi"/>
          <w:sz w:val="20"/>
          <w:szCs w:val="20"/>
        </w:rPr>
        <w:footnoteRef/>
      </w:r>
      <w:r w:rsidRPr="003E7329">
        <w:rPr>
          <w:rFonts w:asciiTheme="minorHAnsi" w:hAnsiTheme="minorHAnsi"/>
          <w:szCs w:val="20"/>
        </w:rPr>
        <w:t xml:space="preserve"> This includes MoEC Regulation No. 28 / 2010 and </w:t>
      </w:r>
      <w:r w:rsidRPr="003E7329">
        <w:rPr>
          <w:rFonts w:asciiTheme="minorHAnsi" w:hAnsiTheme="minorHAnsi"/>
          <w:i/>
          <w:szCs w:val="20"/>
        </w:rPr>
        <w:t>Juklak</w:t>
      </w:r>
      <w:r w:rsidRPr="003E7329">
        <w:rPr>
          <w:rFonts w:asciiTheme="minorHAnsi" w:hAnsiTheme="minorHAnsi"/>
          <w:szCs w:val="20"/>
        </w:rPr>
        <w:t xml:space="preserve"> for PPCKS, CPD principal/PKB KS/M, PPKSPS and PPKPPD. </w:t>
      </w:r>
    </w:p>
  </w:footnote>
  <w:footnote w:id="18">
    <w:p w:rsidR="00CE29C1" w:rsidRPr="00BB36B2" w:rsidRDefault="00CE29C1">
      <w:pPr>
        <w:pStyle w:val="FootnoteText"/>
        <w:rPr>
          <w:lang w:val="en-AU"/>
        </w:rPr>
      </w:pPr>
      <w:r>
        <w:rPr>
          <w:rStyle w:val="FootnoteReference"/>
        </w:rPr>
        <w:footnoteRef/>
      </w:r>
      <w:r>
        <w:t xml:space="preserve"> Directorate General for Treasury </w:t>
      </w:r>
      <w:r>
        <w:rPr>
          <w:lang w:val="en-AU"/>
        </w:rPr>
        <w:t xml:space="preserve">Regulation No. 49/PB/2013. </w:t>
      </w:r>
    </w:p>
  </w:footnote>
  <w:footnote w:id="19">
    <w:p w:rsidR="00CE29C1" w:rsidRDefault="00CE29C1" w:rsidP="009B2D0E">
      <w:pPr>
        <w:pStyle w:val="FootnoteText"/>
      </w:pPr>
      <w:r>
        <w:rPr>
          <w:rStyle w:val="FootnoteReference"/>
        </w:rPr>
        <w:footnoteRef/>
      </w:r>
      <w:r>
        <w:t xml:space="preserve"> The C2 Updated Design Document states that “this target uses </w:t>
      </w:r>
      <w:r w:rsidRPr="00381FED">
        <w:rPr>
          <w:rFonts w:asciiTheme="minorHAnsi" w:hAnsiTheme="minorHAnsi"/>
          <w:szCs w:val="20"/>
        </w:rPr>
        <w:t xml:space="preserve">the definition for calculation of </w:t>
      </w:r>
      <w:r>
        <w:rPr>
          <w:rFonts w:asciiTheme="minorHAnsi" w:hAnsiTheme="minorHAnsi"/>
          <w:szCs w:val="20"/>
        </w:rPr>
        <w:t xml:space="preserve">CAP-F </w:t>
      </w:r>
      <w:hyperlink r:id="rId1" w:history="1">
        <w:r w:rsidRPr="00381FED">
          <w:rPr>
            <w:rStyle w:val="Hyperlink"/>
            <w:rFonts w:asciiTheme="minorHAnsi" w:hAnsiTheme="minorHAnsi"/>
            <w:sz w:val="20"/>
            <w:szCs w:val="20"/>
          </w:rPr>
          <w:t>Headline Result 11, Number of School Officials Trained</w:t>
        </w:r>
      </w:hyperlink>
      <w:r w:rsidRPr="00381FED">
        <w:rPr>
          <w:rFonts w:asciiTheme="minorHAnsi" w:hAnsiTheme="minorHAnsi"/>
          <w:szCs w:val="20"/>
        </w:rPr>
        <w:t xml:space="preserve"> which takes into account</w:t>
      </w:r>
      <w:r>
        <w:t xml:space="preserve"> some district officials, supervisors and principals will complete multiple training modules over the lifetime of the program”.</w:t>
      </w:r>
    </w:p>
  </w:footnote>
  <w:footnote w:id="20">
    <w:p w:rsidR="00CE29C1" w:rsidRPr="00DA1B0C" w:rsidRDefault="00CE29C1">
      <w:pPr>
        <w:pStyle w:val="FootnoteText"/>
        <w:rPr>
          <w:lang w:val="en-AU"/>
        </w:rPr>
      </w:pPr>
      <w:r>
        <w:rPr>
          <w:rStyle w:val="FootnoteReference"/>
        </w:rPr>
        <w:footnoteRef/>
      </w:r>
      <w:r>
        <w:t xml:space="preserve"> D</w:t>
      </w:r>
      <w:r w:rsidRPr="00F6127C">
        <w:rPr>
          <w:bCs/>
          <w:lang w:val="en-AU"/>
        </w:rPr>
        <w:t>ivided in</w:t>
      </w:r>
      <w:r>
        <w:rPr>
          <w:bCs/>
          <w:lang w:val="en-AU"/>
        </w:rPr>
        <w:t>to</w:t>
      </w:r>
      <w:r w:rsidRPr="00F6127C">
        <w:rPr>
          <w:bCs/>
          <w:lang w:val="en-AU"/>
        </w:rPr>
        <w:t xml:space="preserve"> three phases of support – approximately 500 Madrasah each</w:t>
      </w:r>
      <w:r>
        <w:rPr>
          <w:bCs/>
          <w:lang w:val="en-AU"/>
        </w:rPr>
        <w:t>.</w:t>
      </w:r>
    </w:p>
  </w:footnote>
  <w:footnote w:id="21">
    <w:p w:rsidR="00CE29C1" w:rsidRPr="00AE2800" w:rsidRDefault="00CE29C1" w:rsidP="00814744">
      <w:pPr>
        <w:pStyle w:val="FootnoteText"/>
        <w:rPr>
          <w:lang w:val="en-GB"/>
        </w:rPr>
      </w:pPr>
      <w:r>
        <w:rPr>
          <w:rStyle w:val="FootnoteReference"/>
        </w:rPr>
        <w:footnoteRef/>
      </w:r>
      <w:r>
        <w:t xml:space="preserve"> </w:t>
      </w:r>
      <w:r>
        <w:rPr>
          <w:sz w:val="18"/>
          <w:szCs w:val="18"/>
        </w:rPr>
        <w:t xml:space="preserve">The ESSP Annual Results Report (2013) </w:t>
      </w:r>
      <w:r w:rsidRPr="00132860">
        <w:rPr>
          <w:sz w:val="18"/>
          <w:szCs w:val="18"/>
        </w:rPr>
        <w:t xml:space="preserve">makes the case that the reason for significant numbers of unaccredited madrasah is because of BAN-SM capacity rather than the poor quality of education in madrasah. While this </w:t>
      </w:r>
      <w:r>
        <w:rPr>
          <w:sz w:val="18"/>
          <w:szCs w:val="18"/>
        </w:rPr>
        <w:t>may be part of the story, even i</w:t>
      </w:r>
      <w:r w:rsidRPr="00132860">
        <w:rPr>
          <w:sz w:val="18"/>
          <w:szCs w:val="18"/>
        </w:rPr>
        <w:t xml:space="preserve">f BAN-SM had adequate resources </w:t>
      </w:r>
      <w:r>
        <w:rPr>
          <w:sz w:val="18"/>
          <w:szCs w:val="18"/>
        </w:rPr>
        <w:t>to properly assess</w:t>
      </w:r>
      <w:r w:rsidRPr="00132860">
        <w:rPr>
          <w:sz w:val="18"/>
          <w:szCs w:val="18"/>
        </w:rPr>
        <w:t xml:space="preserve"> all madrasah against the NES it is likely that many of them would not reach minimum accreditation</w:t>
      </w:r>
      <w:r>
        <w:rPr>
          <w:sz w:val="18"/>
          <w:szCs w:val="18"/>
        </w:rPr>
        <w:t xml:space="preserve">. </w:t>
      </w:r>
      <w:r w:rsidRPr="00132860">
        <w:rPr>
          <w:sz w:val="18"/>
          <w:szCs w:val="18"/>
        </w:rPr>
        <w:t xml:space="preserve">Given the lack of accreditation data within MoRA it is difficult to substantiate this </w:t>
      </w:r>
      <w:r>
        <w:rPr>
          <w:sz w:val="18"/>
          <w:szCs w:val="18"/>
        </w:rPr>
        <w:t>position but a</w:t>
      </w:r>
      <w:r w:rsidRPr="00132860">
        <w:rPr>
          <w:sz w:val="18"/>
          <w:szCs w:val="18"/>
        </w:rPr>
        <w:t xml:space="preserve">necdotal evidence from people working in the sector </w:t>
      </w:r>
      <w:r>
        <w:rPr>
          <w:sz w:val="18"/>
          <w:szCs w:val="18"/>
        </w:rPr>
        <w:t>suggest</w:t>
      </w:r>
      <w:r w:rsidRPr="00132860">
        <w:rPr>
          <w:sz w:val="18"/>
          <w:szCs w:val="18"/>
        </w:rPr>
        <w:t xml:space="preserve"> this to be true.</w:t>
      </w:r>
    </w:p>
  </w:footnote>
  <w:footnote w:id="22">
    <w:p w:rsidR="00CE29C1" w:rsidRPr="004F2233" w:rsidRDefault="00CE29C1" w:rsidP="004F2233">
      <w:pPr>
        <w:pStyle w:val="Default"/>
        <w:jc w:val="both"/>
        <w:rPr>
          <w:rFonts w:asciiTheme="minorHAnsi" w:eastAsia="Times New Roman" w:hAnsiTheme="minorHAnsi"/>
          <w:color w:val="auto"/>
          <w:sz w:val="20"/>
          <w:szCs w:val="20"/>
        </w:rPr>
      </w:pPr>
      <w:r w:rsidRPr="004F2233">
        <w:rPr>
          <w:rStyle w:val="FootnoteReference"/>
          <w:rFonts w:asciiTheme="minorHAnsi" w:hAnsiTheme="minorHAnsi"/>
          <w:sz w:val="20"/>
          <w:szCs w:val="20"/>
        </w:rPr>
        <w:footnoteRef/>
      </w:r>
      <w:r w:rsidRPr="004F2233">
        <w:rPr>
          <w:rFonts w:asciiTheme="minorHAnsi" w:hAnsiTheme="minorHAnsi"/>
          <w:sz w:val="20"/>
          <w:szCs w:val="20"/>
        </w:rPr>
        <w:t xml:space="preserve"> </w:t>
      </w:r>
      <w:r>
        <w:rPr>
          <w:rFonts w:asciiTheme="minorHAnsi" w:eastAsia="Times New Roman" w:hAnsiTheme="minorHAnsi"/>
          <w:color w:val="auto"/>
          <w:sz w:val="20"/>
          <w:szCs w:val="20"/>
        </w:rPr>
        <w:t>s</w:t>
      </w:r>
      <w:r w:rsidRPr="004F2233">
        <w:rPr>
          <w:rFonts w:asciiTheme="minorHAnsi" w:eastAsia="Times New Roman" w:hAnsiTheme="minorHAnsi"/>
          <w:color w:val="auto"/>
          <w:sz w:val="20"/>
          <w:szCs w:val="20"/>
        </w:rPr>
        <w:t>ee SSQ Annual Progress Report 2013, p.23</w:t>
      </w:r>
    </w:p>
  </w:footnote>
  <w:footnote w:id="23">
    <w:p w:rsidR="00CE29C1" w:rsidRPr="00F50B90" w:rsidRDefault="00CE29C1" w:rsidP="002A2C82">
      <w:pPr>
        <w:pStyle w:val="FootnoteText"/>
        <w:rPr>
          <w:lang w:val="en-AU"/>
        </w:rPr>
      </w:pPr>
      <w:r>
        <w:rPr>
          <w:rStyle w:val="FootnoteReference"/>
        </w:rPr>
        <w:footnoteRef/>
      </w:r>
      <w:r>
        <w:t xml:space="preserve"> </w:t>
      </w:r>
      <w:r>
        <w:rPr>
          <w:lang w:val="en-AU"/>
        </w:rPr>
        <w:t xml:space="preserve">The Outcome and Goal statements for Component 4 vary a little between those in the EP logic architecture and those in ACDP’s M&amp;E Strategy. Respectively, they are as follows: </w:t>
      </w:r>
      <w:r w:rsidRPr="00F50B90">
        <w:rPr>
          <w:i/>
          <w:lang w:val="en-AU"/>
        </w:rPr>
        <w:t>Participating policy-makers utilise analytical work to inform education sector policy, planning and budgeting</w:t>
      </w:r>
      <w:r>
        <w:rPr>
          <w:lang w:val="en-AU"/>
        </w:rPr>
        <w:t xml:space="preserve"> vs. </w:t>
      </w:r>
      <w:r w:rsidRPr="00F50B90">
        <w:rPr>
          <w:i/>
          <w:lang w:val="en-AU"/>
        </w:rPr>
        <w:t>Contribute to the government's efforts to strengthen the education system and sustain organizational performance improvement over the next 15 years by modernizing the system, improving service empowerment, and enabling better regional and international competitiveness</w:t>
      </w:r>
      <w:r>
        <w:rPr>
          <w:lang w:val="en-AU"/>
        </w:rPr>
        <w:t xml:space="preserve"> (Outcome); </w:t>
      </w:r>
      <w:r w:rsidRPr="00F50B90">
        <w:rPr>
          <w:i/>
          <w:lang w:val="en-AU"/>
        </w:rPr>
        <w:t>Sector governance improves through increased use of evidence for</w:t>
      </w:r>
      <w:r>
        <w:rPr>
          <w:i/>
          <w:lang w:val="en-AU"/>
        </w:rPr>
        <w:t xml:space="preserve"> </w:t>
      </w:r>
      <w:r w:rsidRPr="00F50B90">
        <w:rPr>
          <w:i/>
          <w:lang w:val="en-AU"/>
        </w:rPr>
        <w:t xml:space="preserve">decision making </w:t>
      </w:r>
      <w:r>
        <w:rPr>
          <w:lang w:val="en-AU"/>
        </w:rPr>
        <w:t xml:space="preserve">vs. </w:t>
      </w:r>
      <w:r w:rsidRPr="00F50B90">
        <w:rPr>
          <w:i/>
          <w:lang w:val="en-AU"/>
        </w:rPr>
        <w:t>Contribute to implementing Indonesia's medium-term development policies and strategies for poverty reduction, achieving education for all and education-related Millennium Development Goals, and improving its regional and global economic competitiveness</w:t>
      </w:r>
      <w:r>
        <w:rPr>
          <w:lang w:val="en-AU"/>
        </w:rPr>
        <w:t xml:space="preserve"> (Goal).</w:t>
      </w:r>
    </w:p>
  </w:footnote>
  <w:footnote w:id="24">
    <w:p w:rsidR="00CE29C1" w:rsidRPr="00DA1B0C" w:rsidRDefault="00CE29C1">
      <w:pPr>
        <w:pStyle w:val="FootnoteText"/>
        <w:rPr>
          <w:lang w:val="en-AU"/>
        </w:rPr>
      </w:pPr>
      <w:r>
        <w:rPr>
          <w:rStyle w:val="FootnoteReference"/>
        </w:rPr>
        <w:footnoteRef/>
      </w:r>
      <w:r>
        <w:t xml:space="preserve"> </w:t>
      </w:r>
      <w:r>
        <w:rPr>
          <w:lang w:val="en-AU"/>
        </w:rPr>
        <w:t xml:space="preserve">Each donor provides funding in their own currency and so the total funds available will depend on exchange rate variations. </w:t>
      </w:r>
    </w:p>
  </w:footnote>
  <w:footnote w:id="25">
    <w:p w:rsidR="00CE29C1" w:rsidRPr="004F2233" w:rsidRDefault="00CE29C1" w:rsidP="004F2233">
      <w:pPr>
        <w:pStyle w:val="FootnoteText"/>
        <w:jc w:val="both"/>
        <w:rPr>
          <w:rFonts w:asciiTheme="minorHAnsi" w:hAnsiTheme="minorHAnsi"/>
          <w:szCs w:val="20"/>
          <w:lang w:val="en-AU"/>
        </w:rPr>
      </w:pPr>
      <w:r w:rsidRPr="004F2233">
        <w:rPr>
          <w:rStyle w:val="FootnoteReference"/>
          <w:rFonts w:asciiTheme="minorHAnsi" w:hAnsiTheme="minorHAnsi"/>
          <w:sz w:val="20"/>
          <w:szCs w:val="20"/>
        </w:rPr>
        <w:footnoteRef/>
      </w:r>
      <w:r w:rsidRPr="004F2233">
        <w:rPr>
          <w:rFonts w:asciiTheme="minorHAnsi" w:hAnsiTheme="minorHAnsi"/>
          <w:szCs w:val="20"/>
        </w:rPr>
        <w:t xml:space="preserve"> Alt</w:t>
      </w:r>
      <w:r w:rsidRPr="004F2233">
        <w:rPr>
          <w:rFonts w:asciiTheme="minorHAnsi" w:hAnsiTheme="minorHAnsi"/>
          <w:szCs w:val="20"/>
          <w:lang w:val="en-AU"/>
        </w:rPr>
        <w:t>hough some people will have attended more than one event so the actual number of individuals will be far less.</w:t>
      </w:r>
    </w:p>
  </w:footnote>
  <w:footnote w:id="26">
    <w:p w:rsidR="00CE29C1" w:rsidRPr="00DA1B0C" w:rsidRDefault="00CE29C1">
      <w:pPr>
        <w:pStyle w:val="FootnoteText"/>
        <w:rPr>
          <w:lang w:val="en-AU"/>
        </w:rPr>
      </w:pPr>
      <w:r>
        <w:rPr>
          <w:rStyle w:val="FootnoteReference"/>
        </w:rPr>
        <w:footnoteRef/>
      </w:r>
      <w:r>
        <w:t xml:space="preserve"> </w:t>
      </w:r>
      <w:r>
        <w:rPr>
          <w:lang w:val="en-AU"/>
        </w:rPr>
        <w:t xml:space="preserve">ACDP’s Communication Strategy was released in March 2013. Whilst it makes reference to “policy-makers and other stakeholders” (e.g. p8) it is not immediately apparent if and how it seeks to use intermediaries as a means to stimulate interest and understanding, to influence decision-making, etc. Moreover, its “target audience” is “very wide” (p13); arguably too wide. </w:t>
      </w:r>
    </w:p>
  </w:footnote>
  <w:footnote w:id="27">
    <w:p w:rsidR="00CE29C1" w:rsidRPr="004F2233" w:rsidRDefault="00CE29C1" w:rsidP="004F2233">
      <w:pPr>
        <w:pStyle w:val="FootnoteText"/>
        <w:jc w:val="both"/>
        <w:rPr>
          <w:rFonts w:asciiTheme="minorHAnsi" w:hAnsiTheme="minorHAnsi"/>
          <w:szCs w:val="20"/>
          <w:lang w:val="en-AU"/>
        </w:rPr>
      </w:pPr>
      <w:r w:rsidRPr="004F2233">
        <w:rPr>
          <w:rStyle w:val="FootnoteReference"/>
          <w:rFonts w:asciiTheme="minorHAnsi" w:hAnsiTheme="minorHAnsi"/>
          <w:sz w:val="20"/>
          <w:szCs w:val="20"/>
        </w:rPr>
        <w:footnoteRef/>
      </w:r>
      <w:r w:rsidRPr="004F2233">
        <w:rPr>
          <w:rFonts w:asciiTheme="minorHAnsi" w:hAnsiTheme="minorHAnsi"/>
          <w:szCs w:val="20"/>
        </w:rPr>
        <w:t xml:space="preserve"> </w:t>
      </w:r>
      <w:r w:rsidRPr="004F2233">
        <w:rPr>
          <w:rFonts w:asciiTheme="minorHAnsi" w:hAnsiTheme="minorHAnsi"/>
          <w:szCs w:val="20"/>
          <w:lang w:val="en-AU"/>
        </w:rPr>
        <w:t xml:space="preserve">ACDP reports that the typical lifetime of an activity is 4-12 months (see ACDP Six Monthly Progress Report, End 2012, January 2013). </w:t>
      </w:r>
    </w:p>
  </w:footnote>
  <w:footnote w:id="28">
    <w:p w:rsidR="00CE29C1" w:rsidRPr="004F2233" w:rsidRDefault="00CE29C1" w:rsidP="004F2233">
      <w:pPr>
        <w:pStyle w:val="FootnoteText"/>
        <w:jc w:val="both"/>
        <w:rPr>
          <w:rFonts w:asciiTheme="minorHAnsi" w:hAnsiTheme="minorHAnsi"/>
          <w:szCs w:val="20"/>
          <w:lang w:val="en-AU"/>
        </w:rPr>
      </w:pPr>
      <w:r w:rsidRPr="004F2233">
        <w:rPr>
          <w:rStyle w:val="FootnoteReference"/>
          <w:rFonts w:asciiTheme="minorHAnsi" w:hAnsiTheme="minorHAnsi"/>
          <w:sz w:val="20"/>
          <w:szCs w:val="20"/>
        </w:rPr>
        <w:footnoteRef/>
      </w:r>
      <w:r w:rsidRPr="004F2233">
        <w:rPr>
          <w:rFonts w:asciiTheme="minorHAnsi" w:hAnsiTheme="minorHAnsi"/>
          <w:szCs w:val="20"/>
        </w:rPr>
        <w:t xml:space="preserve"> </w:t>
      </w:r>
      <w:r w:rsidRPr="004F2233">
        <w:rPr>
          <w:rFonts w:asciiTheme="minorHAnsi" w:hAnsiTheme="minorHAnsi"/>
          <w:szCs w:val="20"/>
          <w:lang w:val="en-AU"/>
        </w:rPr>
        <w:t>ACDP reports that the poor performance and/or replacement of study team leaders and other key consultants on several occasions (e.g. ACDP 003, 004, 011, 015) and that key deliverables have been submitted later than originally expected on a number of occasions (e.g. ACDP 001, 003, 004, 007, 008, 010, 015). Difficulties between consortia partners have also been described on occasion (e.g. ACDP 011) (see ACDP Six Monthly Progress Report, Mid 2013, July 2013</w:t>
      </w:r>
      <w:r>
        <w:rPr>
          <w:rFonts w:asciiTheme="minorHAnsi" w:hAnsiTheme="minorHAnsi"/>
          <w:szCs w:val="20"/>
          <w:lang w:val="en-AU"/>
        </w:rPr>
        <w:t xml:space="preserve"> and </w:t>
      </w:r>
      <w:r w:rsidRPr="004F2233">
        <w:rPr>
          <w:rFonts w:asciiTheme="minorHAnsi" w:hAnsiTheme="minorHAnsi"/>
          <w:szCs w:val="20"/>
          <w:lang w:val="en-AU"/>
        </w:rPr>
        <w:t>ACDP Six Monthly Progress Report, End 2012, January 2013</w:t>
      </w:r>
      <w:r>
        <w:rPr>
          <w:rFonts w:asciiTheme="minorHAnsi" w:hAnsiTheme="minorHAnsi"/>
          <w:szCs w:val="20"/>
          <w:lang w:val="en-AU"/>
        </w:rPr>
        <w:t>)</w:t>
      </w:r>
      <w:r w:rsidRPr="004F2233">
        <w:rPr>
          <w:rFonts w:asciiTheme="minorHAnsi" w:hAnsiTheme="minorHAnsi"/>
          <w:szCs w:val="20"/>
          <w:lang w:val="en-AU"/>
        </w:rPr>
        <w:t>.</w:t>
      </w:r>
    </w:p>
  </w:footnote>
  <w:footnote w:id="29">
    <w:p w:rsidR="00CE29C1" w:rsidRPr="00DA1B0C" w:rsidRDefault="00CE29C1">
      <w:pPr>
        <w:pStyle w:val="FootnoteText"/>
        <w:rPr>
          <w:lang w:val="en-AU"/>
        </w:rPr>
      </w:pPr>
      <w:r>
        <w:rPr>
          <w:rStyle w:val="FootnoteReference"/>
        </w:rPr>
        <w:footnoteRef/>
      </w:r>
      <w:r>
        <w:t xml:space="preserve"> </w:t>
      </w:r>
      <w:r>
        <w:rPr>
          <w:lang w:val="en-AU"/>
        </w:rPr>
        <w:t>i.e. the benefits that an institution offers its clients in the delivery of</w:t>
      </w:r>
      <w:r w:rsidRPr="0017797D">
        <w:rPr>
          <w:lang w:val="en-AU"/>
        </w:rPr>
        <w:t xml:space="preserve"> product</w:t>
      </w:r>
      <w:r>
        <w:rPr>
          <w:lang w:val="en-AU"/>
        </w:rPr>
        <w:t>s</w:t>
      </w:r>
      <w:r w:rsidRPr="0017797D">
        <w:rPr>
          <w:lang w:val="en-AU"/>
        </w:rPr>
        <w:t xml:space="preserve"> or service</w:t>
      </w:r>
      <w:r>
        <w:rPr>
          <w:lang w:val="en-AU"/>
        </w:rPr>
        <w:t xml:space="preserve">s, </w:t>
      </w:r>
      <w:r w:rsidRPr="0017797D">
        <w:rPr>
          <w:lang w:val="en-AU"/>
        </w:rPr>
        <w:t>especially by bein</w:t>
      </w:r>
      <w:r>
        <w:rPr>
          <w:lang w:val="en-AU"/>
        </w:rPr>
        <w:t>g different to or better than existing products or services in ‘the market place’.</w:t>
      </w:r>
    </w:p>
  </w:footnote>
  <w:footnote w:id="30">
    <w:p w:rsidR="00CE29C1" w:rsidRPr="004F2233" w:rsidRDefault="00CE29C1" w:rsidP="004F2233">
      <w:pPr>
        <w:pStyle w:val="FootnoteText"/>
        <w:jc w:val="both"/>
        <w:rPr>
          <w:rFonts w:asciiTheme="minorHAnsi" w:hAnsiTheme="minorHAnsi"/>
          <w:szCs w:val="20"/>
          <w:lang w:val="en-AU"/>
        </w:rPr>
      </w:pPr>
      <w:r w:rsidRPr="004F2233">
        <w:rPr>
          <w:rStyle w:val="FootnoteReference"/>
          <w:rFonts w:asciiTheme="minorHAnsi" w:hAnsiTheme="minorHAnsi"/>
          <w:color w:val="000000" w:themeColor="text1"/>
          <w:sz w:val="20"/>
          <w:szCs w:val="20"/>
        </w:rPr>
        <w:footnoteRef/>
      </w:r>
      <w:r w:rsidRPr="004F2233">
        <w:rPr>
          <w:rFonts w:asciiTheme="minorHAnsi" w:hAnsiTheme="minorHAnsi"/>
          <w:color w:val="000000" w:themeColor="text1"/>
          <w:szCs w:val="20"/>
        </w:rPr>
        <w:t xml:space="preserve"> </w:t>
      </w:r>
      <w:r w:rsidRPr="004F2233">
        <w:rPr>
          <w:rFonts w:asciiTheme="minorHAnsi" w:hAnsiTheme="minorHAnsi"/>
          <w:color w:val="000000" w:themeColor="text1"/>
          <w:szCs w:val="20"/>
          <w:lang w:val="en-AU"/>
        </w:rPr>
        <w:t xml:space="preserve">The outcome section of ACDP’s M&amp;E Strategy makes reference to four indicators, including “Number of ACDP outputs disseminated/ discussed at senior policy-making level (echelon 1+)” and “number of ACDP outputs </w:t>
      </w:r>
      <w:r>
        <w:rPr>
          <w:rFonts w:asciiTheme="minorHAnsi" w:hAnsiTheme="minorHAnsi"/>
          <w:color w:val="000000" w:themeColor="text1"/>
          <w:szCs w:val="20"/>
          <w:lang w:val="en-AU"/>
        </w:rPr>
        <w:t>used to inform the development/</w:t>
      </w:r>
      <w:r w:rsidRPr="004F2233">
        <w:rPr>
          <w:rFonts w:asciiTheme="minorHAnsi" w:hAnsiTheme="minorHAnsi"/>
          <w:color w:val="000000" w:themeColor="text1"/>
          <w:szCs w:val="20"/>
          <w:lang w:val="en-AU"/>
        </w:rPr>
        <w:t>revision of policies, regulations etc., organizational reforms, information and communication system” (</w:t>
      </w:r>
      <w:r w:rsidRPr="004F2233">
        <w:rPr>
          <w:rFonts w:asciiTheme="minorHAnsi" w:hAnsiTheme="minorHAnsi"/>
          <w:color w:val="000000" w:themeColor="text1"/>
          <w:szCs w:val="20"/>
        </w:rPr>
        <w:t>ACDP Monitoring and Evaluation Strategy, Revised Version, December 2012).</w:t>
      </w:r>
    </w:p>
  </w:footnote>
  <w:footnote w:id="31">
    <w:p w:rsidR="00CE29C1" w:rsidRPr="004F2233" w:rsidRDefault="00CE29C1" w:rsidP="004F2233">
      <w:pPr>
        <w:pStyle w:val="FootnoteText"/>
        <w:jc w:val="both"/>
        <w:rPr>
          <w:rFonts w:asciiTheme="minorHAnsi" w:hAnsiTheme="minorHAnsi"/>
          <w:szCs w:val="20"/>
          <w:lang w:val="en-AU"/>
        </w:rPr>
      </w:pPr>
      <w:r w:rsidRPr="004F2233">
        <w:rPr>
          <w:rStyle w:val="FootnoteReference"/>
          <w:rFonts w:asciiTheme="minorHAnsi" w:hAnsiTheme="minorHAnsi"/>
          <w:sz w:val="20"/>
          <w:szCs w:val="20"/>
        </w:rPr>
        <w:footnoteRef/>
      </w:r>
      <w:r w:rsidRPr="004F2233">
        <w:rPr>
          <w:rFonts w:asciiTheme="minorHAnsi" w:hAnsiTheme="minorHAnsi"/>
          <w:szCs w:val="20"/>
        </w:rPr>
        <w:t xml:space="preserve"> </w:t>
      </w:r>
      <w:r w:rsidRPr="004F2233">
        <w:rPr>
          <w:rFonts w:asciiTheme="minorHAnsi" w:hAnsiTheme="minorHAnsi"/>
          <w:szCs w:val="20"/>
          <w:lang w:val="en-AU"/>
        </w:rPr>
        <w:t>“Participating policy-makers utilise analytical work to inform education sector policy, planning and budgeting”</w:t>
      </w:r>
      <w:r>
        <w:rPr>
          <w:rFonts w:asciiTheme="minorHAnsi" w:hAnsiTheme="minorHAnsi"/>
          <w:szCs w:val="20"/>
          <w:lang w:val="en-AU"/>
        </w:rPr>
        <w:t>.</w:t>
      </w:r>
    </w:p>
  </w:footnote>
  <w:footnote w:id="32">
    <w:p w:rsidR="00CE29C1" w:rsidRPr="00D80C4B" w:rsidRDefault="00CE29C1" w:rsidP="00D80C4B">
      <w:pPr>
        <w:pStyle w:val="FootnoteText"/>
        <w:jc w:val="both"/>
        <w:rPr>
          <w:rFonts w:asciiTheme="minorHAnsi" w:hAnsiTheme="minorHAnsi"/>
          <w:szCs w:val="20"/>
          <w:lang w:val="en-AU"/>
        </w:rPr>
      </w:pPr>
      <w:r w:rsidRPr="00D80C4B">
        <w:rPr>
          <w:rStyle w:val="FootnoteReference"/>
          <w:rFonts w:asciiTheme="minorHAnsi" w:hAnsiTheme="minorHAnsi"/>
          <w:sz w:val="20"/>
          <w:szCs w:val="20"/>
        </w:rPr>
        <w:footnoteRef/>
      </w:r>
      <w:r w:rsidRPr="00D80C4B">
        <w:rPr>
          <w:rFonts w:asciiTheme="minorHAnsi" w:hAnsiTheme="minorHAnsi"/>
          <w:szCs w:val="20"/>
        </w:rPr>
        <w:t xml:space="preserve"> </w:t>
      </w:r>
      <w:r w:rsidRPr="00D80C4B">
        <w:rPr>
          <w:rFonts w:asciiTheme="minorHAnsi" w:hAnsiTheme="minorHAnsi"/>
          <w:szCs w:val="20"/>
          <w:lang w:val="en-AU"/>
        </w:rPr>
        <w:t>DFAT and ACDP recognise that the scope to have meaningful engagement and influence at sub-national level may be greater, and ACDP’s work in Papua (ACDP 039), for example, offers important learning opportunities for DFAT and its upcoming delivery strategy and investments.</w:t>
      </w:r>
    </w:p>
  </w:footnote>
  <w:footnote w:id="33">
    <w:p w:rsidR="00CE29C1" w:rsidRPr="00D80C4B" w:rsidRDefault="00CE29C1" w:rsidP="00D80C4B">
      <w:pPr>
        <w:pStyle w:val="FootnoteText"/>
        <w:jc w:val="both"/>
        <w:rPr>
          <w:rFonts w:asciiTheme="minorHAnsi" w:hAnsiTheme="minorHAnsi"/>
          <w:szCs w:val="20"/>
          <w:lang w:val="en-AU"/>
        </w:rPr>
      </w:pPr>
      <w:r w:rsidRPr="00D80C4B">
        <w:rPr>
          <w:rStyle w:val="FootnoteReference"/>
          <w:rFonts w:asciiTheme="minorHAnsi" w:hAnsiTheme="minorHAnsi"/>
          <w:sz w:val="20"/>
          <w:szCs w:val="20"/>
        </w:rPr>
        <w:footnoteRef/>
      </w:r>
      <w:r w:rsidRPr="00D80C4B">
        <w:rPr>
          <w:rFonts w:asciiTheme="minorHAnsi" w:hAnsiTheme="minorHAnsi"/>
          <w:szCs w:val="20"/>
        </w:rPr>
        <w:t xml:space="preserve"> </w:t>
      </w:r>
      <w:r w:rsidRPr="00D80C4B">
        <w:rPr>
          <w:rFonts w:asciiTheme="minorHAnsi" w:hAnsiTheme="minorHAnsi"/>
          <w:szCs w:val="20"/>
          <w:lang w:val="en-AU"/>
        </w:rPr>
        <w:t>Whilst ACDP’s frequent engagement with GoI officials is known, the quality of the engagement is unknown to POM.</w:t>
      </w:r>
    </w:p>
  </w:footnote>
  <w:footnote w:id="34">
    <w:p w:rsidR="00CE29C1" w:rsidRPr="00D80C4B" w:rsidRDefault="00CE29C1" w:rsidP="00D80C4B">
      <w:pPr>
        <w:pStyle w:val="FootnoteText"/>
        <w:jc w:val="both"/>
        <w:rPr>
          <w:rFonts w:asciiTheme="minorHAnsi" w:hAnsiTheme="minorHAnsi"/>
          <w:szCs w:val="20"/>
          <w:lang w:val="en-AU"/>
        </w:rPr>
      </w:pPr>
      <w:r w:rsidRPr="00D80C4B">
        <w:rPr>
          <w:rStyle w:val="FootnoteReference"/>
          <w:rFonts w:asciiTheme="minorHAnsi" w:hAnsiTheme="minorHAnsi"/>
          <w:sz w:val="20"/>
          <w:szCs w:val="20"/>
        </w:rPr>
        <w:footnoteRef/>
      </w:r>
      <w:r w:rsidRPr="00D80C4B">
        <w:rPr>
          <w:rFonts w:asciiTheme="minorHAnsi" w:hAnsiTheme="minorHAnsi"/>
          <w:szCs w:val="20"/>
        </w:rPr>
        <w:t xml:space="preserve"> </w:t>
      </w:r>
      <w:r w:rsidRPr="00D80C4B">
        <w:rPr>
          <w:rFonts w:asciiTheme="minorHAnsi" w:hAnsiTheme="minorHAnsi"/>
          <w:szCs w:val="20"/>
          <w:lang w:val="en-AU"/>
        </w:rPr>
        <w:t xml:space="preserve">For example, the Team Leader of ACDP 007 now leads SSQ Component 2 of the EP and this has led to positive dialogue about ACDP’s involvement in better understanding the likely results of the EP investment in PPP. </w:t>
      </w:r>
    </w:p>
  </w:footnote>
  <w:footnote w:id="35">
    <w:p w:rsidR="00CE29C1" w:rsidRPr="00D80C4B" w:rsidRDefault="00CE29C1" w:rsidP="002219F1">
      <w:pPr>
        <w:pStyle w:val="FootnoteText"/>
        <w:jc w:val="both"/>
      </w:pPr>
      <w:r w:rsidRPr="00D80C4B">
        <w:rPr>
          <w:rStyle w:val="FootnoteReference"/>
          <w:rFonts w:asciiTheme="minorHAnsi" w:hAnsiTheme="minorHAnsi"/>
          <w:szCs w:val="20"/>
        </w:rPr>
        <w:footnoteRef/>
      </w:r>
      <w:r w:rsidRPr="00D80C4B">
        <w:t xml:space="preserve"> For example, a twin-track approach of system-wide interventions to benefit all, plus targeted interventions that address the particular needs of specific groups.</w:t>
      </w:r>
    </w:p>
  </w:footnote>
  <w:footnote w:id="36">
    <w:p w:rsidR="00CE29C1" w:rsidRDefault="00CE29C1" w:rsidP="002219F1">
      <w:pPr>
        <w:pStyle w:val="FootnoteText"/>
      </w:pPr>
      <w:r>
        <w:rPr>
          <w:rStyle w:val="FootnoteReference"/>
        </w:rPr>
        <w:footnoteRef/>
      </w:r>
      <w:r>
        <w:t xml:space="preserve"> For example,</w:t>
      </w:r>
      <w:r w:rsidRPr="00EE4A5A">
        <w:t xml:space="preserve"> in terms of which socio-economic groups are securing places at newly constructed schools (and despite the evidence that the poorest quintiles are most likely to drop out of junior secondary schooling).</w:t>
      </w:r>
    </w:p>
  </w:footnote>
  <w:footnote w:id="37">
    <w:p w:rsidR="00CE29C1" w:rsidRDefault="00CE29C1" w:rsidP="002219F1">
      <w:pPr>
        <w:pStyle w:val="FootnoteText"/>
      </w:pPr>
      <w:r>
        <w:rPr>
          <w:rStyle w:val="FootnoteReference"/>
        </w:rPr>
        <w:footnoteRef/>
      </w:r>
      <w:r>
        <w:t xml:space="preserve"> This proportion increases to 76.6% for Phase 2 (see SSQ Annual Progress Report 2013, p.27)</w:t>
      </w:r>
    </w:p>
  </w:footnote>
  <w:footnote w:id="38">
    <w:p w:rsidR="00CE29C1" w:rsidRPr="00273679" w:rsidRDefault="00CE29C1" w:rsidP="00F6127C">
      <w:pPr>
        <w:pStyle w:val="FootnoteText"/>
        <w:jc w:val="both"/>
        <w:rPr>
          <w:lang w:val="en-AU"/>
        </w:rPr>
      </w:pPr>
      <w:r>
        <w:rPr>
          <w:rStyle w:val="FootnoteReference"/>
        </w:rPr>
        <w:footnoteRef/>
      </w:r>
      <w:r>
        <w:t xml:space="preserve"> </w:t>
      </w:r>
      <w:r>
        <w:rPr>
          <w:lang w:val="en-AU"/>
        </w:rPr>
        <w:t>Infrastructure Technical Oversight Group (C1); Staff Development Technical Oversight Group (C2); Islamic School Accreditation Technical Oversight Group (C3); and the Analytical and Capacity Development Technical Oversight Group (C4).</w:t>
      </w:r>
    </w:p>
  </w:footnote>
  <w:footnote w:id="39">
    <w:p w:rsidR="00CE29C1" w:rsidRPr="00D80C4B" w:rsidRDefault="00CE29C1" w:rsidP="00E91B37">
      <w:pPr>
        <w:pStyle w:val="FootnoteText"/>
        <w:jc w:val="both"/>
        <w:rPr>
          <w:rFonts w:asciiTheme="minorHAnsi" w:hAnsiTheme="minorHAnsi"/>
          <w:szCs w:val="20"/>
          <w:lang w:val="en-AU"/>
        </w:rPr>
      </w:pPr>
      <w:r w:rsidRPr="00D80C4B">
        <w:rPr>
          <w:rStyle w:val="FootnoteReference"/>
          <w:rFonts w:asciiTheme="minorHAnsi" w:hAnsiTheme="minorHAnsi"/>
          <w:sz w:val="20"/>
          <w:szCs w:val="20"/>
        </w:rPr>
        <w:footnoteRef/>
      </w:r>
      <w:r w:rsidRPr="00D80C4B">
        <w:rPr>
          <w:rFonts w:asciiTheme="minorHAnsi" w:hAnsiTheme="minorHAnsi"/>
          <w:szCs w:val="20"/>
        </w:rPr>
        <w:t xml:space="preserve"> </w:t>
      </w:r>
      <w:r w:rsidRPr="00D80C4B">
        <w:rPr>
          <w:rFonts w:asciiTheme="minorHAnsi" w:hAnsiTheme="minorHAnsi"/>
          <w:szCs w:val="20"/>
          <w:lang w:val="en-AU"/>
        </w:rPr>
        <w:t>Vertical, e.g. between the GOG and the TOGs, the TOGs and the managers (e.g. DFAT), and the managers and the implementing</w:t>
      </w:r>
      <w:r>
        <w:rPr>
          <w:rFonts w:asciiTheme="minorHAnsi" w:hAnsiTheme="minorHAnsi"/>
          <w:szCs w:val="20"/>
          <w:lang w:val="en-AU"/>
        </w:rPr>
        <w:t xml:space="preserve"> partners (e.g. SSQ, ACDP, GoI);</w:t>
      </w:r>
      <w:r w:rsidRPr="00D80C4B">
        <w:rPr>
          <w:rFonts w:asciiTheme="minorHAnsi" w:hAnsiTheme="minorHAnsi"/>
          <w:szCs w:val="20"/>
          <w:lang w:val="en-AU"/>
        </w:rPr>
        <w:t xml:space="preserve"> Horizontal, i.e. between the Governments of Australia and Indonesia. </w:t>
      </w:r>
    </w:p>
  </w:footnote>
  <w:footnote w:id="40">
    <w:p w:rsidR="00CE29C1" w:rsidRPr="007D1639" w:rsidRDefault="00CE29C1" w:rsidP="00D80C4B">
      <w:pPr>
        <w:jc w:val="both"/>
        <w:rPr>
          <w:rFonts w:asciiTheme="minorHAnsi" w:hAnsiTheme="minorHAnsi"/>
          <w:szCs w:val="20"/>
          <w:lang w:val="en-AU"/>
        </w:rPr>
      </w:pPr>
      <w:r w:rsidRPr="007D1639">
        <w:rPr>
          <w:rStyle w:val="FootnoteReference"/>
          <w:rFonts w:asciiTheme="minorHAnsi" w:hAnsiTheme="minorHAnsi"/>
          <w:sz w:val="20"/>
          <w:szCs w:val="20"/>
        </w:rPr>
        <w:footnoteRef/>
      </w:r>
      <w:r w:rsidRPr="007D1639">
        <w:rPr>
          <w:rFonts w:asciiTheme="minorHAnsi" w:hAnsiTheme="minorHAnsi"/>
          <w:sz w:val="20"/>
          <w:szCs w:val="20"/>
        </w:rPr>
        <w:t xml:space="preserve"> One GOG meeting was held</w:t>
      </w:r>
      <w:r>
        <w:rPr>
          <w:rFonts w:asciiTheme="minorHAnsi" w:hAnsiTheme="minorHAnsi"/>
          <w:sz w:val="20"/>
          <w:szCs w:val="20"/>
        </w:rPr>
        <w:t xml:space="preserve"> </w:t>
      </w:r>
      <w:r w:rsidRPr="007D1639">
        <w:rPr>
          <w:rFonts w:asciiTheme="minorHAnsi" w:hAnsiTheme="minorHAnsi"/>
          <w:sz w:val="20"/>
          <w:szCs w:val="20"/>
        </w:rPr>
        <w:t xml:space="preserve">on </w:t>
      </w:r>
      <w:r w:rsidRPr="007D1639">
        <w:rPr>
          <w:rFonts w:asciiTheme="minorHAnsi" w:hAnsiTheme="minorHAnsi"/>
          <w:sz w:val="20"/>
          <w:szCs w:val="20"/>
          <w:lang w:val="en-AU"/>
        </w:rPr>
        <w:t>7 February 2013.</w:t>
      </w:r>
    </w:p>
  </w:footnote>
  <w:footnote w:id="41">
    <w:p w:rsidR="00CE29C1" w:rsidRPr="00BD5B54" w:rsidRDefault="00CE29C1" w:rsidP="00D80C4B">
      <w:pPr>
        <w:jc w:val="both"/>
        <w:rPr>
          <w:rFonts w:asciiTheme="minorHAnsi" w:hAnsiTheme="minorHAnsi"/>
          <w:sz w:val="20"/>
          <w:szCs w:val="20"/>
          <w:lang w:val="en-AU"/>
        </w:rPr>
      </w:pPr>
      <w:r w:rsidRPr="007D1639">
        <w:rPr>
          <w:rStyle w:val="FootnoteReference"/>
          <w:rFonts w:asciiTheme="minorHAnsi" w:hAnsiTheme="minorHAnsi"/>
          <w:sz w:val="20"/>
          <w:szCs w:val="20"/>
        </w:rPr>
        <w:footnoteRef/>
      </w:r>
      <w:r w:rsidRPr="007D1639">
        <w:rPr>
          <w:rFonts w:asciiTheme="minorHAnsi" w:hAnsiTheme="minorHAnsi"/>
          <w:sz w:val="20"/>
          <w:szCs w:val="20"/>
        </w:rPr>
        <w:t xml:space="preserve"> </w:t>
      </w:r>
      <w:r w:rsidRPr="00BD5B54">
        <w:rPr>
          <w:rFonts w:asciiTheme="minorHAnsi" w:hAnsiTheme="minorHAnsi"/>
          <w:sz w:val="20"/>
          <w:szCs w:val="20"/>
        </w:rPr>
        <w:t xml:space="preserve">No </w:t>
      </w:r>
      <w:r w:rsidRPr="00BD5B54">
        <w:rPr>
          <w:rFonts w:asciiTheme="minorHAnsi" w:hAnsiTheme="minorHAnsi"/>
          <w:sz w:val="20"/>
          <w:szCs w:val="20"/>
          <w:lang w:val="en-AU"/>
        </w:rPr>
        <w:t xml:space="preserve">ITOG meetings were held; two SDTOG meetings were held on </w:t>
      </w:r>
      <w:r w:rsidRPr="00BD5B54">
        <w:rPr>
          <w:sz w:val="20"/>
          <w:szCs w:val="20"/>
          <w:lang w:val="en-AU"/>
        </w:rPr>
        <w:t>21 March 2013 and 27 September 2013</w:t>
      </w:r>
      <w:r w:rsidRPr="00BD5B54">
        <w:rPr>
          <w:rFonts w:asciiTheme="minorHAnsi" w:hAnsiTheme="minorHAnsi"/>
          <w:sz w:val="20"/>
          <w:szCs w:val="20"/>
          <w:lang w:val="en-AU"/>
        </w:rPr>
        <w:t>; one MTOG meeting was held on 5 September 2013; and three ATOG meetings were held on 5 February 2013, 25 March 2013 and 4 December 2013.</w:t>
      </w:r>
    </w:p>
    <w:p w:rsidR="00CE29C1" w:rsidRPr="007D1639" w:rsidRDefault="00CE29C1" w:rsidP="00F6127C">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Pr="00CB4A84" w:rsidRDefault="00CE29C1" w:rsidP="00D06F80">
    <w:pPr>
      <w:rPr>
        <w:rFonts w:asciiTheme="minorHAnsi" w:hAnsiTheme="minorHAnsi" w:cstheme="minorHAnsi"/>
      </w:rPr>
    </w:pPr>
    <w:r w:rsidRPr="00F0409A">
      <w:rPr>
        <w:noProof/>
        <w:lang w:val="en-AU" w:eastAsia="en-AU"/>
      </w:rPr>
      <w:drawing>
        <wp:anchor distT="0" distB="0" distL="114300" distR="114300" simplePos="0" relativeHeight="251673600" behindDoc="1" locked="0" layoutInCell="1" allowOverlap="1" wp14:anchorId="03B6DCB3" wp14:editId="193D61CC">
          <wp:simplePos x="0" y="0"/>
          <wp:positionH relativeFrom="rightMargin">
            <wp:posOffset>-6219825</wp:posOffset>
          </wp:positionH>
          <wp:positionV relativeFrom="paragraph">
            <wp:posOffset>12700</wp:posOffset>
          </wp:positionV>
          <wp:extent cx="7379208" cy="475488"/>
          <wp:effectExtent l="0" t="0" r="0" b="1270"/>
          <wp:wrapNone/>
          <wp:docPr id="2561" name="Picture 256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208"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rsidP="00D06F80">
    <w:pPr>
      <w:pStyle w:val="Header"/>
      <w:tabs>
        <w:tab w:val="left" w:pos="868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rsidP="00D06F80">
    <w:pPr>
      <w:pStyle w:val="Header"/>
      <w:tabs>
        <w:tab w:val="left" w:pos="868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33" w:rsidRDefault="006616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61312" behindDoc="1" locked="0" layoutInCell="1" allowOverlap="1" wp14:anchorId="54D26C60" wp14:editId="27948887">
          <wp:simplePos x="0" y="0"/>
          <wp:positionH relativeFrom="page">
            <wp:align>right</wp:align>
          </wp:positionH>
          <wp:positionV relativeFrom="paragraph">
            <wp:posOffset>303575</wp:posOffset>
          </wp:positionV>
          <wp:extent cx="7571232" cy="475488"/>
          <wp:effectExtent l="0" t="0" r="0" b="1270"/>
          <wp:wrapNone/>
          <wp:docPr id="18" name="Picture 18"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63360" behindDoc="1" locked="0" layoutInCell="1" allowOverlap="1" wp14:anchorId="08465ADE" wp14:editId="0E18B67E">
          <wp:simplePos x="0" y="0"/>
          <wp:positionH relativeFrom="page">
            <wp:align>right</wp:align>
          </wp:positionH>
          <wp:positionV relativeFrom="paragraph">
            <wp:posOffset>303575</wp:posOffset>
          </wp:positionV>
          <wp:extent cx="7571232" cy="475488"/>
          <wp:effectExtent l="0" t="0" r="0" b="1270"/>
          <wp:wrapNone/>
          <wp:docPr id="20" name="Picture 2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67456" behindDoc="1" locked="0" layoutInCell="1" allowOverlap="1" wp14:anchorId="3806E3C2" wp14:editId="7B5C50A8">
          <wp:simplePos x="0" y="0"/>
          <wp:positionH relativeFrom="page">
            <wp:align>right</wp:align>
          </wp:positionH>
          <wp:positionV relativeFrom="paragraph">
            <wp:posOffset>303575</wp:posOffset>
          </wp:positionV>
          <wp:extent cx="7571232" cy="475488"/>
          <wp:effectExtent l="0" t="0" r="0" b="1270"/>
          <wp:wrapNone/>
          <wp:docPr id="21" name="Picture 2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65408" behindDoc="1" locked="0" layoutInCell="1" allowOverlap="1" wp14:anchorId="1F8F2C4D" wp14:editId="52A355C5">
          <wp:simplePos x="0" y="0"/>
          <wp:positionH relativeFrom="page">
            <wp:align>right</wp:align>
          </wp:positionH>
          <wp:positionV relativeFrom="paragraph">
            <wp:posOffset>303575</wp:posOffset>
          </wp:positionV>
          <wp:extent cx="7571232" cy="475488"/>
          <wp:effectExtent l="0" t="0" r="0" b="1270"/>
          <wp:wrapNone/>
          <wp:docPr id="22" name="Picture 2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69504" behindDoc="1" locked="0" layoutInCell="1" allowOverlap="1" wp14:anchorId="44FE61B1" wp14:editId="6DF69CB0">
          <wp:simplePos x="0" y="0"/>
          <wp:positionH relativeFrom="page">
            <wp:align>right</wp:align>
          </wp:positionH>
          <wp:positionV relativeFrom="paragraph">
            <wp:posOffset>303575</wp:posOffset>
          </wp:positionV>
          <wp:extent cx="7571232" cy="475488"/>
          <wp:effectExtent l="0" t="0" r="0" b="1270"/>
          <wp:wrapNone/>
          <wp:docPr id="23" name="Picture 23"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9C1" w:rsidRDefault="00CE29C1">
    <w:pPr>
      <w:pStyle w:val="Header"/>
    </w:pPr>
    <w:r w:rsidRPr="00F0409A">
      <w:rPr>
        <w:i/>
        <w:noProof/>
        <w:color w:val="595959" w:themeColor="text1" w:themeTint="A6"/>
        <w:sz w:val="18"/>
        <w:szCs w:val="18"/>
        <w:lang w:val="en-AU" w:eastAsia="en-AU"/>
      </w:rPr>
      <w:drawing>
        <wp:anchor distT="0" distB="0" distL="114300" distR="114300" simplePos="0" relativeHeight="251671552" behindDoc="1" locked="0" layoutInCell="1" allowOverlap="1" wp14:anchorId="79C99CB9" wp14:editId="468E6B54">
          <wp:simplePos x="0" y="0"/>
          <wp:positionH relativeFrom="page">
            <wp:align>right</wp:align>
          </wp:positionH>
          <wp:positionV relativeFrom="paragraph">
            <wp:posOffset>303575</wp:posOffset>
          </wp:positionV>
          <wp:extent cx="7571232" cy="475488"/>
          <wp:effectExtent l="0" t="0" r="0" b="1270"/>
          <wp:wrapNone/>
          <wp:docPr id="24" name="Picture 2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F48996"/>
    <w:lvl w:ilvl="0">
      <w:start w:val="1"/>
      <w:numFmt w:val="bullet"/>
      <w:pStyle w:val="ListBullet"/>
      <w:lvlText w:val=""/>
      <w:lvlJc w:val="left"/>
      <w:pPr>
        <w:tabs>
          <w:tab w:val="num" w:pos="1440"/>
        </w:tabs>
        <w:ind w:left="1440" w:hanging="720"/>
      </w:pPr>
      <w:rPr>
        <w:rFonts w:ascii="Symbol" w:hAnsi="Symbol" w:hint="default"/>
      </w:rPr>
    </w:lvl>
  </w:abstractNum>
  <w:abstractNum w:abstractNumId="1">
    <w:nsid w:val="01D16C86"/>
    <w:multiLevelType w:val="hybridMultilevel"/>
    <w:tmpl w:val="50BA6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851BE0"/>
    <w:multiLevelType w:val="hybridMultilevel"/>
    <w:tmpl w:val="3A74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0B2D92"/>
    <w:multiLevelType w:val="hybridMultilevel"/>
    <w:tmpl w:val="0F64E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F17F5F"/>
    <w:multiLevelType w:val="hybridMultilevel"/>
    <w:tmpl w:val="4826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6728CC"/>
    <w:multiLevelType w:val="hybridMultilevel"/>
    <w:tmpl w:val="CDE0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562308"/>
    <w:multiLevelType w:val="hybridMultilevel"/>
    <w:tmpl w:val="6A1653D2"/>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11B4877"/>
    <w:multiLevelType w:val="singleLevel"/>
    <w:tmpl w:val="E29291F8"/>
    <w:lvl w:ilvl="0">
      <w:start w:val="1"/>
      <w:numFmt w:val="bullet"/>
      <w:pStyle w:val="Bullet1"/>
      <w:lvlText w:val=""/>
      <w:lvlJc w:val="left"/>
      <w:pPr>
        <w:tabs>
          <w:tab w:val="num" w:pos="288"/>
        </w:tabs>
        <w:ind w:left="288" w:hanging="288"/>
      </w:pPr>
      <w:rPr>
        <w:rFonts w:ascii="Wingdings" w:hAnsi="Wingdings" w:cs="Times New Roman" w:hint="default"/>
        <w:b w:val="0"/>
        <w:i w:val="0"/>
        <w:sz w:val="24"/>
        <w:szCs w:val="24"/>
      </w:rPr>
    </w:lvl>
  </w:abstractNum>
  <w:abstractNum w:abstractNumId="8">
    <w:nsid w:val="23355EC0"/>
    <w:multiLevelType w:val="hybridMultilevel"/>
    <w:tmpl w:val="78FA7CDE"/>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F6C725F"/>
    <w:multiLevelType w:val="hybridMultilevel"/>
    <w:tmpl w:val="7D64C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B81EC9"/>
    <w:multiLevelType w:val="hybridMultilevel"/>
    <w:tmpl w:val="75C46234"/>
    <w:lvl w:ilvl="0" w:tplc="A66E7B2E">
      <w:start w:val="1"/>
      <w:numFmt w:val="bullet"/>
      <w:lvlText w:val=""/>
      <w:lvlJc w:val="left"/>
      <w:pPr>
        <w:ind w:left="1919" w:hanging="360"/>
      </w:pPr>
      <w:rPr>
        <w:rFonts w:ascii="Symbol" w:hAnsi="Symbol" w:hint="default"/>
      </w:rPr>
    </w:lvl>
    <w:lvl w:ilvl="1" w:tplc="0C090019">
      <w:start w:val="1"/>
      <w:numFmt w:val="bullet"/>
      <w:lvlText w:val="o"/>
      <w:lvlJc w:val="left"/>
      <w:pPr>
        <w:ind w:left="1497" w:hanging="360"/>
      </w:pPr>
      <w:rPr>
        <w:rFonts w:ascii="Courier New" w:hAnsi="Courier New" w:cs="Times New Roman" w:hint="default"/>
      </w:rPr>
    </w:lvl>
    <w:lvl w:ilvl="2" w:tplc="0C09001B">
      <w:start w:val="1"/>
      <w:numFmt w:val="bullet"/>
      <w:lvlText w:val=""/>
      <w:lvlJc w:val="left"/>
      <w:pPr>
        <w:ind w:left="2217" w:hanging="360"/>
      </w:pPr>
      <w:rPr>
        <w:rFonts w:ascii="Wingdings" w:hAnsi="Wingdings" w:hint="default"/>
      </w:rPr>
    </w:lvl>
    <w:lvl w:ilvl="3" w:tplc="0C09000F">
      <w:start w:val="1"/>
      <w:numFmt w:val="bullet"/>
      <w:lvlText w:val=""/>
      <w:lvlJc w:val="left"/>
      <w:pPr>
        <w:ind w:left="2937" w:hanging="360"/>
      </w:pPr>
      <w:rPr>
        <w:rFonts w:ascii="Symbol" w:hAnsi="Symbol" w:hint="default"/>
      </w:rPr>
    </w:lvl>
    <w:lvl w:ilvl="4" w:tplc="0C090019">
      <w:start w:val="1"/>
      <w:numFmt w:val="bullet"/>
      <w:lvlText w:val="o"/>
      <w:lvlJc w:val="left"/>
      <w:pPr>
        <w:ind w:left="3657" w:hanging="360"/>
      </w:pPr>
      <w:rPr>
        <w:rFonts w:ascii="Courier New" w:hAnsi="Courier New" w:cs="Times New Roman" w:hint="default"/>
      </w:rPr>
    </w:lvl>
    <w:lvl w:ilvl="5" w:tplc="0C09001B">
      <w:start w:val="1"/>
      <w:numFmt w:val="bullet"/>
      <w:lvlText w:val=""/>
      <w:lvlJc w:val="left"/>
      <w:pPr>
        <w:ind w:left="4377" w:hanging="360"/>
      </w:pPr>
      <w:rPr>
        <w:rFonts w:ascii="Wingdings" w:hAnsi="Wingdings" w:hint="default"/>
      </w:rPr>
    </w:lvl>
    <w:lvl w:ilvl="6" w:tplc="0C09000F">
      <w:start w:val="1"/>
      <w:numFmt w:val="bullet"/>
      <w:lvlText w:val=""/>
      <w:lvlJc w:val="left"/>
      <w:pPr>
        <w:ind w:left="5097" w:hanging="360"/>
      </w:pPr>
      <w:rPr>
        <w:rFonts w:ascii="Symbol" w:hAnsi="Symbol" w:hint="default"/>
      </w:rPr>
    </w:lvl>
    <w:lvl w:ilvl="7" w:tplc="0C090019">
      <w:start w:val="1"/>
      <w:numFmt w:val="bullet"/>
      <w:lvlText w:val="o"/>
      <w:lvlJc w:val="left"/>
      <w:pPr>
        <w:ind w:left="5817" w:hanging="360"/>
      </w:pPr>
      <w:rPr>
        <w:rFonts w:ascii="Courier New" w:hAnsi="Courier New" w:cs="Times New Roman" w:hint="default"/>
      </w:rPr>
    </w:lvl>
    <w:lvl w:ilvl="8" w:tplc="0C09001B">
      <w:start w:val="1"/>
      <w:numFmt w:val="bullet"/>
      <w:lvlText w:val=""/>
      <w:lvlJc w:val="left"/>
      <w:pPr>
        <w:ind w:left="6537" w:hanging="360"/>
      </w:pPr>
      <w:rPr>
        <w:rFonts w:ascii="Wingdings" w:hAnsi="Wingdings" w:hint="default"/>
      </w:rPr>
    </w:lvl>
  </w:abstractNum>
  <w:abstractNum w:abstractNumId="11">
    <w:nsid w:val="3D064172"/>
    <w:multiLevelType w:val="multilevel"/>
    <w:tmpl w:val="6CF0CC1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0863DE"/>
    <w:multiLevelType w:val="multilevel"/>
    <w:tmpl w:val="1744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2F6E75"/>
    <w:multiLevelType w:val="hybridMultilevel"/>
    <w:tmpl w:val="9F58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8C5F80"/>
    <w:multiLevelType w:val="hybridMultilevel"/>
    <w:tmpl w:val="0DD87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774F00"/>
    <w:multiLevelType w:val="hybridMultilevel"/>
    <w:tmpl w:val="DB50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D47D0D"/>
    <w:multiLevelType w:val="hybridMultilevel"/>
    <w:tmpl w:val="3F588C46"/>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7">
    <w:nsid w:val="4BCA5B17"/>
    <w:multiLevelType w:val="hybridMultilevel"/>
    <w:tmpl w:val="A39C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1174D0"/>
    <w:multiLevelType w:val="hybridMultilevel"/>
    <w:tmpl w:val="742AEF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5C948D3"/>
    <w:multiLevelType w:val="hybridMultilevel"/>
    <w:tmpl w:val="F424D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ED29AF"/>
    <w:multiLevelType w:val="multilevel"/>
    <w:tmpl w:val="A6664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496C0C"/>
    <w:multiLevelType w:val="hybridMultilevel"/>
    <w:tmpl w:val="EDF0CC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801671D"/>
    <w:multiLevelType w:val="multilevel"/>
    <w:tmpl w:val="23B0702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58D4096B"/>
    <w:multiLevelType w:val="hybridMultilevel"/>
    <w:tmpl w:val="0680A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CF2DAC"/>
    <w:multiLevelType w:val="hybridMultilevel"/>
    <w:tmpl w:val="B73AACD4"/>
    <w:lvl w:ilvl="0" w:tplc="081670E0">
      <w:start w:val="1"/>
      <w:numFmt w:val="bullet"/>
      <w:pStyle w:val="Bulletswithsinglespacingfont11"/>
      <w:lvlText w:val=""/>
      <w:lvlJc w:val="left"/>
      <w:pPr>
        <w:ind w:left="36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686B48"/>
    <w:multiLevelType w:val="hybridMultilevel"/>
    <w:tmpl w:val="E382B3C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FA20FE9"/>
    <w:multiLevelType w:val="hybridMultilevel"/>
    <w:tmpl w:val="280A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3D49BB"/>
    <w:multiLevelType w:val="hybridMultilevel"/>
    <w:tmpl w:val="923A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005F02"/>
    <w:multiLevelType w:val="multilevel"/>
    <w:tmpl w:val="DFE01526"/>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280"/>
        </w:tabs>
        <w:ind w:left="2280" w:hanging="720"/>
      </w:pPr>
      <w:rPr>
        <w:rFonts w:hint="default"/>
        <w:b w:val="0"/>
        <w:i w:val="0"/>
        <w:sz w:val="24"/>
        <w:szCs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397673A"/>
    <w:multiLevelType w:val="hybridMultilevel"/>
    <w:tmpl w:val="C156A7A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6976146A"/>
    <w:multiLevelType w:val="hybridMultilevel"/>
    <w:tmpl w:val="0406C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F7743E"/>
    <w:multiLevelType w:val="hybridMultilevel"/>
    <w:tmpl w:val="6290CE28"/>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6A493034"/>
    <w:multiLevelType w:val="hybridMultilevel"/>
    <w:tmpl w:val="0860CC5C"/>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AEE0708"/>
    <w:multiLevelType w:val="hybridMultilevel"/>
    <w:tmpl w:val="313AFEB6"/>
    <w:lvl w:ilvl="0" w:tplc="3B76AA34">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565E25"/>
    <w:multiLevelType w:val="hybridMultilevel"/>
    <w:tmpl w:val="D338A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F5A1011"/>
    <w:multiLevelType w:val="multilevel"/>
    <w:tmpl w:val="4A6A241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20C7994"/>
    <w:multiLevelType w:val="hybridMultilevel"/>
    <w:tmpl w:val="0F20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2D4EAA"/>
    <w:multiLevelType w:val="hybridMultilevel"/>
    <w:tmpl w:val="119E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0441ED"/>
    <w:multiLevelType w:val="hybridMultilevel"/>
    <w:tmpl w:val="A190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2"/>
  </w:num>
  <w:num w:numId="4">
    <w:abstractNumId w:val="30"/>
  </w:num>
  <w:num w:numId="5">
    <w:abstractNumId w:val="9"/>
  </w:num>
  <w:num w:numId="6">
    <w:abstractNumId w:val="24"/>
  </w:num>
  <w:num w:numId="7">
    <w:abstractNumId w:val="25"/>
  </w:num>
  <w:num w:numId="8">
    <w:abstractNumId w:val="27"/>
  </w:num>
  <w:num w:numId="9">
    <w:abstractNumId w:val="36"/>
  </w:num>
  <w:num w:numId="10">
    <w:abstractNumId w:val="18"/>
  </w:num>
  <w:num w:numId="11">
    <w:abstractNumId w:val="29"/>
  </w:num>
  <w:num w:numId="12">
    <w:abstractNumId w:val="3"/>
  </w:num>
  <w:num w:numId="13">
    <w:abstractNumId w:val="5"/>
  </w:num>
  <w:num w:numId="14">
    <w:abstractNumId w:val="35"/>
  </w:num>
  <w:num w:numId="15">
    <w:abstractNumId w:val="21"/>
  </w:num>
  <w:num w:numId="16">
    <w:abstractNumId w:val="2"/>
  </w:num>
  <w:num w:numId="17">
    <w:abstractNumId w:val="39"/>
  </w:num>
  <w:num w:numId="18">
    <w:abstractNumId w:val="28"/>
  </w:num>
  <w:num w:numId="19">
    <w:abstractNumId w:val="26"/>
  </w:num>
  <w:num w:numId="20">
    <w:abstractNumId w:val="1"/>
  </w:num>
  <w:num w:numId="21">
    <w:abstractNumId w:val="14"/>
  </w:num>
  <w:num w:numId="22">
    <w:abstractNumId w:val="38"/>
  </w:num>
  <w:num w:numId="23">
    <w:abstractNumId w:val="31"/>
  </w:num>
  <w:num w:numId="24">
    <w:abstractNumId w:val="37"/>
  </w:num>
  <w:num w:numId="25">
    <w:abstractNumId w:val="17"/>
  </w:num>
  <w:num w:numId="26">
    <w:abstractNumId w:val="13"/>
  </w:num>
  <w:num w:numId="27">
    <w:abstractNumId w:val="6"/>
  </w:num>
  <w:num w:numId="28">
    <w:abstractNumId w:val="11"/>
  </w:num>
  <w:num w:numId="29">
    <w:abstractNumId w:val="20"/>
  </w:num>
  <w:num w:numId="30">
    <w:abstractNumId w:val="15"/>
  </w:num>
  <w:num w:numId="31">
    <w:abstractNumId w:val="33"/>
  </w:num>
  <w:num w:numId="32">
    <w:abstractNumId w:val="8"/>
  </w:num>
  <w:num w:numId="33">
    <w:abstractNumId w:val="32"/>
  </w:num>
  <w:num w:numId="34">
    <w:abstractNumId w:val="4"/>
  </w:num>
  <w:num w:numId="35">
    <w:abstractNumId w:val="36"/>
  </w:num>
  <w:num w:numId="36">
    <w:abstractNumId w:val="19"/>
  </w:num>
  <w:num w:numId="37">
    <w:abstractNumId w:val="36"/>
  </w:num>
  <w:num w:numId="38">
    <w:abstractNumId w:val="36"/>
  </w:num>
  <w:num w:numId="39">
    <w:abstractNumId w:val="10"/>
  </w:num>
  <w:num w:numId="40">
    <w:abstractNumId w:val="23"/>
  </w:num>
  <w:num w:numId="41">
    <w:abstractNumId w:val="34"/>
  </w:num>
  <w:num w:numId="42">
    <w:abstractNumId w:val="12"/>
  </w:num>
  <w:num w:numId="43">
    <w:abstractNumId w:val="36"/>
  </w:num>
  <w:num w:numId="44">
    <w:abstractNumId w:val="16"/>
  </w:num>
  <w:num w:numId="45">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2529">
      <o:colormru v:ext="edit" colors="#002a6c"/>
    </o:shapedefaults>
  </w:hdrShapeDefaults>
  <w:footnotePr>
    <w:numRestart w:val="eachSect"/>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C"/>
    <w:rsid w:val="000008BB"/>
    <w:rsid w:val="000010AE"/>
    <w:rsid w:val="00001FC8"/>
    <w:rsid w:val="0000225C"/>
    <w:rsid w:val="00002483"/>
    <w:rsid w:val="00002711"/>
    <w:rsid w:val="00003054"/>
    <w:rsid w:val="000031F4"/>
    <w:rsid w:val="0000341B"/>
    <w:rsid w:val="0000381A"/>
    <w:rsid w:val="00003A03"/>
    <w:rsid w:val="0000468E"/>
    <w:rsid w:val="000046CB"/>
    <w:rsid w:val="00004DA6"/>
    <w:rsid w:val="000055C5"/>
    <w:rsid w:val="0000598F"/>
    <w:rsid w:val="00006767"/>
    <w:rsid w:val="00006A00"/>
    <w:rsid w:val="00007205"/>
    <w:rsid w:val="0000724A"/>
    <w:rsid w:val="000077C2"/>
    <w:rsid w:val="00007C60"/>
    <w:rsid w:val="00007D98"/>
    <w:rsid w:val="00007DC4"/>
    <w:rsid w:val="000100E5"/>
    <w:rsid w:val="000101D5"/>
    <w:rsid w:val="000109F7"/>
    <w:rsid w:val="00010BDB"/>
    <w:rsid w:val="000112A4"/>
    <w:rsid w:val="00011BED"/>
    <w:rsid w:val="000129E9"/>
    <w:rsid w:val="00012B91"/>
    <w:rsid w:val="00012F8C"/>
    <w:rsid w:val="000130E5"/>
    <w:rsid w:val="00013854"/>
    <w:rsid w:val="00013AFB"/>
    <w:rsid w:val="00013F55"/>
    <w:rsid w:val="000140F0"/>
    <w:rsid w:val="0001433B"/>
    <w:rsid w:val="00014934"/>
    <w:rsid w:val="00014ADC"/>
    <w:rsid w:val="00014BF2"/>
    <w:rsid w:val="0001578D"/>
    <w:rsid w:val="00015960"/>
    <w:rsid w:val="00015D9D"/>
    <w:rsid w:val="00016036"/>
    <w:rsid w:val="000161BD"/>
    <w:rsid w:val="00016411"/>
    <w:rsid w:val="00016AF7"/>
    <w:rsid w:val="00017338"/>
    <w:rsid w:val="000173E2"/>
    <w:rsid w:val="00017ABE"/>
    <w:rsid w:val="00017B83"/>
    <w:rsid w:val="00017C53"/>
    <w:rsid w:val="00017E4C"/>
    <w:rsid w:val="00020016"/>
    <w:rsid w:val="00020466"/>
    <w:rsid w:val="0002074D"/>
    <w:rsid w:val="00020F04"/>
    <w:rsid w:val="000215DE"/>
    <w:rsid w:val="00021604"/>
    <w:rsid w:val="000223DA"/>
    <w:rsid w:val="000228FE"/>
    <w:rsid w:val="00022909"/>
    <w:rsid w:val="000229C1"/>
    <w:rsid w:val="00022A4B"/>
    <w:rsid w:val="0002366B"/>
    <w:rsid w:val="000237CF"/>
    <w:rsid w:val="000237E1"/>
    <w:rsid w:val="00023870"/>
    <w:rsid w:val="00023B70"/>
    <w:rsid w:val="0002409D"/>
    <w:rsid w:val="00024537"/>
    <w:rsid w:val="00024B7F"/>
    <w:rsid w:val="00024E2C"/>
    <w:rsid w:val="000250D1"/>
    <w:rsid w:val="00026177"/>
    <w:rsid w:val="000265E4"/>
    <w:rsid w:val="0002678A"/>
    <w:rsid w:val="00026A4A"/>
    <w:rsid w:val="00027037"/>
    <w:rsid w:val="000277D4"/>
    <w:rsid w:val="00027CC2"/>
    <w:rsid w:val="00031566"/>
    <w:rsid w:val="00031571"/>
    <w:rsid w:val="00031A5C"/>
    <w:rsid w:val="00031F69"/>
    <w:rsid w:val="000327A7"/>
    <w:rsid w:val="000328A3"/>
    <w:rsid w:val="00034032"/>
    <w:rsid w:val="0003469D"/>
    <w:rsid w:val="000349C9"/>
    <w:rsid w:val="00034CD8"/>
    <w:rsid w:val="00035930"/>
    <w:rsid w:val="00035A6D"/>
    <w:rsid w:val="00035AAE"/>
    <w:rsid w:val="00036068"/>
    <w:rsid w:val="000360B1"/>
    <w:rsid w:val="00036454"/>
    <w:rsid w:val="00036C8A"/>
    <w:rsid w:val="00036C95"/>
    <w:rsid w:val="00037463"/>
    <w:rsid w:val="000379EF"/>
    <w:rsid w:val="00037A73"/>
    <w:rsid w:val="00037E6E"/>
    <w:rsid w:val="000400C4"/>
    <w:rsid w:val="0004042D"/>
    <w:rsid w:val="00040659"/>
    <w:rsid w:val="00040729"/>
    <w:rsid w:val="000408C5"/>
    <w:rsid w:val="0004092E"/>
    <w:rsid w:val="000409EE"/>
    <w:rsid w:val="00040AD1"/>
    <w:rsid w:val="00040D5A"/>
    <w:rsid w:val="000411B3"/>
    <w:rsid w:val="0004176F"/>
    <w:rsid w:val="0004193B"/>
    <w:rsid w:val="0004392A"/>
    <w:rsid w:val="0004426C"/>
    <w:rsid w:val="000444B9"/>
    <w:rsid w:val="00044826"/>
    <w:rsid w:val="000454EF"/>
    <w:rsid w:val="0004592B"/>
    <w:rsid w:val="00045CAA"/>
    <w:rsid w:val="000461A4"/>
    <w:rsid w:val="000462A2"/>
    <w:rsid w:val="000464CC"/>
    <w:rsid w:val="000465B4"/>
    <w:rsid w:val="00046E85"/>
    <w:rsid w:val="00047863"/>
    <w:rsid w:val="00050760"/>
    <w:rsid w:val="00050EC5"/>
    <w:rsid w:val="00051168"/>
    <w:rsid w:val="00051341"/>
    <w:rsid w:val="00051ABF"/>
    <w:rsid w:val="00051B87"/>
    <w:rsid w:val="00052080"/>
    <w:rsid w:val="000525F0"/>
    <w:rsid w:val="000527D1"/>
    <w:rsid w:val="00052C10"/>
    <w:rsid w:val="00052F45"/>
    <w:rsid w:val="0005382C"/>
    <w:rsid w:val="00054597"/>
    <w:rsid w:val="000545C9"/>
    <w:rsid w:val="00054F3B"/>
    <w:rsid w:val="00055139"/>
    <w:rsid w:val="0005573E"/>
    <w:rsid w:val="00055FDA"/>
    <w:rsid w:val="000561F6"/>
    <w:rsid w:val="0005654B"/>
    <w:rsid w:val="0005658E"/>
    <w:rsid w:val="00056676"/>
    <w:rsid w:val="00056838"/>
    <w:rsid w:val="00056D06"/>
    <w:rsid w:val="00056ECF"/>
    <w:rsid w:val="00057A0D"/>
    <w:rsid w:val="000602E0"/>
    <w:rsid w:val="0006071E"/>
    <w:rsid w:val="00060735"/>
    <w:rsid w:val="00060C49"/>
    <w:rsid w:val="000611AA"/>
    <w:rsid w:val="00061FFA"/>
    <w:rsid w:val="00062459"/>
    <w:rsid w:val="0006283F"/>
    <w:rsid w:val="00062CCA"/>
    <w:rsid w:val="00062FA4"/>
    <w:rsid w:val="00063360"/>
    <w:rsid w:val="0006354D"/>
    <w:rsid w:val="00063661"/>
    <w:rsid w:val="00063680"/>
    <w:rsid w:val="000636AB"/>
    <w:rsid w:val="00063738"/>
    <w:rsid w:val="000638CB"/>
    <w:rsid w:val="00063AA2"/>
    <w:rsid w:val="00063E90"/>
    <w:rsid w:val="00063EA7"/>
    <w:rsid w:val="00064027"/>
    <w:rsid w:val="00064694"/>
    <w:rsid w:val="000649AC"/>
    <w:rsid w:val="00064D87"/>
    <w:rsid w:val="00065CFF"/>
    <w:rsid w:val="000665C5"/>
    <w:rsid w:val="0006695C"/>
    <w:rsid w:val="0006697D"/>
    <w:rsid w:val="00066A72"/>
    <w:rsid w:val="00066B86"/>
    <w:rsid w:val="0006766D"/>
    <w:rsid w:val="00067C26"/>
    <w:rsid w:val="00067CDC"/>
    <w:rsid w:val="0007056A"/>
    <w:rsid w:val="0007080F"/>
    <w:rsid w:val="00070D2F"/>
    <w:rsid w:val="00071679"/>
    <w:rsid w:val="0007229A"/>
    <w:rsid w:val="00072C5B"/>
    <w:rsid w:val="00073208"/>
    <w:rsid w:val="00073A4F"/>
    <w:rsid w:val="000748F7"/>
    <w:rsid w:val="00074C2B"/>
    <w:rsid w:val="00074CB8"/>
    <w:rsid w:val="00075365"/>
    <w:rsid w:val="000753B2"/>
    <w:rsid w:val="000754A0"/>
    <w:rsid w:val="00075611"/>
    <w:rsid w:val="00075909"/>
    <w:rsid w:val="00075A95"/>
    <w:rsid w:val="00075A99"/>
    <w:rsid w:val="00075B43"/>
    <w:rsid w:val="0007684D"/>
    <w:rsid w:val="0007692A"/>
    <w:rsid w:val="00076DB9"/>
    <w:rsid w:val="00077214"/>
    <w:rsid w:val="00077540"/>
    <w:rsid w:val="0007764E"/>
    <w:rsid w:val="00077F78"/>
    <w:rsid w:val="0008055A"/>
    <w:rsid w:val="00080B2A"/>
    <w:rsid w:val="00080D96"/>
    <w:rsid w:val="00080FD1"/>
    <w:rsid w:val="00081254"/>
    <w:rsid w:val="000812D5"/>
    <w:rsid w:val="000812F7"/>
    <w:rsid w:val="00081328"/>
    <w:rsid w:val="000817ED"/>
    <w:rsid w:val="00082023"/>
    <w:rsid w:val="000825F2"/>
    <w:rsid w:val="00082AB6"/>
    <w:rsid w:val="00082F46"/>
    <w:rsid w:val="000835DC"/>
    <w:rsid w:val="0008398E"/>
    <w:rsid w:val="00084141"/>
    <w:rsid w:val="00085492"/>
    <w:rsid w:val="000854EF"/>
    <w:rsid w:val="00085679"/>
    <w:rsid w:val="00085BF7"/>
    <w:rsid w:val="00085CCE"/>
    <w:rsid w:val="00085F1D"/>
    <w:rsid w:val="0008610F"/>
    <w:rsid w:val="00086299"/>
    <w:rsid w:val="000865B0"/>
    <w:rsid w:val="00087248"/>
    <w:rsid w:val="00087893"/>
    <w:rsid w:val="00087A7B"/>
    <w:rsid w:val="00087CE9"/>
    <w:rsid w:val="00087DAF"/>
    <w:rsid w:val="00090A2C"/>
    <w:rsid w:val="00090E6A"/>
    <w:rsid w:val="00091022"/>
    <w:rsid w:val="00091630"/>
    <w:rsid w:val="000918A9"/>
    <w:rsid w:val="00091AF8"/>
    <w:rsid w:val="000928BF"/>
    <w:rsid w:val="00092B3A"/>
    <w:rsid w:val="00093450"/>
    <w:rsid w:val="000934F0"/>
    <w:rsid w:val="00094221"/>
    <w:rsid w:val="0009422C"/>
    <w:rsid w:val="00095169"/>
    <w:rsid w:val="0009533E"/>
    <w:rsid w:val="000954C8"/>
    <w:rsid w:val="0009620D"/>
    <w:rsid w:val="00096552"/>
    <w:rsid w:val="00096C3C"/>
    <w:rsid w:val="000A0385"/>
    <w:rsid w:val="000A0A09"/>
    <w:rsid w:val="000A0C77"/>
    <w:rsid w:val="000A0CF8"/>
    <w:rsid w:val="000A0EC1"/>
    <w:rsid w:val="000A1140"/>
    <w:rsid w:val="000A11D8"/>
    <w:rsid w:val="000A1A9F"/>
    <w:rsid w:val="000A1CFE"/>
    <w:rsid w:val="000A2167"/>
    <w:rsid w:val="000A2986"/>
    <w:rsid w:val="000A2AEA"/>
    <w:rsid w:val="000A2EBC"/>
    <w:rsid w:val="000A3AF2"/>
    <w:rsid w:val="000A3E5E"/>
    <w:rsid w:val="000A48A3"/>
    <w:rsid w:val="000A4F06"/>
    <w:rsid w:val="000A570D"/>
    <w:rsid w:val="000A5A78"/>
    <w:rsid w:val="000A6160"/>
    <w:rsid w:val="000A7185"/>
    <w:rsid w:val="000A791D"/>
    <w:rsid w:val="000A7E89"/>
    <w:rsid w:val="000B0125"/>
    <w:rsid w:val="000B01BF"/>
    <w:rsid w:val="000B0473"/>
    <w:rsid w:val="000B06C9"/>
    <w:rsid w:val="000B0B8C"/>
    <w:rsid w:val="000B0BF7"/>
    <w:rsid w:val="000B0D37"/>
    <w:rsid w:val="000B0EE0"/>
    <w:rsid w:val="000B1139"/>
    <w:rsid w:val="000B16A3"/>
    <w:rsid w:val="000B1AC6"/>
    <w:rsid w:val="000B283B"/>
    <w:rsid w:val="000B2A26"/>
    <w:rsid w:val="000B2E32"/>
    <w:rsid w:val="000B33F7"/>
    <w:rsid w:val="000B401C"/>
    <w:rsid w:val="000B51C2"/>
    <w:rsid w:val="000B52C0"/>
    <w:rsid w:val="000B52F7"/>
    <w:rsid w:val="000B54A2"/>
    <w:rsid w:val="000B594A"/>
    <w:rsid w:val="000B5B31"/>
    <w:rsid w:val="000B5ED4"/>
    <w:rsid w:val="000B67A3"/>
    <w:rsid w:val="000B752B"/>
    <w:rsid w:val="000B783B"/>
    <w:rsid w:val="000B7B10"/>
    <w:rsid w:val="000C0260"/>
    <w:rsid w:val="000C0770"/>
    <w:rsid w:val="000C08CE"/>
    <w:rsid w:val="000C0E0C"/>
    <w:rsid w:val="000C119D"/>
    <w:rsid w:val="000C14FF"/>
    <w:rsid w:val="000C1F50"/>
    <w:rsid w:val="000C1FBE"/>
    <w:rsid w:val="000C2323"/>
    <w:rsid w:val="000C261C"/>
    <w:rsid w:val="000C2761"/>
    <w:rsid w:val="000C2A3D"/>
    <w:rsid w:val="000C34EB"/>
    <w:rsid w:val="000C37F6"/>
    <w:rsid w:val="000C3831"/>
    <w:rsid w:val="000C3A22"/>
    <w:rsid w:val="000C3B2E"/>
    <w:rsid w:val="000C4006"/>
    <w:rsid w:val="000C4799"/>
    <w:rsid w:val="000C4BC9"/>
    <w:rsid w:val="000C4DCC"/>
    <w:rsid w:val="000C4E91"/>
    <w:rsid w:val="000C50AC"/>
    <w:rsid w:val="000C5B0F"/>
    <w:rsid w:val="000C5F77"/>
    <w:rsid w:val="000C79DB"/>
    <w:rsid w:val="000C7E2C"/>
    <w:rsid w:val="000D0283"/>
    <w:rsid w:val="000D0655"/>
    <w:rsid w:val="000D0CD0"/>
    <w:rsid w:val="000D1211"/>
    <w:rsid w:val="000D12AD"/>
    <w:rsid w:val="000D141E"/>
    <w:rsid w:val="000D1591"/>
    <w:rsid w:val="000D18A1"/>
    <w:rsid w:val="000D18B6"/>
    <w:rsid w:val="000D1918"/>
    <w:rsid w:val="000D2B06"/>
    <w:rsid w:val="000D361C"/>
    <w:rsid w:val="000D3672"/>
    <w:rsid w:val="000D3A26"/>
    <w:rsid w:val="000D4284"/>
    <w:rsid w:val="000D464C"/>
    <w:rsid w:val="000D4771"/>
    <w:rsid w:val="000D4826"/>
    <w:rsid w:val="000D55BB"/>
    <w:rsid w:val="000D5B1C"/>
    <w:rsid w:val="000D5E04"/>
    <w:rsid w:val="000D5E91"/>
    <w:rsid w:val="000D5F0E"/>
    <w:rsid w:val="000D6019"/>
    <w:rsid w:val="000D6813"/>
    <w:rsid w:val="000D7119"/>
    <w:rsid w:val="000D7195"/>
    <w:rsid w:val="000D748B"/>
    <w:rsid w:val="000D7878"/>
    <w:rsid w:val="000D7FB7"/>
    <w:rsid w:val="000E0338"/>
    <w:rsid w:val="000E0770"/>
    <w:rsid w:val="000E1A37"/>
    <w:rsid w:val="000E227D"/>
    <w:rsid w:val="000E26AA"/>
    <w:rsid w:val="000E2FAF"/>
    <w:rsid w:val="000E3819"/>
    <w:rsid w:val="000E399E"/>
    <w:rsid w:val="000E3A49"/>
    <w:rsid w:val="000E3B34"/>
    <w:rsid w:val="000E3E4F"/>
    <w:rsid w:val="000E42A7"/>
    <w:rsid w:val="000E458E"/>
    <w:rsid w:val="000E54F7"/>
    <w:rsid w:val="000E5769"/>
    <w:rsid w:val="000E5EAF"/>
    <w:rsid w:val="000E669E"/>
    <w:rsid w:val="000E66F7"/>
    <w:rsid w:val="000E6C4E"/>
    <w:rsid w:val="000E6F9C"/>
    <w:rsid w:val="000E7168"/>
    <w:rsid w:val="000E7727"/>
    <w:rsid w:val="000F053D"/>
    <w:rsid w:val="000F0754"/>
    <w:rsid w:val="000F160C"/>
    <w:rsid w:val="000F1AA4"/>
    <w:rsid w:val="000F1D2B"/>
    <w:rsid w:val="000F1EE1"/>
    <w:rsid w:val="000F232C"/>
    <w:rsid w:val="000F298E"/>
    <w:rsid w:val="000F2BED"/>
    <w:rsid w:val="000F2CF9"/>
    <w:rsid w:val="000F2D6E"/>
    <w:rsid w:val="000F2E79"/>
    <w:rsid w:val="000F30DC"/>
    <w:rsid w:val="000F38A8"/>
    <w:rsid w:val="000F3A99"/>
    <w:rsid w:val="000F499E"/>
    <w:rsid w:val="000F4A2A"/>
    <w:rsid w:val="000F5438"/>
    <w:rsid w:val="000F555C"/>
    <w:rsid w:val="000F58E8"/>
    <w:rsid w:val="000F5E2C"/>
    <w:rsid w:val="000F65A3"/>
    <w:rsid w:val="000F6C88"/>
    <w:rsid w:val="000F6F9F"/>
    <w:rsid w:val="000F715A"/>
    <w:rsid w:val="000F7605"/>
    <w:rsid w:val="000F7E19"/>
    <w:rsid w:val="00100967"/>
    <w:rsid w:val="00100A23"/>
    <w:rsid w:val="00100B9D"/>
    <w:rsid w:val="00100D76"/>
    <w:rsid w:val="00101FD7"/>
    <w:rsid w:val="00102068"/>
    <w:rsid w:val="00102108"/>
    <w:rsid w:val="00102FBC"/>
    <w:rsid w:val="001035F5"/>
    <w:rsid w:val="001039A1"/>
    <w:rsid w:val="00103A86"/>
    <w:rsid w:val="00103D99"/>
    <w:rsid w:val="00104CA6"/>
    <w:rsid w:val="00104E79"/>
    <w:rsid w:val="001054DC"/>
    <w:rsid w:val="001054EA"/>
    <w:rsid w:val="00105B02"/>
    <w:rsid w:val="00105FD6"/>
    <w:rsid w:val="00106802"/>
    <w:rsid w:val="00106CB6"/>
    <w:rsid w:val="001079D2"/>
    <w:rsid w:val="00107C07"/>
    <w:rsid w:val="00107EAB"/>
    <w:rsid w:val="00110205"/>
    <w:rsid w:val="001113A4"/>
    <w:rsid w:val="001113C2"/>
    <w:rsid w:val="00111CB2"/>
    <w:rsid w:val="00111DD1"/>
    <w:rsid w:val="00112BE9"/>
    <w:rsid w:val="00112D86"/>
    <w:rsid w:val="00112EBB"/>
    <w:rsid w:val="00112F6E"/>
    <w:rsid w:val="0011352C"/>
    <w:rsid w:val="001136B9"/>
    <w:rsid w:val="00113790"/>
    <w:rsid w:val="00113D2F"/>
    <w:rsid w:val="00114396"/>
    <w:rsid w:val="00114C81"/>
    <w:rsid w:val="0011577A"/>
    <w:rsid w:val="00116B56"/>
    <w:rsid w:val="00116E25"/>
    <w:rsid w:val="0011718F"/>
    <w:rsid w:val="001173EB"/>
    <w:rsid w:val="00117CB3"/>
    <w:rsid w:val="00120152"/>
    <w:rsid w:val="00120A01"/>
    <w:rsid w:val="00120AFA"/>
    <w:rsid w:val="00120BD6"/>
    <w:rsid w:val="001220EB"/>
    <w:rsid w:val="001224AA"/>
    <w:rsid w:val="00122CC1"/>
    <w:rsid w:val="00122FAE"/>
    <w:rsid w:val="00123902"/>
    <w:rsid w:val="00123B63"/>
    <w:rsid w:val="00123DFB"/>
    <w:rsid w:val="0012473E"/>
    <w:rsid w:val="0012505A"/>
    <w:rsid w:val="0012518F"/>
    <w:rsid w:val="0012581B"/>
    <w:rsid w:val="00125AA8"/>
    <w:rsid w:val="00125CCF"/>
    <w:rsid w:val="00125D77"/>
    <w:rsid w:val="001264B5"/>
    <w:rsid w:val="00126917"/>
    <w:rsid w:val="001269CE"/>
    <w:rsid w:val="00127F33"/>
    <w:rsid w:val="0013020B"/>
    <w:rsid w:val="00130929"/>
    <w:rsid w:val="00130BBE"/>
    <w:rsid w:val="001310E4"/>
    <w:rsid w:val="00131507"/>
    <w:rsid w:val="0013172A"/>
    <w:rsid w:val="00131978"/>
    <w:rsid w:val="001319AC"/>
    <w:rsid w:val="001319EF"/>
    <w:rsid w:val="0013275F"/>
    <w:rsid w:val="00132860"/>
    <w:rsid w:val="00132ABE"/>
    <w:rsid w:val="00133870"/>
    <w:rsid w:val="00133BCD"/>
    <w:rsid w:val="00133E5C"/>
    <w:rsid w:val="00133F21"/>
    <w:rsid w:val="00134B3A"/>
    <w:rsid w:val="00135853"/>
    <w:rsid w:val="001358CC"/>
    <w:rsid w:val="00135CCE"/>
    <w:rsid w:val="00135F78"/>
    <w:rsid w:val="00136EB7"/>
    <w:rsid w:val="001376A8"/>
    <w:rsid w:val="00137D7F"/>
    <w:rsid w:val="00137DE1"/>
    <w:rsid w:val="00137F02"/>
    <w:rsid w:val="00137F40"/>
    <w:rsid w:val="00140032"/>
    <w:rsid w:val="00140327"/>
    <w:rsid w:val="00140511"/>
    <w:rsid w:val="00140901"/>
    <w:rsid w:val="001409A2"/>
    <w:rsid w:val="001428D3"/>
    <w:rsid w:val="00142963"/>
    <w:rsid w:val="00142B1E"/>
    <w:rsid w:val="00143873"/>
    <w:rsid w:val="001441F4"/>
    <w:rsid w:val="001446BE"/>
    <w:rsid w:val="00144932"/>
    <w:rsid w:val="001449DE"/>
    <w:rsid w:val="0014515D"/>
    <w:rsid w:val="00145174"/>
    <w:rsid w:val="00145458"/>
    <w:rsid w:val="0014566B"/>
    <w:rsid w:val="001457F5"/>
    <w:rsid w:val="00146082"/>
    <w:rsid w:val="00146523"/>
    <w:rsid w:val="001469B9"/>
    <w:rsid w:val="001471CE"/>
    <w:rsid w:val="001473BD"/>
    <w:rsid w:val="00147D13"/>
    <w:rsid w:val="00150F12"/>
    <w:rsid w:val="0015131A"/>
    <w:rsid w:val="00151D5E"/>
    <w:rsid w:val="00151FD0"/>
    <w:rsid w:val="001525DA"/>
    <w:rsid w:val="00152865"/>
    <w:rsid w:val="00152C03"/>
    <w:rsid w:val="00153207"/>
    <w:rsid w:val="00153387"/>
    <w:rsid w:val="00153718"/>
    <w:rsid w:val="00153F5D"/>
    <w:rsid w:val="001546E0"/>
    <w:rsid w:val="00154725"/>
    <w:rsid w:val="00154B76"/>
    <w:rsid w:val="00155987"/>
    <w:rsid w:val="00155A7F"/>
    <w:rsid w:val="00155CA4"/>
    <w:rsid w:val="00155FAA"/>
    <w:rsid w:val="001560A3"/>
    <w:rsid w:val="001561D3"/>
    <w:rsid w:val="00156237"/>
    <w:rsid w:val="0015624A"/>
    <w:rsid w:val="00156561"/>
    <w:rsid w:val="00156952"/>
    <w:rsid w:val="00156E51"/>
    <w:rsid w:val="00157F4F"/>
    <w:rsid w:val="0016009E"/>
    <w:rsid w:val="001605EE"/>
    <w:rsid w:val="0016067E"/>
    <w:rsid w:val="001607B4"/>
    <w:rsid w:val="0016097A"/>
    <w:rsid w:val="00161221"/>
    <w:rsid w:val="00162459"/>
    <w:rsid w:val="00162533"/>
    <w:rsid w:val="00162535"/>
    <w:rsid w:val="001629E3"/>
    <w:rsid w:val="00162AAC"/>
    <w:rsid w:val="001631B7"/>
    <w:rsid w:val="001639D1"/>
    <w:rsid w:val="001640AE"/>
    <w:rsid w:val="001643B0"/>
    <w:rsid w:val="00164CB5"/>
    <w:rsid w:val="00164CFF"/>
    <w:rsid w:val="001664D8"/>
    <w:rsid w:val="001666A4"/>
    <w:rsid w:val="00167B18"/>
    <w:rsid w:val="0017073C"/>
    <w:rsid w:val="00170A9A"/>
    <w:rsid w:val="001710F3"/>
    <w:rsid w:val="0017134E"/>
    <w:rsid w:val="001714A0"/>
    <w:rsid w:val="00171921"/>
    <w:rsid w:val="00171B72"/>
    <w:rsid w:val="001723CA"/>
    <w:rsid w:val="00172947"/>
    <w:rsid w:val="00172DC9"/>
    <w:rsid w:val="00172FFC"/>
    <w:rsid w:val="001730FB"/>
    <w:rsid w:val="001743BA"/>
    <w:rsid w:val="00174DAE"/>
    <w:rsid w:val="0017510C"/>
    <w:rsid w:val="00175298"/>
    <w:rsid w:val="001765E7"/>
    <w:rsid w:val="0017797D"/>
    <w:rsid w:val="00177B64"/>
    <w:rsid w:val="00177D5F"/>
    <w:rsid w:val="00177E40"/>
    <w:rsid w:val="00180549"/>
    <w:rsid w:val="00180685"/>
    <w:rsid w:val="0018169B"/>
    <w:rsid w:val="001816CA"/>
    <w:rsid w:val="00181767"/>
    <w:rsid w:val="00181F7B"/>
    <w:rsid w:val="00182023"/>
    <w:rsid w:val="00183584"/>
    <w:rsid w:val="00184B59"/>
    <w:rsid w:val="00185409"/>
    <w:rsid w:val="001854F6"/>
    <w:rsid w:val="00185E1D"/>
    <w:rsid w:val="00186184"/>
    <w:rsid w:val="001864FB"/>
    <w:rsid w:val="001868C8"/>
    <w:rsid w:val="00186DBF"/>
    <w:rsid w:val="00187254"/>
    <w:rsid w:val="0018753E"/>
    <w:rsid w:val="001902FF"/>
    <w:rsid w:val="001912AC"/>
    <w:rsid w:val="001912D1"/>
    <w:rsid w:val="00191799"/>
    <w:rsid w:val="00191A9B"/>
    <w:rsid w:val="00192E93"/>
    <w:rsid w:val="0019306F"/>
    <w:rsid w:val="001932BC"/>
    <w:rsid w:val="00193C26"/>
    <w:rsid w:val="00194573"/>
    <w:rsid w:val="001949EF"/>
    <w:rsid w:val="00194B89"/>
    <w:rsid w:val="00195CE7"/>
    <w:rsid w:val="00196794"/>
    <w:rsid w:val="00196CA0"/>
    <w:rsid w:val="00196F93"/>
    <w:rsid w:val="001970DD"/>
    <w:rsid w:val="00197457"/>
    <w:rsid w:val="001977DD"/>
    <w:rsid w:val="00197BD7"/>
    <w:rsid w:val="00197C61"/>
    <w:rsid w:val="001A02E1"/>
    <w:rsid w:val="001A038A"/>
    <w:rsid w:val="001A04A6"/>
    <w:rsid w:val="001A1292"/>
    <w:rsid w:val="001A12A8"/>
    <w:rsid w:val="001A15B5"/>
    <w:rsid w:val="001A1BAD"/>
    <w:rsid w:val="001A22F3"/>
    <w:rsid w:val="001A2695"/>
    <w:rsid w:val="001A2FF0"/>
    <w:rsid w:val="001A37DC"/>
    <w:rsid w:val="001A3D91"/>
    <w:rsid w:val="001A3F6A"/>
    <w:rsid w:val="001A43B7"/>
    <w:rsid w:val="001A4444"/>
    <w:rsid w:val="001A5D3A"/>
    <w:rsid w:val="001A5E75"/>
    <w:rsid w:val="001A6771"/>
    <w:rsid w:val="001A6B0C"/>
    <w:rsid w:val="001A6B8E"/>
    <w:rsid w:val="001A6C47"/>
    <w:rsid w:val="001A6D1C"/>
    <w:rsid w:val="001A6E2E"/>
    <w:rsid w:val="001A6EB0"/>
    <w:rsid w:val="001A7CDB"/>
    <w:rsid w:val="001A7D3B"/>
    <w:rsid w:val="001A7D68"/>
    <w:rsid w:val="001A7EE4"/>
    <w:rsid w:val="001A7FD0"/>
    <w:rsid w:val="001B013F"/>
    <w:rsid w:val="001B02AE"/>
    <w:rsid w:val="001B05D9"/>
    <w:rsid w:val="001B08BC"/>
    <w:rsid w:val="001B12D2"/>
    <w:rsid w:val="001B159D"/>
    <w:rsid w:val="001B1A21"/>
    <w:rsid w:val="001B1F08"/>
    <w:rsid w:val="001B21B4"/>
    <w:rsid w:val="001B22AE"/>
    <w:rsid w:val="001B33CF"/>
    <w:rsid w:val="001B368F"/>
    <w:rsid w:val="001B37AB"/>
    <w:rsid w:val="001B3A99"/>
    <w:rsid w:val="001B43CD"/>
    <w:rsid w:val="001B46A1"/>
    <w:rsid w:val="001B4A03"/>
    <w:rsid w:val="001B4B34"/>
    <w:rsid w:val="001B4E48"/>
    <w:rsid w:val="001B545E"/>
    <w:rsid w:val="001B58C2"/>
    <w:rsid w:val="001B59E3"/>
    <w:rsid w:val="001B60CC"/>
    <w:rsid w:val="001B6708"/>
    <w:rsid w:val="001B6833"/>
    <w:rsid w:val="001B707A"/>
    <w:rsid w:val="001B70CB"/>
    <w:rsid w:val="001B750D"/>
    <w:rsid w:val="001B75B0"/>
    <w:rsid w:val="001B7C28"/>
    <w:rsid w:val="001B7F47"/>
    <w:rsid w:val="001B7F6F"/>
    <w:rsid w:val="001C0142"/>
    <w:rsid w:val="001C0291"/>
    <w:rsid w:val="001C0E3F"/>
    <w:rsid w:val="001C0E76"/>
    <w:rsid w:val="001C0EDD"/>
    <w:rsid w:val="001C135C"/>
    <w:rsid w:val="001C1AC2"/>
    <w:rsid w:val="001C215E"/>
    <w:rsid w:val="001C255F"/>
    <w:rsid w:val="001C272C"/>
    <w:rsid w:val="001C27B7"/>
    <w:rsid w:val="001C28C7"/>
    <w:rsid w:val="001C3EBE"/>
    <w:rsid w:val="001C41DC"/>
    <w:rsid w:val="001C5252"/>
    <w:rsid w:val="001C5619"/>
    <w:rsid w:val="001C5956"/>
    <w:rsid w:val="001C5CE2"/>
    <w:rsid w:val="001C6069"/>
    <w:rsid w:val="001C6458"/>
    <w:rsid w:val="001C64BF"/>
    <w:rsid w:val="001C6623"/>
    <w:rsid w:val="001C6CB0"/>
    <w:rsid w:val="001C7279"/>
    <w:rsid w:val="001C7412"/>
    <w:rsid w:val="001D002B"/>
    <w:rsid w:val="001D07BA"/>
    <w:rsid w:val="001D0E1E"/>
    <w:rsid w:val="001D10B2"/>
    <w:rsid w:val="001D139D"/>
    <w:rsid w:val="001D2056"/>
    <w:rsid w:val="001D20F1"/>
    <w:rsid w:val="001D234C"/>
    <w:rsid w:val="001D27D3"/>
    <w:rsid w:val="001D2B3C"/>
    <w:rsid w:val="001D2CD5"/>
    <w:rsid w:val="001D2EF2"/>
    <w:rsid w:val="001D3348"/>
    <w:rsid w:val="001D35B5"/>
    <w:rsid w:val="001D3698"/>
    <w:rsid w:val="001D386E"/>
    <w:rsid w:val="001D3B4B"/>
    <w:rsid w:val="001D3B7D"/>
    <w:rsid w:val="001D40DF"/>
    <w:rsid w:val="001D425D"/>
    <w:rsid w:val="001D4B24"/>
    <w:rsid w:val="001D6083"/>
    <w:rsid w:val="001D6A82"/>
    <w:rsid w:val="001D6D33"/>
    <w:rsid w:val="001D6EE6"/>
    <w:rsid w:val="001D7048"/>
    <w:rsid w:val="001D788E"/>
    <w:rsid w:val="001D7BC4"/>
    <w:rsid w:val="001D7F0D"/>
    <w:rsid w:val="001D7FC8"/>
    <w:rsid w:val="001E0119"/>
    <w:rsid w:val="001E020D"/>
    <w:rsid w:val="001E0397"/>
    <w:rsid w:val="001E0810"/>
    <w:rsid w:val="001E09A5"/>
    <w:rsid w:val="001E0BDD"/>
    <w:rsid w:val="001E0E2A"/>
    <w:rsid w:val="001E0F30"/>
    <w:rsid w:val="001E130A"/>
    <w:rsid w:val="001E1494"/>
    <w:rsid w:val="001E1593"/>
    <w:rsid w:val="001E2340"/>
    <w:rsid w:val="001E29B5"/>
    <w:rsid w:val="001E35C3"/>
    <w:rsid w:val="001E375A"/>
    <w:rsid w:val="001E3934"/>
    <w:rsid w:val="001E3A10"/>
    <w:rsid w:val="001E3D0A"/>
    <w:rsid w:val="001E3D1D"/>
    <w:rsid w:val="001E4D11"/>
    <w:rsid w:val="001E5575"/>
    <w:rsid w:val="001E5F43"/>
    <w:rsid w:val="001E72D0"/>
    <w:rsid w:val="001E7895"/>
    <w:rsid w:val="001F0970"/>
    <w:rsid w:val="001F0C99"/>
    <w:rsid w:val="001F1296"/>
    <w:rsid w:val="001F14CD"/>
    <w:rsid w:val="001F22C9"/>
    <w:rsid w:val="001F2766"/>
    <w:rsid w:val="001F2BF1"/>
    <w:rsid w:val="001F2C5F"/>
    <w:rsid w:val="001F37C9"/>
    <w:rsid w:val="001F3CA1"/>
    <w:rsid w:val="001F3FE6"/>
    <w:rsid w:val="001F4E85"/>
    <w:rsid w:val="001F5C4B"/>
    <w:rsid w:val="001F5CF6"/>
    <w:rsid w:val="001F6157"/>
    <w:rsid w:val="001F6696"/>
    <w:rsid w:val="001F6C64"/>
    <w:rsid w:val="0020033F"/>
    <w:rsid w:val="002008D3"/>
    <w:rsid w:val="0020123F"/>
    <w:rsid w:val="00202748"/>
    <w:rsid w:val="00202AFB"/>
    <w:rsid w:val="00202DAA"/>
    <w:rsid w:val="00203750"/>
    <w:rsid w:val="002038A2"/>
    <w:rsid w:val="002038E3"/>
    <w:rsid w:val="00203B8E"/>
    <w:rsid w:val="00203C39"/>
    <w:rsid w:val="002050E7"/>
    <w:rsid w:val="00205B0E"/>
    <w:rsid w:val="00205C7C"/>
    <w:rsid w:val="00206217"/>
    <w:rsid w:val="00206404"/>
    <w:rsid w:val="002064A6"/>
    <w:rsid w:val="00206733"/>
    <w:rsid w:val="00206A14"/>
    <w:rsid w:val="00206AB0"/>
    <w:rsid w:val="00206BAB"/>
    <w:rsid w:val="00206D9D"/>
    <w:rsid w:val="00207B55"/>
    <w:rsid w:val="00207E15"/>
    <w:rsid w:val="0021038D"/>
    <w:rsid w:val="002104D1"/>
    <w:rsid w:val="00211095"/>
    <w:rsid w:val="00211485"/>
    <w:rsid w:val="002118B1"/>
    <w:rsid w:val="00212004"/>
    <w:rsid w:val="0021243A"/>
    <w:rsid w:val="002129E3"/>
    <w:rsid w:val="00212E49"/>
    <w:rsid w:val="00212E8D"/>
    <w:rsid w:val="00212EBE"/>
    <w:rsid w:val="00212F32"/>
    <w:rsid w:val="0021301A"/>
    <w:rsid w:val="002132AC"/>
    <w:rsid w:val="00213411"/>
    <w:rsid w:val="0021343C"/>
    <w:rsid w:val="00213C3C"/>
    <w:rsid w:val="002145D4"/>
    <w:rsid w:val="00215567"/>
    <w:rsid w:val="00215578"/>
    <w:rsid w:val="00215C9D"/>
    <w:rsid w:val="00215C9E"/>
    <w:rsid w:val="002160BB"/>
    <w:rsid w:val="00216105"/>
    <w:rsid w:val="002164E3"/>
    <w:rsid w:val="0021670E"/>
    <w:rsid w:val="0021779E"/>
    <w:rsid w:val="00217995"/>
    <w:rsid w:val="0022091F"/>
    <w:rsid w:val="00220C1E"/>
    <w:rsid w:val="0022104D"/>
    <w:rsid w:val="00221790"/>
    <w:rsid w:val="002219B3"/>
    <w:rsid w:val="002219F1"/>
    <w:rsid w:val="00221E29"/>
    <w:rsid w:val="00221ED7"/>
    <w:rsid w:val="002226E2"/>
    <w:rsid w:val="00222DCE"/>
    <w:rsid w:val="00222EFB"/>
    <w:rsid w:val="002233D6"/>
    <w:rsid w:val="0022473D"/>
    <w:rsid w:val="00224C27"/>
    <w:rsid w:val="00224C2A"/>
    <w:rsid w:val="00225887"/>
    <w:rsid w:val="0022598A"/>
    <w:rsid w:val="00225D87"/>
    <w:rsid w:val="00225EF1"/>
    <w:rsid w:val="0022659D"/>
    <w:rsid w:val="00227D9D"/>
    <w:rsid w:val="0023015E"/>
    <w:rsid w:val="00230242"/>
    <w:rsid w:val="002304B8"/>
    <w:rsid w:val="0023094A"/>
    <w:rsid w:val="00231CB8"/>
    <w:rsid w:val="00231F87"/>
    <w:rsid w:val="002322DC"/>
    <w:rsid w:val="00232ABB"/>
    <w:rsid w:val="00232B29"/>
    <w:rsid w:val="00233B22"/>
    <w:rsid w:val="00233F5C"/>
    <w:rsid w:val="002342B2"/>
    <w:rsid w:val="002342DC"/>
    <w:rsid w:val="002345ED"/>
    <w:rsid w:val="00234646"/>
    <w:rsid w:val="0023489B"/>
    <w:rsid w:val="002348B6"/>
    <w:rsid w:val="00234C8F"/>
    <w:rsid w:val="00234E29"/>
    <w:rsid w:val="0023616F"/>
    <w:rsid w:val="002366FA"/>
    <w:rsid w:val="00236A0A"/>
    <w:rsid w:val="00236BAA"/>
    <w:rsid w:val="0023716D"/>
    <w:rsid w:val="0023759D"/>
    <w:rsid w:val="00237910"/>
    <w:rsid w:val="00237D77"/>
    <w:rsid w:val="002406E3"/>
    <w:rsid w:val="00240D2A"/>
    <w:rsid w:val="00240ED7"/>
    <w:rsid w:val="0024156A"/>
    <w:rsid w:val="00242124"/>
    <w:rsid w:val="002424A1"/>
    <w:rsid w:val="0024257F"/>
    <w:rsid w:val="00242830"/>
    <w:rsid w:val="00242B37"/>
    <w:rsid w:val="00242D1A"/>
    <w:rsid w:val="00243AD7"/>
    <w:rsid w:val="0024400F"/>
    <w:rsid w:val="00244019"/>
    <w:rsid w:val="00244A7F"/>
    <w:rsid w:val="00244CEE"/>
    <w:rsid w:val="00244E0A"/>
    <w:rsid w:val="0024509E"/>
    <w:rsid w:val="0024589A"/>
    <w:rsid w:val="002458B5"/>
    <w:rsid w:val="00245A03"/>
    <w:rsid w:val="00245A84"/>
    <w:rsid w:val="00245D79"/>
    <w:rsid w:val="00246329"/>
    <w:rsid w:val="00247052"/>
    <w:rsid w:val="002478E9"/>
    <w:rsid w:val="00247C16"/>
    <w:rsid w:val="00247E2A"/>
    <w:rsid w:val="00250143"/>
    <w:rsid w:val="002501AF"/>
    <w:rsid w:val="0025032A"/>
    <w:rsid w:val="002503BC"/>
    <w:rsid w:val="002503E4"/>
    <w:rsid w:val="00250478"/>
    <w:rsid w:val="00250884"/>
    <w:rsid w:val="00251321"/>
    <w:rsid w:val="002515D1"/>
    <w:rsid w:val="00251694"/>
    <w:rsid w:val="0025175B"/>
    <w:rsid w:val="00251A02"/>
    <w:rsid w:val="00251BCC"/>
    <w:rsid w:val="00251D0D"/>
    <w:rsid w:val="00251D5F"/>
    <w:rsid w:val="002521E7"/>
    <w:rsid w:val="002526F2"/>
    <w:rsid w:val="00252EE4"/>
    <w:rsid w:val="00253494"/>
    <w:rsid w:val="00253789"/>
    <w:rsid w:val="00253952"/>
    <w:rsid w:val="002548CF"/>
    <w:rsid w:val="00254908"/>
    <w:rsid w:val="00254BAB"/>
    <w:rsid w:val="002556E1"/>
    <w:rsid w:val="002557E1"/>
    <w:rsid w:val="00255D6A"/>
    <w:rsid w:val="0025632A"/>
    <w:rsid w:val="0025642A"/>
    <w:rsid w:val="00257112"/>
    <w:rsid w:val="00257283"/>
    <w:rsid w:val="002601ED"/>
    <w:rsid w:val="0026038E"/>
    <w:rsid w:val="0026072B"/>
    <w:rsid w:val="00260757"/>
    <w:rsid w:val="00260A6F"/>
    <w:rsid w:val="00260D78"/>
    <w:rsid w:val="00260D7F"/>
    <w:rsid w:val="00261A0A"/>
    <w:rsid w:val="00261CE1"/>
    <w:rsid w:val="0026216D"/>
    <w:rsid w:val="00262989"/>
    <w:rsid w:val="0026302D"/>
    <w:rsid w:val="0026303F"/>
    <w:rsid w:val="00263712"/>
    <w:rsid w:val="00263F95"/>
    <w:rsid w:val="0026454A"/>
    <w:rsid w:val="002649FD"/>
    <w:rsid w:val="00264E77"/>
    <w:rsid w:val="00265158"/>
    <w:rsid w:val="002654A2"/>
    <w:rsid w:val="0026556A"/>
    <w:rsid w:val="002659F6"/>
    <w:rsid w:val="00265DEE"/>
    <w:rsid w:val="00266C92"/>
    <w:rsid w:val="00267072"/>
    <w:rsid w:val="00267133"/>
    <w:rsid w:val="00267261"/>
    <w:rsid w:val="002674BC"/>
    <w:rsid w:val="00267556"/>
    <w:rsid w:val="00267BC5"/>
    <w:rsid w:val="00267C8B"/>
    <w:rsid w:val="0027037E"/>
    <w:rsid w:val="002704D6"/>
    <w:rsid w:val="00270977"/>
    <w:rsid w:val="00270B17"/>
    <w:rsid w:val="00270B2C"/>
    <w:rsid w:val="00270C53"/>
    <w:rsid w:val="00270DDA"/>
    <w:rsid w:val="00270F03"/>
    <w:rsid w:val="00271284"/>
    <w:rsid w:val="0027184C"/>
    <w:rsid w:val="002718F9"/>
    <w:rsid w:val="002719DD"/>
    <w:rsid w:val="00271BB5"/>
    <w:rsid w:val="00271DC5"/>
    <w:rsid w:val="002721D9"/>
    <w:rsid w:val="00272560"/>
    <w:rsid w:val="00272813"/>
    <w:rsid w:val="00272832"/>
    <w:rsid w:val="00272D35"/>
    <w:rsid w:val="0027326B"/>
    <w:rsid w:val="00273679"/>
    <w:rsid w:val="00273937"/>
    <w:rsid w:val="00273E8E"/>
    <w:rsid w:val="002746B2"/>
    <w:rsid w:val="002749C7"/>
    <w:rsid w:val="00274BC6"/>
    <w:rsid w:val="00274D35"/>
    <w:rsid w:val="002751B5"/>
    <w:rsid w:val="00275761"/>
    <w:rsid w:val="00275AF3"/>
    <w:rsid w:val="00275C2B"/>
    <w:rsid w:val="00275E4B"/>
    <w:rsid w:val="00276372"/>
    <w:rsid w:val="00276628"/>
    <w:rsid w:val="0027688F"/>
    <w:rsid w:val="00277184"/>
    <w:rsid w:val="00277AC1"/>
    <w:rsid w:val="00280613"/>
    <w:rsid w:val="00280CF1"/>
    <w:rsid w:val="00281F62"/>
    <w:rsid w:val="002829A6"/>
    <w:rsid w:val="00282BF9"/>
    <w:rsid w:val="00282CDB"/>
    <w:rsid w:val="00282E7E"/>
    <w:rsid w:val="002830A4"/>
    <w:rsid w:val="00283437"/>
    <w:rsid w:val="002834C0"/>
    <w:rsid w:val="00283C57"/>
    <w:rsid w:val="00284709"/>
    <w:rsid w:val="00284B53"/>
    <w:rsid w:val="00285C29"/>
    <w:rsid w:val="00285D8C"/>
    <w:rsid w:val="00286477"/>
    <w:rsid w:val="002868A4"/>
    <w:rsid w:val="00286990"/>
    <w:rsid w:val="002900E3"/>
    <w:rsid w:val="00290321"/>
    <w:rsid w:val="0029068C"/>
    <w:rsid w:val="002906A8"/>
    <w:rsid w:val="00290A81"/>
    <w:rsid w:val="00290FDA"/>
    <w:rsid w:val="002910E3"/>
    <w:rsid w:val="002910E8"/>
    <w:rsid w:val="00291645"/>
    <w:rsid w:val="0029188D"/>
    <w:rsid w:val="00291A9D"/>
    <w:rsid w:val="00291AE0"/>
    <w:rsid w:val="00291EDF"/>
    <w:rsid w:val="00292600"/>
    <w:rsid w:val="00292A04"/>
    <w:rsid w:val="00293265"/>
    <w:rsid w:val="0029339D"/>
    <w:rsid w:val="002933E6"/>
    <w:rsid w:val="002933E9"/>
    <w:rsid w:val="00293831"/>
    <w:rsid w:val="00293843"/>
    <w:rsid w:val="00293DDE"/>
    <w:rsid w:val="00293EDD"/>
    <w:rsid w:val="0029408F"/>
    <w:rsid w:val="0029459C"/>
    <w:rsid w:val="002949B6"/>
    <w:rsid w:val="00294D01"/>
    <w:rsid w:val="00294DF1"/>
    <w:rsid w:val="00295411"/>
    <w:rsid w:val="00295423"/>
    <w:rsid w:val="002957B1"/>
    <w:rsid w:val="002960AD"/>
    <w:rsid w:val="00296FD5"/>
    <w:rsid w:val="002976F2"/>
    <w:rsid w:val="002978D3"/>
    <w:rsid w:val="002979DC"/>
    <w:rsid w:val="002A0085"/>
    <w:rsid w:val="002A035C"/>
    <w:rsid w:val="002A091C"/>
    <w:rsid w:val="002A0A1A"/>
    <w:rsid w:val="002A0B13"/>
    <w:rsid w:val="002A0F8C"/>
    <w:rsid w:val="002A14C6"/>
    <w:rsid w:val="002A1CB2"/>
    <w:rsid w:val="002A1EF0"/>
    <w:rsid w:val="002A1F5B"/>
    <w:rsid w:val="002A1FB8"/>
    <w:rsid w:val="002A292F"/>
    <w:rsid w:val="002A2C82"/>
    <w:rsid w:val="002A2E86"/>
    <w:rsid w:val="002A4259"/>
    <w:rsid w:val="002A4562"/>
    <w:rsid w:val="002A5684"/>
    <w:rsid w:val="002A5CAE"/>
    <w:rsid w:val="002A5EBD"/>
    <w:rsid w:val="002A5FC6"/>
    <w:rsid w:val="002A616F"/>
    <w:rsid w:val="002A6A83"/>
    <w:rsid w:val="002A6C5C"/>
    <w:rsid w:val="002A7932"/>
    <w:rsid w:val="002A7A7D"/>
    <w:rsid w:val="002A7A82"/>
    <w:rsid w:val="002A7D67"/>
    <w:rsid w:val="002B0575"/>
    <w:rsid w:val="002B0A4F"/>
    <w:rsid w:val="002B0E91"/>
    <w:rsid w:val="002B0F50"/>
    <w:rsid w:val="002B0F9B"/>
    <w:rsid w:val="002B1222"/>
    <w:rsid w:val="002B12D8"/>
    <w:rsid w:val="002B1805"/>
    <w:rsid w:val="002B2172"/>
    <w:rsid w:val="002B24CD"/>
    <w:rsid w:val="002B26B4"/>
    <w:rsid w:val="002B293D"/>
    <w:rsid w:val="002B2B32"/>
    <w:rsid w:val="002B2D35"/>
    <w:rsid w:val="002B2F0E"/>
    <w:rsid w:val="002B3641"/>
    <w:rsid w:val="002B3939"/>
    <w:rsid w:val="002B3A49"/>
    <w:rsid w:val="002B427F"/>
    <w:rsid w:val="002B4683"/>
    <w:rsid w:val="002B4C49"/>
    <w:rsid w:val="002B52FC"/>
    <w:rsid w:val="002B59A6"/>
    <w:rsid w:val="002B6C03"/>
    <w:rsid w:val="002B6EB4"/>
    <w:rsid w:val="002B6ECD"/>
    <w:rsid w:val="002B7196"/>
    <w:rsid w:val="002B75BE"/>
    <w:rsid w:val="002B77CE"/>
    <w:rsid w:val="002B7925"/>
    <w:rsid w:val="002B7B97"/>
    <w:rsid w:val="002C0554"/>
    <w:rsid w:val="002C0E03"/>
    <w:rsid w:val="002C1059"/>
    <w:rsid w:val="002C1670"/>
    <w:rsid w:val="002C23D4"/>
    <w:rsid w:val="002C2A44"/>
    <w:rsid w:val="002C3029"/>
    <w:rsid w:val="002C327E"/>
    <w:rsid w:val="002C328F"/>
    <w:rsid w:val="002C371B"/>
    <w:rsid w:val="002C4CD8"/>
    <w:rsid w:val="002C4CE8"/>
    <w:rsid w:val="002C5D78"/>
    <w:rsid w:val="002C66EB"/>
    <w:rsid w:val="002C66F3"/>
    <w:rsid w:val="002C720B"/>
    <w:rsid w:val="002C72CD"/>
    <w:rsid w:val="002C744D"/>
    <w:rsid w:val="002C7A6C"/>
    <w:rsid w:val="002D011A"/>
    <w:rsid w:val="002D1005"/>
    <w:rsid w:val="002D1015"/>
    <w:rsid w:val="002D14D9"/>
    <w:rsid w:val="002D14E2"/>
    <w:rsid w:val="002D18E3"/>
    <w:rsid w:val="002D1A52"/>
    <w:rsid w:val="002D1D01"/>
    <w:rsid w:val="002D2B4E"/>
    <w:rsid w:val="002D3358"/>
    <w:rsid w:val="002D3931"/>
    <w:rsid w:val="002D3F52"/>
    <w:rsid w:val="002D47BB"/>
    <w:rsid w:val="002D52FC"/>
    <w:rsid w:val="002D57CE"/>
    <w:rsid w:val="002D5E21"/>
    <w:rsid w:val="002D5FD2"/>
    <w:rsid w:val="002D621D"/>
    <w:rsid w:val="002D6DD6"/>
    <w:rsid w:val="002D6EFC"/>
    <w:rsid w:val="002D7492"/>
    <w:rsid w:val="002D7D73"/>
    <w:rsid w:val="002E07D3"/>
    <w:rsid w:val="002E097A"/>
    <w:rsid w:val="002E0E66"/>
    <w:rsid w:val="002E1241"/>
    <w:rsid w:val="002E1895"/>
    <w:rsid w:val="002E342A"/>
    <w:rsid w:val="002E36B6"/>
    <w:rsid w:val="002E39D6"/>
    <w:rsid w:val="002E3A8B"/>
    <w:rsid w:val="002E3A96"/>
    <w:rsid w:val="002E4084"/>
    <w:rsid w:val="002E4628"/>
    <w:rsid w:val="002E4692"/>
    <w:rsid w:val="002E4E4E"/>
    <w:rsid w:val="002E4FDD"/>
    <w:rsid w:val="002E5AE6"/>
    <w:rsid w:val="002E6207"/>
    <w:rsid w:val="002E65AE"/>
    <w:rsid w:val="002E6BD7"/>
    <w:rsid w:val="002E76F1"/>
    <w:rsid w:val="002E7ABC"/>
    <w:rsid w:val="002E7E91"/>
    <w:rsid w:val="002F0111"/>
    <w:rsid w:val="002F0351"/>
    <w:rsid w:val="002F068F"/>
    <w:rsid w:val="002F13BA"/>
    <w:rsid w:val="002F14A2"/>
    <w:rsid w:val="002F1C10"/>
    <w:rsid w:val="002F1DD6"/>
    <w:rsid w:val="002F1FD5"/>
    <w:rsid w:val="002F23E8"/>
    <w:rsid w:val="002F2552"/>
    <w:rsid w:val="002F2857"/>
    <w:rsid w:val="002F28EB"/>
    <w:rsid w:val="002F2A9F"/>
    <w:rsid w:val="002F306E"/>
    <w:rsid w:val="002F313D"/>
    <w:rsid w:val="002F3D90"/>
    <w:rsid w:val="002F41AD"/>
    <w:rsid w:val="002F44D9"/>
    <w:rsid w:val="002F4933"/>
    <w:rsid w:val="002F4BD6"/>
    <w:rsid w:val="002F4BEB"/>
    <w:rsid w:val="002F4FBA"/>
    <w:rsid w:val="002F4FFC"/>
    <w:rsid w:val="002F5307"/>
    <w:rsid w:val="002F5316"/>
    <w:rsid w:val="002F62AE"/>
    <w:rsid w:val="002F64F4"/>
    <w:rsid w:val="002F684E"/>
    <w:rsid w:val="002F6BDF"/>
    <w:rsid w:val="002F70BD"/>
    <w:rsid w:val="002F735A"/>
    <w:rsid w:val="002F778D"/>
    <w:rsid w:val="0030070A"/>
    <w:rsid w:val="00300741"/>
    <w:rsid w:val="00300C78"/>
    <w:rsid w:val="00300CA5"/>
    <w:rsid w:val="0030228C"/>
    <w:rsid w:val="00303966"/>
    <w:rsid w:val="00303A0A"/>
    <w:rsid w:val="00303CC2"/>
    <w:rsid w:val="003045F0"/>
    <w:rsid w:val="0030460A"/>
    <w:rsid w:val="00304908"/>
    <w:rsid w:val="00304F7D"/>
    <w:rsid w:val="003054BB"/>
    <w:rsid w:val="00305730"/>
    <w:rsid w:val="00305B64"/>
    <w:rsid w:val="003061D3"/>
    <w:rsid w:val="003065FA"/>
    <w:rsid w:val="00306631"/>
    <w:rsid w:val="00307299"/>
    <w:rsid w:val="003078FE"/>
    <w:rsid w:val="00307D43"/>
    <w:rsid w:val="0031081A"/>
    <w:rsid w:val="00310AA5"/>
    <w:rsid w:val="00310B4F"/>
    <w:rsid w:val="00310C3F"/>
    <w:rsid w:val="00310D3B"/>
    <w:rsid w:val="00310F87"/>
    <w:rsid w:val="003110D2"/>
    <w:rsid w:val="00311393"/>
    <w:rsid w:val="00311865"/>
    <w:rsid w:val="00312383"/>
    <w:rsid w:val="0031243D"/>
    <w:rsid w:val="00312538"/>
    <w:rsid w:val="00312E17"/>
    <w:rsid w:val="00313042"/>
    <w:rsid w:val="00313793"/>
    <w:rsid w:val="00313947"/>
    <w:rsid w:val="00313AAA"/>
    <w:rsid w:val="003140B8"/>
    <w:rsid w:val="00314695"/>
    <w:rsid w:val="00315046"/>
    <w:rsid w:val="00315873"/>
    <w:rsid w:val="00315D50"/>
    <w:rsid w:val="00315DCA"/>
    <w:rsid w:val="00316178"/>
    <w:rsid w:val="00316676"/>
    <w:rsid w:val="00316A24"/>
    <w:rsid w:val="003170BC"/>
    <w:rsid w:val="003178A9"/>
    <w:rsid w:val="00317EA2"/>
    <w:rsid w:val="00321169"/>
    <w:rsid w:val="00321D55"/>
    <w:rsid w:val="00321D60"/>
    <w:rsid w:val="00322162"/>
    <w:rsid w:val="0032288A"/>
    <w:rsid w:val="003235DD"/>
    <w:rsid w:val="00323C2B"/>
    <w:rsid w:val="00323DAE"/>
    <w:rsid w:val="003248E0"/>
    <w:rsid w:val="00324992"/>
    <w:rsid w:val="00324A4C"/>
    <w:rsid w:val="00324F92"/>
    <w:rsid w:val="003260E8"/>
    <w:rsid w:val="003262AE"/>
    <w:rsid w:val="0032714E"/>
    <w:rsid w:val="00327710"/>
    <w:rsid w:val="00327841"/>
    <w:rsid w:val="00327B51"/>
    <w:rsid w:val="00330682"/>
    <w:rsid w:val="00330D4D"/>
    <w:rsid w:val="00330E30"/>
    <w:rsid w:val="00330FD1"/>
    <w:rsid w:val="00331F3F"/>
    <w:rsid w:val="00332695"/>
    <w:rsid w:val="003329BC"/>
    <w:rsid w:val="00332DA6"/>
    <w:rsid w:val="003335AE"/>
    <w:rsid w:val="00333AA2"/>
    <w:rsid w:val="00333C52"/>
    <w:rsid w:val="00333DD6"/>
    <w:rsid w:val="00334717"/>
    <w:rsid w:val="00334E25"/>
    <w:rsid w:val="00334F48"/>
    <w:rsid w:val="00334F5A"/>
    <w:rsid w:val="003354D9"/>
    <w:rsid w:val="0033566B"/>
    <w:rsid w:val="00336066"/>
    <w:rsid w:val="003368AF"/>
    <w:rsid w:val="00336D73"/>
    <w:rsid w:val="00336EF5"/>
    <w:rsid w:val="0033799F"/>
    <w:rsid w:val="00340003"/>
    <w:rsid w:val="00340075"/>
    <w:rsid w:val="00340F68"/>
    <w:rsid w:val="0034101D"/>
    <w:rsid w:val="00342290"/>
    <w:rsid w:val="0034289C"/>
    <w:rsid w:val="003429FD"/>
    <w:rsid w:val="00342D43"/>
    <w:rsid w:val="00342DAE"/>
    <w:rsid w:val="00342E00"/>
    <w:rsid w:val="0034327A"/>
    <w:rsid w:val="003436F0"/>
    <w:rsid w:val="00343816"/>
    <w:rsid w:val="00343C45"/>
    <w:rsid w:val="003448F2"/>
    <w:rsid w:val="00344E77"/>
    <w:rsid w:val="0034528F"/>
    <w:rsid w:val="003454D1"/>
    <w:rsid w:val="003458E3"/>
    <w:rsid w:val="00345970"/>
    <w:rsid w:val="00346659"/>
    <w:rsid w:val="00346838"/>
    <w:rsid w:val="00346F42"/>
    <w:rsid w:val="00347416"/>
    <w:rsid w:val="003474AC"/>
    <w:rsid w:val="00347706"/>
    <w:rsid w:val="0035022E"/>
    <w:rsid w:val="003507B7"/>
    <w:rsid w:val="0035112A"/>
    <w:rsid w:val="0035121E"/>
    <w:rsid w:val="003517E3"/>
    <w:rsid w:val="0035183D"/>
    <w:rsid w:val="003518CB"/>
    <w:rsid w:val="00351DA0"/>
    <w:rsid w:val="00351E4B"/>
    <w:rsid w:val="003520C4"/>
    <w:rsid w:val="00352569"/>
    <w:rsid w:val="003526C5"/>
    <w:rsid w:val="0035381C"/>
    <w:rsid w:val="00353861"/>
    <w:rsid w:val="00353B45"/>
    <w:rsid w:val="00353CC1"/>
    <w:rsid w:val="00354125"/>
    <w:rsid w:val="0035418E"/>
    <w:rsid w:val="003549AA"/>
    <w:rsid w:val="00354B3A"/>
    <w:rsid w:val="00354ECB"/>
    <w:rsid w:val="00355348"/>
    <w:rsid w:val="003557F7"/>
    <w:rsid w:val="00355820"/>
    <w:rsid w:val="00355B28"/>
    <w:rsid w:val="003566A7"/>
    <w:rsid w:val="00356843"/>
    <w:rsid w:val="003603C7"/>
    <w:rsid w:val="0036055B"/>
    <w:rsid w:val="0036080D"/>
    <w:rsid w:val="00360E68"/>
    <w:rsid w:val="00361358"/>
    <w:rsid w:val="003616C8"/>
    <w:rsid w:val="00361F4C"/>
    <w:rsid w:val="00362602"/>
    <w:rsid w:val="00362B31"/>
    <w:rsid w:val="00362E41"/>
    <w:rsid w:val="00363CBA"/>
    <w:rsid w:val="003643FE"/>
    <w:rsid w:val="00364C4C"/>
    <w:rsid w:val="003654C5"/>
    <w:rsid w:val="00365923"/>
    <w:rsid w:val="00365CE4"/>
    <w:rsid w:val="0036605A"/>
    <w:rsid w:val="00366331"/>
    <w:rsid w:val="00366EA8"/>
    <w:rsid w:val="00367ABE"/>
    <w:rsid w:val="00367CB5"/>
    <w:rsid w:val="00367EE3"/>
    <w:rsid w:val="00370E8D"/>
    <w:rsid w:val="0037106E"/>
    <w:rsid w:val="0037265A"/>
    <w:rsid w:val="00372BBC"/>
    <w:rsid w:val="00372D57"/>
    <w:rsid w:val="003740AB"/>
    <w:rsid w:val="00374763"/>
    <w:rsid w:val="003758B2"/>
    <w:rsid w:val="00375B13"/>
    <w:rsid w:val="00377048"/>
    <w:rsid w:val="003771A3"/>
    <w:rsid w:val="00380787"/>
    <w:rsid w:val="0038089C"/>
    <w:rsid w:val="00380B71"/>
    <w:rsid w:val="0038180D"/>
    <w:rsid w:val="00381AF7"/>
    <w:rsid w:val="00381F1A"/>
    <w:rsid w:val="00382676"/>
    <w:rsid w:val="003829D7"/>
    <w:rsid w:val="00382FD7"/>
    <w:rsid w:val="00383150"/>
    <w:rsid w:val="00383B36"/>
    <w:rsid w:val="00383FD7"/>
    <w:rsid w:val="0038416F"/>
    <w:rsid w:val="00384A43"/>
    <w:rsid w:val="00384BD9"/>
    <w:rsid w:val="00384D85"/>
    <w:rsid w:val="00384EFF"/>
    <w:rsid w:val="00385523"/>
    <w:rsid w:val="003857FE"/>
    <w:rsid w:val="00385BD2"/>
    <w:rsid w:val="003869D7"/>
    <w:rsid w:val="00386CF5"/>
    <w:rsid w:val="00386DE9"/>
    <w:rsid w:val="0038742A"/>
    <w:rsid w:val="00387609"/>
    <w:rsid w:val="00387806"/>
    <w:rsid w:val="00387885"/>
    <w:rsid w:val="00390A95"/>
    <w:rsid w:val="003910CD"/>
    <w:rsid w:val="003922B1"/>
    <w:rsid w:val="00392425"/>
    <w:rsid w:val="00392475"/>
    <w:rsid w:val="003924DF"/>
    <w:rsid w:val="00392517"/>
    <w:rsid w:val="003928D8"/>
    <w:rsid w:val="00392D23"/>
    <w:rsid w:val="00392DDF"/>
    <w:rsid w:val="00392F0D"/>
    <w:rsid w:val="00392FAD"/>
    <w:rsid w:val="00393577"/>
    <w:rsid w:val="00393BB3"/>
    <w:rsid w:val="00393E4B"/>
    <w:rsid w:val="0039476E"/>
    <w:rsid w:val="003950D9"/>
    <w:rsid w:val="003953D3"/>
    <w:rsid w:val="003959B5"/>
    <w:rsid w:val="00396005"/>
    <w:rsid w:val="0039604B"/>
    <w:rsid w:val="00396227"/>
    <w:rsid w:val="00396814"/>
    <w:rsid w:val="00397361"/>
    <w:rsid w:val="003A0990"/>
    <w:rsid w:val="003A09C1"/>
    <w:rsid w:val="003A0A1C"/>
    <w:rsid w:val="003A0AAA"/>
    <w:rsid w:val="003A0B42"/>
    <w:rsid w:val="003A0F8A"/>
    <w:rsid w:val="003A170D"/>
    <w:rsid w:val="003A2157"/>
    <w:rsid w:val="003A2B44"/>
    <w:rsid w:val="003A38CC"/>
    <w:rsid w:val="003A3B94"/>
    <w:rsid w:val="003A4043"/>
    <w:rsid w:val="003A43E1"/>
    <w:rsid w:val="003A594A"/>
    <w:rsid w:val="003A595F"/>
    <w:rsid w:val="003A597E"/>
    <w:rsid w:val="003A5DC5"/>
    <w:rsid w:val="003A6076"/>
    <w:rsid w:val="003A6BC8"/>
    <w:rsid w:val="003A77E5"/>
    <w:rsid w:val="003A7900"/>
    <w:rsid w:val="003A7D61"/>
    <w:rsid w:val="003A7D8B"/>
    <w:rsid w:val="003A7F2D"/>
    <w:rsid w:val="003B1541"/>
    <w:rsid w:val="003B2518"/>
    <w:rsid w:val="003B2BF1"/>
    <w:rsid w:val="003B2F33"/>
    <w:rsid w:val="003B377B"/>
    <w:rsid w:val="003B395A"/>
    <w:rsid w:val="003B4E50"/>
    <w:rsid w:val="003B4F6B"/>
    <w:rsid w:val="003B55A4"/>
    <w:rsid w:val="003B587F"/>
    <w:rsid w:val="003B5F6B"/>
    <w:rsid w:val="003B737A"/>
    <w:rsid w:val="003B751C"/>
    <w:rsid w:val="003B75C6"/>
    <w:rsid w:val="003C042F"/>
    <w:rsid w:val="003C0A71"/>
    <w:rsid w:val="003C0AE1"/>
    <w:rsid w:val="003C13C2"/>
    <w:rsid w:val="003C168C"/>
    <w:rsid w:val="003C1883"/>
    <w:rsid w:val="003C1F4C"/>
    <w:rsid w:val="003C2081"/>
    <w:rsid w:val="003C239D"/>
    <w:rsid w:val="003C2FD8"/>
    <w:rsid w:val="003C377B"/>
    <w:rsid w:val="003C3ABF"/>
    <w:rsid w:val="003C3C64"/>
    <w:rsid w:val="003C4166"/>
    <w:rsid w:val="003C5041"/>
    <w:rsid w:val="003C549A"/>
    <w:rsid w:val="003C5937"/>
    <w:rsid w:val="003C5E66"/>
    <w:rsid w:val="003C5F6F"/>
    <w:rsid w:val="003C6012"/>
    <w:rsid w:val="003C6043"/>
    <w:rsid w:val="003C631C"/>
    <w:rsid w:val="003C765B"/>
    <w:rsid w:val="003C7C2F"/>
    <w:rsid w:val="003D0383"/>
    <w:rsid w:val="003D04B0"/>
    <w:rsid w:val="003D097A"/>
    <w:rsid w:val="003D15F8"/>
    <w:rsid w:val="003D1EAC"/>
    <w:rsid w:val="003D2011"/>
    <w:rsid w:val="003D2353"/>
    <w:rsid w:val="003D2664"/>
    <w:rsid w:val="003D2884"/>
    <w:rsid w:val="003D2B38"/>
    <w:rsid w:val="003D2B56"/>
    <w:rsid w:val="003D2DAC"/>
    <w:rsid w:val="003D2FAE"/>
    <w:rsid w:val="003D3839"/>
    <w:rsid w:val="003D3B38"/>
    <w:rsid w:val="003D3BB7"/>
    <w:rsid w:val="003D3C04"/>
    <w:rsid w:val="003D49CE"/>
    <w:rsid w:val="003D5595"/>
    <w:rsid w:val="003D56F5"/>
    <w:rsid w:val="003D5B4A"/>
    <w:rsid w:val="003D61A0"/>
    <w:rsid w:val="003D6AC9"/>
    <w:rsid w:val="003D6C80"/>
    <w:rsid w:val="003D7213"/>
    <w:rsid w:val="003D7B43"/>
    <w:rsid w:val="003E0942"/>
    <w:rsid w:val="003E09CD"/>
    <w:rsid w:val="003E0B5F"/>
    <w:rsid w:val="003E119C"/>
    <w:rsid w:val="003E1511"/>
    <w:rsid w:val="003E174D"/>
    <w:rsid w:val="003E17F1"/>
    <w:rsid w:val="003E19A5"/>
    <w:rsid w:val="003E1F6F"/>
    <w:rsid w:val="003E20E5"/>
    <w:rsid w:val="003E2281"/>
    <w:rsid w:val="003E27A7"/>
    <w:rsid w:val="003E2B95"/>
    <w:rsid w:val="003E2C19"/>
    <w:rsid w:val="003E442C"/>
    <w:rsid w:val="003E4A58"/>
    <w:rsid w:val="003E4A9E"/>
    <w:rsid w:val="003E4DC9"/>
    <w:rsid w:val="003E58F8"/>
    <w:rsid w:val="003E5F4E"/>
    <w:rsid w:val="003E68D5"/>
    <w:rsid w:val="003E6DC7"/>
    <w:rsid w:val="003E7329"/>
    <w:rsid w:val="003E7E40"/>
    <w:rsid w:val="003E7FF8"/>
    <w:rsid w:val="003F0391"/>
    <w:rsid w:val="003F10CC"/>
    <w:rsid w:val="003F117E"/>
    <w:rsid w:val="003F1490"/>
    <w:rsid w:val="003F1A9A"/>
    <w:rsid w:val="003F1ADB"/>
    <w:rsid w:val="003F1D6B"/>
    <w:rsid w:val="003F2199"/>
    <w:rsid w:val="003F2896"/>
    <w:rsid w:val="003F2B6E"/>
    <w:rsid w:val="003F2DC4"/>
    <w:rsid w:val="003F2EC1"/>
    <w:rsid w:val="003F350B"/>
    <w:rsid w:val="003F3B37"/>
    <w:rsid w:val="003F3BF4"/>
    <w:rsid w:val="003F3D0E"/>
    <w:rsid w:val="003F46D5"/>
    <w:rsid w:val="003F4B51"/>
    <w:rsid w:val="003F50BB"/>
    <w:rsid w:val="003F5663"/>
    <w:rsid w:val="003F56FD"/>
    <w:rsid w:val="003F6547"/>
    <w:rsid w:val="003F6A54"/>
    <w:rsid w:val="003F6BE1"/>
    <w:rsid w:val="003F732A"/>
    <w:rsid w:val="003F7364"/>
    <w:rsid w:val="003F7615"/>
    <w:rsid w:val="004006D9"/>
    <w:rsid w:val="0040093F"/>
    <w:rsid w:val="00400D64"/>
    <w:rsid w:val="004010B7"/>
    <w:rsid w:val="00401A46"/>
    <w:rsid w:val="00401C4F"/>
    <w:rsid w:val="00401FE6"/>
    <w:rsid w:val="00402406"/>
    <w:rsid w:val="0040256B"/>
    <w:rsid w:val="004025D2"/>
    <w:rsid w:val="00402727"/>
    <w:rsid w:val="00402C7F"/>
    <w:rsid w:val="00402ECB"/>
    <w:rsid w:val="00402FBF"/>
    <w:rsid w:val="00403742"/>
    <w:rsid w:val="004038B9"/>
    <w:rsid w:val="00403F1E"/>
    <w:rsid w:val="0040459D"/>
    <w:rsid w:val="004048C2"/>
    <w:rsid w:val="00405232"/>
    <w:rsid w:val="004054FC"/>
    <w:rsid w:val="0040651E"/>
    <w:rsid w:val="004067A8"/>
    <w:rsid w:val="00407901"/>
    <w:rsid w:val="00407C08"/>
    <w:rsid w:val="0041031C"/>
    <w:rsid w:val="00410A0C"/>
    <w:rsid w:val="00410C0F"/>
    <w:rsid w:val="004116F2"/>
    <w:rsid w:val="004117C4"/>
    <w:rsid w:val="004117E8"/>
    <w:rsid w:val="00411974"/>
    <w:rsid w:val="00412B76"/>
    <w:rsid w:val="00413261"/>
    <w:rsid w:val="004138F1"/>
    <w:rsid w:val="004155B1"/>
    <w:rsid w:val="004158F0"/>
    <w:rsid w:val="00416B92"/>
    <w:rsid w:val="00416C31"/>
    <w:rsid w:val="00416EFE"/>
    <w:rsid w:val="004170A3"/>
    <w:rsid w:val="00417EA0"/>
    <w:rsid w:val="0042093A"/>
    <w:rsid w:val="00420B33"/>
    <w:rsid w:val="00420BC0"/>
    <w:rsid w:val="00420E17"/>
    <w:rsid w:val="00420F67"/>
    <w:rsid w:val="0042115D"/>
    <w:rsid w:val="00421383"/>
    <w:rsid w:val="004213E1"/>
    <w:rsid w:val="00421660"/>
    <w:rsid w:val="00421EFD"/>
    <w:rsid w:val="0042258E"/>
    <w:rsid w:val="004228F4"/>
    <w:rsid w:val="00423131"/>
    <w:rsid w:val="0042354D"/>
    <w:rsid w:val="0042362E"/>
    <w:rsid w:val="004236E1"/>
    <w:rsid w:val="00424035"/>
    <w:rsid w:val="004241C4"/>
    <w:rsid w:val="00424BE7"/>
    <w:rsid w:val="00424C6E"/>
    <w:rsid w:val="00425BEC"/>
    <w:rsid w:val="00425D59"/>
    <w:rsid w:val="00425E8F"/>
    <w:rsid w:val="00426352"/>
    <w:rsid w:val="00426493"/>
    <w:rsid w:val="00427739"/>
    <w:rsid w:val="00430616"/>
    <w:rsid w:val="004319C1"/>
    <w:rsid w:val="00431FCF"/>
    <w:rsid w:val="00432996"/>
    <w:rsid w:val="00433502"/>
    <w:rsid w:val="0043467C"/>
    <w:rsid w:val="004348EA"/>
    <w:rsid w:val="00435049"/>
    <w:rsid w:val="004352E6"/>
    <w:rsid w:val="0043535F"/>
    <w:rsid w:val="00435386"/>
    <w:rsid w:val="0043541F"/>
    <w:rsid w:val="00435D0E"/>
    <w:rsid w:val="004360F9"/>
    <w:rsid w:val="0043619B"/>
    <w:rsid w:val="00436EF4"/>
    <w:rsid w:val="0043769A"/>
    <w:rsid w:val="00437A20"/>
    <w:rsid w:val="004400C5"/>
    <w:rsid w:val="00440211"/>
    <w:rsid w:val="00440988"/>
    <w:rsid w:val="00440F0D"/>
    <w:rsid w:val="0044108E"/>
    <w:rsid w:val="00441416"/>
    <w:rsid w:val="00441620"/>
    <w:rsid w:val="00441BA5"/>
    <w:rsid w:val="00442738"/>
    <w:rsid w:val="00442991"/>
    <w:rsid w:val="00442A7A"/>
    <w:rsid w:val="00442B41"/>
    <w:rsid w:val="00442C78"/>
    <w:rsid w:val="00442C7F"/>
    <w:rsid w:val="00443000"/>
    <w:rsid w:val="00443193"/>
    <w:rsid w:val="004437FC"/>
    <w:rsid w:val="004438EE"/>
    <w:rsid w:val="00443C43"/>
    <w:rsid w:val="00444009"/>
    <w:rsid w:val="00444100"/>
    <w:rsid w:val="00444DC6"/>
    <w:rsid w:val="00444EA0"/>
    <w:rsid w:val="004450A3"/>
    <w:rsid w:val="00445286"/>
    <w:rsid w:val="004452F6"/>
    <w:rsid w:val="00445468"/>
    <w:rsid w:val="00445483"/>
    <w:rsid w:val="00446AAE"/>
    <w:rsid w:val="00446D98"/>
    <w:rsid w:val="00447D50"/>
    <w:rsid w:val="00447E6B"/>
    <w:rsid w:val="00447E96"/>
    <w:rsid w:val="0045096D"/>
    <w:rsid w:val="00451004"/>
    <w:rsid w:val="00451109"/>
    <w:rsid w:val="00451AE8"/>
    <w:rsid w:val="00451EA1"/>
    <w:rsid w:val="00451F10"/>
    <w:rsid w:val="004523AC"/>
    <w:rsid w:val="00452625"/>
    <w:rsid w:val="004527F3"/>
    <w:rsid w:val="00452BE3"/>
    <w:rsid w:val="00452EEB"/>
    <w:rsid w:val="004538C8"/>
    <w:rsid w:val="00453C2E"/>
    <w:rsid w:val="00453F86"/>
    <w:rsid w:val="0045444A"/>
    <w:rsid w:val="004546CA"/>
    <w:rsid w:val="00454781"/>
    <w:rsid w:val="00454C88"/>
    <w:rsid w:val="00454D89"/>
    <w:rsid w:val="00455B74"/>
    <w:rsid w:val="004560FE"/>
    <w:rsid w:val="00456D09"/>
    <w:rsid w:val="0045726B"/>
    <w:rsid w:val="00457B56"/>
    <w:rsid w:val="00460AED"/>
    <w:rsid w:val="00461002"/>
    <w:rsid w:val="00461758"/>
    <w:rsid w:val="00461CC4"/>
    <w:rsid w:val="004623D7"/>
    <w:rsid w:val="004624CC"/>
    <w:rsid w:val="00462C57"/>
    <w:rsid w:val="004638A9"/>
    <w:rsid w:val="00463D08"/>
    <w:rsid w:val="00464426"/>
    <w:rsid w:val="00464674"/>
    <w:rsid w:val="004646EA"/>
    <w:rsid w:val="00464958"/>
    <w:rsid w:val="00464E61"/>
    <w:rsid w:val="0046589B"/>
    <w:rsid w:val="00465C8C"/>
    <w:rsid w:val="00465CED"/>
    <w:rsid w:val="00465D3E"/>
    <w:rsid w:val="004661BD"/>
    <w:rsid w:val="00466355"/>
    <w:rsid w:val="0046650E"/>
    <w:rsid w:val="00466FA8"/>
    <w:rsid w:val="004675D5"/>
    <w:rsid w:val="004702C6"/>
    <w:rsid w:val="00470637"/>
    <w:rsid w:val="004707D2"/>
    <w:rsid w:val="00470A54"/>
    <w:rsid w:val="00470A8A"/>
    <w:rsid w:val="00471018"/>
    <w:rsid w:val="0047126D"/>
    <w:rsid w:val="00471339"/>
    <w:rsid w:val="0047165C"/>
    <w:rsid w:val="00471766"/>
    <w:rsid w:val="00471B63"/>
    <w:rsid w:val="00472385"/>
    <w:rsid w:val="004725F7"/>
    <w:rsid w:val="00472873"/>
    <w:rsid w:val="004729A3"/>
    <w:rsid w:val="00472A06"/>
    <w:rsid w:val="004730DC"/>
    <w:rsid w:val="004739B0"/>
    <w:rsid w:val="00473A86"/>
    <w:rsid w:val="00473C0B"/>
    <w:rsid w:val="0047418D"/>
    <w:rsid w:val="00474514"/>
    <w:rsid w:val="00474E22"/>
    <w:rsid w:val="00474FD8"/>
    <w:rsid w:val="0047536D"/>
    <w:rsid w:val="0047542D"/>
    <w:rsid w:val="0047547A"/>
    <w:rsid w:val="004755C0"/>
    <w:rsid w:val="004757E2"/>
    <w:rsid w:val="00475C58"/>
    <w:rsid w:val="00475C7A"/>
    <w:rsid w:val="00476B33"/>
    <w:rsid w:val="00476C74"/>
    <w:rsid w:val="0047760A"/>
    <w:rsid w:val="00477829"/>
    <w:rsid w:val="00480050"/>
    <w:rsid w:val="0048063E"/>
    <w:rsid w:val="0048168E"/>
    <w:rsid w:val="00481B51"/>
    <w:rsid w:val="00481B94"/>
    <w:rsid w:val="00481DB5"/>
    <w:rsid w:val="004826E1"/>
    <w:rsid w:val="00482AA9"/>
    <w:rsid w:val="00482D81"/>
    <w:rsid w:val="004833B6"/>
    <w:rsid w:val="00483462"/>
    <w:rsid w:val="00483AA3"/>
    <w:rsid w:val="00483EB5"/>
    <w:rsid w:val="00484019"/>
    <w:rsid w:val="004845F1"/>
    <w:rsid w:val="00484A96"/>
    <w:rsid w:val="00484FF4"/>
    <w:rsid w:val="0048565C"/>
    <w:rsid w:val="004862FA"/>
    <w:rsid w:val="00486441"/>
    <w:rsid w:val="0048692E"/>
    <w:rsid w:val="00486BE8"/>
    <w:rsid w:val="0048735C"/>
    <w:rsid w:val="004878FF"/>
    <w:rsid w:val="00487E28"/>
    <w:rsid w:val="0049002C"/>
    <w:rsid w:val="004903BA"/>
    <w:rsid w:val="0049040B"/>
    <w:rsid w:val="00490540"/>
    <w:rsid w:val="00490832"/>
    <w:rsid w:val="004908E4"/>
    <w:rsid w:val="00490C7B"/>
    <w:rsid w:val="00490CD6"/>
    <w:rsid w:val="0049128B"/>
    <w:rsid w:val="004914B2"/>
    <w:rsid w:val="00491998"/>
    <w:rsid w:val="00492038"/>
    <w:rsid w:val="00492563"/>
    <w:rsid w:val="004927EA"/>
    <w:rsid w:val="004931C0"/>
    <w:rsid w:val="004938D2"/>
    <w:rsid w:val="00493B28"/>
    <w:rsid w:val="00493D82"/>
    <w:rsid w:val="00493E92"/>
    <w:rsid w:val="00494062"/>
    <w:rsid w:val="00494825"/>
    <w:rsid w:val="0049583F"/>
    <w:rsid w:val="0049672A"/>
    <w:rsid w:val="00496E02"/>
    <w:rsid w:val="00497540"/>
    <w:rsid w:val="00497678"/>
    <w:rsid w:val="0049774C"/>
    <w:rsid w:val="00497A03"/>
    <w:rsid w:val="00497F00"/>
    <w:rsid w:val="004A012E"/>
    <w:rsid w:val="004A0409"/>
    <w:rsid w:val="004A07A4"/>
    <w:rsid w:val="004A09A3"/>
    <w:rsid w:val="004A0A77"/>
    <w:rsid w:val="004A1076"/>
    <w:rsid w:val="004A17FF"/>
    <w:rsid w:val="004A31C2"/>
    <w:rsid w:val="004A3DB1"/>
    <w:rsid w:val="004A3FE6"/>
    <w:rsid w:val="004A41E4"/>
    <w:rsid w:val="004A41F3"/>
    <w:rsid w:val="004A4CBA"/>
    <w:rsid w:val="004A51AF"/>
    <w:rsid w:val="004A59AC"/>
    <w:rsid w:val="004A59EE"/>
    <w:rsid w:val="004A5A68"/>
    <w:rsid w:val="004A62FE"/>
    <w:rsid w:val="004A648F"/>
    <w:rsid w:val="004A68F3"/>
    <w:rsid w:val="004A698E"/>
    <w:rsid w:val="004A7105"/>
    <w:rsid w:val="004A793E"/>
    <w:rsid w:val="004A7AB5"/>
    <w:rsid w:val="004B0394"/>
    <w:rsid w:val="004B0589"/>
    <w:rsid w:val="004B0D96"/>
    <w:rsid w:val="004B14B7"/>
    <w:rsid w:val="004B17D5"/>
    <w:rsid w:val="004B1A59"/>
    <w:rsid w:val="004B1A99"/>
    <w:rsid w:val="004B1AF2"/>
    <w:rsid w:val="004B2F7F"/>
    <w:rsid w:val="004B32F0"/>
    <w:rsid w:val="004B380C"/>
    <w:rsid w:val="004B3E2B"/>
    <w:rsid w:val="004B3EE3"/>
    <w:rsid w:val="004B4585"/>
    <w:rsid w:val="004B4660"/>
    <w:rsid w:val="004B4963"/>
    <w:rsid w:val="004B4B80"/>
    <w:rsid w:val="004B58AE"/>
    <w:rsid w:val="004B5D91"/>
    <w:rsid w:val="004B7288"/>
    <w:rsid w:val="004B7E43"/>
    <w:rsid w:val="004C046C"/>
    <w:rsid w:val="004C0BA3"/>
    <w:rsid w:val="004C120D"/>
    <w:rsid w:val="004C155A"/>
    <w:rsid w:val="004C1966"/>
    <w:rsid w:val="004C1E97"/>
    <w:rsid w:val="004C2264"/>
    <w:rsid w:val="004C2CCB"/>
    <w:rsid w:val="004C2E15"/>
    <w:rsid w:val="004C2F01"/>
    <w:rsid w:val="004C307C"/>
    <w:rsid w:val="004C3785"/>
    <w:rsid w:val="004C454F"/>
    <w:rsid w:val="004C4C09"/>
    <w:rsid w:val="004C4D38"/>
    <w:rsid w:val="004C53AA"/>
    <w:rsid w:val="004C5C39"/>
    <w:rsid w:val="004C5FDB"/>
    <w:rsid w:val="004C619A"/>
    <w:rsid w:val="004C619F"/>
    <w:rsid w:val="004C6357"/>
    <w:rsid w:val="004C687A"/>
    <w:rsid w:val="004C692B"/>
    <w:rsid w:val="004C69AA"/>
    <w:rsid w:val="004C6C7B"/>
    <w:rsid w:val="004C7749"/>
    <w:rsid w:val="004C7AB1"/>
    <w:rsid w:val="004D0D8B"/>
    <w:rsid w:val="004D1075"/>
    <w:rsid w:val="004D1A85"/>
    <w:rsid w:val="004D2AB4"/>
    <w:rsid w:val="004D2B6F"/>
    <w:rsid w:val="004D35C5"/>
    <w:rsid w:val="004D3621"/>
    <w:rsid w:val="004D3CB9"/>
    <w:rsid w:val="004D4029"/>
    <w:rsid w:val="004D4233"/>
    <w:rsid w:val="004D43A2"/>
    <w:rsid w:val="004D4644"/>
    <w:rsid w:val="004D4703"/>
    <w:rsid w:val="004D47D2"/>
    <w:rsid w:val="004D4B44"/>
    <w:rsid w:val="004D51C3"/>
    <w:rsid w:val="004D56FE"/>
    <w:rsid w:val="004D5EA4"/>
    <w:rsid w:val="004D5EC8"/>
    <w:rsid w:val="004D5F2C"/>
    <w:rsid w:val="004D62B9"/>
    <w:rsid w:val="004D6A33"/>
    <w:rsid w:val="004D6BC2"/>
    <w:rsid w:val="004D74D4"/>
    <w:rsid w:val="004D7629"/>
    <w:rsid w:val="004D774B"/>
    <w:rsid w:val="004D7763"/>
    <w:rsid w:val="004D7A86"/>
    <w:rsid w:val="004E00FB"/>
    <w:rsid w:val="004E029E"/>
    <w:rsid w:val="004E0346"/>
    <w:rsid w:val="004E0DBD"/>
    <w:rsid w:val="004E134E"/>
    <w:rsid w:val="004E1DB5"/>
    <w:rsid w:val="004E2006"/>
    <w:rsid w:val="004E2106"/>
    <w:rsid w:val="004E24C2"/>
    <w:rsid w:val="004E27D9"/>
    <w:rsid w:val="004E2D90"/>
    <w:rsid w:val="004E355C"/>
    <w:rsid w:val="004E3613"/>
    <w:rsid w:val="004E3C8D"/>
    <w:rsid w:val="004E4712"/>
    <w:rsid w:val="004E4E6B"/>
    <w:rsid w:val="004E57AD"/>
    <w:rsid w:val="004E610A"/>
    <w:rsid w:val="004E6706"/>
    <w:rsid w:val="004E6B84"/>
    <w:rsid w:val="004E6C59"/>
    <w:rsid w:val="004E6E0A"/>
    <w:rsid w:val="004F0D88"/>
    <w:rsid w:val="004F0FA1"/>
    <w:rsid w:val="004F1D92"/>
    <w:rsid w:val="004F2233"/>
    <w:rsid w:val="004F2287"/>
    <w:rsid w:val="004F274E"/>
    <w:rsid w:val="004F3238"/>
    <w:rsid w:val="004F373B"/>
    <w:rsid w:val="004F3F30"/>
    <w:rsid w:val="004F446D"/>
    <w:rsid w:val="004F4551"/>
    <w:rsid w:val="004F4AAC"/>
    <w:rsid w:val="004F59B6"/>
    <w:rsid w:val="004F5A27"/>
    <w:rsid w:val="004F5E7F"/>
    <w:rsid w:val="004F6AF4"/>
    <w:rsid w:val="004F6EB4"/>
    <w:rsid w:val="004F717D"/>
    <w:rsid w:val="004F720F"/>
    <w:rsid w:val="004F721F"/>
    <w:rsid w:val="004F7321"/>
    <w:rsid w:val="004F74CB"/>
    <w:rsid w:val="004F75FC"/>
    <w:rsid w:val="004F76EB"/>
    <w:rsid w:val="004F78B5"/>
    <w:rsid w:val="00500197"/>
    <w:rsid w:val="00500747"/>
    <w:rsid w:val="00500932"/>
    <w:rsid w:val="00500D9A"/>
    <w:rsid w:val="00500DA1"/>
    <w:rsid w:val="0050130C"/>
    <w:rsid w:val="0050143B"/>
    <w:rsid w:val="00502077"/>
    <w:rsid w:val="005022F1"/>
    <w:rsid w:val="00502E01"/>
    <w:rsid w:val="005031CA"/>
    <w:rsid w:val="005032C1"/>
    <w:rsid w:val="00503306"/>
    <w:rsid w:val="005033E9"/>
    <w:rsid w:val="0050368D"/>
    <w:rsid w:val="0050395B"/>
    <w:rsid w:val="00503D23"/>
    <w:rsid w:val="00503DA3"/>
    <w:rsid w:val="0050407A"/>
    <w:rsid w:val="00504263"/>
    <w:rsid w:val="00504608"/>
    <w:rsid w:val="00504D35"/>
    <w:rsid w:val="005058BC"/>
    <w:rsid w:val="00505C9A"/>
    <w:rsid w:val="00505DE9"/>
    <w:rsid w:val="005065DA"/>
    <w:rsid w:val="00507180"/>
    <w:rsid w:val="005071E7"/>
    <w:rsid w:val="005074A9"/>
    <w:rsid w:val="005075A6"/>
    <w:rsid w:val="0050764E"/>
    <w:rsid w:val="00507B37"/>
    <w:rsid w:val="00510102"/>
    <w:rsid w:val="005104BA"/>
    <w:rsid w:val="005107F4"/>
    <w:rsid w:val="00510BEA"/>
    <w:rsid w:val="00510D10"/>
    <w:rsid w:val="0051208C"/>
    <w:rsid w:val="00512B4A"/>
    <w:rsid w:val="00512B91"/>
    <w:rsid w:val="005135AD"/>
    <w:rsid w:val="00513A00"/>
    <w:rsid w:val="00513C06"/>
    <w:rsid w:val="00514039"/>
    <w:rsid w:val="005142C9"/>
    <w:rsid w:val="00514989"/>
    <w:rsid w:val="005151C7"/>
    <w:rsid w:val="005153C3"/>
    <w:rsid w:val="005153F6"/>
    <w:rsid w:val="0051571F"/>
    <w:rsid w:val="00515DCD"/>
    <w:rsid w:val="00515FA6"/>
    <w:rsid w:val="005162BB"/>
    <w:rsid w:val="00516C2F"/>
    <w:rsid w:val="00516D05"/>
    <w:rsid w:val="00516DFF"/>
    <w:rsid w:val="00517257"/>
    <w:rsid w:val="00517297"/>
    <w:rsid w:val="00517973"/>
    <w:rsid w:val="00517A98"/>
    <w:rsid w:val="005200D1"/>
    <w:rsid w:val="00520D97"/>
    <w:rsid w:val="00520E09"/>
    <w:rsid w:val="00520F99"/>
    <w:rsid w:val="00521387"/>
    <w:rsid w:val="00521891"/>
    <w:rsid w:val="005218AD"/>
    <w:rsid w:val="005222E2"/>
    <w:rsid w:val="005225B5"/>
    <w:rsid w:val="00522B27"/>
    <w:rsid w:val="00522CC5"/>
    <w:rsid w:val="00522F88"/>
    <w:rsid w:val="005237CC"/>
    <w:rsid w:val="00523973"/>
    <w:rsid w:val="00523D5E"/>
    <w:rsid w:val="005242E7"/>
    <w:rsid w:val="005243CE"/>
    <w:rsid w:val="00525718"/>
    <w:rsid w:val="005259E7"/>
    <w:rsid w:val="00525BEF"/>
    <w:rsid w:val="00525E7C"/>
    <w:rsid w:val="005261A9"/>
    <w:rsid w:val="005262F6"/>
    <w:rsid w:val="0052646C"/>
    <w:rsid w:val="00526655"/>
    <w:rsid w:val="00526730"/>
    <w:rsid w:val="00526AD2"/>
    <w:rsid w:val="00526ECC"/>
    <w:rsid w:val="0052723B"/>
    <w:rsid w:val="00527513"/>
    <w:rsid w:val="00530259"/>
    <w:rsid w:val="00530776"/>
    <w:rsid w:val="0053117D"/>
    <w:rsid w:val="0053159E"/>
    <w:rsid w:val="00531798"/>
    <w:rsid w:val="00531AB8"/>
    <w:rsid w:val="0053224C"/>
    <w:rsid w:val="005338BC"/>
    <w:rsid w:val="00533A72"/>
    <w:rsid w:val="00535369"/>
    <w:rsid w:val="00536219"/>
    <w:rsid w:val="0053687E"/>
    <w:rsid w:val="00536CD8"/>
    <w:rsid w:val="0053717A"/>
    <w:rsid w:val="005371ED"/>
    <w:rsid w:val="00537395"/>
    <w:rsid w:val="00537893"/>
    <w:rsid w:val="00540058"/>
    <w:rsid w:val="005400AC"/>
    <w:rsid w:val="00540622"/>
    <w:rsid w:val="00541068"/>
    <w:rsid w:val="00541C4C"/>
    <w:rsid w:val="00541CA7"/>
    <w:rsid w:val="005423D9"/>
    <w:rsid w:val="005423ED"/>
    <w:rsid w:val="00542423"/>
    <w:rsid w:val="0054274E"/>
    <w:rsid w:val="00542F78"/>
    <w:rsid w:val="00544C24"/>
    <w:rsid w:val="00544FF2"/>
    <w:rsid w:val="0054520C"/>
    <w:rsid w:val="00545716"/>
    <w:rsid w:val="00545843"/>
    <w:rsid w:val="00545D5F"/>
    <w:rsid w:val="00545FAC"/>
    <w:rsid w:val="00545FF0"/>
    <w:rsid w:val="00546E99"/>
    <w:rsid w:val="00546EAF"/>
    <w:rsid w:val="005473B0"/>
    <w:rsid w:val="00547C2D"/>
    <w:rsid w:val="00550237"/>
    <w:rsid w:val="005507F9"/>
    <w:rsid w:val="00550F55"/>
    <w:rsid w:val="00550FD6"/>
    <w:rsid w:val="00551E3D"/>
    <w:rsid w:val="00552498"/>
    <w:rsid w:val="005528CB"/>
    <w:rsid w:val="00552E21"/>
    <w:rsid w:val="00553108"/>
    <w:rsid w:val="005532CB"/>
    <w:rsid w:val="005536BC"/>
    <w:rsid w:val="005536C5"/>
    <w:rsid w:val="0055472F"/>
    <w:rsid w:val="00554B80"/>
    <w:rsid w:val="00554D3E"/>
    <w:rsid w:val="005555B4"/>
    <w:rsid w:val="005556A3"/>
    <w:rsid w:val="0055576C"/>
    <w:rsid w:val="00555893"/>
    <w:rsid w:val="00555DE6"/>
    <w:rsid w:val="00556008"/>
    <w:rsid w:val="005561D8"/>
    <w:rsid w:val="00556204"/>
    <w:rsid w:val="00556EBA"/>
    <w:rsid w:val="00557009"/>
    <w:rsid w:val="00557662"/>
    <w:rsid w:val="00557791"/>
    <w:rsid w:val="0055796C"/>
    <w:rsid w:val="005579F1"/>
    <w:rsid w:val="00557DE7"/>
    <w:rsid w:val="0056028D"/>
    <w:rsid w:val="00560D35"/>
    <w:rsid w:val="005610D5"/>
    <w:rsid w:val="00561211"/>
    <w:rsid w:val="005615DC"/>
    <w:rsid w:val="005618FE"/>
    <w:rsid w:val="00561C16"/>
    <w:rsid w:val="00562F0C"/>
    <w:rsid w:val="005635CE"/>
    <w:rsid w:val="00563AFE"/>
    <w:rsid w:val="00563CEE"/>
    <w:rsid w:val="00563F7D"/>
    <w:rsid w:val="00564200"/>
    <w:rsid w:val="00564A08"/>
    <w:rsid w:val="00565B74"/>
    <w:rsid w:val="00565F7B"/>
    <w:rsid w:val="0056614F"/>
    <w:rsid w:val="00566290"/>
    <w:rsid w:val="005667E7"/>
    <w:rsid w:val="00566975"/>
    <w:rsid w:val="005675C6"/>
    <w:rsid w:val="00567B46"/>
    <w:rsid w:val="00570CFC"/>
    <w:rsid w:val="0057238F"/>
    <w:rsid w:val="00572728"/>
    <w:rsid w:val="0057281D"/>
    <w:rsid w:val="00573026"/>
    <w:rsid w:val="00573133"/>
    <w:rsid w:val="005732C3"/>
    <w:rsid w:val="00573388"/>
    <w:rsid w:val="00573477"/>
    <w:rsid w:val="00573EB4"/>
    <w:rsid w:val="00575089"/>
    <w:rsid w:val="005753BE"/>
    <w:rsid w:val="0057542D"/>
    <w:rsid w:val="00575751"/>
    <w:rsid w:val="00575832"/>
    <w:rsid w:val="0057615B"/>
    <w:rsid w:val="005768A0"/>
    <w:rsid w:val="00577A59"/>
    <w:rsid w:val="00577CC5"/>
    <w:rsid w:val="005801DC"/>
    <w:rsid w:val="0058038A"/>
    <w:rsid w:val="005807D9"/>
    <w:rsid w:val="00580D0E"/>
    <w:rsid w:val="00580FE5"/>
    <w:rsid w:val="00581723"/>
    <w:rsid w:val="005818C1"/>
    <w:rsid w:val="00581A19"/>
    <w:rsid w:val="00581ECD"/>
    <w:rsid w:val="0058220C"/>
    <w:rsid w:val="0058268D"/>
    <w:rsid w:val="00582AF8"/>
    <w:rsid w:val="00582FC2"/>
    <w:rsid w:val="005831F8"/>
    <w:rsid w:val="0058369D"/>
    <w:rsid w:val="0058377F"/>
    <w:rsid w:val="00584D2F"/>
    <w:rsid w:val="00584EC5"/>
    <w:rsid w:val="0058524F"/>
    <w:rsid w:val="00585830"/>
    <w:rsid w:val="00586B02"/>
    <w:rsid w:val="00586C82"/>
    <w:rsid w:val="00586E1B"/>
    <w:rsid w:val="00586ECF"/>
    <w:rsid w:val="005872E0"/>
    <w:rsid w:val="00587914"/>
    <w:rsid w:val="00587DE2"/>
    <w:rsid w:val="00587EC5"/>
    <w:rsid w:val="005902F4"/>
    <w:rsid w:val="00591114"/>
    <w:rsid w:val="00591979"/>
    <w:rsid w:val="00591DFB"/>
    <w:rsid w:val="00591EB5"/>
    <w:rsid w:val="005921A1"/>
    <w:rsid w:val="005946B8"/>
    <w:rsid w:val="0059472D"/>
    <w:rsid w:val="0059483F"/>
    <w:rsid w:val="005949B9"/>
    <w:rsid w:val="00595124"/>
    <w:rsid w:val="00595F84"/>
    <w:rsid w:val="005965DF"/>
    <w:rsid w:val="005966E2"/>
    <w:rsid w:val="00596BEB"/>
    <w:rsid w:val="00596E85"/>
    <w:rsid w:val="0059741C"/>
    <w:rsid w:val="00597DDC"/>
    <w:rsid w:val="00597EE3"/>
    <w:rsid w:val="00597FD2"/>
    <w:rsid w:val="005A0827"/>
    <w:rsid w:val="005A090E"/>
    <w:rsid w:val="005A120F"/>
    <w:rsid w:val="005A1419"/>
    <w:rsid w:val="005A1687"/>
    <w:rsid w:val="005A17D9"/>
    <w:rsid w:val="005A1A54"/>
    <w:rsid w:val="005A1B41"/>
    <w:rsid w:val="005A1B6F"/>
    <w:rsid w:val="005A1C99"/>
    <w:rsid w:val="005A1D66"/>
    <w:rsid w:val="005A248F"/>
    <w:rsid w:val="005A27AD"/>
    <w:rsid w:val="005A31A5"/>
    <w:rsid w:val="005A321E"/>
    <w:rsid w:val="005A322B"/>
    <w:rsid w:val="005A3270"/>
    <w:rsid w:val="005A3D5D"/>
    <w:rsid w:val="005A44BA"/>
    <w:rsid w:val="005A4787"/>
    <w:rsid w:val="005A4D04"/>
    <w:rsid w:val="005A4D98"/>
    <w:rsid w:val="005A503E"/>
    <w:rsid w:val="005A50B7"/>
    <w:rsid w:val="005A5277"/>
    <w:rsid w:val="005A550A"/>
    <w:rsid w:val="005A551F"/>
    <w:rsid w:val="005A5719"/>
    <w:rsid w:val="005A5BA3"/>
    <w:rsid w:val="005A5CC1"/>
    <w:rsid w:val="005A6E38"/>
    <w:rsid w:val="005A6F0A"/>
    <w:rsid w:val="005A70B2"/>
    <w:rsid w:val="005A72A9"/>
    <w:rsid w:val="005A7348"/>
    <w:rsid w:val="005A7724"/>
    <w:rsid w:val="005B099E"/>
    <w:rsid w:val="005B0DC0"/>
    <w:rsid w:val="005B12B1"/>
    <w:rsid w:val="005B1431"/>
    <w:rsid w:val="005B209E"/>
    <w:rsid w:val="005B2398"/>
    <w:rsid w:val="005B23F1"/>
    <w:rsid w:val="005B240F"/>
    <w:rsid w:val="005B242A"/>
    <w:rsid w:val="005B2603"/>
    <w:rsid w:val="005B2772"/>
    <w:rsid w:val="005B287A"/>
    <w:rsid w:val="005B295F"/>
    <w:rsid w:val="005B30A7"/>
    <w:rsid w:val="005B3188"/>
    <w:rsid w:val="005B363F"/>
    <w:rsid w:val="005B3791"/>
    <w:rsid w:val="005B3B1D"/>
    <w:rsid w:val="005B3CF4"/>
    <w:rsid w:val="005B442F"/>
    <w:rsid w:val="005B5083"/>
    <w:rsid w:val="005B51EA"/>
    <w:rsid w:val="005B5715"/>
    <w:rsid w:val="005B775E"/>
    <w:rsid w:val="005B7D11"/>
    <w:rsid w:val="005C0457"/>
    <w:rsid w:val="005C0527"/>
    <w:rsid w:val="005C09F7"/>
    <w:rsid w:val="005C0F0B"/>
    <w:rsid w:val="005C0F13"/>
    <w:rsid w:val="005C184E"/>
    <w:rsid w:val="005C1BE7"/>
    <w:rsid w:val="005C1DD2"/>
    <w:rsid w:val="005C2176"/>
    <w:rsid w:val="005C25AA"/>
    <w:rsid w:val="005C2742"/>
    <w:rsid w:val="005C2810"/>
    <w:rsid w:val="005C3088"/>
    <w:rsid w:val="005C31E2"/>
    <w:rsid w:val="005C3752"/>
    <w:rsid w:val="005C38C3"/>
    <w:rsid w:val="005C40B2"/>
    <w:rsid w:val="005C475A"/>
    <w:rsid w:val="005C4A5C"/>
    <w:rsid w:val="005C4ECC"/>
    <w:rsid w:val="005C4F83"/>
    <w:rsid w:val="005C5A41"/>
    <w:rsid w:val="005C5BD7"/>
    <w:rsid w:val="005C5E2F"/>
    <w:rsid w:val="005C6228"/>
    <w:rsid w:val="005C679D"/>
    <w:rsid w:val="005C6A8C"/>
    <w:rsid w:val="005C6E3E"/>
    <w:rsid w:val="005C7236"/>
    <w:rsid w:val="005C7342"/>
    <w:rsid w:val="005C74C8"/>
    <w:rsid w:val="005C7EBD"/>
    <w:rsid w:val="005D061D"/>
    <w:rsid w:val="005D0EE3"/>
    <w:rsid w:val="005D0F43"/>
    <w:rsid w:val="005D1377"/>
    <w:rsid w:val="005D1626"/>
    <w:rsid w:val="005D2775"/>
    <w:rsid w:val="005D2BF0"/>
    <w:rsid w:val="005D64CF"/>
    <w:rsid w:val="005D70CC"/>
    <w:rsid w:val="005D71A2"/>
    <w:rsid w:val="005D7550"/>
    <w:rsid w:val="005D7703"/>
    <w:rsid w:val="005D7B0C"/>
    <w:rsid w:val="005E0383"/>
    <w:rsid w:val="005E03F6"/>
    <w:rsid w:val="005E0BC3"/>
    <w:rsid w:val="005E136C"/>
    <w:rsid w:val="005E17FA"/>
    <w:rsid w:val="005E1AD8"/>
    <w:rsid w:val="005E1D50"/>
    <w:rsid w:val="005E20A5"/>
    <w:rsid w:val="005E2411"/>
    <w:rsid w:val="005E254E"/>
    <w:rsid w:val="005E2FC7"/>
    <w:rsid w:val="005E3434"/>
    <w:rsid w:val="005E34D5"/>
    <w:rsid w:val="005E390B"/>
    <w:rsid w:val="005E390E"/>
    <w:rsid w:val="005E411D"/>
    <w:rsid w:val="005E4267"/>
    <w:rsid w:val="005E4460"/>
    <w:rsid w:val="005E4A1E"/>
    <w:rsid w:val="005E61BD"/>
    <w:rsid w:val="005E66DA"/>
    <w:rsid w:val="005E6CB3"/>
    <w:rsid w:val="005E77B5"/>
    <w:rsid w:val="005E792D"/>
    <w:rsid w:val="005E7BD9"/>
    <w:rsid w:val="005E7D01"/>
    <w:rsid w:val="005F06B7"/>
    <w:rsid w:val="005F0B7F"/>
    <w:rsid w:val="005F0C94"/>
    <w:rsid w:val="005F1626"/>
    <w:rsid w:val="005F17B1"/>
    <w:rsid w:val="005F2262"/>
    <w:rsid w:val="005F2630"/>
    <w:rsid w:val="005F265E"/>
    <w:rsid w:val="005F2662"/>
    <w:rsid w:val="005F2D7D"/>
    <w:rsid w:val="005F2DE7"/>
    <w:rsid w:val="005F33EE"/>
    <w:rsid w:val="005F4302"/>
    <w:rsid w:val="005F45AF"/>
    <w:rsid w:val="005F4624"/>
    <w:rsid w:val="005F47AF"/>
    <w:rsid w:val="005F4900"/>
    <w:rsid w:val="005F4EB2"/>
    <w:rsid w:val="005F5015"/>
    <w:rsid w:val="005F5470"/>
    <w:rsid w:val="005F594B"/>
    <w:rsid w:val="005F5956"/>
    <w:rsid w:val="005F6693"/>
    <w:rsid w:val="005F6DEF"/>
    <w:rsid w:val="005F7115"/>
    <w:rsid w:val="005F779F"/>
    <w:rsid w:val="006000B8"/>
    <w:rsid w:val="00600192"/>
    <w:rsid w:val="0060031B"/>
    <w:rsid w:val="00600822"/>
    <w:rsid w:val="006009FF"/>
    <w:rsid w:val="00600BCE"/>
    <w:rsid w:val="00600F5F"/>
    <w:rsid w:val="006013D6"/>
    <w:rsid w:val="006014BF"/>
    <w:rsid w:val="006020AE"/>
    <w:rsid w:val="00602B34"/>
    <w:rsid w:val="00603249"/>
    <w:rsid w:val="00603B53"/>
    <w:rsid w:val="00604093"/>
    <w:rsid w:val="00604230"/>
    <w:rsid w:val="006048E5"/>
    <w:rsid w:val="006048F8"/>
    <w:rsid w:val="00604B75"/>
    <w:rsid w:val="00604CAF"/>
    <w:rsid w:val="00604E52"/>
    <w:rsid w:val="00604E5B"/>
    <w:rsid w:val="0060538A"/>
    <w:rsid w:val="00605CB2"/>
    <w:rsid w:val="00605D19"/>
    <w:rsid w:val="00605F2A"/>
    <w:rsid w:val="00606308"/>
    <w:rsid w:val="0060657C"/>
    <w:rsid w:val="00606AB8"/>
    <w:rsid w:val="00606C96"/>
    <w:rsid w:val="00606CEF"/>
    <w:rsid w:val="006107F7"/>
    <w:rsid w:val="006109BE"/>
    <w:rsid w:val="00610A07"/>
    <w:rsid w:val="00611665"/>
    <w:rsid w:val="006116AC"/>
    <w:rsid w:val="00611A61"/>
    <w:rsid w:val="00611F2D"/>
    <w:rsid w:val="0061259A"/>
    <w:rsid w:val="0061272A"/>
    <w:rsid w:val="00612F60"/>
    <w:rsid w:val="0061320E"/>
    <w:rsid w:val="00613462"/>
    <w:rsid w:val="0061361C"/>
    <w:rsid w:val="00614469"/>
    <w:rsid w:val="00614A74"/>
    <w:rsid w:val="00615940"/>
    <w:rsid w:val="00615BBC"/>
    <w:rsid w:val="00615C27"/>
    <w:rsid w:val="00615CE3"/>
    <w:rsid w:val="00616499"/>
    <w:rsid w:val="00616523"/>
    <w:rsid w:val="00616B4F"/>
    <w:rsid w:val="00617216"/>
    <w:rsid w:val="006175AF"/>
    <w:rsid w:val="0061786D"/>
    <w:rsid w:val="0062010E"/>
    <w:rsid w:val="00620AF6"/>
    <w:rsid w:val="00620E0F"/>
    <w:rsid w:val="006213D1"/>
    <w:rsid w:val="00621442"/>
    <w:rsid w:val="00621B15"/>
    <w:rsid w:val="00622037"/>
    <w:rsid w:val="006225AC"/>
    <w:rsid w:val="00623899"/>
    <w:rsid w:val="00623B60"/>
    <w:rsid w:val="00624F07"/>
    <w:rsid w:val="006250D4"/>
    <w:rsid w:val="00625391"/>
    <w:rsid w:val="006253B5"/>
    <w:rsid w:val="006254AA"/>
    <w:rsid w:val="00625DDD"/>
    <w:rsid w:val="00625F27"/>
    <w:rsid w:val="006268AA"/>
    <w:rsid w:val="00626D57"/>
    <w:rsid w:val="0062719A"/>
    <w:rsid w:val="0062726C"/>
    <w:rsid w:val="0062768B"/>
    <w:rsid w:val="00627B8D"/>
    <w:rsid w:val="00627DED"/>
    <w:rsid w:val="006303B7"/>
    <w:rsid w:val="00631996"/>
    <w:rsid w:val="00631A21"/>
    <w:rsid w:val="00631F43"/>
    <w:rsid w:val="00633791"/>
    <w:rsid w:val="006339A5"/>
    <w:rsid w:val="006341E4"/>
    <w:rsid w:val="00634D91"/>
    <w:rsid w:val="00634DC9"/>
    <w:rsid w:val="00635006"/>
    <w:rsid w:val="00635AAE"/>
    <w:rsid w:val="00635D14"/>
    <w:rsid w:val="006361B9"/>
    <w:rsid w:val="0063634A"/>
    <w:rsid w:val="006363EA"/>
    <w:rsid w:val="0063699B"/>
    <w:rsid w:val="00636F06"/>
    <w:rsid w:val="006378A9"/>
    <w:rsid w:val="00637CF1"/>
    <w:rsid w:val="006402F0"/>
    <w:rsid w:val="006403A7"/>
    <w:rsid w:val="00640E44"/>
    <w:rsid w:val="00640E4D"/>
    <w:rsid w:val="006410A5"/>
    <w:rsid w:val="006411A5"/>
    <w:rsid w:val="00641550"/>
    <w:rsid w:val="006417E5"/>
    <w:rsid w:val="00641D9D"/>
    <w:rsid w:val="006429F1"/>
    <w:rsid w:val="00643C39"/>
    <w:rsid w:val="00643E4A"/>
    <w:rsid w:val="00644435"/>
    <w:rsid w:val="00644466"/>
    <w:rsid w:val="0064539D"/>
    <w:rsid w:val="00645B1F"/>
    <w:rsid w:val="00645B34"/>
    <w:rsid w:val="00645CC8"/>
    <w:rsid w:val="00645CE0"/>
    <w:rsid w:val="0064602B"/>
    <w:rsid w:val="00646928"/>
    <w:rsid w:val="00646E07"/>
    <w:rsid w:val="00646ECB"/>
    <w:rsid w:val="0064728F"/>
    <w:rsid w:val="006477CD"/>
    <w:rsid w:val="00647BF1"/>
    <w:rsid w:val="00650BBC"/>
    <w:rsid w:val="00650EB6"/>
    <w:rsid w:val="00650FF9"/>
    <w:rsid w:val="0065123A"/>
    <w:rsid w:val="00651585"/>
    <w:rsid w:val="006524D6"/>
    <w:rsid w:val="006526D9"/>
    <w:rsid w:val="0065279C"/>
    <w:rsid w:val="0065285B"/>
    <w:rsid w:val="006537C4"/>
    <w:rsid w:val="00653ADB"/>
    <w:rsid w:val="00653BF4"/>
    <w:rsid w:val="00654BF2"/>
    <w:rsid w:val="00654F28"/>
    <w:rsid w:val="006551FE"/>
    <w:rsid w:val="006552D7"/>
    <w:rsid w:val="006555B6"/>
    <w:rsid w:val="006556F5"/>
    <w:rsid w:val="00655BED"/>
    <w:rsid w:val="006561C4"/>
    <w:rsid w:val="00656A44"/>
    <w:rsid w:val="00656DB8"/>
    <w:rsid w:val="006571C7"/>
    <w:rsid w:val="00657521"/>
    <w:rsid w:val="00657CBE"/>
    <w:rsid w:val="00657FA5"/>
    <w:rsid w:val="00660275"/>
    <w:rsid w:val="0066062F"/>
    <w:rsid w:val="00660634"/>
    <w:rsid w:val="00660ED4"/>
    <w:rsid w:val="00661633"/>
    <w:rsid w:val="00661FE4"/>
    <w:rsid w:val="00662059"/>
    <w:rsid w:val="00662AF4"/>
    <w:rsid w:val="00662C5A"/>
    <w:rsid w:val="00665416"/>
    <w:rsid w:val="0066574E"/>
    <w:rsid w:val="00665999"/>
    <w:rsid w:val="00665EEF"/>
    <w:rsid w:val="0066662C"/>
    <w:rsid w:val="00666679"/>
    <w:rsid w:val="0066694A"/>
    <w:rsid w:val="00666A13"/>
    <w:rsid w:val="00666CB7"/>
    <w:rsid w:val="00666CCA"/>
    <w:rsid w:val="00666F80"/>
    <w:rsid w:val="00667BF4"/>
    <w:rsid w:val="00667F53"/>
    <w:rsid w:val="00670392"/>
    <w:rsid w:val="006703E1"/>
    <w:rsid w:val="006709E6"/>
    <w:rsid w:val="00670BEA"/>
    <w:rsid w:val="00670CEA"/>
    <w:rsid w:val="00672645"/>
    <w:rsid w:val="00672EDC"/>
    <w:rsid w:val="00672F45"/>
    <w:rsid w:val="00673F18"/>
    <w:rsid w:val="0067438F"/>
    <w:rsid w:val="00675545"/>
    <w:rsid w:val="00675A11"/>
    <w:rsid w:val="00675BB4"/>
    <w:rsid w:val="00675EC2"/>
    <w:rsid w:val="006761D8"/>
    <w:rsid w:val="00676C1A"/>
    <w:rsid w:val="00676DA3"/>
    <w:rsid w:val="00676E5A"/>
    <w:rsid w:val="00677AF0"/>
    <w:rsid w:val="00680169"/>
    <w:rsid w:val="00680343"/>
    <w:rsid w:val="00680A81"/>
    <w:rsid w:val="00680BDC"/>
    <w:rsid w:val="0068190E"/>
    <w:rsid w:val="006819E4"/>
    <w:rsid w:val="006827CA"/>
    <w:rsid w:val="0068309B"/>
    <w:rsid w:val="00683713"/>
    <w:rsid w:val="00683A52"/>
    <w:rsid w:val="00683D5B"/>
    <w:rsid w:val="00684174"/>
    <w:rsid w:val="0068463D"/>
    <w:rsid w:val="00684958"/>
    <w:rsid w:val="0068495B"/>
    <w:rsid w:val="006849CA"/>
    <w:rsid w:val="0068505E"/>
    <w:rsid w:val="006852CB"/>
    <w:rsid w:val="006858EB"/>
    <w:rsid w:val="00685DD6"/>
    <w:rsid w:val="006860C5"/>
    <w:rsid w:val="00686428"/>
    <w:rsid w:val="0068644A"/>
    <w:rsid w:val="0068651C"/>
    <w:rsid w:val="00686649"/>
    <w:rsid w:val="00686B6E"/>
    <w:rsid w:val="00686BF5"/>
    <w:rsid w:val="00686CE6"/>
    <w:rsid w:val="006872BA"/>
    <w:rsid w:val="006874F7"/>
    <w:rsid w:val="00687DF8"/>
    <w:rsid w:val="0069054A"/>
    <w:rsid w:val="00690653"/>
    <w:rsid w:val="00690AA0"/>
    <w:rsid w:val="006917F9"/>
    <w:rsid w:val="00692BDF"/>
    <w:rsid w:val="00693F6E"/>
    <w:rsid w:val="0069430B"/>
    <w:rsid w:val="00694844"/>
    <w:rsid w:val="006949E9"/>
    <w:rsid w:val="00694F03"/>
    <w:rsid w:val="00695380"/>
    <w:rsid w:val="00695A1E"/>
    <w:rsid w:val="00695BE3"/>
    <w:rsid w:val="00696147"/>
    <w:rsid w:val="006967BA"/>
    <w:rsid w:val="00696B11"/>
    <w:rsid w:val="00697229"/>
    <w:rsid w:val="00697903"/>
    <w:rsid w:val="00697CC7"/>
    <w:rsid w:val="00697D1C"/>
    <w:rsid w:val="006A08DB"/>
    <w:rsid w:val="006A0D9B"/>
    <w:rsid w:val="006A15F6"/>
    <w:rsid w:val="006A2414"/>
    <w:rsid w:val="006A2848"/>
    <w:rsid w:val="006A3730"/>
    <w:rsid w:val="006A38E9"/>
    <w:rsid w:val="006A3B96"/>
    <w:rsid w:val="006A40F8"/>
    <w:rsid w:val="006A447B"/>
    <w:rsid w:val="006A4604"/>
    <w:rsid w:val="006A4918"/>
    <w:rsid w:val="006A4E92"/>
    <w:rsid w:val="006A5316"/>
    <w:rsid w:val="006A5392"/>
    <w:rsid w:val="006A5C68"/>
    <w:rsid w:val="006A672B"/>
    <w:rsid w:val="006A67A5"/>
    <w:rsid w:val="006A67EC"/>
    <w:rsid w:val="006A6A9E"/>
    <w:rsid w:val="006A6E90"/>
    <w:rsid w:val="006A6F64"/>
    <w:rsid w:val="006A7513"/>
    <w:rsid w:val="006A7937"/>
    <w:rsid w:val="006B0AE4"/>
    <w:rsid w:val="006B1F6F"/>
    <w:rsid w:val="006B23D9"/>
    <w:rsid w:val="006B2657"/>
    <w:rsid w:val="006B27D9"/>
    <w:rsid w:val="006B3034"/>
    <w:rsid w:val="006B314B"/>
    <w:rsid w:val="006B33E3"/>
    <w:rsid w:val="006B34BF"/>
    <w:rsid w:val="006B40CB"/>
    <w:rsid w:val="006B4661"/>
    <w:rsid w:val="006B4AED"/>
    <w:rsid w:val="006B4C07"/>
    <w:rsid w:val="006B5488"/>
    <w:rsid w:val="006B567C"/>
    <w:rsid w:val="006B60FB"/>
    <w:rsid w:val="006B618F"/>
    <w:rsid w:val="006B7581"/>
    <w:rsid w:val="006B7DE5"/>
    <w:rsid w:val="006C00A8"/>
    <w:rsid w:val="006C0B73"/>
    <w:rsid w:val="006C0D80"/>
    <w:rsid w:val="006C105D"/>
    <w:rsid w:val="006C1128"/>
    <w:rsid w:val="006C11F9"/>
    <w:rsid w:val="006C13B1"/>
    <w:rsid w:val="006C15BC"/>
    <w:rsid w:val="006C1D43"/>
    <w:rsid w:val="006C2159"/>
    <w:rsid w:val="006C2B40"/>
    <w:rsid w:val="006C2CB0"/>
    <w:rsid w:val="006C2F44"/>
    <w:rsid w:val="006C372D"/>
    <w:rsid w:val="006C40EB"/>
    <w:rsid w:val="006C4117"/>
    <w:rsid w:val="006C4BEB"/>
    <w:rsid w:val="006C53D7"/>
    <w:rsid w:val="006C563A"/>
    <w:rsid w:val="006C581A"/>
    <w:rsid w:val="006C5B9F"/>
    <w:rsid w:val="006C5C3B"/>
    <w:rsid w:val="006C6378"/>
    <w:rsid w:val="006C70F2"/>
    <w:rsid w:val="006C71F8"/>
    <w:rsid w:val="006C7432"/>
    <w:rsid w:val="006D0004"/>
    <w:rsid w:val="006D01ED"/>
    <w:rsid w:val="006D02A0"/>
    <w:rsid w:val="006D0714"/>
    <w:rsid w:val="006D079D"/>
    <w:rsid w:val="006D0C75"/>
    <w:rsid w:val="006D0CA4"/>
    <w:rsid w:val="006D1796"/>
    <w:rsid w:val="006D1A14"/>
    <w:rsid w:val="006D1CB7"/>
    <w:rsid w:val="006D1FD9"/>
    <w:rsid w:val="006D258D"/>
    <w:rsid w:val="006D2E1B"/>
    <w:rsid w:val="006D3174"/>
    <w:rsid w:val="006D4239"/>
    <w:rsid w:val="006D4EFD"/>
    <w:rsid w:val="006D4F50"/>
    <w:rsid w:val="006D4FB4"/>
    <w:rsid w:val="006D52C5"/>
    <w:rsid w:val="006D5444"/>
    <w:rsid w:val="006D549C"/>
    <w:rsid w:val="006D587D"/>
    <w:rsid w:val="006D5B43"/>
    <w:rsid w:val="006D5E3F"/>
    <w:rsid w:val="006D5F66"/>
    <w:rsid w:val="006D6220"/>
    <w:rsid w:val="006D6E3B"/>
    <w:rsid w:val="006D72F4"/>
    <w:rsid w:val="006D73CF"/>
    <w:rsid w:val="006D7705"/>
    <w:rsid w:val="006E083D"/>
    <w:rsid w:val="006E0D0B"/>
    <w:rsid w:val="006E15D0"/>
    <w:rsid w:val="006E173A"/>
    <w:rsid w:val="006E1F77"/>
    <w:rsid w:val="006E1FB6"/>
    <w:rsid w:val="006E2264"/>
    <w:rsid w:val="006E26F0"/>
    <w:rsid w:val="006E275A"/>
    <w:rsid w:val="006E2DA0"/>
    <w:rsid w:val="006E3374"/>
    <w:rsid w:val="006E3625"/>
    <w:rsid w:val="006E3643"/>
    <w:rsid w:val="006E3EFB"/>
    <w:rsid w:val="006E419C"/>
    <w:rsid w:val="006E42C4"/>
    <w:rsid w:val="006E439E"/>
    <w:rsid w:val="006E48D1"/>
    <w:rsid w:val="006E4AEE"/>
    <w:rsid w:val="006E54AE"/>
    <w:rsid w:val="006E5729"/>
    <w:rsid w:val="006E5967"/>
    <w:rsid w:val="006E5B43"/>
    <w:rsid w:val="006E5C1E"/>
    <w:rsid w:val="006E5E68"/>
    <w:rsid w:val="006E5FA6"/>
    <w:rsid w:val="006E5FE1"/>
    <w:rsid w:val="006E7A16"/>
    <w:rsid w:val="006E7C38"/>
    <w:rsid w:val="006E7EC4"/>
    <w:rsid w:val="006F077B"/>
    <w:rsid w:val="006F0A7E"/>
    <w:rsid w:val="006F0CE4"/>
    <w:rsid w:val="006F0E24"/>
    <w:rsid w:val="006F0EF9"/>
    <w:rsid w:val="006F1352"/>
    <w:rsid w:val="006F15E8"/>
    <w:rsid w:val="006F1C23"/>
    <w:rsid w:val="006F285C"/>
    <w:rsid w:val="006F28A4"/>
    <w:rsid w:val="006F2BC0"/>
    <w:rsid w:val="006F2BD9"/>
    <w:rsid w:val="006F3F18"/>
    <w:rsid w:val="006F4367"/>
    <w:rsid w:val="006F43D8"/>
    <w:rsid w:val="006F4A7F"/>
    <w:rsid w:val="006F4E71"/>
    <w:rsid w:val="006F567A"/>
    <w:rsid w:val="006F573A"/>
    <w:rsid w:val="006F623B"/>
    <w:rsid w:val="006F65A3"/>
    <w:rsid w:val="006F6969"/>
    <w:rsid w:val="006F7D03"/>
    <w:rsid w:val="007001C5"/>
    <w:rsid w:val="00700A98"/>
    <w:rsid w:val="00700C98"/>
    <w:rsid w:val="0070125F"/>
    <w:rsid w:val="007012AE"/>
    <w:rsid w:val="00701606"/>
    <w:rsid w:val="007018F4"/>
    <w:rsid w:val="007019BA"/>
    <w:rsid w:val="00701F57"/>
    <w:rsid w:val="0070259E"/>
    <w:rsid w:val="00702631"/>
    <w:rsid w:val="00702DFC"/>
    <w:rsid w:val="0070304B"/>
    <w:rsid w:val="00703105"/>
    <w:rsid w:val="0070323D"/>
    <w:rsid w:val="00703316"/>
    <w:rsid w:val="00704342"/>
    <w:rsid w:val="00704457"/>
    <w:rsid w:val="00704931"/>
    <w:rsid w:val="007049C8"/>
    <w:rsid w:val="00704E76"/>
    <w:rsid w:val="00705CE2"/>
    <w:rsid w:val="00705CF0"/>
    <w:rsid w:val="007064DD"/>
    <w:rsid w:val="0070657C"/>
    <w:rsid w:val="00706EFC"/>
    <w:rsid w:val="00706FB8"/>
    <w:rsid w:val="007109F0"/>
    <w:rsid w:val="0071153E"/>
    <w:rsid w:val="00711C5B"/>
    <w:rsid w:val="007121E0"/>
    <w:rsid w:val="007127CE"/>
    <w:rsid w:val="0071404F"/>
    <w:rsid w:val="0071470B"/>
    <w:rsid w:val="00714BC4"/>
    <w:rsid w:val="007150E7"/>
    <w:rsid w:val="007157D4"/>
    <w:rsid w:val="00715DF5"/>
    <w:rsid w:val="00716453"/>
    <w:rsid w:val="00716D60"/>
    <w:rsid w:val="00716FBE"/>
    <w:rsid w:val="007173D9"/>
    <w:rsid w:val="0071756E"/>
    <w:rsid w:val="00717FA5"/>
    <w:rsid w:val="0072003B"/>
    <w:rsid w:val="00720979"/>
    <w:rsid w:val="00720A3E"/>
    <w:rsid w:val="00720BED"/>
    <w:rsid w:val="00720DBC"/>
    <w:rsid w:val="00720DC5"/>
    <w:rsid w:val="00720ED8"/>
    <w:rsid w:val="007214FD"/>
    <w:rsid w:val="0072168C"/>
    <w:rsid w:val="0072185A"/>
    <w:rsid w:val="00722245"/>
    <w:rsid w:val="00722597"/>
    <w:rsid w:val="0072264C"/>
    <w:rsid w:val="00723442"/>
    <w:rsid w:val="00723458"/>
    <w:rsid w:val="00723682"/>
    <w:rsid w:val="007238A9"/>
    <w:rsid w:val="00723951"/>
    <w:rsid w:val="00724159"/>
    <w:rsid w:val="0072470F"/>
    <w:rsid w:val="00724DD7"/>
    <w:rsid w:val="00725986"/>
    <w:rsid w:val="00725D0C"/>
    <w:rsid w:val="00725F79"/>
    <w:rsid w:val="007261D9"/>
    <w:rsid w:val="0072620C"/>
    <w:rsid w:val="00726402"/>
    <w:rsid w:val="007265A6"/>
    <w:rsid w:val="007269E9"/>
    <w:rsid w:val="007270D4"/>
    <w:rsid w:val="0072747B"/>
    <w:rsid w:val="007274BF"/>
    <w:rsid w:val="00727BEF"/>
    <w:rsid w:val="00730314"/>
    <w:rsid w:val="00730383"/>
    <w:rsid w:val="00730776"/>
    <w:rsid w:val="00731044"/>
    <w:rsid w:val="007312EC"/>
    <w:rsid w:val="0073157E"/>
    <w:rsid w:val="00731946"/>
    <w:rsid w:val="00731A4A"/>
    <w:rsid w:val="00731F1F"/>
    <w:rsid w:val="00731FBD"/>
    <w:rsid w:val="00732552"/>
    <w:rsid w:val="00732567"/>
    <w:rsid w:val="00732E8E"/>
    <w:rsid w:val="00733390"/>
    <w:rsid w:val="00734D06"/>
    <w:rsid w:val="00735430"/>
    <w:rsid w:val="0073555C"/>
    <w:rsid w:val="007365DA"/>
    <w:rsid w:val="007369B3"/>
    <w:rsid w:val="0073716A"/>
    <w:rsid w:val="00737B66"/>
    <w:rsid w:val="00737BEC"/>
    <w:rsid w:val="00737D66"/>
    <w:rsid w:val="00737E86"/>
    <w:rsid w:val="007401C1"/>
    <w:rsid w:val="00740600"/>
    <w:rsid w:val="00740943"/>
    <w:rsid w:val="00740C03"/>
    <w:rsid w:val="0074100E"/>
    <w:rsid w:val="007418D5"/>
    <w:rsid w:val="007424E5"/>
    <w:rsid w:val="0074296F"/>
    <w:rsid w:val="007429E5"/>
    <w:rsid w:val="00742AF0"/>
    <w:rsid w:val="0074300F"/>
    <w:rsid w:val="00743269"/>
    <w:rsid w:val="00743366"/>
    <w:rsid w:val="00743482"/>
    <w:rsid w:val="00744C76"/>
    <w:rsid w:val="007450E4"/>
    <w:rsid w:val="0074564D"/>
    <w:rsid w:val="00745E21"/>
    <w:rsid w:val="00746680"/>
    <w:rsid w:val="00746709"/>
    <w:rsid w:val="007472D7"/>
    <w:rsid w:val="00747A52"/>
    <w:rsid w:val="00750009"/>
    <w:rsid w:val="00750B29"/>
    <w:rsid w:val="00751583"/>
    <w:rsid w:val="0075188E"/>
    <w:rsid w:val="00751D26"/>
    <w:rsid w:val="00751EA4"/>
    <w:rsid w:val="00752029"/>
    <w:rsid w:val="00752600"/>
    <w:rsid w:val="00752E22"/>
    <w:rsid w:val="00752F51"/>
    <w:rsid w:val="0075304D"/>
    <w:rsid w:val="00753171"/>
    <w:rsid w:val="00753174"/>
    <w:rsid w:val="007546CF"/>
    <w:rsid w:val="00754851"/>
    <w:rsid w:val="0075497B"/>
    <w:rsid w:val="00754995"/>
    <w:rsid w:val="00754BD5"/>
    <w:rsid w:val="0075545F"/>
    <w:rsid w:val="00755756"/>
    <w:rsid w:val="007558AB"/>
    <w:rsid w:val="00755BA7"/>
    <w:rsid w:val="00755BB1"/>
    <w:rsid w:val="00755CB6"/>
    <w:rsid w:val="00756025"/>
    <w:rsid w:val="0075609A"/>
    <w:rsid w:val="007569CA"/>
    <w:rsid w:val="00756ACD"/>
    <w:rsid w:val="00756D23"/>
    <w:rsid w:val="007574E2"/>
    <w:rsid w:val="007579B4"/>
    <w:rsid w:val="00760113"/>
    <w:rsid w:val="007609C8"/>
    <w:rsid w:val="00760BB3"/>
    <w:rsid w:val="00760F32"/>
    <w:rsid w:val="007611A2"/>
    <w:rsid w:val="00761CFB"/>
    <w:rsid w:val="007622D6"/>
    <w:rsid w:val="00762C20"/>
    <w:rsid w:val="00762C68"/>
    <w:rsid w:val="00763002"/>
    <w:rsid w:val="007632DB"/>
    <w:rsid w:val="00763459"/>
    <w:rsid w:val="00763C21"/>
    <w:rsid w:val="007640EB"/>
    <w:rsid w:val="007641DC"/>
    <w:rsid w:val="007642E8"/>
    <w:rsid w:val="007645F2"/>
    <w:rsid w:val="00764632"/>
    <w:rsid w:val="0076464D"/>
    <w:rsid w:val="007647BD"/>
    <w:rsid w:val="00764FA4"/>
    <w:rsid w:val="00765455"/>
    <w:rsid w:val="00765844"/>
    <w:rsid w:val="00765923"/>
    <w:rsid w:val="00765946"/>
    <w:rsid w:val="00765F1A"/>
    <w:rsid w:val="0076654E"/>
    <w:rsid w:val="00766A7B"/>
    <w:rsid w:val="007674DA"/>
    <w:rsid w:val="0077106E"/>
    <w:rsid w:val="00771101"/>
    <w:rsid w:val="0077140B"/>
    <w:rsid w:val="00771CA4"/>
    <w:rsid w:val="00771E02"/>
    <w:rsid w:val="007723CA"/>
    <w:rsid w:val="00772A13"/>
    <w:rsid w:val="00772B7F"/>
    <w:rsid w:val="00772F3A"/>
    <w:rsid w:val="007734B6"/>
    <w:rsid w:val="00773755"/>
    <w:rsid w:val="007742CA"/>
    <w:rsid w:val="0077438B"/>
    <w:rsid w:val="007756D6"/>
    <w:rsid w:val="007760C9"/>
    <w:rsid w:val="0077610C"/>
    <w:rsid w:val="0077623E"/>
    <w:rsid w:val="0077671D"/>
    <w:rsid w:val="0077694B"/>
    <w:rsid w:val="00777191"/>
    <w:rsid w:val="007779E2"/>
    <w:rsid w:val="00777CC0"/>
    <w:rsid w:val="0078074E"/>
    <w:rsid w:val="0078075A"/>
    <w:rsid w:val="00780F74"/>
    <w:rsid w:val="00780F9F"/>
    <w:rsid w:val="00781F03"/>
    <w:rsid w:val="007821C8"/>
    <w:rsid w:val="007821EA"/>
    <w:rsid w:val="00782976"/>
    <w:rsid w:val="00783C95"/>
    <w:rsid w:val="00784041"/>
    <w:rsid w:val="00784494"/>
    <w:rsid w:val="007845D5"/>
    <w:rsid w:val="0078476E"/>
    <w:rsid w:val="00784C6A"/>
    <w:rsid w:val="007851AB"/>
    <w:rsid w:val="0078560D"/>
    <w:rsid w:val="00786C20"/>
    <w:rsid w:val="00786C58"/>
    <w:rsid w:val="007871C2"/>
    <w:rsid w:val="007876EE"/>
    <w:rsid w:val="007878B0"/>
    <w:rsid w:val="00787C9C"/>
    <w:rsid w:val="007900B1"/>
    <w:rsid w:val="00790626"/>
    <w:rsid w:val="00790A02"/>
    <w:rsid w:val="00790B24"/>
    <w:rsid w:val="00790BFC"/>
    <w:rsid w:val="00790E9A"/>
    <w:rsid w:val="00791CE9"/>
    <w:rsid w:val="00791DB2"/>
    <w:rsid w:val="00791EEA"/>
    <w:rsid w:val="007938E4"/>
    <w:rsid w:val="007938E8"/>
    <w:rsid w:val="007939C4"/>
    <w:rsid w:val="00793AAF"/>
    <w:rsid w:val="0079403E"/>
    <w:rsid w:val="007940CF"/>
    <w:rsid w:val="007943A9"/>
    <w:rsid w:val="007944EE"/>
    <w:rsid w:val="00794AD1"/>
    <w:rsid w:val="00795194"/>
    <w:rsid w:val="00795224"/>
    <w:rsid w:val="007958DE"/>
    <w:rsid w:val="00795B24"/>
    <w:rsid w:val="00795D17"/>
    <w:rsid w:val="00795D30"/>
    <w:rsid w:val="00796FF4"/>
    <w:rsid w:val="00797407"/>
    <w:rsid w:val="00797A7E"/>
    <w:rsid w:val="00797DC4"/>
    <w:rsid w:val="007A0252"/>
    <w:rsid w:val="007A0D8E"/>
    <w:rsid w:val="007A15D7"/>
    <w:rsid w:val="007A191C"/>
    <w:rsid w:val="007A2D76"/>
    <w:rsid w:val="007A3A03"/>
    <w:rsid w:val="007A4584"/>
    <w:rsid w:val="007A45EB"/>
    <w:rsid w:val="007A49C8"/>
    <w:rsid w:val="007A5874"/>
    <w:rsid w:val="007A651A"/>
    <w:rsid w:val="007A6983"/>
    <w:rsid w:val="007A7315"/>
    <w:rsid w:val="007A73B0"/>
    <w:rsid w:val="007A75B1"/>
    <w:rsid w:val="007A7B64"/>
    <w:rsid w:val="007B0111"/>
    <w:rsid w:val="007B0A65"/>
    <w:rsid w:val="007B0DC5"/>
    <w:rsid w:val="007B17D5"/>
    <w:rsid w:val="007B1F91"/>
    <w:rsid w:val="007B2109"/>
    <w:rsid w:val="007B216C"/>
    <w:rsid w:val="007B251A"/>
    <w:rsid w:val="007B2F53"/>
    <w:rsid w:val="007B3072"/>
    <w:rsid w:val="007B30D5"/>
    <w:rsid w:val="007B33E7"/>
    <w:rsid w:val="007B3423"/>
    <w:rsid w:val="007B3810"/>
    <w:rsid w:val="007B3F69"/>
    <w:rsid w:val="007B4272"/>
    <w:rsid w:val="007B45BF"/>
    <w:rsid w:val="007B4663"/>
    <w:rsid w:val="007B5563"/>
    <w:rsid w:val="007B5638"/>
    <w:rsid w:val="007B5782"/>
    <w:rsid w:val="007B578B"/>
    <w:rsid w:val="007B5B7F"/>
    <w:rsid w:val="007B6252"/>
    <w:rsid w:val="007B6449"/>
    <w:rsid w:val="007B64C2"/>
    <w:rsid w:val="007B6A1D"/>
    <w:rsid w:val="007B75B0"/>
    <w:rsid w:val="007B7DE7"/>
    <w:rsid w:val="007C029F"/>
    <w:rsid w:val="007C02D8"/>
    <w:rsid w:val="007C03A7"/>
    <w:rsid w:val="007C1204"/>
    <w:rsid w:val="007C14D1"/>
    <w:rsid w:val="007C1560"/>
    <w:rsid w:val="007C1EF0"/>
    <w:rsid w:val="007C1FF8"/>
    <w:rsid w:val="007C21FF"/>
    <w:rsid w:val="007C22B6"/>
    <w:rsid w:val="007C22CC"/>
    <w:rsid w:val="007C26A6"/>
    <w:rsid w:val="007C2882"/>
    <w:rsid w:val="007C28A2"/>
    <w:rsid w:val="007C29DE"/>
    <w:rsid w:val="007C2DE9"/>
    <w:rsid w:val="007C336F"/>
    <w:rsid w:val="007C36EA"/>
    <w:rsid w:val="007C3879"/>
    <w:rsid w:val="007C3A7F"/>
    <w:rsid w:val="007C407E"/>
    <w:rsid w:val="007C408B"/>
    <w:rsid w:val="007C4902"/>
    <w:rsid w:val="007C4FF4"/>
    <w:rsid w:val="007C6065"/>
    <w:rsid w:val="007C6A98"/>
    <w:rsid w:val="007C6E6F"/>
    <w:rsid w:val="007C6F27"/>
    <w:rsid w:val="007C79D3"/>
    <w:rsid w:val="007C7C04"/>
    <w:rsid w:val="007C7D2C"/>
    <w:rsid w:val="007D0265"/>
    <w:rsid w:val="007D04E5"/>
    <w:rsid w:val="007D100C"/>
    <w:rsid w:val="007D15D4"/>
    <w:rsid w:val="007D1639"/>
    <w:rsid w:val="007D1BBE"/>
    <w:rsid w:val="007D1E26"/>
    <w:rsid w:val="007D1F96"/>
    <w:rsid w:val="007D20F6"/>
    <w:rsid w:val="007D279E"/>
    <w:rsid w:val="007D2C6C"/>
    <w:rsid w:val="007D3949"/>
    <w:rsid w:val="007D3B3D"/>
    <w:rsid w:val="007D3DB2"/>
    <w:rsid w:val="007D42D3"/>
    <w:rsid w:val="007D46CA"/>
    <w:rsid w:val="007D4C8D"/>
    <w:rsid w:val="007D4D5D"/>
    <w:rsid w:val="007D5217"/>
    <w:rsid w:val="007D56D7"/>
    <w:rsid w:val="007D5916"/>
    <w:rsid w:val="007D6046"/>
    <w:rsid w:val="007D6732"/>
    <w:rsid w:val="007D67E5"/>
    <w:rsid w:val="007D686E"/>
    <w:rsid w:val="007D7BB7"/>
    <w:rsid w:val="007E014D"/>
    <w:rsid w:val="007E1685"/>
    <w:rsid w:val="007E17A0"/>
    <w:rsid w:val="007E1A3F"/>
    <w:rsid w:val="007E1B55"/>
    <w:rsid w:val="007E2A58"/>
    <w:rsid w:val="007E2EE1"/>
    <w:rsid w:val="007E354D"/>
    <w:rsid w:val="007E3644"/>
    <w:rsid w:val="007E3B14"/>
    <w:rsid w:val="007E3B9C"/>
    <w:rsid w:val="007E43FF"/>
    <w:rsid w:val="007E538E"/>
    <w:rsid w:val="007E56E2"/>
    <w:rsid w:val="007E5709"/>
    <w:rsid w:val="007E5A15"/>
    <w:rsid w:val="007E61E9"/>
    <w:rsid w:val="007E636C"/>
    <w:rsid w:val="007E654D"/>
    <w:rsid w:val="007E6DB6"/>
    <w:rsid w:val="007E6E73"/>
    <w:rsid w:val="007E707A"/>
    <w:rsid w:val="007E7B7A"/>
    <w:rsid w:val="007F01C0"/>
    <w:rsid w:val="007F01D8"/>
    <w:rsid w:val="007F0A7A"/>
    <w:rsid w:val="007F0C40"/>
    <w:rsid w:val="007F0F1C"/>
    <w:rsid w:val="007F1466"/>
    <w:rsid w:val="007F2113"/>
    <w:rsid w:val="007F244B"/>
    <w:rsid w:val="007F2518"/>
    <w:rsid w:val="007F29DA"/>
    <w:rsid w:val="007F2F8B"/>
    <w:rsid w:val="007F321D"/>
    <w:rsid w:val="007F389B"/>
    <w:rsid w:val="007F3928"/>
    <w:rsid w:val="007F40A1"/>
    <w:rsid w:val="007F4C7F"/>
    <w:rsid w:val="007F519C"/>
    <w:rsid w:val="007F5352"/>
    <w:rsid w:val="007F550E"/>
    <w:rsid w:val="007F5861"/>
    <w:rsid w:val="007F5967"/>
    <w:rsid w:val="007F5BFF"/>
    <w:rsid w:val="007F5E3B"/>
    <w:rsid w:val="007F5EEA"/>
    <w:rsid w:val="007F645D"/>
    <w:rsid w:val="007F67C3"/>
    <w:rsid w:val="007F6E2E"/>
    <w:rsid w:val="007F6E9C"/>
    <w:rsid w:val="007F6F2B"/>
    <w:rsid w:val="007F714F"/>
    <w:rsid w:val="007F73BF"/>
    <w:rsid w:val="007F75E0"/>
    <w:rsid w:val="007F770B"/>
    <w:rsid w:val="007F7A40"/>
    <w:rsid w:val="00800061"/>
    <w:rsid w:val="0080089A"/>
    <w:rsid w:val="008015C1"/>
    <w:rsid w:val="00801B33"/>
    <w:rsid w:val="00801BF5"/>
    <w:rsid w:val="0080277E"/>
    <w:rsid w:val="00802BEC"/>
    <w:rsid w:val="00803615"/>
    <w:rsid w:val="00803B13"/>
    <w:rsid w:val="00803B3F"/>
    <w:rsid w:val="00804433"/>
    <w:rsid w:val="008046BC"/>
    <w:rsid w:val="0080471F"/>
    <w:rsid w:val="00804DE7"/>
    <w:rsid w:val="00805B22"/>
    <w:rsid w:val="00805BD0"/>
    <w:rsid w:val="008060DF"/>
    <w:rsid w:val="00806279"/>
    <w:rsid w:val="00806D5B"/>
    <w:rsid w:val="00806D8A"/>
    <w:rsid w:val="008077B6"/>
    <w:rsid w:val="008078C9"/>
    <w:rsid w:val="00807F9A"/>
    <w:rsid w:val="008103D0"/>
    <w:rsid w:val="00810703"/>
    <w:rsid w:val="00810A7C"/>
    <w:rsid w:val="008112D8"/>
    <w:rsid w:val="008115F7"/>
    <w:rsid w:val="0081165C"/>
    <w:rsid w:val="00812E1B"/>
    <w:rsid w:val="0081304E"/>
    <w:rsid w:val="0081374C"/>
    <w:rsid w:val="00813F0A"/>
    <w:rsid w:val="00814744"/>
    <w:rsid w:val="00814B71"/>
    <w:rsid w:val="00815CE4"/>
    <w:rsid w:val="00816782"/>
    <w:rsid w:val="008168F4"/>
    <w:rsid w:val="00816A0A"/>
    <w:rsid w:val="00817332"/>
    <w:rsid w:val="0081760F"/>
    <w:rsid w:val="008176ED"/>
    <w:rsid w:val="00817845"/>
    <w:rsid w:val="00817A80"/>
    <w:rsid w:val="00817B0F"/>
    <w:rsid w:val="008200EA"/>
    <w:rsid w:val="00820B3C"/>
    <w:rsid w:val="00820DBE"/>
    <w:rsid w:val="008210FC"/>
    <w:rsid w:val="0082126C"/>
    <w:rsid w:val="00821D48"/>
    <w:rsid w:val="008224F8"/>
    <w:rsid w:val="00822590"/>
    <w:rsid w:val="00823721"/>
    <w:rsid w:val="00824338"/>
    <w:rsid w:val="00824D8C"/>
    <w:rsid w:val="00824F5F"/>
    <w:rsid w:val="008252BE"/>
    <w:rsid w:val="00825A76"/>
    <w:rsid w:val="00825CE2"/>
    <w:rsid w:val="00825D1C"/>
    <w:rsid w:val="00825D2B"/>
    <w:rsid w:val="00826988"/>
    <w:rsid w:val="00827B4A"/>
    <w:rsid w:val="00827DC6"/>
    <w:rsid w:val="00831071"/>
    <w:rsid w:val="008311C3"/>
    <w:rsid w:val="0083142C"/>
    <w:rsid w:val="00831C82"/>
    <w:rsid w:val="008321E8"/>
    <w:rsid w:val="00832560"/>
    <w:rsid w:val="00832CD6"/>
    <w:rsid w:val="0083304E"/>
    <w:rsid w:val="00833959"/>
    <w:rsid w:val="00833B1A"/>
    <w:rsid w:val="00833CDC"/>
    <w:rsid w:val="00833E6B"/>
    <w:rsid w:val="008345B7"/>
    <w:rsid w:val="0083487A"/>
    <w:rsid w:val="008348FB"/>
    <w:rsid w:val="00834AA5"/>
    <w:rsid w:val="00834C93"/>
    <w:rsid w:val="00834CB4"/>
    <w:rsid w:val="00834DFE"/>
    <w:rsid w:val="00835D44"/>
    <w:rsid w:val="00835E08"/>
    <w:rsid w:val="00836340"/>
    <w:rsid w:val="00836562"/>
    <w:rsid w:val="00836BA8"/>
    <w:rsid w:val="00836E81"/>
    <w:rsid w:val="0083793F"/>
    <w:rsid w:val="0084021D"/>
    <w:rsid w:val="008405A0"/>
    <w:rsid w:val="0084073A"/>
    <w:rsid w:val="00840BB4"/>
    <w:rsid w:val="00840D13"/>
    <w:rsid w:val="0084120B"/>
    <w:rsid w:val="0084149E"/>
    <w:rsid w:val="008418CE"/>
    <w:rsid w:val="00842A00"/>
    <w:rsid w:val="00842C8F"/>
    <w:rsid w:val="00842DE6"/>
    <w:rsid w:val="00842E93"/>
    <w:rsid w:val="00842E95"/>
    <w:rsid w:val="008433C1"/>
    <w:rsid w:val="00843441"/>
    <w:rsid w:val="008436EA"/>
    <w:rsid w:val="00843DB7"/>
    <w:rsid w:val="00844688"/>
    <w:rsid w:val="00844BCA"/>
    <w:rsid w:val="00844DB6"/>
    <w:rsid w:val="0084508D"/>
    <w:rsid w:val="00845D74"/>
    <w:rsid w:val="0084620E"/>
    <w:rsid w:val="008463C2"/>
    <w:rsid w:val="008464E2"/>
    <w:rsid w:val="00846FAC"/>
    <w:rsid w:val="00850067"/>
    <w:rsid w:val="00850187"/>
    <w:rsid w:val="00850608"/>
    <w:rsid w:val="00850F18"/>
    <w:rsid w:val="0085149C"/>
    <w:rsid w:val="008516CD"/>
    <w:rsid w:val="0085202E"/>
    <w:rsid w:val="00852531"/>
    <w:rsid w:val="0085275C"/>
    <w:rsid w:val="00852C9F"/>
    <w:rsid w:val="00853376"/>
    <w:rsid w:val="00853468"/>
    <w:rsid w:val="00853769"/>
    <w:rsid w:val="00853885"/>
    <w:rsid w:val="00854A82"/>
    <w:rsid w:val="00854CD1"/>
    <w:rsid w:val="00854F96"/>
    <w:rsid w:val="00855464"/>
    <w:rsid w:val="008555A5"/>
    <w:rsid w:val="008556CD"/>
    <w:rsid w:val="008560F5"/>
    <w:rsid w:val="00857129"/>
    <w:rsid w:val="008572EA"/>
    <w:rsid w:val="008573EA"/>
    <w:rsid w:val="008576B7"/>
    <w:rsid w:val="00857FFE"/>
    <w:rsid w:val="00860563"/>
    <w:rsid w:val="008613A1"/>
    <w:rsid w:val="0086184A"/>
    <w:rsid w:val="008618B0"/>
    <w:rsid w:val="00861922"/>
    <w:rsid w:val="008621C2"/>
    <w:rsid w:val="00862635"/>
    <w:rsid w:val="008629F5"/>
    <w:rsid w:val="008633D4"/>
    <w:rsid w:val="00863B2B"/>
    <w:rsid w:val="0086403D"/>
    <w:rsid w:val="00864133"/>
    <w:rsid w:val="00864249"/>
    <w:rsid w:val="0086493E"/>
    <w:rsid w:val="00864A9A"/>
    <w:rsid w:val="00864BAE"/>
    <w:rsid w:val="00864D14"/>
    <w:rsid w:val="00865DDB"/>
    <w:rsid w:val="0086668D"/>
    <w:rsid w:val="008670C3"/>
    <w:rsid w:val="00867A88"/>
    <w:rsid w:val="00867FC6"/>
    <w:rsid w:val="0087035C"/>
    <w:rsid w:val="00870A66"/>
    <w:rsid w:val="008717DF"/>
    <w:rsid w:val="00871CB1"/>
    <w:rsid w:val="00871FE6"/>
    <w:rsid w:val="00872520"/>
    <w:rsid w:val="00872A73"/>
    <w:rsid w:val="00872BF2"/>
    <w:rsid w:val="00873297"/>
    <w:rsid w:val="0087360C"/>
    <w:rsid w:val="0087375D"/>
    <w:rsid w:val="00873F54"/>
    <w:rsid w:val="00874480"/>
    <w:rsid w:val="008747C4"/>
    <w:rsid w:val="008751C7"/>
    <w:rsid w:val="00875B40"/>
    <w:rsid w:val="008763F3"/>
    <w:rsid w:val="0087641B"/>
    <w:rsid w:val="00876716"/>
    <w:rsid w:val="008768BE"/>
    <w:rsid w:val="00876D6A"/>
    <w:rsid w:val="00876E80"/>
    <w:rsid w:val="00880B11"/>
    <w:rsid w:val="0088111E"/>
    <w:rsid w:val="00881525"/>
    <w:rsid w:val="00881928"/>
    <w:rsid w:val="00881DAC"/>
    <w:rsid w:val="00882712"/>
    <w:rsid w:val="008829F4"/>
    <w:rsid w:val="0088305F"/>
    <w:rsid w:val="00883144"/>
    <w:rsid w:val="00883342"/>
    <w:rsid w:val="008834AA"/>
    <w:rsid w:val="00883711"/>
    <w:rsid w:val="00883C08"/>
    <w:rsid w:val="00884006"/>
    <w:rsid w:val="008845AD"/>
    <w:rsid w:val="008845B3"/>
    <w:rsid w:val="00884783"/>
    <w:rsid w:val="008854C0"/>
    <w:rsid w:val="008859DD"/>
    <w:rsid w:val="0088699D"/>
    <w:rsid w:val="00887523"/>
    <w:rsid w:val="00887565"/>
    <w:rsid w:val="008901AD"/>
    <w:rsid w:val="008904A6"/>
    <w:rsid w:val="00890678"/>
    <w:rsid w:val="008906D0"/>
    <w:rsid w:val="0089082F"/>
    <w:rsid w:val="00890B09"/>
    <w:rsid w:val="00891032"/>
    <w:rsid w:val="008911F5"/>
    <w:rsid w:val="0089151C"/>
    <w:rsid w:val="008917AC"/>
    <w:rsid w:val="008918D2"/>
    <w:rsid w:val="00891CD3"/>
    <w:rsid w:val="00891F96"/>
    <w:rsid w:val="00892308"/>
    <w:rsid w:val="008923FD"/>
    <w:rsid w:val="00892415"/>
    <w:rsid w:val="008925B0"/>
    <w:rsid w:val="0089292C"/>
    <w:rsid w:val="0089345F"/>
    <w:rsid w:val="008939F4"/>
    <w:rsid w:val="008940E6"/>
    <w:rsid w:val="008945EA"/>
    <w:rsid w:val="0089486A"/>
    <w:rsid w:val="00894AB8"/>
    <w:rsid w:val="00894F4A"/>
    <w:rsid w:val="00895280"/>
    <w:rsid w:val="00895464"/>
    <w:rsid w:val="00895B27"/>
    <w:rsid w:val="00895C53"/>
    <w:rsid w:val="00895D5F"/>
    <w:rsid w:val="00896042"/>
    <w:rsid w:val="00896295"/>
    <w:rsid w:val="0089630A"/>
    <w:rsid w:val="00896DF8"/>
    <w:rsid w:val="008970B0"/>
    <w:rsid w:val="008972CA"/>
    <w:rsid w:val="008973BE"/>
    <w:rsid w:val="00897547"/>
    <w:rsid w:val="0089784A"/>
    <w:rsid w:val="00897ED6"/>
    <w:rsid w:val="008A0872"/>
    <w:rsid w:val="008A0969"/>
    <w:rsid w:val="008A0994"/>
    <w:rsid w:val="008A0D7C"/>
    <w:rsid w:val="008A0F38"/>
    <w:rsid w:val="008A183A"/>
    <w:rsid w:val="008A1AE2"/>
    <w:rsid w:val="008A1C23"/>
    <w:rsid w:val="008A23B7"/>
    <w:rsid w:val="008A3364"/>
    <w:rsid w:val="008A363C"/>
    <w:rsid w:val="008A36C4"/>
    <w:rsid w:val="008A392C"/>
    <w:rsid w:val="008A3A0F"/>
    <w:rsid w:val="008A3A12"/>
    <w:rsid w:val="008A3B38"/>
    <w:rsid w:val="008A4925"/>
    <w:rsid w:val="008A59E9"/>
    <w:rsid w:val="008A5B04"/>
    <w:rsid w:val="008A5CBF"/>
    <w:rsid w:val="008A5F76"/>
    <w:rsid w:val="008A6920"/>
    <w:rsid w:val="008A6E11"/>
    <w:rsid w:val="008A71DC"/>
    <w:rsid w:val="008A743F"/>
    <w:rsid w:val="008A7E81"/>
    <w:rsid w:val="008B03DC"/>
    <w:rsid w:val="008B0C35"/>
    <w:rsid w:val="008B13DF"/>
    <w:rsid w:val="008B17B9"/>
    <w:rsid w:val="008B1BFC"/>
    <w:rsid w:val="008B1E16"/>
    <w:rsid w:val="008B1F3C"/>
    <w:rsid w:val="008B2BC3"/>
    <w:rsid w:val="008B3F86"/>
    <w:rsid w:val="008B40FF"/>
    <w:rsid w:val="008B4314"/>
    <w:rsid w:val="008B4435"/>
    <w:rsid w:val="008B48AA"/>
    <w:rsid w:val="008B4A4E"/>
    <w:rsid w:val="008B4B0A"/>
    <w:rsid w:val="008B4DCF"/>
    <w:rsid w:val="008B4E70"/>
    <w:rsid w:val="008B5376"/>
    <w:rsid w:val="008B551D"/>
    <w:rsid w:val="008B5DD0"/>
    <w:rsid w:val="008B5FA0"/>
    <w:rsid w:val="008B6004"/>
    <w:rsid w:val="008B6199"/>
    <w:rsid w:val="008B6268"/>
    <w:rsid w:val="008B62E1"/>
    <w:rsid w:val="008B6375"/>
    <w:rsid w:val="008B67C1"/>
    <w:rsid w:val="008B73F3"/>
    <w:rsid w:val="008B7B7F"/>
    <w:rsid w:val="008C0B13"/>
    <w:rsid w:val="008C0B6E"/>
    <w:rsid w:val="008C174E"/>
    <w:rsid w:val="008C3153"/>
    <w:rsid w:val="008C3E76"/>
    <w:rsid w:val="008C4218"/>
    <w:rsid w:val="008C42D1"/>
    <w:rsid w:val="008C49AC"/>
    <w:rsid w:val="008C4A1C"/>
    <w:rsid w:val="008C5A01"/>
    <w:rsid w:val="008C5BA1"/>
    <w:rsid w:val="008C6B62"/>
    <w:rsid w:val="008C7725"/>
    <w:rsid w:val="008C7DFC"/>
    <w:rsid w:val="008D028A"/>
    <w:rsid w:val="008D0991"/>
    <w:rsid w:val="008D0A53"/>
    <w:rsid w:val="008D15EC"/>
    <w:rsid w:val="008D17F1"/>
    <w:rsid w:val="008D2621"/>
    <w:rsid w:val="008D280C"/>
    <w:rsid w:val="008D2DE8"/>
    <w:rsid w:val="008D2E96"/>
    <w:rsid w:val="008D30BA"/>
    <w:rsid w:val="008D30C2"/>
    <w:rsid w:val="008D3B93"/>
    <w:rsid w:val="008D3D31"/>
    <w:rsid w:val="008D3D67"/>
    <w:rsid w:val="008D3FEF"/>
    <w:rsid w:val="008D4C0A"/>
    <w:rsid w:val="008D4FC4"/>
    <w:rsid w:val="008D5081"/>
    <w:rsid w:val="008D5684"/>
    <w:rsid w:val="008D5A16"/>
    <w:rsid w:val="008D5A45"/>
    <w:rsid w:val="008D6898"/>
    <w:rsid w:val="008D757D"/>
    <w:rsid w:val="008D76B2"/>
    <w:rsid w:val="008D7FBD"/>
    <w:rsid w:val="008E1C39"/>
    <w:rsid w:val="008E224F"/>
    <w:rsid w:val="008E3A8E"/>
    <w:rsid w:val="008E3CE9"/>
    <w:rsid w:val="008E3DA4"/>
    <w:rsid w:val="008E4991"/>
    <w:rsid w:val="008E4AA8"/>
    <w:rsid w:val="008E4B25"/>
    <w:rsid w:val="008E4BBA"/>
    <w:rsid w:val="008E4FD5"/>
    <w:rsid w:val="008E50F7"/>
    <w:rsid w:val="008E5245"/>
    <w:rsid w:val="008E55EE"/>
    <w:rsid w:val="008E619E"/>
    <w:rsid w:val="008E6AFD"/>
    <w:rsid w:val="008F0201"/>
    <w:rsid w:val="008F0DA7"/>
    <w:rsid w:val="008F106F"/>
    <w:rsid w:val="008F110D"/>
    <w:rsid w:val="008F1558"/>
    <w:rsid w:val="008F2108"/>
    <w:rsid w:val="008F2220"/>
    <w:rsid w:val="008F234C"/>
    <w:rsid w:val="008F28E1"/>
    <w:rsid w:val="008F2A88"/>
    <w:rsid w:val="008F2D9C"/>
    <w:rsid w:val="008F35EF"/>
    <w:rsid w:val="008F36E7"/>
    <w:rsid w:val="008F3927"/>
    <w:rsid w:val="008F417A"/>
    <w:rsid w:val="008F48A2"/>
    <w:rsid w:val="008F4D23"/>
    <w:rsid w:val="008F4F7E"/>
    <w:rsid w:val="008F5A8C"/>
    <w:rsid w:val="008F5B1B"/>
    <w:rsid w:val="008F61E8"/>
    <w:rsid w:val="008F6896"/>
    <w:rsid w:val="008F6E0C"/>
    <w:rsid w:val="008F7277"/>
    <w:rsid w:val="008F74E5"/>
    <w:rsid w:val="008F7917"/>
    <w:rsid w:val="008F7D61"/>
    <w:rsid w:val="00900296"/>
    <w:rsid w:val="009002F4"/>
    <w:rsid w:val="0090049F"/>
    <w:rsid w:val="009011C4"/>
    <w:rsid w:val="009011E8"/>
    <w:rsid w:val="00901258"/>
    <w:rsid w:val="009018F4"/>
    <w:rsid w:val="00901B84"/>
    <w:rsid w:val="009020A3"/>
    <w:rsid w:val="00902112"/>
    <w:rsid w:val="0090221F"/>
    <w:rsid w:val="009024DC"/>
    <w:rsid w:val="009024F6"/>
    <w:rsid w:val="00902641"/>
    <w:rsid w:val="00902A25"/>
    <w:rsid w:val="00902A57"/>
    <w:rsid w:val="00902C00"/>
    <w:rsid w:val="00902D03"/>
    <w:rsid w:val="00902FB2"/>
    <w:rsid w:val="00903008"/>
    <w:rsid w:val="009030B8"/>
    <w:rsid w:val="009032F4"/>
    <w:rsid w:val="00903541"/>
    <w:rsid w:val="00903F0B"/>
    <w:rsid w:val="00904F7D"/>
    <w:rsid w:val="009053F4"/>
    <w:rsid w:val="00905CC6"/>
    <w:rsid w:val="009069F2"/>
    <w:rsid w:val="0090757C"/>
    <w:rsid w:val="00907928"/>
    <w:rsid w:val="00907F5C"/>
    <w:rsid w:val="00910373"/>
    <w:rsid w:val="00910B80"/>
    <w:rsid w:val="00912198"/>
    <w:rsid w:val="00912355"/>
    <w:rsid w:val="00912497"/>
    <w:rsid w:val="00912587"/>
    <w:rsid w:val="00912B07"/>
    <w:rsid w:val="00912E38"/>
    <w:rsid w:val="009137F8"/>
    <w:rsid w:val="00913B8E"/>
    <w:rsid w:val="00913CCF"/>
    <w:rsid w:val="00914A10"/>
    <w:rsid w:val="00915210"/>
    <w:rsid w:val="00915964"/>
    <w:rsid w:val="00916509"/>
    <w:rsid w:val="00916740"/>
    <w:rsid w:val="00916924"/>
    <w:rsid w:val="00916EC6"/>
    <w:rsid w:val="009172DE"/>
    <w:rsid w:val="00917611"/>
    <w:rsid w:val="00917847"/>
    <w:rsid w:val="00917867"/>
    <w:rsid w:val="0091794F"/>
    <w:rsid w:val="00917AB4"/>
    <w:rsid w:val="00920101"/>
    <w:rsid w:val="00920364"/>
    <w:rsid w:val="00920E61"/>
    <w:rsid w:val="009211A6"/>
    <w:rsid w:val="0092121D"/>
    <w:rsid w:val="00921344"/>
    <w:rsid w:val="0092184B"/>
    <w:rsid w:val="00921C4D"/>
    <w:rsid w:val="009227F4"/>
    <w:rsid w:val="00922987"/>
    <w:rsid w:val="00923175"/>
    <w:rsid w:val="0092399C"/>
    <w:rsid w:val="00923AE8"/>
    <w:rsid w:val="00924126"/>
    <w:rsid w:val="0092417E"/>
    <w:rsid w:val="009249BA"/>
    <w:rsid w:val="00925195"/>
    <w:rsid w:val="00925BC9"/>
    <w:rsid w:val="009265AF"/>
    <w:rsid w:val="009267D2"/>
    <w:rsid w:val="0092693D"/>
    <w:rsid w:val="009271B2"/>
    <w:rsid w:val="009276BC"/>
    <w:rsid w:val="00927A3C"/>
    <w:rsid w:val="00927C08"/>
    <w:rsid w:val="00931367"/>
    <w:rsid w:val="00931CCD"/>
    <w:rsid w:val="00931F51"/>
    <w:rsid w:val="00932169"/>
    <w:rsid w:val="0093239E"/>
    <w:rsid w:val="00932540"/>
    <w:rsid w:val="00932632"/>
    <w:rsid w:val="00932786"/>
    <w:rsid w:val="009327C3"/>
    <w:rsid w:val="00933AF8"/>
    <w:rsid w:val="0093418B"/>
    <w:rsid w:val="009342EC"/>
    <w:rsid w:val="00935046"/>
    <w:rsid w:val="009352B0"/>
    <w:rsid w:val="00935427"/>
    <w:rsid w:val="009354BA"/>
    <w:rsid w:val="00936296"/>
    <w:rsid w:val="00936E34"/>
    <w:rsid w:val="00937F21"/>
    <w:rsid w:val="009400BF"/>
    <w:rsid w:val="00941174"/>
    <w:rsid w:val="00941238"/>
    <w:rsid w:val="00941464"/>
    <w:rsid w:val="00941515"/>
    <w:rsid w:val="0094161E"/>
    <w:rsid w:val="00941701"/>
    <w:rsid w:val="0094191D"/>
    <w:rsid w:val="00942EA4"/>
    <w:rsid w:val="009435AB"/>
    <w:rsid w:val="009435BA"/>
    <w:rsid w:val="00943DF6"/>
    <w:rsid w:val="00943F5E"/>
    <w:rsid w:val="0094499D"/>
    <w:rsid w:val="00944AA5"/>
    <w:rsid w:val="00944DA8"/>
    <w:rsid w:val="00945147"/>
    <w:rsid w:val="0094523E"/>
    <w:rsid w:val="00945866"/>
    <w:rsid w:val="00945F61"/>
    <w:rsid w:val="009468AA"/>
    <w:rsid w:val="00946D3F"/>
    <w:rsid w:val="00946DBC"/>
    <w:rsid w:val="00946EBD"/>
    <w:rsid w:val="0094715A"/>
    <w:rsid w:val="0094780E"/>
    <w:rsid w:val="00947858"/>
    <w:rsid w:val="0094792D"/>
    <w:rsid w:val="00950695"/>
    <w:rsid w:val="00950777"/>
    <w:rsid w:val="00950861"/>
    <w:rsid w:val="00950C7E"/>
    <w:rsid w:val="00951A05"/>
    <w:rsid w:val="0095274B"/>
    <w:rsid w:val="00952A49"/>
    <w:rsid w:val="00953069"/>
    <w:rsid w:val="0095335A"/>
    <w:rsid w:val="00953AD4"/>
    <w:rsid w:val="00953BAA"/>
    <w:rsid w:val="00953CD9"/>
    <w:rsid w:val="00953CF8"/>
    <w:rsid w:val="00954AF7"/>
    <w:rsid w:val="00956117"/>
    <w:rsid w:val="00956262"/>
    <w:rsid w:val="00956DA3"/>
    <w:rsid w:val="00957A8C"/>
    <w:rsid w:val="00960017"/>
    <w:rsid w:val="00960137"/>
    <w:rsid w:val="0096040F"/>
    <w:rsid w:val="009609B0"/>
    <w:rsid w:val="00960AD7"/>
    <w:rsid w:val="00960D94"/>
    <w:rsid w:val="00960FF5"/>
    <w:rsid w:val="009613D4"/>
    <w:rsid w:val="00961896"/>
    <w:rsid w:val="00962008"/>
    <w:rsid w:val="00962E37"/>
    <w:rsid w:val="009630BB"/>
    <w:rsid w:val="009638C9"/>
    <w:rsid w:val="00964D10"/>
    <w:rsid w:val="00965223"/>
    <w:rsid w:val="00965590"/>
    <w:rsid w:val="00966212"/>
    <w:rsid w:val="0096624A"/>
    <w:rsid w:val="009678DA"/>
    <w:rsid w:val="00967F60"/>
    <w:rsid w:val="00970788"/>
    <w:rsid w:val="00970B86"/>
    <w:rsid w:val="00971390"/>
    <w:rsid w:val="00971D6C"/>
    <w:rsid w:val="00971E49"/>
    <w:rsid w:val="00973650"/>
    <w:rsid w:val="0097382F"/>
    <w:rsid w:val="009739AE"/>
    <w:rsid w:val="00975168"/>
    <w:rsid w:val="0097576E"/>
    <w:rsid w:val="009757E5"/>
    <w:rsid w:val="00975D9C"/>
    <w:rsid w:val="00976D1A"/>
    <w:rsid w:val="00976DC7"/>
    <w:rsid w:val="00976E53"/>
    <w:rsid w:val="009777BB"/>
    <w:rsid w:val="00977A68"/>
    <w:rsid w:val="00977CB2"/>
    <w:rsid w:val="00980094"/>
    <w:rsid w:val="009803EF"/>
    <w:rsid w:val="0098055C"/>
    <w:rsid w:val="00980653"/>
    <w:rsid w:val="00980BBE"/>
    <w:rsid w:val="00980D29"/>
    <w:rsid w:val="00980DB4"/>
    <w:rsid w:val="00981272"/>
    <w:rsid w:val="0098175D"/>
    <w:rsid w:val="009818CA"/>
    <w:rsid w:val="00982785"/>
    <w:rsid w:val="00983D9B"/>
    <w:rsid w:val="00984578"/>
    <w:rsid w:val="00985354"/>
    <w:rsid w:val="00985609"/>
    <w:rsid w:val="009857A4"/>
    <w:rsid w:val="009862A8"/>
    <w:rsid w:val="009869D2"/>
    <w:rsid w:val="00987F23"/>
    <w:rsid w:val="00990251"/>
    <w:rsid w:val="009902CF"/>
    <w:rsid w:val="009903A6"/>
    <w:rsid w:val="00990583"/>
    <w:rsid w:val="00990AA3"/>
    <w:rsid w:val="00990C10"/>
    <w:rsid w:val="00991039"/>
    <w:rsid w:val="009911FE"/>
    <w:rsid w:val="00991354"/>
    <w:rsid w:val="009916E1"/>
    <w:rsid w:val="00991A56"/>
    <w:rsid w:val="00991D05"/>
    <w:rsid w:val="00992D8C"/>
    <w:rsid w:val="009934C3"/>
    <w:rsid w:val="0099364E"/>
    <w:rsid w:val="00993C7D"/>
    <w:rsid w:val="00994368"/>
    <w:rsid w:val="00994C1F"/>
    <w:rsid w:val="00994C63"/>
    <w:rsid w:val="00994D50"/>
    <w:rsid w:val="00995486"/>
    <w:rsid w:val="009962EF"/>
    <w:rsid w:val="0099698B"/>
    <w:rsid w:val="0099699D"/>
    <w:rsid w:val="00997049"/>
    <w:rsid w:val="009972C0"/>
    <w:rsid w:val="00997BCE"/>
    <w:rsid w:val="00997D39"/>
    <w:rsid w:val="00997E37"/>
    <w:rsid w:val="009A0222"/>
    <w:rsid w:val="009A0765"/>
    <w:rsid w:val="009A07B3"/>
    <w:rsid w:val="009A07F8"/>
    <w:rsid w:val="009A1614"/>
    <w:rsid w:val="009A267D"/>
    <w:rsid w:val="009A285E"/>
    <w:rsid w:val="009A2E98"/>
    <w:rsid w:val="009A3031"/>
    <w:rsid w:val="009A33F8"/>
    <w:rsid w:val="009A3CE5"/>
    <w:rsid w:val="009A3D76"/>
    <w:rsid w:val="009A3FB5"/>
    <w:rsid w:val="009A403B"/>
    <w:rsid w:val="009A428F"/>
    <w:rsid w:val="009A429D"/>
    <w:rsid w:val="009A4A64"/>
    <w:rsid w:val="009A4E66"/>
    <w:rsid w:val="009A5439"/>
    <w:rsid w:val="009A547E"/>
    <w:rsid w:val="009A55A8"/>
    <w:rsid w:val="009A6553"/>
    <w:rsid w:val="009A7466"/>
    <w:rsid w:val="009A74CC"/>
    <w:rsid w:val="009A7526"/>
    <w:rsid w:val="009A7645"/>
    <w:rsid w:val="009A7E82"/>
    <w:rsid w:val="009B005A"/>
    <w:rsid w:val="009B02F3"/>
    <w:rsid w:val="009B04FE"/>
    <w:rsid w:val="009B15AA"/>
    <w:rsid w:val="009B1A16"/>
    <w:rsid w:val="009B2D0E"/>
    <w:rsid w:val="009B3039"/>
    <w:rsid w:val="009B30EE"/>
    <w:rsid w:val="009B3596"/>
    <w:rsid w:val="009B3B8A"/>
    <w:rsid w:val="009B458D"/>
    <w:rsid w:val="009B45EE"/>
    <w:rsid w:val="009B47B3"/>
    <w:rsid w:val="009B5619"/>
    <w:rsid w:val="009B5688"/>
    <w:rsid w:val="009B573B"/>
    <w:rsid w:val="009B57F3"/>
    <w:rsid w:val="009B5852"/>
    <w:rsid w:val="009B5964"/>
    <w:rsid w:val="009B5FE9"/>
    <w:rsid w:val="009B6198"/>
    <w:rsid w:val="009B63A2"/>
    <w:rsid w:val="009B6E8B"/>
    <w:rsid w:val="009B75BC"/>
    <w:rsid w:val="009C0285"/>
    <w:rsid w:val="009C0A18"/>
    <w:rsid w:val="009C0D87"/>
    <w:rsid w:val="009C0F45"/>
    <w:rsid w:val="009C11D0"/>
    <w:rsid w:val="009C13CF"/>
    <w:rsid w:val="009C3055"/>
    <w:rsid w:val="009C46E7"/>
    <w:rsid w:val="009C4F07"/>
    <w:rsid w:val="009C509F"/>
    <w:rsid w:val="009C51EB"/>
    <w:rsid w:val="009C5219"/>
    <w:rsid w:val="009C5291"/>
    <w:rsid w:val="009C53D6"/>
    <w:rsid w:val="009C5D6F"/>
    <w:rsid w:val="009C5E80"/>
    <w:rsid w:val="009C6148"/>
    <w:rsid w:val="009C6305"/>
    <w:rsid w:val="009C63E2"/>
    <w:rsid w:val="009C69E6"/>
    <w:rsid w:val="009C6EF2"/>
    <w:rsid w:val="009C7243"/>
    <w:rsid w:val="009C7605"/>
    <w:rsid w:val="009C7E4C"/>
    <w:rsid w:val="009D11A5"/>
    <w:rsid w:val="009D1A14"/>
    <w:rsid w:val="009D1A2C"/>
    <w:rsid w:val="009D205C"/>
    <w:rsid w:val="009D2DD3"/>
    <w:rsid w:val="009D4045"/>
    <w:rsid w:val="009D40F3"/>
    <w:rsid w:val="009D4333"/>
    <w:rsid w:val="009D468C"/>
    <w:rsid w:val="009D46F5"/>
    <w:rsid w:val="009D48A6"/>
    <w:rsid w:val="009D4DDB"/>
    <w:rsid w:val="009D5BB0"/>
    <w:rsid w:val="009D5EA5"/>
    <w:rsid w:val="009D68C0"/>
    <w:rsid w:val="009D6AAE"/>
    <w:rsid w:val="009D7019"/>
    <w:rsid w:val="009D7150"/>
    <w:rsid w:val="009D7431"/>
    <w:rsid w:val="009D763A"/>
    <w:rsid w:val="009E01E7"/>
    <w:rsid w:val="009E0325"/>
    <w:rsid w:val="009E1C39"/>
    <w:rsid w:val="009E28A5"/>
    <w:rsid w:val="009E2AE8"/>
    <w:rsid w:val="009E32C3"/>
    <w:rsid w:val="009E353B"/>
    <w:rsid w:val="009E3798"/>
    <w:rsid w:val="009E4256"/>
    <w:rsid w:val="009E4619"/>
    <w:rsid w:val="009E488F"/>
    <w:rsid w:val="009E578B"/>
    <w:rsid w:val="009E640D"/>
    <w:rsid w:val="009E687D"/>
    <w:rsid w:val="009E721C"/>
    <w:rsid w:val="009E7544"/>
    <w:rsid w:val="009F0189"/>
    <w:rsid w:val="009F024F"/>
    <w:rsid w:val="009F0DD8"/>
    <w:rsid w:val="009F0EF8"/>
    <w:rsid w:val="009F1218"/>
    <w:rsid w:val="009F146B"/>
    <w:rsid w:val="009F1867"/>
    <w:rsid w:val="009F1DB8"/>
    <w:rsid w:val="009F28DE"/>
    <w:rsid w:val="009F3345"/>
    <w:rsid w:val="009F35AE"/>
    <w:rsid w:val="009F36AD"/>
    <w:rsid w:val="009F3B79"/>
    <w:rsid w:val="009F3FA3"/>
    <w:rsid w:val="009F4346"/>
    <w:rsid w:val="009F4557"/>
    <w:rsid w:val="009F531D"/>
    <w:rsid w:val="009F5B6B"/>
    <w:rsid w:val="009F5C90"/>
    <w:rsid w:val="009F5D8A"/>
    <w:rsid w:val="009F5D9A"/>
    <w:rsid w:val="009F5E43"/>
    <w:rsid w:val="009F7F70"/>
    <w:rsid w:val="009F7FD5"/>
    <w:rsid w:val="00A00842"/>
    <w:rsid w:val="00A00B23"/>
    <w:rsid w:val="00A00E68"/>
    <w:rsid w:val="00A01A21"/>
    <w:rsid w:val="00A01A36"/>
    <w:rsid w:val="00A01AE2"/>
    <w:rsid w:val="00A01E35"/>
    <w:rsid w:val="00A022E4"/>
    <w:rsid w:val="00A0254D"/>
    <w:rsid w:val="00A02EF9"/>
    <w:rsid w:val="00A033BA"/>
    <w:rsid w:val="00A033EC"/>
    <w:rsid w:val="00A034AE"/>
    <w:rsid w:val="00A03CA9"/>
    <w:rsid w:val="00A03CD7"/>
    <w:rsid w:val="00A03D25"/>
    <w:rsid w:val="00A03D64"/>
    <w:rsid w:val="00A04901"/>
    <w:rsid w:val="00A050E5"/>
    <w:rsid w:val="00A05916"/>
    <w:rsid w:val="00A05AA0"/>
    <w:rsid w:val="00A05C5B"/>
    <w:rsid w:val="00A05D3E"/>
    <w:rsid w:val="00A06006"/>
    <w:rsid w:val="00A06CBF"/>
    <w:rsid w:val="00A07913"/>
    <w:rsid w:val="00A07EF2"/>
    <w:rsid w:val="00A10758"/>
    <w:rsid w:val="00A1085F"/>
    <w:rsid w:val="00A10E4A"/>
    <w:rsid w:val="00A10EEE"/>
    <w:rsid w:val="00A111B9"/>
    <w:rsid w:val="00A11817"/>
    <w:rsid w:val="00A119FE"/>
    <w:rsid w:val="00A11C14"/>
    <w:rsid w:val="00A11FF7"/>
    <w:rsid w:val="00A127CB"/>
    <w:rsid w:val="00A1292C"/>
    <w:rsid w:val="00A13699"/>
    <w:rsid w:val="00A13987"/>
    <w:rsid w:val="00A148F6"/>
    <w:rsid w:val="00A1497C"/>
    <w:rsid w:val="00A14E93"/>
    <w:rsid w:val="00A14FB0"/>
    <w:rsid w:val="00A154FC"/>
    <w:rsid w:val="00A15AF4"/>
    <w:rsid w:val="00A165E9"/>
    <w:rsid w:val="00A16A6D"/>
    <w:rsid w:val="00A16D90"/>
    <w:rsid w:val="00A171D3"/>
    <w:rsid w:val="00A1730D"/>
    <w:rsid w:val="00A2031A"/>
    <w:rsid w:val="00A204E0"/>
    <w:rsid w:val="00A207E2"/>
    <w:rsid w:val="00A20B5D"/>
    <w:rsid w:val="00A214ED"/>
    <w:rsid w:val="00A21C38"/>
    <w:rsid w:val="00A221C1"/>
    <w:rsid w:val="00A221F0"/>
    <w:rsid w:val="00A22731"/>
    <w:rsid w:val="00A227F0"/>
    <w:rsid w:val="00A2339E"/>
    <w:rsid w:val="00A233E1"/>
    <w:rsid w:val="00A23D1C"/>
    <w:rsid w:val="00A2424B"/>
    <w:rsid w:val="00A2437F"/>
    <w:rsid w:val="00A2483F"/>
    <w:rsid w:val="00A251B2"/>
    <w:rsid w:val="00A251FC"/>
    <w:rsid w:val="00A256CF"/>
    <w:rsid w:val="00A2598F"/>
    <w:rsid w:val="00A265B6"/>
    <w:rsid w:val="00A269E1"/>
    <w:rsid w:val="00A26C7B"/>
    <w:rsid w:val="00A27194"/>
    <w:rsid w:val="00A2780B"/>
    <w:rsid w:val="00A27BBD"/>
    <w:rsid w:val="00A30B23"/>
    <w:rsid w:val="00A31493"/>
    <w:rsid w:val="00A319C8"/>
    <w:rsid w:val="00A321AE"/>
    <w:rsid w:val="00A32376"/>
    <w:rsid w:val="00A32D21"/>
    <w:rsid w:val="00A333E0"/>
    <w:rsid w:val="00A33817"/>
    <w:rsid w:val="00A338AE"/>
    <w:rsid w:val="00A33CE8"/>
    <w:rsid w:val="00A345F1"/>
    <w:rsid w:val="00A34893"/>
    <w:rsid w:val="00A35032"/>
    <w:rsid w:val="00A35308"/>
    <w:rsid w:val="00A358E9"/>
    <w:rsid w:val="00A35AA6"/>
    <w:rsid w:val="00A35D62"/>
    <w:rsid w:val="00A361D2"/>
    <w:rsid w:val="00A36754"/>
    <w:rsid w:val="00A36A18"/>
    <w:rsid w:val="00A36A19"/>
    <w:rsid w:val="00A36FFE"/>
    <w:rsid w:val="00A373BF"/>
    <w:rsid w:val="00A375D2"/>
    <w:rsid w:val="00A376AE"/>
    <w:rsid w:val="00A37CC3"/>
    <w:rsid w:val="00A37D2B"/>
    <w:rsid w:val="00A401EA"/>
    <w:rsid w:val="00A4081A"/>
    <w:rsid w:val="00A40983"/>
    <w:rsid w:val="00A40BB2"/>
    <w:rsid w:val="00A40E78"/>
    <w:rsid w:val="00A40EE1"/>
    <w:rsid w:val="00A414FD"/>
    <w:rsid w:val="00A41BA3"/>
    <w:rsid w:val="00A42205"/>
    <w:rsid w:val="00A429A1"/>
    <w:rsid w:val="00A42AA1"/>
    <w:rsid w:val="00A42D64"/>
    <w:rsid w:val="00A43002"/>
    <w:rsid w:val="00A431E7"/>
    <w:rsid w:val="00A4375A"/>
    <w:rsid w:val="00A43DDF"/>
    <w:rsid w:val="00A44588"/>
    <w:rsid w:val="00A446BE"/>
    <w:rsid w:val="00A44D43"/>
    <w:rsid w:val="00A45066"/>
    <w:rsid w:val="00A45BF4"/>
    <w:rsid w:val="00A45CDD"/>
    <w:rsid w:val="00A45E5A"/>
    <w:rsid w:val="00A45F67"/>
    <w:rsid w:val="00A4631C"/>
    <w:rsid w:val="00A46385"/>
    <w:rsid w:val="00A464FE"/>
    <w:rsid w:val="00A46A30"/>
    <w:rsid w:val="00A46A8B"/>
    <w:rsid w:val="00A46E8B"/>
    <w:rsid w:val="00A47119"/>
    <w:rsid w:val="00A501C8"/>
    <w:rsid w:val="00A50423"/>
    <w:rsid w:val="00A505E1"/>
    <w:rsid w:val="00A50A12"/>
    <w:rsid w:val="00A50AE6"/>
    <w:rsid w:val="00A50BBF"/>
    <w:rsid w:val="00A50C1B"/>
    <w:rsid w:val="00A514CF"/>
    <w:rsid w:val="00A516C8"/>
    <w:rsid w:val="00A5170D"/>
    <w:rsid w:val="00A51A43"/>
    <w:rsid w:val="00A51CC8"/>
    <w:rsid w:val="00A52014"/>
    <w:rsid w:val="00A524C6"/>
    <w:rsid w:val="00A525A4"/>
    <w:rsid w:val="00A527A9"/>
    <w:rsid w:val="00A52C50"/>
    <w:rsid w:val="00A53251"/>
    <w:rsid w:val="00A533F0"/>
    <w:rsid w:val="00A54CD2"/>
    <w:rsid w:val="00A54E7F"/>
    <w:rsid w:val="00A5525F"/>
    <w:rsid w:val="00A55518"/>
    <w:rsid w:val="00A55876"/>
    <w:rsid w:val="00A55A4B"/>
    <w:rsid w:val="00A55AE3"/>
    <w:rsid w:val="00A55CF1"/>
    <w:rsid w:val="00A55EEA"/>
    <w:rsid w:val="00A561EA"/>
    <w:rsid w:val="00A566A1"/>
    <w:rsid w:val="00A566E5"/>
    <w:rsid w:val="00A56AF5"/>
    <w:rsid w:val="00A572C8"/>
    <w:rsid w:val="00A57529"/>
    <w:rsid w:val="00A5791A"/>
    <w:rsid w:val="00A60EC5"/>
    <w:rsid w:val="00A625B7"/>
    <w:rsid w:val="00A62C71"/>
    <w:rsid w:val="00A62CE5"/>
    <w:rsid w:val="00A62D6A"/>
    <w:rsid w:val="00A63386"/>
    <w:rsid w:val="00A637AE"/>
    <w:rsid w:val="00A63A9B"/>
    <w:rsid w:val="00A63BBD"/>
    <w:rsid w:val="00A63D35"/>
    <w:rsid w:val="00A640EE"/>
    <w:rsid w:val="00A642EA"/>
    <w:rsid w:val="00A64420"/>
    <w:rsid w:val="00A64511"/>
    <w:rsid w:val="00A645E9"/>
    <w:rsid w:val="00A6497F"/>
    <w:rsid w:val="00A64E20"/>
    <w:rsid w:val="00A65199"/>
    <w:rsid w:val="00A65213"/>
    <w:rsid w:val="00A6619C"/>
    <w:rsid w:val="00A665CA"/>
    <w:rsid w:val="00A66850"/>
    <w:rsid w:val="00A67026"/>
    <w:rsid w:val="00A673C3"/>
    <w:rsid w:val="00A673E5"/>
    <w:rsid w:val="00A67F0D"/>
    <w:rsid w:val="00A7028B"/>
    <w:rsid w:val="00A70410"/>
    <w:rsid w:val="00A70613"/>
    <w:rsid w:val="00A70626"/>
    <w:rsid w:val="00A70715"/>
    <w:rsid w:val="00A7071F"/>
    <w:rsid w:val="00A7072E"/>
    <w:rsid w:val="00A70E23"/>
    <w:rsid w:val="00A71DDC"/>
    <w:rsid w:val="00A72372"/>
    <w:rsid w:val="00A72780"/>
    <w:rsid w:val="00A72B48"/>
    <w:rsid w:val="00A72B7E"/>
    <w:rsid w:val="00A72BEA"/>
    <w:rsid w:val="00A72E96"/>
    <w:rsid w:val="00A73D54"/>
    <w:rsid w:val="00A74031"/>
    <w:rsid w:val="00A741A6"/>
    <w:rsid w:val="00A746D2"/>
    <w:rsid w:val="00A74CBE"/>
    <w:rsid w:val="00A74E64"/>
    <w:rsid w:val="00A757FD"/>
    <w:rsid w:val="00A75E64"/>
    <w:rsid w:val="00A75F39"/>
    <w:rsid w:val="00A761B1"/>
    <w:rsid w:val="00A762DA"/>
    <w:rsid w:val="00A764AA"/>
    <w:rsid w:val="00A768D6"/>
    <w:rsid w:val="00A76C69"/>
    <w:rsid w:val="00A80A72"/>
    <w:rsid w:val="00A80C51"/>
    <w:rsid w:val="00A80F44"/>
    <w:rsid w:val="00A81144"/>
    <w:rsid w:val="00A81341"/>
    <w:rsid w:val="00A81CB4"/>
    <w:rsid w:val="00A8250C"/>
    <w:rsid w:val="00A827D8"/>
    <w:rsid w:val="00A82C91"/>
    <w:rsid w:val="00A8312D"/>
    <w:rsid w:val="00A8368B"/>
    <w:rsid w:val="00A83C9C"/>
    <w:rsid w:val="00A843DD"/>
    <w:rsid w:val="00A84AC1"/>
    <w:rsid w:val="00A84AFF"/>
    <w:rsid w:val="00A8518C"/>
    <w:rsid w:val="00A85B1F"/>
    <w:rsid w:val="00A860D4"/>
    <w:rsid w:val="00A874BD"/>
    <w:rsid w:val="00A87574"/>
    <w:rsid w:val="00A87789"/>
    <w:rsid w:val="00A879E2"/>
    <w:rsid w:val="00A87A52"/>
    <w:rsid w:val="00A87A53"/>
    <w:rsid w:val="00A90371"/>
    <w:rsid w:val="00A90E73"/>
    <w:rsid w:val="00A90F69"/>
    <w:rsid w:val="00A91A78"/>
    <w:rsid w:val="00A91BA2"/>
    <w:rsid w:val="00A91ED8"/>
    <w:rsid w:val="00A92094"/>
    <w:rsid w:val="00A9272B"/>
    <w:rsid w:val="00A92884"/>
    <w:rsid w:val="00A93747"/>
    <w:rsid w:val="00A938B0"/>
    <w:rsid w:val="00A93A7E"/>
    <w:rsid w:val="00A94705"/>
    <w:rsid w:val="00A94AEC"/>
    <w:rsid w:val="00A94E4B"/>
    <w:rsid w:val="00A9513B"/>
    <w:rsid w:val="00A95F89"/>
    <w:rsid w:val="00A96047"/>
    <w:rsid w:val="00A961A4"/>
    <w:rsid w:val="00A96343"/>
    <w:rsid w:val="00A96540"/>
    <w:rsid w:val="00A97072"/>
    <w:rsid w:val="00A97677"/>
    <w:rsid w:val="00AA0480"/>
    <w:rsid w:val="00AA0580"/>
    <w:rsid w:val="00AA0823"/>
    <w:rsid w:val="00AA18F1"/>
    <w:rsid w:val="00AA24B0"/>
    <w:rsid w:val="00AA2826"/>
    <w:rsid w:val="00AA2861"/>
    <w:rsid w:val="00AA2B45"/>
    <w:rsid w:val="00AA2E20"/>
    <w:rsid w:val="00AA331E"/>
    <w:rsid w:val="00AA396F"/>
    <w:rsid w:val="00AA3BA2"/>
    <w:rsid w:val="00AA3CE8"/>
    <w:rsid w:val="00AA47BB"/>
    <w:rsid w:val="00AA53DC"/>
    <w:rsid w:val="00AA7068"/>
    <w:rsid w:val="00AA77DE"/>
    <w:rsid w:val="00AB0416"/>
    <w:rsid w:val="00AB08BE"/>
    <w:rsid w:val="00AB0AC5"/>
    <w:rsid w:val="00AB0E8A"/>
    <w:rsid w:val="00AB1149"/>
    <w:rsid w:val="00AB1339"/>
    <w:rsid w:val="00AB1E3A"/>
    <w:rsid w:val="00AB2245"/>
    <w:rsid w:val="00AB2317"/>
    <w:rsid w:val="00AB333A"/>
    <w:rsid w:val="00AB39C6"/>
    <w:rsid w:val="00AB40DF"/>
    <w:rsid w:val="00AB4B3C"/>
    <w:rsid w:val="00AB4E32"/>
    <w:rsid w:val="00AB5424"/>
    <w:rsid w:val="00AB5526"/>
    <w:rsid w:val="00AB5540"/>
    <w:rsid w:val="00AB59DE"/>
    <w:rsid w:val="00AB5A01"/>
    <w:rsid w:val="00AB5E79"/>
    <w:rsid w:val="00AB6CA5"/>
    <w:rsid w:val="00AB72A8"/>
    <w:rsid w:val="00AB757E"/>
    <w:rsid w:val="00AB75EA"/>
    <w:rsid w:val="00AC0370"/>
    <w:rsid w:val="00AC0584"/>
    <w:rsid w:val="00AC06B5"/>
    <w:rsid w:val="00AC0B1B"/>
    <w:rsid w:val="00AC0EEA"/>
    <w:rsid w:val="00AC157E"/>
    <w:rsid w:val="00AC219A"/>
    <w:rsid w:val="00AC2BCF"/>
    <w:rsid w:val="00AC2DBE"/>
    <w:rsid w:val="00AC3213"/>
    <w:rsid w:val="00AC33F9"/>
    <w:rsid w:val="00AC3B7E"/>
    <w:rsid w:val="00AC3BD2"/>
    <w:rsid w:val="00AC403C"/>
    <w:rsid w:val="00AC4197"/>
    <w:rsid w:val="00AC4299"/>
    <w:rsid w:val="00AC442D"/>
    <w:rsid w:val="00AC4C2B"/>
    <w:rsid w:val="00AC557B"/>
    <w:rsid w:val="00AC5684"/>
    <w:rsid w:val="00AC57DF"/>
    <w:rsid w:val="00AC6761"/>
    <w:rsid w:val="00AC6800"/>
    <w:rsid w:val="00AC69FA"/>
    <w:rsid w:val="00AC6C0B"/>
    <w:rsid w:val="00AC6CBA"/>
    <w:rsid w:val="00AC7412"/>
    <w:rsid w:val="00AC7B6E"/>
    <w:rsid w:val="00AD00E2"/>
    <w:rsid w:val="00AD03FA"/>
    <w:rsid w:val="00AD0D5E"/>
    <w:rsid w:val="00AD1201"/>
    <w:rsid w:val="00AD160B"/>
    <w:rsid w:val="00AD189D"/>
    <w:rsid w:val="00AD1D77"/>
    <w:rsid w:val="00AD228B"/>
    <w:rsid w:val="00AD34B8"/>
    <w:rsid w:val="00AD3FD4"/>
    <w:rsid w:val="00AD419B"/>
    <w:rsid w:val="00AD41A5"/>
    <w:rsid w:val="00AD4229"/>
    <w:rsid w:val="00AD4BB3"/>
    <w:rsid w:val="00AD54D5"/>
    <w:rsid w:val="00AD5B5B"/>
    <w:rsid w:val="00AD5C9E"/>
    <w:rsid w:val="00AD6168"/>
    <w:rsid w:val="00AD683D"/>
    <w:rsid w:val="00AD6A84"/>
    <w:rsid w:val="00AD70CB"/>
    <w:rsid w:val="00AD728D"/>
    <w:rsid w:val="00AD7443"/>
    <w:rsid w:val="00AD7590"/>
    <w:rsid w:val="00AD7B73"/>
    <w:rsid w:val="00AE00AA"/>
    <w:rsid w:val="00AE014D"/>
    <w:rsid w:val="00AE19A2"/>
    <w:rsid w:val="00AE2ACF"/>
    <w:rsid w:val="00AE2E03"/>
    <w:rsid w:val="00AE435C"/>
    <w:rsid w:val="00AE4672"/>
    <w:rsid w:val="00AE4D66"/>
    <w:rsid w:val="00AE54A4"/>
    <w:rsid w:val="00AE54FD"/>
    <w:rsid w:val="00AE56BB"/>
    <w:rsid w:val="00AE5BC5"/>
    <w:rsid w:val="00AE655C"/>
    <w:rsid w:val="00AE671F"/>
    <w:rsid w:val="00AE6CE0"/>
    <w:rsid w:val="00AE7549"/>
    <w:rsid w:val="00AE76A7"/>
    <w:rsid w:val="00AE7C8B"/>
    <w:rsid w:val="00AF2886"/>
    <w:rsid w:val="00AF2B04"/>
    <w:rsid w:val="00AF3038"/>
    <w:rsid w:val="00AF33D3"/>
    <w:rsid w:val="00AF3423"/>
    <w:rsid w:val="00AF45A9"/>
    <w:rsid w:val="00AF4DB2"/>
    <w:rsid w:val="00AF4FF5"/>
    <w:rsid w:val="00AF5419"/>
    <w:rsid w:val="00AF554D"/>
    <w:rsid w:val="00AF5709"/>
    <w:rsid w:val="00AF5FDD"/>
    <w:rsid w:val="00AF628C"/>
    <w:rsid w:val="00AF62F6"/>
    <w:rsid w:val="00AF6791"/>
    <w:rsid w:val="00AF6CA4"/>
    <w:rsid w:val="00AF6E67"/>
    <w:rsid w:val="00AF7AFA"/>
    <w:rsid w:val="00AF7BBB"/>
    <w:rsid w:val="00AF7FCB"/>
    <w:rsid w:val="00B00152"/>
    <w:rsid w:val="00B00287"/>
    <w:rsid w:val="00B01182"/>
    <w:rsid w:val="00B0123E"/>
    <w:rsid w:val="00B017B4"/>
    <w:rsid w:val="00B01ACA"/>
    <w:rsid w:val="00B01C5A"/>
    <w:rsid w:val="00B02167"/>
    <w:rsid w:val="00B02F01"/>
    <w:rsid w:val="00B03293"/>
    <w:rsid w:val="00B03412"/>
    <w:rsid w:val="00B0349A"/>
    <w:rsid w:val="00B037D7"/>
    <w:rsid w:val="00B037D8"/>
    <w:rsid w:val="00B03A08"/>
    <w:rsid w:val="00B03EB3"/>
    <w:rsid w:val="00B03EFF"/>
    <w:rsid w:val="00B04308"/>
    <w:rsid w:val="00B051E4"/>
    <w:rsid w:val="00B05BD9"/>
    <w:rsid w:val="00B05EB9"/>
    <w:rsid w:val="00B05FA7"/>
    <w:rsid w:val="00B064CA"/>
    <w:rsid w:val="00B0702D"/>
    <w:rsid w:val="00B078FB"/>
    <w:rsid w:val="00B101CC"/>
    <w:rsid w:val="00B108DA"/>
    <w:rsid w:val="00B1092E"/>
    <w:rsid w:val="00B1110E"/>
    <w:rsid w:val="00B1127A"/>
    <w:rsid w:val="00B114AA"/>
    <w:rsid w:val="00B119CF"/>
    <w:rsid w:val="00B11DA4"/>
    <w:rsid w:val="00B12855"/>
    <w:rsid w:val="00B12E02"/>
    <w:rsid w:val="00B12F37"/>
    <w:rsid w:val="00B13097"/>
    <w:rsid w:val="00B13261"/>
    <w:rsid w:val="00B1382A"/>
    <w:rsid w:val="00B1400B"/>
    <w:rsid w:val="00B14336"/>
    <w:rsid w:val="00B1509E"/>
    <w:rsid w:val="00B15C8A"/>
    <w:rsid w:val="00B163A0"/>
    <w:rsid w:val="00B16792"/>
    <w:rsid w:val="00B17128"/>
    <w:rsid w:val="00B17153"/>
    <w:rsid w:val="00B17289"/>
    <w:rsid w:val="00B172AB"/>
    <w:rsid w:val="00B173C6"/>
    <w:rsid w:val="00B1775D"/>
    <w:rsid w:val="00B17EBF"/>
    <w:rsid w:val="00B20ABA"/>
    <w:rsid w:val="00B21002"/>
    <w:rsid w:val="00B21742"/>
    <w:rsid w:val="00B21B34"/>
    <w:rsid w:val="00B21D0A"/>
    <w:rsid w:val="00B21DCC"/>
    <w:rsid w:val="00B220E6"/>
    <w:rsid w:val="00B224E8"/>
    <w:rsid w:val="00B22736"/>
    <w:rsid w:val="00B233F8"/>
    <w:rsid w:val="00B24787"/>
    <w:rsid w:val="00B24B37"/>
    <w:rsid w:val="00B24BBD"/>
    <w:rsid w:val="00B24DE8"/>
    <w:rsid w:val="00B2551D"/>
    <w:rsid w:val="00B262E8"/>
    <w:rsid w:val="00B2651C"/>
    <w:rsid w:val="00B26597"/>
    <w:rsid w:val="00B266F7"/>
    <w:rsid w:val="00B266FE"/>
    <w:rsid w:val="00B26976"/>
    <w:rsid w:val="00B26E73"/>
    <w:rsid w:val="00B26F96"/>
    <w:rsid w:val="00B27AB0"/>
    <w:rsid w:val="00B27F0D"/>
    <w:rsid w:val="00B27FE5"/>
    <w:rsid w:val="00B300C1"/>
    <w:rsid w:val="00B3035A"/>
    <w:rsid w:val="00B30576"/>
    <w:rsid w:val="00B30816"/>
    <w:rsid w:val="00B30992"/>
    <w:rsid w:val="00B309BA"/>
    <w:rsid w:val="00B31007"/>
    <w:rsid w:val="00B31CDA"/>
    <w:rsid w:val="00B31E5E"/>
    <w:rsid w:val="00B31F42"/>
    <w:rsid w:val="00B31F4A"/>
    <w:rsid w:val="00B322DB"/>
    <w:rsid w:val="00B328C6"/>
    <w:rsid w:val="00B331F5"/>
    <w:rsid w:val="00B3351D"/>
    <w:rsid w:val="00B335E3"/>
    <w:rsid w:val="00B337F3"/>
    <w:rsid w:val="00B342BE"/>
    <w:rsid w:val="00B342D9"/>
    <w:rsid w:val="00B344EF"/>
    <w:rsid w:val="00B34A62"/>
    <w:rsid w:val="00B35A74"/>
    <w:rsid w:val="00B35AA6"/>
    <w:rsid w:val="00B35B60"/>
    <w:rsid w:val="00B3608A"/>
    <w:rsid w:val="00B360DB"/>
    <w:rsid w:val="00B36383"/>
    <w:rsid w:val="00B3708E"/>
    <w:rsid w:val="00B37138"/>
    <w:rsid w:val="00B3747C"/>
    <w:rsid w:val="00B37E4E"/>
    <w:rsid w:val="00B40010"/>
    <w:rsid w:val="00B40406"/>
    <w:rsid w:val="00B40AE9"/>
    <w:rsid w:val="00B40E48"/>
    <w:rsid w:val="00B4180F"/>
    <w:rsid w:val="00B418D0"/>
    <w:rsid w:val="00B41F75"/>
    <w:rsid w:val="00B4210B"/>
    <w:rsid w:val="00B422A2"/>
    <w:rsid w:val="00B42609"/>
    <w:rsid w:val="00B42C82"/>
    <w:rsid w:val="00B43651"/>
    <w:rsid w:val="00B438BC"/>
    <w:rsid w:val="00B444A5"/>
    <w:rsid w:val="00B444EA"/>
    <w:rsid w:val="00B44902"/>
    <w:rsid w:val="00B45057"/>
    <w:rsid w:val="00B45376"/>
    <w:rsid w:val="00B453C0"/>
    <w:rsid w:val="00B45B03"/>
    <w:rsid w:val="00B46761"/>
    <w:rsid w:val="00B4680D"/>
    <w:rsid w:val="00B46D81"/>
    <w:rsid w:val="00B47235"/>
    <w:rsid w:val="00B47246"/>
    <w:rsid w:val="00B477C3"/>
    <w:rsid w:val="00B47F56"/>
    <w:rsid w:val="00B50122"/>
    <w:rsid w:val="00B5097F"/>
    <w:rsid w:val="00B50AFC"/>
    <w:rsid w:val="00B50F94"/>
    <w:rsid w:val="00B5128E"/>
    <w:rsid w:val="00B51C26"/>
    <w:rsid w:val="00B525D3"/>
    <w:rsid w:val="00B52B5D"/>
    <w:rsid w:val="00B52E38"/>
    <w:rsid w:val="00B5327C"/>
    <w:rsid w:val="00B53506"/>
    <w:rsid w:val="00B5375F"/>
    <w:rsid w:val="00B53B82"/>
    <w:rsid w:val="00B53D56"/>
    <w:rsid w:val="00B54C8D"/>
    <w:rsid w:val="00B54F19"/>
    <w:rsid w:val="00B55166"/>
    <w:rsid w:val="00B551A3"/>
    <w:rsid w:val="00B55733"/>
    <w:rsid w:val="00B55A02"/>
    <w:rsid w:val="00B55A5C"/>
    <w:rsid w:val="00B56395"/>
    <w:rsid w:val="00B576BD"/>
    <w:rsid w:val="00B576FD"/>
    <w:rsid w:val="00B57B27"/>
    <w:rsid w:val="00B57BA1"/>
    <w:rsid w:val="00B60618"/>
    <w:rsid w:val="00B607C0"/>
    <w:rsid w:val="00B6081F"/>
    <w:rsid w:val="00B60AEE"/>
    <w:rsid w:val="00B60C9F"/>
    <w:rsid w:val="00B611F2"/>
    <w:rsid w:val="00B61568"/>
    <w:rsid w:val="00B61BC1"/>
    <w:rsid w:val="00B61E37"/>
    <w:rsid w:val="00B6202C"/>
    <w:rsid w:val="00B62349"/>
    <w:rsid w:val="00B62D6B"/>
    <w:rsid w:val="00B632DC"/>
    <w:rsid w:val="00B63371"/>
    <w:rsid w:val="00B636E1"/>
    <w:rsid w:val="00B63D28"/>
    <w:rsid w:val="00B63E49"/>
    <w:rsid w:val="00B63F2B"/>
    <w:rsid w:val="00B6446F"/>
    <w:rsid w:val="00B647D6"/>
    <w:rsid w:val="00B64829"/>
    <w:rsid w:val="00B65044"/>
    <w:rsid w:val="00B655BD"/>
    <w:rsid w:val="00B65FD9"/>
    <w:rsid w:val="00B6606D"/>
    <w:rsid w:val="00B670E4"/>
    <w:rsid w:val="00B67543"/>
    <w:rsid w:val="00B67622"/>
    <w:rsid w:val="00B70F7C"/>
    <w:rsid w:val="00B71125"/>
    <w:rsid w:val="00B714B9"/>
    <w:rsid w:val="00B71C1F"/>
    <w:rsid w:val="00B721FC"/>
    <w:rsid w:val="00B72229"/>
    <w:rsid w:val="00B7300A"/>
    <w:rsid w:val="00B7300E"/>
    <w:rsid w:val="00B73821"/>
    <w:rsid w:val="00B73A33"/>
    <w:rsid w:val="00B73BE0"/>
    <w:rsid w:val="00B73C78"/>
    <w:rsid w:val="00B73E53"/>
    <w:rsid w:val="00B74686"/>
    <w:rsid w:val="00B7482E"/>
    <w:rsid w:val="00B74BFC"/>
    <w:rsid w:val="00B75208"/>
    <w:rsid w:val="00B752E9"/>
    <w:rsid w:val="00B75EE3"/>
    <w:rsid w:val="00B770A6"/>
    <w:rsid w:val="00B77A2E"/>
    <w:rsid w:val="00B80EEE"/>
    <w:rsid w:val="00B810C4"/>
    <w:rsid w:val="00B814F8"/>
    <w:rsid w:val="00B817FC"/>
    <w:rsid w:val="00B82028"/>
    <w:rsid w:val="00B8213F"/>
    <w:rsid w:val="00B82281"/>
    <w:rsid w:val="00B823F0"/>
    <w:rsid w:val="00B8318A"/>
    <w:rsid w:val="00B833FE"/>
    <w:rsid w:val="00B836A1"/>
    <w:rsid w:val="00B83F59"/>
    <w:rsid w:val="00B84C02"/>
    <w:rsid w:val="00B84E14"/>
    <w:rsid w:val="00B84E8A"/>
    <w:rsid w:val="00B857B2"/>
    <w:rsid w:val="00B8580B"/>
    <w:rsid w:val="00B85917"/>
    <w:rsid w:val="00B8605F"/>
    <w:rsid w:val="00B860DB"/>
    <w:rsid w:val="00B86231"/>
    <w:rsid w:val="00B86B88"/>
    <w:rsid w:val="00B86C59"/>
    <w:rsid w:val="00B872F9"/>
    <w:rsid w:val="00B8732C"/>
    <w:rsid w:val="00B875EB"/>
    <w:rsid w:val="00B900E6"/>
    <w:rsid w:val="00B90283"/>
    <w:rsid w:val="00B9029C"/>
    <w:rsid w:val="00B9053D"/>
    <w:rsid w:val="00B909D8"/>
    <w:rsid w:val="00B90CCE"/>
    <w:rsid w:val="00B90D67"/>
    <w:rsid w:val="00B9117D"/>
    <w:rsid w:val="00B9145A"/>
    <w:rsid w:val="00B915A1"/>
    <w:rsid w:val="00B91762"/>
    <w:rsid w:val="00B92489"/>
    <w:rsid w:val="00B92D0C"/>
    <w:rsid w:val="00B9312A"/>
    <w:rsid w:val="00B931B7"/>
    <w:rsid w:val="00B93541"/>
    <w:rsid w:val="00B93A58"/>
    <w:rsid w:val="00B93AE5"/>
    <w:rsid w:val="00B941B9"/>
    <w:rsid w:val="00B94786"/>
    <w:rsid w:val="00B94823"/>
    <w:rsid w:val="00B9488E"/>
    <w:rsid w:val="00B9501B"/>
    <w:rsid w:val="00B950E9"/>
    <w:rsid w:val="00B952E7"/>
    <w:rsid w:val="00B968B3"/>
    <w:rsid w:val="00B968B7"/>
    <w:rsid w:val="00B96BED"/>
    <w:rsid w:val="00B96C7E"/>
    <w:rsid w:val="00B96FB5"/>
    <w:rsid w:val="00B9751D"/>
    <w:rsid w:val="00B976E8"/>
    <w:rsid w:val="00B97C8D"/>
    <w:rsid w:val="00BA03B9"/>
    <w:rsid w:val="00BA0524"/>
    <w:rsid w:val="00BA078C"/>
    <w:rsid w:val="00BA09ED"/>
    <w:rsid w:val="00BA0C39"/>
    <w:rsid w:val="00BA0D47"/>
    <w:rsid w:val="00BA0E08"/>
    <w:rsid w:val="00BA0E69"/>
    <w:rsid w:val="00BA123B"/>
    <w:rsid w:val="00BA1474"/>
    <w:rsid w:val="00BA16A4"/>
    <w:rsid w:val="00BA1CDC"/>
    <w:rsid w:val="00BA20DB"/>
    <w:rsid w:val="00BA328A"/>
    <w:rsid w:val="00BA32EB"/>
    <w:rsid w:val="00BA39E2"/>
    <w:rsid w:val="00BA3B26"/>
    <w:rsid w:val="00BA3C10"/>
    <w:rsid w:val="00BA45D9"/>
    <w:rsid w:val="00BA4953"/>
    <w:rsid w:val="00BA4FFE"/>
    <w:rsid w:val="00BA5119"/>
    <w:rsid w:val="00BA52AB"/>
    <w:rsid w:val="00BA541C"/>
    <w:rsid w:val="00BA5524"/>
    <w:rsid w:val="00BA5D35"/>
    <w:rsid w:val="00BA5E77"/>
    <w:rsid w:val="00BA5FED"/>
    <w:rsid w:val="00BA61F0"/>
    <w:rsid w:val="00BA6B84"/>
    <w:rsid w:val="00BA73E1"/>
    <w:rsid w:val="00BA76F3"/>
    <w:rsid w:val="00BA785B"/>
    <w:rsid w:val="00BA79C5"/>
    <w:rsid w:val="00BA7C89"/>
    <w:rsid w:val="00BA7CE1"/>
    <w:rsid w:val="00BA7E32"/>
    <w:rsid w:val="00BB036F"/>
    <w:rsid w:val="00BB0436"/>
    <w:rsid w:val="00BB06ED"/>
    <w:rsid w:val="00BB08A5"/>
    <w:rsid w:val="00BB0B64"/>
    <w:rsid w:val="00BB1020"/>
    <w:rsid w:val="00BB114B"/>
    <w:rsid w:val="00BB1689"/>
    <w:rsid w:val="00BB289A"/>
    <w:rsid w:val="00BB2BBB"/>
    <w:rsid w:val="00BB2F08"/>
    <w:rsid w:val="00BB3522"/>
    <w:rsid w:val="00BB36B2"/>
    <w:rsid w:val="00BB3835"/>
    <w:rsid w:val="00BB3873"/>
    <w:rsid w:val="00BB3AFC"/>
    <w:rsid w:val="00BB3D00"/>
    <w:rsid w:val="00BB4068"/>
    <w:rsid w:val="00BB41BE"/>
    <w:rsid w:val="00BB5012"/>
    <w:rsid w:val="00BB5675"/>
    <w:rsid w:val="00BB5878"/>
    <w:rsid w:val="00BB58B6"/>
    <w:rsid w:val="00BB5AEC"/>
    <w:rsid w:val="00BB5E54"/>
    <w:rsid w:val="00BB5F4D"/>
    <w:rsid w:val="00BB60D2"/>
    <w:rsid w:val="00BB6392"/>
    <w:rsid w:val="00BB64B7"/>
    <w:rsid w:val="00BB7696"/>
    <w:rsid w:val="00BB79BE"/>
    <w:rsid w:val="00BB7BE2"/>
    <w:rsid w:val="00BB7DC2"/>
    <w:rsid w:val="00BC0376"/>
    <w:rsid w:val="00BC06EB"/>
    <w:rsid w:val="00BC0895"/>
    <w:rsid w:val="00BC0AC4"/>
    <w:rsid w:val="00BC1218"/>
    <w:rsid w:val="00BC1F5E"/>
    <w:rsid w:val="00BC2911"/>
    <w:rsid w:val="00BC2BB6"/>
    <w:rsid w:val="00BC2DD4"/>
    <w:rsid w:val="00BC3004"/>
    <w:rsid w:val="00BC372F"/>
    <w:rsid w:val="00BC3880"/>
    <w:rsid w:val="00BC3A57"/>
    <w:rsid w:val="00BC3B1B"/>
    <w:rsid w:val="00BC4BBE"/>
    <w:rsid w:val="00BC4E9C"/>
    <w:rsid w:val="00BC5A76"/>
    <w:rsid w:val="00BC6132"/>
    <w:rsid w:val="00BC63C9"/>
    <w:rsid w:val="00BC6709"/>
    <w:rsid w:val="00BD032B"/>
    <w:rsid w:val="00BD04E5"/>
    <w:rsid w:val="00BD052B"/>
    <w:rsid w:val="00BD0785"/>
    <w:rsid w:val="00BD13E1"/>
    <w:rsid w:val="00BD1660"/>
    <w:rsid w:val="00BD1BB5"/>
    <w:rsid w:val="00BD1CC1"/>
    <w:rsid w:val="00BD22A4"/>
    <w:rsid w:val="00BD2457"/>
    <w:rsid w:val="00BD2528"/>
    <w:rsid w:val="00BD2C2B"/>
    <w:rsid w:val="00BD3259"/>
    <w:rsid w:val="00BD3290"/>
    <w:rsid w:val="00BD3433"/>
    <w:rsid w:val="00BD3823"/>
    <w:rsid w:val="00BD40CA"/>
    <w:rsid w:val="00BD47B8"/>
    <w:rsid w:val="00BD4880"/>
    <w:rsid w:val="00BD49A8"/>
    <w:rsid w:val="00BD4AA1"/>
    <w:rsid w:val="00BD5B54"/>
    <w:rsid w:val="00BD658A"/>
    <w:rsid w:val="00BD7023"/>
    <w:rsid w:val="00BD7281"/>
    <w:rsid w:val="00BE027D"/>
    <w:rsid w:val="00BE03EF"/>
    <w:rsid w:val="00BE05EF"/>
    <w:rsid w:val="00BE0731"/>
    <w:rsid w:val="00BE18B6"/>
    <w:rsid w:val="00BE2996"/>
    <w:rsid w:val="00BE2DE3"/>
    <w:rsid w:val="00BE30D5"/>
    <w:rsid w:val="00BE32CD"/>
    <w:rsid w:val="00BE4237"/>
    <w:rsid w:val="00BE46B0"/>
    <w:rsid w:val="00BE5529"/>
    <w:rsid w:val="00BE5C19"/>
    <w:rsid w:val="00BE655A"/>
    <w:rsid w:val="00BE68EC"/>
    <w:rsid w:val="00BE690B"/>
    <w:rsid w:val="00BE6C49"/>
    <w:rsid w:val="00BE6E82"/>
    <w:rsid w:val="00BE7003"/>
    <w:rsid w:val="00BE74E8"/>
    <w:rsid w:val="00BE74FC"/>
    <w:rsid w:val="00BE753E"/>
    <w:rsid w:val="00BE79A6"/>
    <w:rsid w:val="00BE7A5E"/>
    <w:rsid w:val="00BF048C"/>
    <w:rsid w:val="00BF06CF"/>
    <w:rsid w:val="00BF0BD2"/>
    <w:rsid w:val="00BF0ED9"/>
    <w:rsid w:val="00BF1698"/>
    <w:rsid w:val="00BF26F3"/>
    <w:rsid w:val="00BF307C"/>
    <w:rsid w:val="00BF33D6"/>
    <w:rsid w:val="00BF385A"/>
    <w:rsid w:val="00BF3908"/>
    <w:rsid w:val="00BF3B9C"/>
    <w:rsid w:val="00BF48C9"/>
    <w:rsid w:val="00BF49A9"/>
    <w:rsid w:val="00BF4C7E"/>
    <w:rsid w:val="00BF4EBA"/>
    <w:rsid w:val="00BF4FE3"/>
    <w:rsid w:val="00BF536E"/>
    <w:rsid w:val="00BF5D26"/>
    <w:rsid w:val="00BF5F0E"/>
    <w:rsid w:val="00BF6045"/>
    <w:rsid w:val="00BF69D9"/>
    <w:rsid w:val="00BF71CB"/>
    <w:rsid w:val="00BF7B32"/>
    <w:rsid w:val="00BF7BA9"/>
    <w:rsid w:val="00C00913"/>
    <w:rsid w:val="00C009FF"/>
    <w:rsid w:val="00C00D7D"/>
    <w:rsid w:val="00C01328"/>
    <w:rsid w:val="00C01A05"/>
    <w:rsid w:val="00C01D11"/>
    <w:rsid w:val="00C0233B"/>
    <w:rsid w:val="00C0236E"/>
    <w:rsid w:val="00C02D88"/>
    <w:rsid w:val="00C0302E"/>
    <w:rsid w:val="00C03033"/>
    <w:rsid w:val="00C037C6"/>
    <w:rsid w:val="00C03862"/>
    <w:rsid w:val="00C0458A"/>
    <w:rsid w:val="00C04B76"/>
    <w:rsid w:val="00C04D51"/>
    <w:rsid w:val="00C04E6D"/>
    <w:rsid w:val="00C04F36"/>
    <w:rsid w:val="00C054C2"/>
    <w:rsid w:val="00C05978"/>
    <w:rsid w:val="00C05D1B"/>
    <w:rsid w:val="00C063E0"/>
    <w:rsid w:val="00C0666C"/>
    <w:rsid w:val="00C06E7D"/>
    <w:rsid w:val="00C0728C"/>
    <w:rsid w:val="00C07A0A"/>
    <w:rsid w:val="00C07F0A"/>
    <w:rsid w:val="00C10434"/>
    <w:rsid w:val="00C10794"/>
    <w:rsid w:val="00C107A2"/>
    <w:rsid w:val="00C109F8"/>
    <w:rsid w:val="00C111B0"/>
    <w:rsid w:val="00C114C7"/>
    <w:rsid w:val="00C12201"/>
    <w:rsid w:val="00C12203"/>
    <w:rsid w:val="00C12583"/>
    <w:rsid w:val="00C130A9"/>
    <w:rsid w:val="00C13305"/>
    <w:rsid w:val="00C135D0"/>
    <w:rsid w:val="00C13741"/>
    <w:rsid w:val="00C13C36"/>
    <w:rsid w:val="00C13D2B"/>
    <w:rsid w:val="00C13F67"/>
    <w:rsid w:val="00C1471A"/>
    <w:rsid w:val="00C1479F"/>
    <w:rsid w:val="00C14896"/>
    <w:rsid w:val="00C154D6"/>
    <w:rsid w:val="00C158E2"/>
    <w:rsid w:val="00C15A8B"/>
    <w:rsid w:val="00C15AEB"/>
    <w:rsid w:val="00C15D94"/>
    <w:rsid w:val="00C15FA2"/>
    <w:rsid w:val="00C1646D"/>
    <w:rsid w:val="00C167B2"/>
    <w:rsid w:val="00C169F0"/>
    <w:rsid w:val="00C176BD"/>
    <w:rsid w:val="00C1782C"/>
    <w:rsid w:val="00C17ABD"/>
    <w:rsid w:val="00C20491"/>
    <w:rsid w:val="00C209B3"/>
    <w:rsid w:val="00C22254"/>
    <w:rsid w:val="00C227B2"/>
    <w:rsid w:val="00C22818"/>
    <w:rsid w:val="00C22F9F"/>
    <w:rsid w:val="00C22FA3"/>
    <w:rsid w:val="00C22FEA"/>
    <w:rsid w:val="00C23104"/>
    <w:rsid w:val="00C231A7"/>
    <w:rsid w:val="00C23963"/>
    <w:rsid w:val="00C23D0F"/>
    <w:rsid w:val="00C23FA7"/>
    <w:rsid w:val="00C24445"/>
    <w:rsid w:val="00C244A1"/>
    <w:rsid w:val="00C2489F"/>
    <w:rsid w:val="00C249E7"/>
    <w:rsid w:val="00C257FE"/>
    <w:rsid w:val="00C25A23"/>
    <w:rsid w:val="00C25C9C"/>
    <w:rsid w:val="00C25E33"/>
    <w:rsid w:val="00C262C0"/>
    <w:rsid w:val="00C263D1"/>
    <w:rsid w:val="00C26552"/>
    <w:rsid w:val="00C26BB4"/>
    <w:rsid w:val="00C26FE2"/>
    <w:rsid w:val="00C27348"/>
    <w:rsid w:val="00C27695"/>
    <w:rsid w:val="00C278E7"/>
    <w:rsid w:val="00C27B28"/>
    <w:rsid w:val="00C300E1"/>
    <w:rsid w:val="00C3020D"/>
    <w:rsid w:val="00C30359"/>
    <w:rsid w:val="00C30849"/>
    <w:rsid w:val="00C31685"/>
    <w:rsid w:val="00C31AD5"/>
    <w:rsid w:val="00C31C41"/>
    <w:rsid w:val="00C31DE1"/>
    <w:rsid w:val="00C31FAA"/>
    <w:rsid w:val="00C32574"/>
    <w:rsid w:val="00C325C0"/>
    <w:rsid w:val="00C32891"/>
    <w:rsid w:val="00C3307E"/>
    <w:rsid w:val="00C3338C"/>
    <w:rsid w:val="00C341DA"/>
    <w:rsid w:val="00C3434F"/>
    <w:rsid w:val="00C34417"/>
    <w:rsid w:val="00C3481E"/>
    <w:rsid w:val="00C34ED6"/>
    <w:rsid w:val="00C350F5"/>
    <w:rsid w:val="00C362E0"/>
    <w:rsid w:val="00C3655D"/>
    <w:rsid w:val="00C36709"/>
    <w:rsid w:val="00C36BD2"/>
    <w:rsid w:val="00C36D60"/>
    <w:rsid w:val="00C36F30"/>
    <w:rsid w:val="00C37588"/>
    <w:rsid w:val="00C37A0A"/>
    <w:rsid w:val="00C37CBE"/>
    <w:rsid w:val="00C37EE8"/>
    <w:rsid w:val="00C407EB"/>
    <w:rsid w:val="00C40B08"/>
    <w:rsid w:val="00C40EFE"/>
    <w:rsid w:val="00C414A4"/>
    <w:rsid w:val="00C417E4"/>
    <w:rsid w:val="00C42315"/>
    <w:rsid w:val="00C42C9F"/>
    <w:rsid w:val="00C43C44"/>
    <w:rsid w:val="00C44007"/>
    <w:rsid w:val="00C443AB"/>
    <w:rsid w:val="00C4460E"/>
    <w:rsid w:val="00C44836"/>
    <w:rsid w:val="00C449B2"/>
    <w:rsid w:val="00C449B6"/>
    <w:rsid w:val="00C449F5"/>
    <w:rsid w:val="00C45232"/>
    <w:rsid w:val="00C454E1"/>
    <w:rsid w:val="00C459D2"/>
    <w:rsid w:val="00C46092"/>
    <w:rsid w:val="00C463E4"/>
    <w:rsid w:val="00C46675"/>
    <w:rsid w:val="00C471CD"/>
    <w:rsid w:val="00C47721"/>
    <w:rsid w:val="00C47CF5"/>
    <w:rsid w:val="00C47ED9"/>
    <w:rsid w:val="00C5033D"/>
    <w:rsid w:val="00C50C7E"/>
    <w:rsid w:val="00C510B4"/>
    <w:rsid w:val="00C513E8"/>
    <w:rsid w:val="00C51492"/>
    <w:rsid w:val="00C5171A"/>
    <w:rsid w:val="00C51972"/>
    <w:rsid w:val="00C51FD2"/>
    <w:rsid w:val="00C5225E"/>
    <w:rsid w:val="00C52779"/>
    <w:rsid w:val="00C52B24"/>
    <w:rsid w:val="00C52F77"/>
    <w:rsid w:val="00C531FC"/>
    <w:rsid w:val="00C534D9"/>
    <w:rsid w:val="00C537B6"/>
    <w:rsid w:val="00C53CB8"/>
    <w:rsid w:val="00C53EFD"/>
    <w:rsid w:val="00C550D8"/>
    <w:rsid w:val="00C55B05"/>
    <w:rsid w:val="00C55E0F"/>
    <w:rsid w:val="00C5611A"/>
    <w:rsid w:val="00C569AB"/>
    <w:rsid w:val="00C56AEE"/>
    <w:rsid w:val="00C56D33"/>
    <w:rsid w:val="00C56F44"/>
    <w:rsid w:val="00C570A4"/>
    <w:rsid w:val="00C57363"/>
    <w:rsid w:val="00C57A52"/>
    <w:rsid w:val="00C57CE1"/>
    <w:rsid w:val="00C57DC4"/>
    <w:rsid w:val="00C57E5F"/>
    <w:rsid w:val="00C6095A"/>
    <w:rsid w:val="00C60995"/>
    <w:rsid w:val="00C61379"/>
    <w:rsid w:val="00C616D1"/>
    <w:rsid w:val="00C61B2F"/>
    <w:rsid w:val="00C61F3B"/>
    <w:rsid w:val="00C62230"/>
    <w:rsid w:val="00C62761"/>
    <w:rsid w:val="00C634BF"/>
    <w:rsid w:val="00C6354A"/>
    <w:rsid w:val="00C63C29"/>
    <w:rsid w:val="00C63F8A"/>
    <w:rsid w:val="00C6437E"/>
    <w:rsid w:val="00C64886"/>
    <w:rsid w:val="00C662BC"/>
    <w:rsid w:val="00C6700C"/>
    <w:rsid w:val="00C670C4"/>
    <w:rsid w:val="00C67363"/>
    <w:rsid w:val="00C677E8"/>
    <w:rsid w:val="00C67F9E"/>
    <w:rsid w:val="00C70D09"/>
    <w:rsid w:val="00C70F2A"/>
    <w:rsid w:val="00C7113E"/>
    <w:rsid w:val="00C7118D"/>
    <w:rsid w:val="00C71331"/>
    <w:rsid w:val="00C71BC1"/>
    <w:rsid w:val="00C72229"/>
    <w:rsid w:val="00C72A3D"/>
    <w:rsid w:val="00C735E0"/>
    <w:rsid w:val="00C735F9"/>
    <w:rsid w:val="00C738CC"/>
    <w:rsid w:val="00C73ACB"/>
    <w:rsid w:val="00C73D2F"/>
    <w:rsid w:val="00C7405B"/>
    <w:rsid w:val="00C74990"/>
    <w:rsid w:val="00C74A98"/>
    <w:rsid w:val="00C74D96"/>
    <w:rsid w:val="00C75066"/>
    <w:rsid w:val="00C752B9"/>
    <w:rsid w:val="00C75C40"/>
    <w:rsid w:val="00C75D56"/>
    <w:rsid w:val="00C75D76"/>
    <w:rsid w:val="00C75F7C"/>
    <w:rsid w:val="00C76100"/>
    <w:rsid w:val="00C76137"/>
    <w:rsid w:val="00C7637E"/>
    <w:rsid w:val="00C77651"/>
    <w:rsid w:val="00C7786C"/>
    <w:rsid w:val="00C77E9D"/>
    <w:rsid w:val="00C77EFF"/>
    <w:rsid w:val="00C80721"/>
    <w:rsid w:val="00C80B19"/>
    <w:rsid w:val="00C80F30"/>
    <w:rsid w:val="00C81117"/>
    <w:rsid w:val="00C81271"/>
    <w:rsid w:val="00C818B6"/>
    <w:rsid w:val="00C820A7"/>
    <w:rsid w:val="00C82B27"/>
    <w:rsid w:val="00C82D5B"/>
    <w:rsid w:val="00C82EFC"/>
    <w:rsid w:val="00C82F67"/>
    <w:rsid w:val="00C8331D"/>
    <w:rsid w:val="00C836A5"/>
    <w:rsid w:val="00C837C7"/>
    <w:rsid w:val="00C83813"/>
    <w:rsid w:val="00C83DC5"/>
    <w:rsid w:val="00C83FCE"/>
    <w:rsid w:val="00C84515"/>
    <w:rsid w:val="00C85553"/>
    <w:rsid w:val="00C858EC"/>
    <w:rsid w:val="00C85A55"/>
    <w:rsid w:val="00C85E16"/>
    <w:rsid w:val="00C86765"/>
    <w:rsid w:val="00C86823"/>
    <w:rsid w:val="00C86A14"/>
    <w:rsid w:val="00C86CBE"/>
    <w:rsid w:val="00C86DEB"/>
    <w:rsid w:val="00C8703F"/>
    <w:rsid w:val="00C904DD"/>
    <w:rsid w:val="00C90523"/>
    <w:rsid w:val="00C90F7D"/>
    <w:rsid w:val="00C912B0"/>
    <w:rsid w:val="00C91A27"/>
    <w:rsid w:val="00C9293A"/>
    <w:rsid w:val="00C92A5B"/>
    <w:rsid w:val="00C92F1D"/>
    <w:rsid w:val="00C93234"/>
    <w:rsid w:val="00C932CC"/>
    <w:rsid w:val="00C938D8"/>
    <w:rsid w:val="00C939E5"/>
    <w:rsid w:val="00C93AA4"/>
    <w:rsid w:val="00C93FE8"/>
    <w:rsid w:val="00C944BE"/>
    <w:rsid w:val="00C945C4"/>
    <w:rsid w:val="00C94F70"/>
    <w:rsid w:val="00C9541A"/>
    <w:rsid w:val="00C956A0"/>
    <w:rsid w:val="00C957D8"/>
    <w:rsid w:val="00C95D4A"/>
    <w:rsid w:val="00C95E42"/>
    <w:rsid w:val="00C960BA"/>
    <w:rsid w:val="00C97344"/>
    <w:rsid w:val="00C9738F"/>
    <w:rsid w:val="00C97ACB"/>
    <w:rsid w:val="00CA01F0"/>
    <w:rsid w:val="00CA0369"/>
    <w:rsid w:val="00CA05BD"/>
    <w:rsid w:val="00CA0608"/>
    <w:rsid w:val="00CA0C48"/>
    <w:rsid w:val="00CA143F"/>
    <w:rsid w:val="00CA2438"/>
    <w:rsid w:val="00CA3035"/>
    <w:rsid w:val="00CA319B"/>
    <w:rsid w:val="00CA3264"/>
    <w:rsid w:val="00CA33FB"/>
    <w:rsid w:val="00CA3A31"/>
    <w:rsid w:val="00CA3C95"/>
    <w:rsid w:val="00CA4141"/>
    <w:rsid w:val="00CA4232"/>
    <w:rsid w:val="00CA4B35"/>
    <w:rsid w:val="00CA64C6"/>
    <w:rsid w:val="00CA6AB0"/>
    <w:rsid w:val="00CA7287"/>
    <w:rsid w:val="00CA7443"/>
    <w:rsid w:val="00CA74BD"/>
    <w:rsid w:val="00CA75E3"/>
    <w:rsid w:val="00CA766E"/>
    <w:rsid w:val="00CA7D5C"/>
    <w:rsid w:val="00CA7DED"/>
    <w:rsid w:val="00CA7E2F"/>
    <w:rsid w:val="00CB01AD"/>
    <w:rsid w:val="00CB08DE"/>
    <w:rsid w:val="00CB10AD"/>
    <w:rsid w:val="00CB1267"/>
    <w:rsid w:val="00CB132B"/>
    <w:rsid w:val="00CB1C62"/>
    <w:rsid w:val="00CB27EA"/>
    <w:rsid w:val="00CB2A4A"/>
    <w:rsid w:val="00CB315F"/>
    <w:rsid w:val="00CB4097"/>
    <w:rsid w:val="00CB42A6"/>
    <w:rsid w:val="00CB43F5"/>
    <w:rsid w:val="00CB46DC"/>
    <w:rsid w:val="00CB5338"/>
    <w:rsid w:val="00CB57AB"/>
    <w:rsid w:val="00CB593A"/>
    <w:rsid w:val="00CB614B"/>
    <w:rsid w:val="00CB639C"/>
    <w:rsid w:val="00CB685C"/>
    <w:rsid w:val="00CB6CAA"/>
    <w:rsid w:val="00CB6E2D"/>
    <w:rsid w:val="00CB717A"/>
    <w:rsid w:val="00CB7471"/>
    <w:rsid w:val="00CB7C19"/>
    <w:rsid w:val="00CC0735"/>
    <w:rsid w:val="00CC07C5"/>
    <w:rsid w:val="00CC1237"/>
    <w:rsid w:val="00CC192B"/>
    <w:rsid w:val="00CC28A5"/>
    <w:rsid w:val="00CC2934"/>
    <w:rsid w:val="00CC29EB"/>
    <w:rsid w:val="00CC3056"/>
    <w:rsid w:val="00CC3B21"/>
    <w:rsid w:val="00CC3CBB"/>
    <w:rsid w:val="00CC44E1"/>
    <w:rsid w:val="00CC4C67"/>
    <w:rsid w:val="00CC5EAE"/>
    <w:rsid w:val="00CC5EB0"/>
    <w:rsid w:val="00CC5FB0"/>
    <w:rsid w:val="00CC68E4"/>
    <w:rsid w:val="00CC706F"/>
    <w:rsid w:val="00CC7208"/>
    <w:rsid w:val="00CC7350"/>
    <w:rsid w:val="00CC78AC"/>
    <w:rsid w:val="00CD05AC"/>
    <w:rsid w:val="00CD0983"/>
    <w:rsid w:val="00CD0DC4"/>
    <w:rsid w:val="00CD10CA"/>
    <w:rsid w:val="00CD1567"/>
    <w:rsid w:val="00CD232B"/>
    <w:rsid w:val="00CD252A"/>
    <w:rsid w:val="00CD288D"/>
    <w:rsid w:val="00CD2EF3"/>
    <w:rsid w:val="00CD35F6"/>
    <w:rsid w:val="00CD3AB9"/>
    <w:rsid w:val="00CD3E6E"/>
    <w:rsid w:val="00CD4336"/>
    <w:rsid w:val="00CD46BD"/>
    <w:rsid w:val="00CD48B2"/>
    <w:rsid w:val="00CD4A50"/>
    <w:rsid w:val="00CD4F33"/>
    <w:rsid w:val="00CD55EE"/>
    <w:rsid w:val="00CD5691"/>
    <w:rsid w:val="00CD5A64"/>
    <w:rsid w:val="00CD6202"/>
    <w:rsid w:val="00CD63B1"/>
    <w:rsid w:val="00CD63E2"/>
    <w:rsid w:val="00CD6D8D"/>
    <w:rsid w:val="00CD7EC1"/>
    <w:rsid w:val="00CE0380"/>
    <w:rsid w:val="00CE0708"/>
    <w:rsid w:val="00CE072B"/>
    <w:rsid w:val="00CE0E65"/>
    <w:rsid w:val="00CE12C3"/>
    <w:rsid w:val="00CE14C7"/>
    <w:rsid w:val="00CE1804"/>
    <w:rsid w:val="00CE195F"/>
    <w:rsid w:val="00CE1A00"/>
    <w:rsid w:val="00CE1CD2"/>
    <w:rsid w:val="00CE2094"/>
    <w:rsid w:val="00CE28ED"/>
    <w:rsid w:val="00CE29C1"/>
    <w:rsid w:val="00CE4314"/>
    <w:rsid w:val="00CE452E"/>
    <w:rsid w:val="00CE45B7"/>
    <w:rsid w:val="00CE488E"/>
    <w:rsid w:val="00CE4969"/>
    <w:rsid w:val="00CE4EEC"/>
    <w:rsid w:val="00CE50D2"/>
    <w:rsid w:val="00CE532A"/>
    <w:rsid w:val="00CE547C"/>
    <w:rsid w:val="00CE5743"/>
    <w:rsid w:val="00CE5848"/>
    <w:rsid w:val="00CE59A9"/>
    <w:rsid w:val="00CE5A08"/>
    <w:rsid w:val="00CE63A7"/>
    <w:rsid w:val="00CE653D"/>
    <w:rsid w:val="00CE6F60"/>
    <w:rsid w:val="00CE6F70"/>
    <w:rsid w:val="00CF02C2"/>
    <w:rsid w:val="00CF05B9"/>
    <w:rsid w:val="00CF074E"/>
    <w:rsid w:val="00CF0771"/>
    <w:rsid w:val="00CF0E61"/>
    <w:rsid w:val="00CF0F64"/>
    <w:rsid w:val="00CF14C0"/>
    <w:rsid w:val="00CF1886"/>
    <w:rsid w:val="00CF26B1"/>
    <w:rsid w:val="00CF2982"/>
    <w:rsid w:val="00CF2DC1"/>
    <w:rsid w:val="00CF2EC6"/>
    <w:rsid w:val="00CF2F51"/>
    <w:rsid w:val="00CF3510"/>
    <w:rsid w:val="00CF358F"/>
    <w:rsid w:val="00CF40AB"/>
    <w:rsid w:val="00CF4233"/>
    <w:rsid w:val="00CF4B62"/>
    <w:rsid w:val="00CF54F0"/>
    <w:rsid w:val="00CF6075"/>
    <w:rsid w:val="00CF60F5"/>
    <w:rsid w:val="00CF610D"/>
    <w:rsid w:val="00CF61F4"/>
    <w:rsid w:val="00CF66D4"/>
    <w:rsid w:val="00CF6717"/>
    <w:rsid w:val="00CF6909"/>
    <w:rsid w:val="00CF6B04"/>
    <w:rsid w:val="00CF71C9"/>
    <w:rsid w:val="00CF79AC"/>
    <w:rsid w:val="00D004F6"/>
    <w:rsid w:val="00D00544"/>
    <w:rsid w:val="00D005CC"/>
    <w:rsid w:val="00D009FB"/>
    <w:rsid w:val="00D00A59"/>
    <w:rsid w:val="00D00BCD"/>
    <w:rsid w:val="00D00BEB"/>
    <w:rsid w:val="00D00C92"/>
    <w:rsid w:val="00D01056"/>
    <w:rsid w:val="00D0196A"/>
    <w:rsid w:val="00D01C63"/>
    <w:rsid w:val="00D0221A"/>
    <w:rsid w:val="00D02381"/>
    <w:rsid w:val="00D02A0C"/>
    <w:rsid w:val="00D02C19"/>
    <w:rsid w:val="00D02CF7"/>
    <w:rsid w:val="00D0342F"/>
    <w:rsid w:val="00D03506"/>
    <w:rsid w:val="00D03711"/>
    <w:rsid w:val="00D03B3F"/>
    <w:rsid w:val="00D04697"/>
    <w:rsid w:val="00D046EF"/>
    <w:rsid w:val="00D04916"/>
    <w:rsid w:val="00D053C4"/>
    <w:rsid w:val="00D05698"/>
    <w:rsid w:val="00D057E4"/>
    <w:rsid w:val="00D05AB7"/>
    <w:rsid w:val="00D05F8A"/>
    <w:rsid w:val="00D0646C"/>
    <w:rsid w:val="00D06B56"/>
    <w:rsid w:val="00D06F80"/>
    <w:rsid w:val="00D07645"/>
    <w:rsid w:val="00D07729"/>
    <w:rsid w:val="00D07F95"/>
    <w:rsid w:val="00D105BC"/>
    <w:rsid w:val="00D10942"/>
    <w:rsid w:val="00D113CD"/>
    <w:rsid w:val="00D115F2"/>
    <w:rsid w:val="00D117FE"/>
    <w:rsid w:val="00D12665"/>
    <w:rsid w:val="00D1272B"/>
    <w:rsid w:val="00D12A13"/>
    <w:rsid w:val="00D12A9E"/>
    <w:rsid w:val="00D13191"/>
    <w:rsid w:val="00D1345B"/>
    <w:rsid w:val="00D1402E"/>
    <w:rsid w:val="00D147CD"/>
    <w:rsid w:val="00D149D9"/>
    <w:rsid w:val="00D14AFA"/>
    <w:rsid w:val="00D14E38"/>
    <w:rsid w:val="00D14E76"/>
    <w:rsid w:val="00D15354"/>
    <w:rsid w:val="00D15678"/>
    <w:rsid w:val="00D15A86"/>
    <w:rsid w:val="00D15E62"/>
    <w:rsid w:val="00D16D86"/>
    <w:rsid w:val="00D1713B"/>
    <w:rsid w:val="00D174BD"/>
    <w:rsid w:val="00D174F6"/>
    <w:rsid w:val="00D17724"/>
    <w:rsid w:val="00D179AA"/>
    <w:rsid w:val="00D20B13"/>
    <w:rsid w:val="00D20C2F"/>
    <w:rsid w:val="00D215AE"/>
    <w:rsid w:val="00D216C1"/>
    <w:rsid w:val="00D217F6"/>
    <w:rsid w:val="00D21B61"/>
    <w:rsid w:val="00D223C6"/>
    <w:rsid w:val="00D22CC6"/>
    <w:rsid w:val="00D234C8"/>
    <w:rsid w:val="00D23962"/>
    <w:rsid w:val="00D23BE1"/>
    <w:rsid w:val="00D23E41"/>
    <w:rsid w:val="00D241D3"/>
    <w:rsid w:val="00D242A9"/>
    <w:rsid w:val="00D2440E"/>
    <w:rsid w:val="00D2487E"/>
    <w:rsid w:val="00D24CBB"/>
    <w:rsid w:val="00D24E8C"/>
    <w:rsid w:val="00D25346"/>
    <w:rsid w:val="00D254A4"/>
    <w:rsid w:val="00D25C37"/>
    <w:rsid w:val="00D2611B"/>
    <w:rsid w:val="00D2634A"/>
    <w:rsid w:val="00D26717"/>
    <w:rsid w:val="00D26B3C"/>
    <w:rsid w:val="00D26B44"/>
    <w:rsid w:val="00D26E6D"/>
    <w:rsid w:val="00D278FB"/>
    <w:rsid w:val="00D27A44"/>
    <w:rsid w:val="00D27AB5"/>
    <w:rsid w:val="00D31319"/>
    <w:rsid w:val="00D313E7"/>
    <w:rsid w:val="00D31574"/>
    <w:rsid w:val="00D32A48"/>
    <w:rsid w:val="00D32CCD"/>
    <w:rsid w:val="00D33135"/>
    <w:rsid w:val="00D33985"/>
    <w:rsid w:val="00D3406B"/>
    <w:rsid w:val="00D34939"/>
    <w:rsid w:val="00D34C5C"/>
    <w:rsid w:val="00D35184"/>
    <w:rsid w:val="00D3546D"/>
    <w:rsid w:val="00D35F97"/>
    <w:rsid w:val="00D364B5"/>
    <w:rsid w:val="00D36988"/>
    <w:rsid w:val="00D36BF5"/>
    <w:rsid w:val="00D36CAD"/>
    <w:rsid w:val="00D37A04"/>
    <w:rsid w:val="00D37C5F"/>
    <w:rsid w:val="00D37C60"/>
    <w:rsid w:val="00D40368"/>
    <w:rsid w:val="00D40DFE"/>
    <w:rsid w:val="00D40E28"/>
    <w:rsid w:val="00D4112C"/>
    <w:rsid w:val="00D41838"/>
    <w:rsid w:val="00D41DA1"/>
    <w:rsid w:val="00D422E0"/>
    <w:rsid w:val="00D4272C"/>
    <w:rsid w:val="00D42989"/>
    <w:rsid w:val="00D432F3"/>
    <w:rsid w:val="00D43324"/>
    <w:rsid w:val="00D442CD"/>
    <w:rsid w:val="00D44AAF"/>
    <w:rsid w:val="00D44FC1"/>
    <w:rsid w:val="00D4576C"/>
    <w:rsid w:val="00D4584F"/>
    <w:rsid w:val="00D45DE8"/>
    <w:rsid w:val="00D45FD7"/>
    <w:rsid w:val="00D46088"/>
    <w:rsid w:val="00D466BB"/>
    <w:rsid w:val="00D47081"/>
    <w:rsid w:val="00D47104"/>
    <w:rsid w:val="00D4719F"/>
    <w:rsid w:val="00D4754B"/>
    <w:rsid w:val="00D47A67"/>
    <w:rsid w:val="00D47D30"/>
    <w:rsid w:val="00D5001D"/>
    <w:rsid w:val="00D504A8"/>
    <w:rsid w:val="00D50B7B"/>
    <w:rsid w:val="00D51353"/>
    <w:rsid w:val="00D51413"/>
    <w:rsid w:val="00D51472"/>
    <w:rsid w:val="00D5159B"/>
    <w:rsid w:val="00D51871"/>
    <w:rsid w:val="00D5199F"/>
    <w:rsid w:val="00D519E0"/>
    <w:rsid w:val="00D51AD9"/>
    <w:rsid w:val="00D52128"/>
    <w:rsid w:val="00D52235"/>
    <w:rsid w:val="00D52D7D"/>
    <w:rsid w:val="00D52EA7"/>
    <w:rsid w:val="00D531CD"/>
    <w:rsid w:val="00D53483"/>
    <w:rsid w:val="00D53A05"/>
    <w:rsid w:val="00D53F18"/>
    <w:rsid w:val="00D54D34"/>
    <w:rsid w:val="00D54F19"/>
    <w:rsid w:val="00D54FBE"/>
    <w:rsid w:val="00D55790"/>
    <w:rsid w:val="00D55B21"/>
    <w:rsid w:val="00D55F21"/>
    <w:rsid w:val="00D56993"/>
    <w:rsid w:val="00D570ED"/>
    <w:rsid w:val="00D57128"/>
    <w:rsid w:val="00D576E9"/>
    <w:rsid w:val="00D578EF"/>
    <w:rsid w:val="00D5792B"/>
    <w:rsid w:val="00D57F45"/>
    <w:rsid w:val="00D605D4"/>
    <w:rsid w:val="00D608F5"/>
    <w:rsid w:val="00D60A82"/>
    <w:rsid w:val="00D6195E"/>
    <w:rsid w:val="00D61D3B"/>
    <w:rsid w:val="00D620A1"/>
    <w:rsid w:val="00D623E1"/>
    <w:rsid w:val="00D628CB"/>
    <w:rsid w:val="00D629A6"/>
    <w:rsid w:val="00D62A7A"/>
    <w:rsid w:val="00D6307D"/>
    <w:rsid w:val="00D634ED"/>
    <w:rsid w:val="00D63C1C"/>
    <w:rsid w:val="00D64491"/>
    <w:rsid w:val="00D64B25"/>
    <w:rsid w:val="00D64C17"/>
    <w:rsid w:val="00D65382"/>
    <w:rsid w:val="00D654DE"/>
    <w:rsid w:val="00D65584"/>
    <w:rsid w:val="00D65912"/>
    <w:rsid w:val="00D65F3D"/>
    <w:rsid w:val="00D66B22"/>
    <w:rsid w:val="00D66C73"/>
    <w:rsid w:val="00D66EAA"/>
    <w:rsid w:val="00D6735E"/>
    <w:rsid w:val="00D701EC"/>
    <w:rsid w:val="00D70371"/>
    <w:rsid w:val="00D70BD1"/>
    <w:rsid w:val="00D71352"/>
    <w:rsid w:val="00D71C93"/>
    <w:rsid w:val="00D72A33"/>
    <w:rsid w:val="00D72AE4"/>
    <w:rsid w:val="00D72E97"/>
    <w:rsid w:val="00D739CA"/>
    <w:rsid w:val="00D73B5A"/>
    <w:rsid w:val="00D73D36"/>
    <w:rsid w:val="00D74127"/>
    <w:rsid w:val="00D743A4"/>
    <w:rsid w:val="00D74990"/>
    <w:rsid w:val="00D74B04"/>
    <w:rsid w:val="00D752E8"/>
    <w:rsid w:val="00D7555A"/>
    <w:rsid w:val="00D75738"/>
    <w:rsid w:val="00D757CA"/>
    <w:rsid w:val="00D75C73"/>
    <w:rsid w:val="00D7676D"/>
    <w:rsid w:val="00D77503"/>
    <w:rsid w:val="00D77916"/>
    <w:rsid w:val="00D77A5F"/>
    <w:rsid w:val="00D803A1"/>
    <w:rsid w:val="00D807A3"/>
    <w:rsid w:val="00D80AF4"/>
    <w:rsid w:val="00D80C4B"/>
    <w:rsid w:val="00D80F81"/>
    <w:rsid w:val="00D81145"/>
    <w:rsid w:val="00D81EF3"/>
    <w:rsid w:val="00D826DA"/>
    <w:rsid w:val="00D82938"/>
    <w:rsid w:val="00D82AD3"/>
    <w:rsid w:val="00D82E5D"/>
    <w:rsid w:val="00D8380E"/>
    <w:rsid w:val="00D83A60"/>
    <w:rsid w:val="00D84796"/>
    <w:rsid w:val="00D8557C"/>
    <w:rsid w:val="00D8596F"/>
    <w:rsid w:val="00D85A90"/>
    <w:rsid w:val="00D85C1C"/>
    <w:rsid w:val="00D85E13"/>
    <w:rsid w:val="00D85EFA"/>
    <w:rsid w:val="00D85F1E"/>
    <w:rsid w:val="00D86020"/>
    <w:rsid w:val="00D868B2"/>
    <w:rsid w:val="00D86F6E"/>
    <w:rsid w:val="00D900F5"/>
    <w:rsid w:val="00D90885"/>
    <w:rsid w:val="00D911EB"/>
    <w:rsid w:val="00D913F0"/>
    <w:rsid w:val="00D915CF"/>
    <w:rsid w:val="00D9176A"/>
    <w:rsid w:val="00D91D34"/>
    <w:rsid w:val="00D91DAA"/>
    <w:rsid w:val="00D92308"/>
    <w:rsid w:val="00D92801"/>
    <w:rsid w:val="00D92BE7"/>
    <w:rsid w:val="00D9321B"/>
    <w:rsid w:val="00D9323B"/>
    <w:rsid w:val="00D9378E"/>
    <w:rsid w:val="00D93A02"/>
    <w:rsid w:val="00D93C65"/>
    <w:rsid w:val="00D93DA7"/>
    <w:rsid w:val="00D940E7"/>
    <w:rsid w:val="00D943B6"/>
    <w:rsid w:val="00D94610"/>
    <w:rsid w:val="00D94BB3"/>
    <w:rsid w:val="00D94C2B"/>
    <w:rsid w:val="00D955B5"/>
    <w:rsid w:val="00D9585C"/>
    <w:rsid w:val="00D95922"/>
    <w:rsid w:val="00D95C87"/>
    <w:rsid w:val="00D95D1E"/>
    <w:rsid w:val="00D96BF0"/>
    <w:rsid w:val="00D97A2C"/>
    <w:rsid w:val="00D97C85"/>
    <w:rsid w:val="00D97DA1"/>
    <w:rsid w:val="00DA00BF"/>
    <w:rsid w:val="00DA0502"/>
    <w:rsid w:val="00DA0F61"/>
    <w:rsid w:val="00DA125C"/>
    <w:rsid w:val="00DA1A43"/>
    <w:rsid w:val="00DA1B0C"/>
    <w:rsid w:val="00DA390B"/>
    <w:rsid w:val="00DA395F"/>
    <w:rsid w:val="00DA3B0A"/>
    <w:rsid w:val="00DA3B3C"/>
    <w:rsid w:val="00DA445D"/>
    <w:rsid w:val="00DA4568"/>
    <w:rsid w:val="00DA4678"/>
    <w:rsid w:val="00DA4933"/>
    <w:rsid w:val="00DA4A52"/>
    <w:rsid w:val="00DA5363"/>
    <w:rsid w:val="00DA5545"/>
    <w:rsid w:val="00DA573F"/>
    <w:rsid w:val="00DA5ECA"/>
    <w:rsid w:val="00DA5F4D"/>
    <w:rsid w:val="00DA6832"/>
    <w:rsid w:val="00DA6887"/>
    <w:rsid w:val="00DA6A24"/>
    <w:rsid w:val="00DA77DE"/>
    <w:rsid w:val="00DA781A"/>
    <w:rsid w:val="00DA7899"/>
    <w:rsid w:val="00DA78FC"/>
    <w:rsid w:val="00DB01D7"/>
    <w:rsid w:val="00DB0290"/>
    <w:rsid w:val="00DB0531"/>
    <w:rsid w:val="00DB09CE"/>
    <w:rsid w:val="00DB0FE6"/>
    <w:rsid w:val="00DB1230"/>
    <w:rsid w:val="00DB171A"/>
    <w:rsid w:val="00DB1A1D"/>
    <w:rsid w:val="00DB2065"/>
    <w:rsid w:val="00DB216A"/>
    <w:rsid w:val="00DB2994"/>
    <w:rsid w:val="00DB2D2B"/>
    <w:rsid w:val="00DB3B32"/>
    <w:rsid w:val="00DB3E4E"/>
    <w:rsid w:val="00DB4138"/>
    <w:rsid w:val="00DB4154"/>
    <w:rsid w:val="00DB593F"/>
    <w:rsid w:val="00DB5E20"/>
    <w:rsid w:val="00DB5FF7"/>
    <w:rsid w:val="00DB653A"/>
    <w:rsid w:val="00DB6FFE"/>
    <w:rsid w:val="00DB7150"/>
    <w:rsid w:val="00DB730A"/>
    <w:rsid w:val="00DB75E9"/>
    <w:rsid w:val="00DB7E9C"/>
    <w:rsid w:val="00DC01D6"/>
    <w:rsid w:val="00DC0270"/>
    <w:rsid w:val="00DC06FD"/>
    <w:rsid w:val="00DC0881"/>
    <w:rsid w:val="00DC1156"/>
    <w:rsid w:val="00DC1211"/>
    <w:rsid w:val="00DC1423"/>
    <w:rsid w:val="00DC1CE1"/>
    <w:rsid w:val="00DC29EA"/>
    <w:rsid w:val="00DC3059"/>
    <w:rsid w:val="00DC33EA"/>
    <w:rsid w:val="00DC5AB5"/>
    <w:rsid w:val="00DC5DDC"/>
    <w:rsid w:val="00DC6251"/>
    <w:rsid w:val="00DC6471"/>
    <w:rsid w:val="00DC6BDE"/>
    <w:rsid w:val="00DC716B"/>
    <w:rsid w:val="00DC7BBB"/>
    <w:rsid w:val="00DC7BE2"/>
    <w:rsid w:val="00DD093C"/>
    <w:rsid w:val="00DD0B8D"/>
    <w:rsid w:val="00DD0D4F"/>
    <w:rsid w:val="00DD0E7C"/>
    <w:rsid w:val="00DD0F1C"/>
    <w:rsid w:val="00DD12AC"/>
    <w:rsid w:val="00DD17AD"/>
    <w:rsid w:val="00DD185F"/>
    <w:rsid w:val="00DD226E"/>
    <w:rsid w:val="00DD27AA"/>
    <w:rsid w:val="00DD3998"/>
    <w:rsid w:val="00DD3CD9"/>
    <w:rsid w:val="00DD3CF4"/>
    <w:rsid w:val="00DD3DB6"/>
    <w:rsid w:val="00DD4543"/>
    <w:rsid w:val="00DD46E4"/>
    <w:rsid w:val="00DD512A"/>
    <w:rsid w:val="00DD532E"/>
    <w:rsid w:val="00DD599D"/>
    <w:rsid w:val="00DD605C"/>
    <w:rsid w:val="00DD6A07"/>
    <w:rsid w:val="00DD6DDE"/>
    <w:rsid w:val="00DD6F17"/>
    <w:rsid w:val="00DD71B7"/>
    <w:rsid w:val="00DD76CA"/>
    <w:rsid w:val="00DE0065"/>
    <w:rsid w:val="00DE036C"/>
    <w:rsid w:val="00DE085A"/>
    <w:rsid w:val="00DE0C5D"/>
    <w:rsid w:val="00DE2029"/>
    <w:rsid w:val="00DE21B3"/>
    <w:rsid w:val="00DE2335"/>
    <w:rsid w:val="00DE24DD"/>
    <w:rsid w:val="00DE25C2"/>
    <w:rsid w:val="00DE3075"/>
    <w:rsid w:val="00DE3338"/>
    <w:rsid w:val="00DE3F6D"/>
    <w:rsid w:val="00DE4541"/>
    <w:rsid w:val="00DE4A80"/>
    <w:rsid w:val="00DE4FF6"/>
    <w:rsid w:val="00DE558F"/>
    <w:rsid w:val="00DE5BE2"/>
    <w:rsid w:val="00DE5CEF"/>
    <w:rsid w:val="00DE694A"/>
    <w:rsid w:val="00DE6DD4"/>
    <w:rsid w:val="00DE71D1"/>
    <w:rsid w:val="00DE7523"/>
    <w:rsid w:val="00DE796E"/>
    <w:rsid w:val="00DF008E"/>
    <w:rsid w:val="00DF1385"/>
    <w:rsid w:val="00DF16B3"/>
    <w:rsid w:val="00DF249C"/>
    <w:rsid w:val="00DF24DA"/>
    <w:rsid w:val="00DF26C2"/>
    <w:rsid w:val="00DF28A7"/>
    <w:rsid w:val="00DF2B62"/>
    <w:rsid w:val="00DF2F67"/>
    <w:rsid w:val="00DF39F4"/>
    <w:rsid w:val="00DF3AD9"/>
    <w:rsid w:val="00DF3F77"/>
    <w:rsid w:val="00DF484F"/>
    <w:rsid w:val="00DF490D"/>
    <w:rsid w:val="00DF4A46"/>
    <w:rsid w:val="00DF4AB9"/>
    <w:rsid w:val="00DF4ABD"/>
    <w:rsid w:val="00DF595D"/>
    <w:rsid w:val="00DF5C97"/>
    <w:rsid w:val="00DF6179"/>
    <w:rsid w:val="00DF62C6"/>
    <w:rsid w:val="00DF6814"/>
    <w:rsid w:val="00DF69BE"/>
    <w:rsid w:val="00DF70A5"/>
    <w:rsid w:val="00DF7215"/>
    <w:rsid w:val="00DF73CA"/>
    <w:rsid w:val="00DF7E2A"/>
    <w:rsid w:val="00E0004C"/>
    <w:rsid w:val="00E00178"/>
    <w:rsid w:val="00E00AFF"/>
    <w:rsid w:val="00E00BFA"/>
    <w:rsid w:val="00E011C0"/>
    <w:rsid w:val="00E01585"/>
    <w:rsid w:val="00E015A8"/>
    <w:rsid w:val="00E01603"/>
    <w:rsid w:val="00E01686"/>
    <w:rsid w:val="00E01CC2"/>
    <w:rsid w:val="00E02C07"/>
    <w:rsid w:val="00E02CEC"/>
    <w:rsid w:val="00E02DA1"/>
    <w:rsid w:val="00E036FB"/>
    <w:rsid w:val="00E03731"/>
    <w:rsid w:val="00E03803"/>
    <w:rsid w:val="00E03B25"/>
    <w:rsid w:val="00E03F7B"/>
    <w:rsid w:val="00E04939"/>
    <w:rsid w:val="00E04E94"/>
    <w:rsid w:val="00E0505A"/>
    <w:rsid w:val="00E05289"/>
    <w:rsid w:val="00E058C7"/>
    <w:rsid w:val="00E0608D"/>
    <w:rsid w:val="00E06105"/>
    <w:rsid w:val="00E06890"/>
    <w:rsid w:val="00E06F97"/>
    <w:rsid w:val="00E0706F"/>
    <w:rsid w:val="00E0754C"/>
    <w:rsid w:val="00E0754F"/>
    <w:rsid w:val="00E076BE"/>
    <w:rsid w:val="00E07866"/>
    <w:rsid w:val="00E10334"/>
    <w:rsid w:val="00E109B3"/>
    <w:rsid w:val="00E12015"/>
    <w:rsid w:val="00E124B7"/>
    <w:rsid w:val="00E12B48"/>
    <w:rsid w:val="00E12D73"/>
    <w:rsid w:val="00E138AA"/>
    <w:rsid w:val="00E139FC"/>
    <w:rsid w:val="00E13E27"/>
    <w:rsid w:val="00E1416D"/>
    <w:rsid w:val="00E14D7D"/>
    <w:rsid w:val="00E167DC"/>
    <w:rsid w:val="00E16F4E"/>
    <w:rsid w:val="00E1717D"/>
    <w:rsid w:val="00E17703"/>
    <w:rsid w:val="00E17DA9"/>
    <w:rsid w:val="00E20F66"/>
    <w:rsid w:val="00E21086"/>
    <w:rsid w:val="00E21A2B"/>
    <w:rsid w:val="00E21D7E"/>
    <w:rsid w:val="00E21EB0"/>
    <w:rsid w:val="00E21FF4"/>
    <w:rsid w:val="00E228DC"/>
    <w:rsid w:val="00E22CA8"/>
    <w:rsid w:val="00E23573"/>
    <w:rsid w:val="00E238FE"/>
    <w:rsid w:val="00E24B39"/>
    <w:rsid w:val="00E2597F"/>
    <w:rsid w:val="00E259CD"/>
    <w:rsid w:val="00E25AA8"/>
    <w:rsid w:val="00E2634A"/>
    <w:rsid w:val="00E26E3D"/>
    <w:rsid w:val="00E26E86"/>
    <w:rsid w:val="00E27123"/>
    <w:rsid w:val="00E27157"/>
    <w:rsid w:val="00E27620"/>
    <w:rsid w:val="00E27965"/>
    <w:rsid w:val="00E30004"/>
    <w:rsid w:val="00E308A4"/>
    <w:rsid w:val="00E30A5B"/>
    <w:rsid w:val="00E316EE"/>
    <w:rsid w:val="00E317D4"/>
    <w:rsid w:val="00E32107"/>
    <w:rsid w:val="00E34BBB"/>
    <w:rsid w:val="00E34E8B"/>
    <w:rsid w:val="00E34F6B"/>
    <w:rsid w:val="00E35346"/>
    <w:rsid w:val="00E3553A"/>
    <w:rsid w:val="00E3569A"/>
    <w:rsid w:val="00E35827"/>
    <w:rsid w:val="00E35E72"/>
    <w:rsid w:val="00E36419"/>
    <w:rsid w:val="00E369C9"/>
    <w:rsid w:val="00E36B2A"/>
    <w:rsid w:val="00E3719F"/>
    <w:rsid w:val="00E37290"/>
    <w:rsid w:val="00E378B5"/>
    <w:rsid w:val="00E4094E"/>
    <w:rsid w:val="00E40BA1"/>
    <w:rsid w:val="00E41455"/>
    <w:rsid w:val="00E41C77"/>
    <w:rsid w:val="00E41D4E"/>
    <w:rsid w:val="00E42D2F"/>
    <w:rsid w:val="00E435A1"/>
    <w:rsid w:val="00E435DB"/>
    <w:rsid w:val="00E44073"/>
    <w:rsid w:val="00E441A2"/>
    <w:rsid w:val="00E441F5"/>
    <w:rsid w:val="00E446EB"/>
    <w:rsid w:val="00E447C8"/>
    <w:rsid w:val="00E44B02"/>
    <w:rsid w:val="00E44D1F"/>
    <w:rsid w:val="00E4548A"/>
    <w:rsid w:val="00E45CCB"/>
    <w:rsid w:val="00E45F8C"/>
    <w:rsid w:val="00E46002"/>
    <w:rsid w:val="00E462E5"/>
    <w:rsid w:val="00E46316"/>
    <w:rsid w:val="00E468E4"/>
    <w:rsid w:val="00E4692D"/>
    <w:rsid w:val="00E46C90"/>
    <w:rsid w:val="00E4770D"/>
    <w:rsid w:val="00E47EBC"/>
    <w:rsid w:val="00E503BB"/>
    <w:rsid w:val="00E5090B"/>
    <w:rsid w:val="00E51315"/>
    <w:rsid w:val="00E513C0"/>
    <w:rsid w:val="00E5157E"/>
    <w:rsid w:val="00E5162C"/>
    <w:rsid w:val="00E5198C"/>
    <w:rsid w:val="00E528F9"/>
    <w:rsid w:val="00E5290F"/>
    <w:rsid w:val="00E52A59"/>
    <w:rsid w:val="00E53049"/>
    <w:rsid w:val="00E530A4"/>
    <w:rsid w:val="00E5319C"/>
    <w:rsid w:val="00E536F5"/>
    <w:rsid w:val="00E53808"/>
    <w:rsid w:val="00E53E7E"/>
    <w:rsid w:val="00E53F7D"/>
    <w:rsid w:val="00E54047"/>
    <w:rsid w:val="00E541AF"/>
    <w:rsid w:val="00E54768"/>
    <w:rsid w:val="00E54905"/>
    <w:rsid w:val="00E54ECA"/>
    <w:rsid w:val="00E550A7"/>
    <w:rsid w:val="00E557AB"/>
    <w:rsid w:val="00E5590C"/>
    <w:rsid w:val="00E55985"/>
    <w:rsid w:val="00E5666B"/>
    <w:rsid w:val="00E56B3A"/>
    <w:rsid w:val="00E57161"/>
    <w:rsid w:val="00E5749A"/>
    <w:rsid w:val="00E604BD"/>
    <w:rsid w:val="00E6063C"/>
    <w:rsid w:val="00E60646"/>
    <w:rsid w:val="00E60651"/>
    <w:rsid w:val="00E6068E"/>
    <w:rsid w:val="00E60803"/>
    <w:rsid w:val="00E60E11"/>
    <w:rsid w:val="00E6217D"/>
    <w:rsid w:val="00E622E9"/>
    <w:rsid w:val="00E6266B"/>
    <w:rsid w:val="00E6295B"/>
    <w:rsid w:val="00E62EA1"/>
    <w:rsid w:val="00E63BFB"/>
    <w:rsid w:val="00E647D7"/>
    <w:rsid w:val="00E64A03"/>
    <w:rsid w:val="00E64F82"/>
    <w:rsid w:val="00E65549"/>
    <w:rsid w:val="00E655FB"/>
    <w:rsid w:val="00E659C3"/>
    <w:rsid w:val="00E6604D"/>
    <w:rsid w:val="00E66A1D"/>
    <w:rsid w:val="00E66AAF"/>
    <w:rsid w:val="00E66CE1"/>
    <w:rsid w:val="00E66DB8"/>
    <w:rsid w:val="00E6701E"/>
    <w:rsid w:val="00E67B29"/>
    <w:rsid w:val="00E67BCF"/>
    <w:rsid w:val="00E700FD"/>
    <w:rsid w:val="00E705E3"/>
    <w:rsid w:val="00E712E0"/>
    <w:rsid w:val="00E7163C"/>
    <w:rsid w:val="00E71CAF"/>
    <w:rsid w:val="00E726A1"/>
    <w:rsid w:val="00E7301B"/>
    <w:rsid w:val="00E73448"/>
    <w:rsid w:val="00E73A73"/>
    <w:rsid w:val="00E73BA8"/>
    <w:rsid w:val="00E74443"/>
    <w:rsid w:val="00E74581"/>
    <w:rsid w:val="00E74675"/>
    <w:rsid w:val="00E74EC4"/>
    <w:rsid w:val="00E758AA"/>
    <w:rsid w:val="00E75CA6"/>
    <w:rsid w:val="00E760C2"/>
    <w:rsid w:val="00E76384"/>
    <w:rsid w:val="00E766B7"/>
    <w:rsid w:val="00E76EB0"/>
    <w:rsid w:val="00E7726D"/>
    <w:rsid w:val="00E773F0"/>
    <w:rsid w:val="00E77ECC"/>
    <w:rsid w:val="00E77F14"/>
    <w:rsid w:val="00E8078F"/>
    <w:rsid w:val="00E80A66"/>
    <w:rsid w:val="00E80B4D"/>
    <w:rsid w:val="00E80E31"/>
    <w:rsid w:val="00E81542"/>
    <w:rsid w:val="00E81905"/>
    <w:rsid w:val="00E82310"/>
    <w:rsid w:val="00E82866"/>
    <w:rsid w:val="00E82AD6"/>
    <w:rsid w:val="00E835A7"/>
    <w:rsid w:val="00E8365F"/>
    <w:rsid w:val="00E846EA"/>
    <w:rsid w:val="00E847D6"/>
    <w:rsid w:val="00E849EC"/>
    <w:rsid w:val="00E84D92"/>
    <w:rsid w:val="00E858B2"/>
    <w:rsid w:val="00E858D7"/>
    <w:rsid w:val="00E85C2A"/>
    <w:rsid w:val="00E86489"/>
    <w:rsid w:val="00E866E4"/>
    <w:rsid w:val="00E86D2C"/>
    <w:rsid w:val="00E87E00"/>
    <w:rsid w:val="00E903CF"/>
    <w:rsid w:val="00E90F35"/>
    <w:rsid w:val="00E91059"/>
    <w:rsid w:val="00E91233"/>
    <w:rsid w:val="00E912BB"/>
    <w:rsid w:val="00E9145C"/>
    <w:rsid w:val="00E9152E"/>
    <w:rsid w:val="00E916E8"/>
    <w:rsid w:val="00E91B37"/>
    <w:rsid w:val="00E9256F"/>
    <w:rsid w:val="00E925F6"/>
    <w:rsid w:val="00E92964"/>
    <w:rsid w:val="00E92D68"/>
    <w:rsid w:val="00E9344F"/>
    <w:rsid w:val="00E935E4"/>
    <w:rsid w:val="00E948E6"/>
    <w:rsid w:val="00E94F2D"/>
    <w:rsid w:val="00E9556F"/>
    <w:rsid w:val="00E95ECE"/>
    <w:rsid w:val="00E960FA"/>
    <w:rsid w:val="00E96122"/>
    <w:rsid w:val="00E96699"/>
    <w:rsid w:val="00E972D4"/>
    <w:rsid w:val="00EA01FF"/>
    <w:rsid w:val="00EA0DB4"/>
    <w:rsid w:val="00EA1595"/>
    <w:rsid w:val="00EA1F21"/>
    <w:rsid w:val="00EA26A3"/>
    <w:rsid w:val="00EA270E"/>
    <w:rsid w:val="00EA2794"/>
    <w:rsid w:val="00EA30DA"/>
    <w:rsid w:val="00EA3310"/>
    <w:rsid w:val="00EA388D"/>
    <w:rsid w:val="00EA4613"/>
    <w:rsid w:val="00EA4767"/>
    <w:rsid w:val="00EA4A4B"/>
    <w:rsid w:val="00EA4ADC"/>
    <w:rsid w:val="00EA572A"/>
    <w:rsid w:val="00EA5890"/>
    <w:rsid w:val="00EA5B63"/>
    <w:rsid w:val="00EA6068"/>
    <w:rsid w:val="00EA6EF5"/>
    <w:rsid w:val="00EA7089"/>
    <w:rsid w:val="00EA73D7"/>
    <w:rsid w:val="00EA7BA6"/>
    <w:rsid w:val="00EA7CD0"/>
    <w:rsid w:val="00EB0DAE"/>
    <w:rsid w:val="00EB0E74"/>
    <w:rsid w:val="00EB251A"/>
    <w:rsid w:val="00EB2681"/>
    <w:rsid w:val="00EB2798"/>
    <w:rsid w:val="00EB2EDA"/>
    <w:rsid w:val="00EB30E8"/>
    <w:rsid w:val="00EB316D"/>
    <w:rsid w:val="00EB3408"/>
    <w:rsid w:val="00EB367A"/>
    <w:rsid w:val="00EB3842"/>
    <w:rsid w:val="00EB4092"/>
    <w:rsid w:val="00EB41D8"/>
    <w:rsid w:val="00EB4448"/>
    <w:rsid w:val="00EB4F6E"/>
    <w:rsid w:val="00EB57B3"/>
    <w:rsid w:val="00EB59C4"/>
    <w:rsid w:val="00EB5B6D"/>
    <w:rsid w:val="00EB5C5C"/>
    <w:rsid w:val="00EB60F8"/>
    <w:rsid w:val="00EB63C9"/>
    <w:rsid w:val="00EB63E8"/>
    <w:rsid w:val="00EB698E"/>
    <w:rsid w:val="00EB6C24"/>
    <w:rsid w:val="00EB7B19"/>
    <w:rsid w:val="00EB7C96"/>
    <w:rsid w:val="00EC0020"/>
    <w:rsid w:val="00EC0698"/>
    <w:rsid w:val="00EC0CF4"/>
    <w:rsid w:val="00EC0F96"/>
    <w:rsid w:val="00EC18C7"/>
    <w:rsid w:val="00EC19E8"/>
    <w:rsid w:val="00EC19F0"/>
    <w:rsid w:val="00EC1A5A"/>
    <w:rsid w:val="00EC1A8B"/>
    <w:rsid w:val="00EC1B1F"/>
    <w:rsid w:val="00EC1EBA"/>
    <w:rsid w:val="00EC210A"/>
    <w:rsid w:val="00EC2A13"/>
    <w:rsid w:val="00EC2D82"/>
    <w:rsid w:val="00EC31AD"/>
    <w:rsid w:val="00EC4229"/>
    <w:rsid w:val="00EC46BE"/>
    <w:rsid w:val="00EC47D1"/>
    <w:rsid w:val="00EC53D4"/>
    <w:rsid w:val="00EC5741"/>
    <w:rsid w:val="00EC594C"/>
    <w:rsid w:val="00EC59AE"/>
    <w:rsid w:val="00EC5ADA"/>
    <w:rsid w:val="00EC6595"/>
    <w:rsid w:val="00EC689A"/>
    <w:rsid w:val="00EC6C33"/>
    <w:rsid w:val="00EC6FF2"/>
    <w:rsid w:val="00EC7B75"/>
    <w:rsid w:val="00ED02AD"/>
    <w:rsid w:val="00ED074D"/>
    <w:rsid w:val="00ED09CC"/>
    <w:rsid w:val="00ED0C26"/>
    <w:rsid w:val="00ED0C2B"/>
    <w:rsid w:val="00ED1153"/>
    <w:rsid w:val="00ED182C"/>
    <w:rsid w:val="00ED1B86"/>
    <w:rsid w:val="00ED1C4E"/>
    <w:rsid w:val="00ED2DDA"/>
    <w:rsid w:val="00ED35B4"/>
    <w:rsid w:val="00ED37DB"/>
    <w:rsid w:val="00ED39D1"/>
    <w:rsid w:val="00ED3AA5"/>
    <w:rsid w:val="00ED3B7B"/>
    <w:rsid w:val="00ED3C92"/>
    <w:rsid w:val="00ED43F5"/>
    <w:rsid w:val="00ED4509"/>
    <w:rsid w:val="00ED4C26"/>
    <w:rsid w:val="00ED4E5A"/>
    <w:rsid w:val="00ED55C6"/>
    <w:rsid w:val="00ED5ED1"/>
    <w:rsid w:val="00ED5EFC"/>
    <w:rsid w:val="00ED6434"/>
    <w:rsid w:val="00ED695C"/>
    <w:rsid w:val="00ED727F"/>
    <w:rsid w:val="00ED79E5"/>
    <w:rsid w:val="00ED7F60"/>
    <w:rsid w:val="00EE0278"/>
    <w:rsid w:val="00EE0970"/>
    <w:rsid w:val="00EE0C3E"/>
    <w:rsid w:val="00EE0CC4"/>
    <w:rsid w:val="00EE0EDD"/>
    <w:rsid w:val="00EE14F0"/>
    <w:rsid w:val="00EE182F"/>
    <w:rsid w:val="00EE18A4"/>
    <w:rsid w:val="00EE18D5"/>
    <w:rsid w:val="00EE203D"/>
    <w:rsid w:val="00EE20A2"/>
    <w:rsid w:val="00EE2DDF"/>
    <w:rsid w:val="00EE3825"/>
    <w:rsid w:val="00EE39A6"/>
    <w:rsid w:val="00EE4207"/>
    <w:rsid w:val="00EE451E"/>
    <w:rsid w:val="00EE4A9D"/>
    <w:rsid w:val="00EE4D2C"/>
    <w:rsid w:val="00EE4F03"/>
    <w:rsid w:val="00EE5008"/>
    <w:rsid w:val="00EE62BF"/>
    <w:rsid w:val="00EE6A9D"/>
    <w:rsid w:val="00EE71F9"/>
    <w:rsid w:val="00EE7214"/>
    <w:rsid w:val="00EE7ADC"/>
    <w:rsid w:val="00EE7B06"/>
    <w:rsid w:val="00EE7BC8"/>
    <w:rsid w:val="00EE7DC4"/>
    <w:rsid w:val="00EF0930"/>
    <w:rsid w:val="00EF0C4C"/>
    <w:rsid w:val="00EF1837"/>
    <w:rsid w:val="00EF1A78"/>
    <w:rsid w:val="00EF1D0B"/>
    <w:rsid w:val="00EF3966"/>
    <w:rsid w:val="00EF4778"/>
    <w:rsid w:val="00EF4B91"/>
    <w:rsid w:val="00EF55A8"/>
    <w:rsid w:val="00EF5E25"/>
    <w:rsid w:val="00EF6019"/>
    <w:rsid w:val="00EF63B1"/>
    <w:rsid w:val="00EF6BC9"/>
    <w:rsid w:val="00EF6E86"/>
    <w:rsid w:val="00EF7306"/>
    <w:rsid w:val="00EF7672"/>
    <w:rsid w:val="00EF7BE6"/>
    <w:rsid w:val="00F00913"/>
    <w:rsid w:val="00F00A6A"/>
    <w:rsid w:val="00F00B38"/>
    <w:rsid w:val="00F00DD9"/>
    <w:rsid w:val="00F00E6E"/>
    <w:rsid w:val="00F012A6"/>
    <w:rsid w:val="00F013B4"/>
    <w:rsid w:val="00F016A5"/>
    <w:rsid w:val="00F017DD"/>
    <w:rsid w:val="00F01901"/>
    <w:rsid w:val="00F01A1A"/>
    <w:rsid w:val="00F01C80"/>
    <w:rsid w:val="00F01CCA"/>
    <w:rsid w:val="00F01EDE"/>
    <w:rsid w:val="00F0243B"/>
    <w:rsid w:val="00F0280C"/>
    <w:rsid w:val="00F03039"/>
    <w:rsid w:val="00F0343C"/>
    <w:rsid w:val="00F03BBD"/>
    <w:rsid w:val="00F0409A"/>
    <w:rsid w:val="00F04143"/>
    <w:rsid w:val="00F045C9"/>
    <w:rsid w:val="00F049D2"/>
    <w:rsid w:val="00F04A66"/>
    <w:rsid w:val="00F04ABC"/>
    <w:rsid w:val="00F04F68"/>
    <w:rsid w:val="00F064E5"/>
    <w:rsid w:val="00F06D80"/>
    <w:rsid w:val="00F06F97"/>
    <w:rsid w:val="00F07103"/>
    <w:rsid w:val="00F074C3"/>
    <w:rsid w:val="00F0757E"/>
    <w:rsid w:val="00F079D7"/>
    <w:rsid w:val="00F07AA9"/>
    <w:rsid w:val="00F07CA3"/>
    <w:rsid w:val="00F07D63"/>
    <w:rsid w:val="00F07FF7"/>
    <w:rsid w:val="00F10425"/>
    <w:rsid w:val="00F10F1D"/>
    <w:rsid w:val="00F11741"/>
    <w:rsid w:val="00F126B0"/>
    <w:rsid w:val="00F129F0"/>
    <w:rsid w:val="00F12E5A"/>
    <w:rsid w:val="00F143B7"/>
    <w:rsid w:val="00F146BD"/>
    <w:rsid w:val="00F14B09"/>
    <w:rsid w:val="00F14F55"/>
    <w:rsid w:val="00F15215"/>
    <w:rsid w:val="00F1557D"/>
    <w:rsid w:val="00F1558B"/>
    <w:rsid w:val="00F15E52"/>
    <w:rsid w:val="00F16C4F"/>
    <w:rsid w:val="00F170D2"/>
    <w:rsid w:val="00F1728E"/>
    <w:rsid w:val="00F17996"/>
    <w:rsid w:val="00F17BAB"/>
    <w:rsid w:val="00F17CC9"/>
    <w:rsid w:val="00F20203"/>
    <w:rsid w:val="00F206E8"/>
    <w:rsid w:val="00F20BFE"/>
    <w:rsid w:val="00F20F5F"/>
    <w:rsid w:val="00F21457"/>
    <w:rsid w:val="00F21EEA"/>
    <w:rsid w:val="00F22148"/>
    <w:rsid w:val="00F22BA4"/>
    <w:rsid w:val="00F22EF5"/>
    <w:rsid w:val="00F235B1"/>
    <w:rsid w:val="00F23B50"/>
    <w:rsid w:val="00F23E1B"/>
    <w:rsid w:val="00F23FA5"/>
    <w:rsid w:val="00F23FB5"/>
    <w:rsid w:val="00F25184"/>
    <w:rsid w:val="00F25401"/>
    <w:rsid w:val="00F257FE"/>
    <w:rsid w:val="00F25E12"/>
    <w:rsid w:val="00F26056"/>
    <w:rsid w:val="00F26095"/>
    <w:rsid w:val="00F2645E"/>
    <w:rsid w:val="00F265BF"/>
    <w:rsid w:val="00F269A7"/>
    <w:rsid w:val="00F26A53"/>
    <w:rsid w:val="00F26AC1"/>
    <w:rsid w:val="00F271D3"/>
    <w:rsid w:val="00F273C1"/>
    <w:rsid w:val="00F301C2"/>
    <w:rsid w:val="00F302B8"/>
    <w:rsid w:val="00F30AE8"/>
    <w:rsid w:val="00F30BC8"/>
    <w:rsid w:val="00F30D1D"/>
    <w:rsid w:val="00F310C8"/>
    <w:rsid w:val="00F3127E"/>
    <w:rsid w:val="00F3136F"/>
    <w:rsid w:val="00F31779"/>
    <w:rsid w:val="00F31FA4"/>
    <w:rsid w:val="00F323BC"/>
    <w:rsid w:val="00F326C5"/>
    <w:rsid w:val="00F32A46"/>
    <w:rsid w:val="00F32DC6"/>
    <w:rsid w:val="00F32E50"/>
    <w:rsid w:val="00F33103"/>
    <w:rsid w:val="00F3334B"/>
    <w:rsid w:val="00F3526A"/>
    <w:rsid w:val="00F35270"/>
    <w:rsid w:val="00F3564F"/>
    <w:rsid w:val="00F35F18"/>
    <w:rsid w:val="00F360FF"/>
    <w:rsid w:val="00F3611C"/>
    <w:rsid w:val="00F36195"/>
    <w:rsid w:val="00F3643F"/>
    <w:rsid w:val="00F36C85"/>
    <w:rsid w:val="00F37034"/>
    <w:rsid w:val="00F3766D"/>
    <w:rsid w:val="00F405A3"/>
    <w:rsid w:val="00F406D2"/>
    <w:rsid w:val="00F40A16"/>
    <w:rsid w:val="00F41FE8"/>
    <w:rsid w:val="00F42387"/>
    <w:rsid w:val="00F42630"/>
    <w:rsid w:val="00F42F34"/>
    <w:rsid w:val="00F43CAE"/>
    <w:rsid w:val="00F446DB"/>
    <w:rsid w:val="00F44FE2"/>
    <w:rsid w:val="00F45725"/>
    <w:rsid w:val="00F46092"/>
    <w:rsid w:val="00F462FE"/>
    <w:rsid w:val="00F46895"/>
    <w:rsid w:val="00F469D4"/>
    <w:rsid w:val="00F46AF4"/>
    <w:rsid w:val="00F476E5"/>
    <w:rsid w:val="00F47C96"/>
    <w:rsid w:val="00F47F30"/>
    <w:rsid w:val="00F50347"/>
    <w:rsid w:val="00F50B90"/>
    <w:rsid w:val="00F50F53"/>
    <w:rsid w:val="00F50FFA"/>
    <w:rsid w:val="00F5105E"/>
    <w:rsid w:val="00F514CC"/>
    <w:rsid w:val="00F51663"/>
    <w:rsid w:val="00F51688"/>
    <w:rsid w:val="00F51AC4"/>
    <w:rsid w:val="00F51B4D"/>
    <w:rsid w:val="00F5256A"/>
    <w:rsid w:val="00F52CDE"/>
    <w:rsid w:val="00F52F14"/>
    <w:rsid w:val="00F53CA9"/>
    <w:rsid w:val="00F54612"/>
    <w:rsid w:val="00F54834"/>
    <w:rsid w:val="00F55759"/>
    <w:rsid w:val="00F55D2C"/>
    <w:rsid w:val="00F567D5"/>
    <w:rsid w:val="00F56A00"/>
    <w:rsid w:val="00F56A53"/>
    <w:rsid w:val="00F56E64"/>
    <w:rsid w:val="00F571DC"/>
    <w:rsid w:val="00F57394"/>
    <w:rsid w:val="00F5788F"/>
    <w:rsid w:val="00F57963"/>
    <w:rsid w:val="00F600A0"/>
    <w:rsid w:val="00F604FC"/>
    <w:rsid w:val="00F6127C"/>
    <w:rsid w:val="00F612BB"/>
    <w:rsid w:val="00F619CF"/>
    <w:rsid w:val="00F61D91"/>
    <w:rsid w:val="00F625EB"/>
    <w:rsid w:val="00F62824"/>
    <w:rsid w:val="00F62942"/>
    <w:rsid w:val="00F62C61"/>
    <w:rsid w:val="00F62DBA"/>
    <w:rsid w:val="00F63192"/>
    <w:rsid w:val="00F6399E"/>
    <w:rsid w:val="00F64748"/>
    <w:rsid w:val="00F649D8"/>
    <w:rsid w:val="00F64D97"/>
    <w:rsid w:val="00F64E51"/>
    <w:rsid w:val="00F65172"/>
    <w:rsid w:val="00F652B0"/>
    <w:rsid w:val="00F65B91"/>
    <w:rsid w:val="00F662F8"/>
    <w:rsid w:val="00F663E5"/>
    <w:rsid w:val="00F667E4"/>
    <w:rsid w:val="00F66E8F"/>
    <w:rsid w:val="00F6761B"/>
    <w:rsid w:val="00F6778B"/>
    <w:rsid w:val="00F6787E"/>
    <w:rsid w:val="00F6796B"/>
    <w:rsid w:val="00F67F7D"/>
    <w:rsid w:val="00F708DF"/>
    <w:rsid w:val="00F71485"/>
    <w:rsid w:val="00F7160F"/>
    <w:rsid w:val="00F719E0"/>
    <w:rsid w:val="00F72265"/>
    <w:rsid w:val="00F72649"/>
    <w:rsid w:val="00F727AD"/>
    <w:rsid w:val="00F72A81"/>
    <w:rsid w:val="00F72D3A"/>
    <w:rsid w:val="00F73472"/>
    <w:rsid w:val="00F73EFF"/>
    <w:rsid w:val="00F7419D"/>
    <w:rsid w:val="00F74293"/>
    <w:rsid w:val="00F74B24"/>
    <w:rsid w:val="00F75679"/>
    <w:rsid w:val="00F75723"/>
    <w:rsid w:val="00F75C3E"/>
    <w:rsid w:val="00F75C5E"/>
    <w:rsid w:val="00F75D53"/>
    <w:rsid w:val="00F75E97"/>
    <w:rsid w:val="00F76057"/>
    <w:rsid w:val="00F76463"/>
    <w:rsid w:val="00F76779"/>
    <w:rsid w:val="00F77451"/>
    <w:rsid w:val="00F77674"/>
    <w:rsid w:val="00F77792"/>
    <w:rsid w:val="00F77A98"/>
    <w:rsid w:val="00F77B9B"/>
    <w:rsid w:val="00F80699"/>
    <w:rsid w:val="00F80E56"/>
    <w:rsid w:val="00F811EC"/>
    <w:rsid w:val="00F816BB"/>
    <w:rsid w:val="00F81816"/>
    <w:rsid w:val="00F82AA9"/>
    <w:rsid w:val="00F82B61"/>
    <w:rsid w:val="00F82D59"/>
    <w:rsid w:val="00F82E64"/>
    <w:rsid w:val="00F832D4"/>
    <w:rsid w:val="00F8353D"/>
    <w:rsid w:val="00F8355E"/>
    <w:rsid w:val="00F83CB3"/>
    <w:rsid w:val="00F83D16"/>
    <w:rsid w:val="00F83EFD"/>
    <w:rsid w:val="00F83F38"/>
    <w:rsid w:val="00F83FDB"/>
    <w:rsid w:val="00F86239"/>
    <w:rsid w:val="00F86551"/>
    <w:rsid w:val="00F866E3"/>
    <w:rsid w:val="00F8670C"/>
    <w:rsid w:val="00F870E1"/>
    <w:rsid w:val="00F909FE"/>
    <w:rsid w:val="00F90A2E"/>
    <w:rsid w:val="00F90FB8"/>
    <w:rsid w:val="00F91A45"/>
    <w:rsid w:val="00F929D1"/>
    <w:rsid w:val="00F92E1A"/>
    <w:rsid w:val="00F92E20"/>
    <w:rsid w:val="00F9384F"/>
    <w:rsid w:val="00F941F7"/>
    <w:rsid w:val="00F9485D"/>
    <w:rsid w:val="00F94D38"/>
    <w:rsid w:val="00F94D56"/>
    <w:rsid w:val="00F94E7E"/>
    <w:rsid w:val="00F94FFE"/>
    <w:rsid w:val="00F95B33"/>
    <w:rsid w:val="00F9620C"/>
    <w:rsid w:val="00F96325"/>
    <w:rsid w:val="00F96A71"/>
    <w:rsid w:val="00F96C40"/>
    <w:rsid w:val="00F971EF"/>
    <w:rsid w:val="00F9765B"/>
    <w:rsid w:val="00FA0C29"/>
    <w:rsid w:val="00FA0F02"/>
    <w:rsid w:val="00FA1423"/>
    <w:rsid w:val="00FA16CE"/>
    <w:rsid w:val="00FA21D1"/>
    <w:rsid w:val="00FA235F"/>
    <w:rsid w:val="00FA2435"/>
    <w:rsid w:val="00FA2543"/>
    <w:rsid w:val="00FA2ACC"/>
    <w:rsid w:val="00FA2B3B"/>
    <w:rsid w:val="00FA2D35"/>
    <w:rsid w:val="00FA2E23"/>
    <w:rsid w:val="00FA30C9"/>
    <w:rsid w:val="00FA324E"/>
    <w:rsid w:val="00FA3336"/>
    <w:rsid w:val="00FA344C"/>
    <w:rsid w:val="00FA4C78"/>
    <w:rsid w:val="00FA4F7F"/>
    <w:rsid w:val="00FA5470"/>
    <w:rsid w:val="00FA585F"/>
    <w:rsid w:val="00FA5C45"/>
    <w:rsid w:val="00FA652C"/>
    <w:rsid w:val="00FA6ABB"/>
    <w:rsid w:val="00FA7127"/>
    <w:rsid w:val="00FA7517"/>
    <w:rsid w:val="00FB0C82"/>
    <w:rsid w:val="00FB1371"/>
    <w:rsid w:val="00FB18AA"/>
    <w:rsid w:val="00FB19D0"/>
    <w:rsid w:val="00FB24EC"/>
    <w:rsid w:val="00FB2E4B"/>
    <w:rsid w:val="00FB2FF1"/>
    <w:rsid w:val="00FB30B4"/>
    <w:rsid w:val="00FB38EF"/>
    <w:rsid w:val="00FB39BC"/>
    <w:rsid w:val="00FB3AF1"/>
    <w:rsid w:val="00FB4869"/>
    <w:rsid w:val="00FB60B4"/>
    <w:rsid w:val="00FB61F0"/>
    <w:rsid w:val="00FB73DC"/>
    <w:rsid w:val="00FB799F"/>
    <w:rsid w:val="00FC0716"/>
    <w:rsid w:val="00FC0811"/>
    <w:rsid w:val="00FC1F51"/>
    <w:rsid w:val="00FC3267"/>
    <w:rsid w:val="00FC36CB"/>
    <w:rsid w:val="00FC36FC"/>
    <w:rsid w:val="00FC3DE5"/>
    <w:rsid w:val="00FC4602"/>
    <w:rsid w:val="00FC469D"/>
    <w:rsid w:val="00FC514D"/>
    <w:rsid w:val="00FC548C"/>
    <w:rsid w:val="00FC54F7"/>
    <w:rsid w:val="00FC56E7"/>
    <w:rsid w:val="00FC5C1B"/>
    <w:rsid w:val="00FC6DDD"/>
    <w:rsid w:val="00FC77C7"/>
    <w:rsid w:val="00FD0148"/>
    <w:rsid w:val="00FD0720"/>
    <w:rsid w:val="00FD0C35"/>
    <w:rsid w:val="00FD16F9"/>
    <w:rsid w:val="00FD183F"/>
    <w:rsid w:val="00FD1D02"/>
    <w:rsid w:val="00FD2084"/>
    <w:rsid w:val="00FD2A1D"/>
    <w:rsid w:val="00FD3189"/>
    <w:rsid w:val="00FD3482"/>
    <w:rsid w:val="00FD3544"/>
    <w:rsid w:val="00FD367E"/>
    <w:rsid w:val="00FD38CC"/>
    <w:rsid w:val="00FD391B"/>
    <w:rsid w:val="00FD39F9"/>
    <w:rsid w:val="00FD4253"/>
    <w:rsid w:val="00FD4C28"/>
    <w:rsid w:val="00FD4EBF"/>
    <w:rsid w:val="00FD4FB8"/>
    <w:rsid w:val="00FD563D"/>
    <w:rsid w:val="00FD5B78"/>
    <w:rsid w:val="00FD5ED3"/>
    <w:rsid w:val="00FD647F"/>
    <w:rsid w:val="00FD6D81"/>
    <w:rsid w:val="00FD7458"/>
    <w:rsid w:val="00FD75F3"/>
    <w:rsid w:val="00FD7F64"/>
    <w:rsid w:val="00FE0558"/>
    <w:rsid w:val="00FE06D3"/>
    <w:rsid w:val="00FE06E3"/>
    <w:rsid w:val="00FE0969"/>
    <w:rsid w:val="00FE0AAD"/>
    <w:rsid w:val="00FE1578"/>
    <w:rsid w:val="00FE17F9"/>
    <w:rsid w:val="00FE1EDD"/>
    <w:rsid w:val="00FE20A0"/>
    <w:rsid w:val="00FE2120"/>
    <w:rsid w:val="00FE26AD"/>
    <w:rsid w:val="00FE31FF"/>
    <w:rsid w:val="00FE4302"/>
    <w:rsid w:val="00FE4370"/>
    <w:rsid w:val="00FE45D8"/>
    <w:rsid w:val="00FE4E49"/>
    <w:rsid w:val="00FE5549"/>
    <w:rsid w:val="00FE56A2"/>
    <w:rsid w:val="00FE59DC"/>
    <w:rsid w:val="00FE5A77"/>
    <w:rsid w:val="00FE5F4C"/>
    <w:rsid w:val="00FE6632"/>
    <w:rsid w:val="00FE69FB"/>
    <w:rsid w:val="00FE6C5C"/>
    <w:rsid w:val="00FE7337"/>
    <w:rsid w:val="00FF070C"/>
    <w:rsid w:val="00FF0F15"/>
    <w:rsid w:val="00FF10AE"/>
    <w:rsid w:val="00FF175A"/>
    <w:rsid w:val="00FF1A26"/>
    <w:rsid w:val="00FF1CD3"/>
    <w:rsid w:val="00FF1EDF"/>
    <w:rsid w:val="00FF326B"/>
    <w:rsid w:val="00FF3F05"/>
    <w:rsid w:val="00FF446E"/>
    <w:rsid w:val="00FF45AA"/>
    <w:rsid w:val="00FF4A8F"/>
    <w:rsid w:val="00FF4C64"/>
    <w:rsid w:val="00FF5297"/>
    <w:rsid w:val="00FF63C2"/>
    <w:rsid w:val="00FF6602"/>
    <w:rsid w:val="00FF66F9"/>
    <w:rsid w:val="00FF681C"/>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ru v:ext="edit" colors="#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FA"/>
  </w:style>
  <w:style w:type="paragraph" w:styleId="Heading1">
    <w:name w:val="heading 1"/>
    <w:basedOn w:val="Normal"/>
    <w:next w:val="Normal"/>
    <w:link w:val="Heading1Char"/>
    <w:uiPriority w:val="9"/>
    <w:qFormat/>
    <w:rsid w:val="00396227"/>
    <w:pPr>
      <w:keepNext/>
      <w:numPr>
        <w:numId w:val="9"/>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qFormat/>
    <w:rsid w:val="00DE0C5D"/>
    <w:pPr>
      <w:keepNext/>
      <w:numPr>
        <w:ilvl w:val="1"/>
        <w:numId w:val="9"/>
      </w:numPr>
      <w:outlineLvl w:val="1"/>
    </w:pPr>
    <w:rPr>
      <w:bCs/>
      <w:iCs/>
      <w:color w:val="003880"/>
      <w:sz w:val="24"/>
      <w:szCs w:val="48"/>
    </w:rPr>
  </w:style>
  <w:style w:type="paragraph" w:styleId="Heading3">
    <w:name w:val="heading 3"/>
    <w:basedOn w:val="Normal"/>
    <w:next w:val="Normal"/>
    <w:link w:val="Heading3Char"/>
    <w:qFormat/>
    <w:rsid w:val="00245A84"/>
    <w:pPr>
      <w:keepNext/>
      <w:numPr>
        <w:ilvl w:val="2"/>
        <w:numId w:val="9"/>
      </w:numPr>
      <w:outlineLvl w:val="2"/>
    </w:pPr>
    <w:rPr>
      <w:bCs/>
      <w:color w:val="003880"/>
      <w:sz w:val="24"/>
      <w:szCs w:val="28"/>
    </w:rPr>
  </w:style>
  <w:style w:type="paragraph" w:styleId="Heading4">
    <w:name w:val="heading 4"/>
    <w:basedOn w:val="Normal"/>
    <w:next w:val="Normal"/>
    <w:qFormat/>
    <w:rsid w:val="00643C39"/>
    <w:pPr>
      <w:keepNext/>
      <w:numPr>
        <w:ilvl w:val="3"/>
        <w:numId w:val="9"/>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6227"/>
    <w:rPr>
      <w:rFonts w:asciiTheme="minorHAnsi" w:hAnsiTheme="minorHAnsi" w:cstheme="minorHAnsi"/>
      <w:bCs/>
      <w:color w:val="003880"/>
      <w:kern w:val="32"/>
      <w:sz w:val="32"/>
      <w:szCs w:val="72"/>
    </w:rPr>
  </w:style>
  <w:style w:type="character" w:customStyle="1" w:styleId="Heading2Char">
    <w:name w:val="Heading 2 Char"/>
    <w:link w:val="Heading2"/>
    <w:rsid w:val="00DE0C5D"/>
    <w:rPr>
      <w:bCs/>
      <w:iCs/>
      <w:color w:val="003880"/>
      <w:sz w:val="24"/>
      <w:szCs w:val="48"/>
    </w:rPr>
  </w:style>
  <w:style w:type="character" w:customStyle="1" w:styleId="Heading3Char">
    <w:name w:val="Heading 3 Char"/>
    <w:link w:val="Heading3"/>
    <w:rsid w:val="00245A84"/>
    <w:rPr>
      <w:b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spacing w:before="120" w:after="120"/>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5D7550"/>
    <w:rPr>
      <w:sz w:val="20"/>
    </w:rPr>
  </w:style>
  <w:style w:type="paragraph" w:styleId="TOC1">
    <w:name w:val="toc 1"/>
    <w:basedOn w:val="Normal"/>
    <w:next w:val="Normal"/>
    <w:autoRedefine/>
    <w:uiPriority w:val="39"/>
    <w:qFormat/>
    <w:rsid w:val="007269E9"/>
    <w:pPr>
      <w:tabs>
        <w:tab w:val="left" w:pos="720"/>
        <w:tab w:val="right" w:pos="9000"/>
      </w:tabs>
      <w:spacing w:line="480" w:lineRule="auto"/>
      <w:ind w:left="720" w:hanging="720"/>
    </w:pPr>
    <w:rPr>
      <w:rFonts w:asciiTheme="majorHAnsi" w:hAnsiTheme="majorHAnsi" w:cstheme="minorHAnsi"/>
      <w:bCs/>
      <w:caps/>
      <w:noProof/>
      <w:color w:val="003880"/>
      <w:kern w:val="32"/>
      <w:sz w:val="20"/>
      <w:szCs w:val="24"/>
      <w:lang w:val="en-AU"/>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spacing w:after="120"/>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after="12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after="12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spacing w:after="120"/>
    </w:pPr>
  </w:style>
  <w:style w:type="paragraph" w:customStyle="1" w:styleId="TableTitle">
    <w:name w:val="Table Title"/>
    <w:basedOn w:val="Normal"/>
    <w:rsid w:val="00623899"/>
    <w:pPr>
      <w:spacing w:before="160" w:after="12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after="120"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6"/>
      </w:numPr>
      <w:spacing w:before="120" w:after="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line="276" w:lineRule="auto"/>
    </w:pPr>
    <w:rPr>
      <w:rFonts w:ascii="Calibri" w:eastAsia="Calibri" w:hAnsi="Calibri" w:cs="Arial"/>
      <w:b/>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18"/>
      </w:numPr>
      <w:spacing w:before="240"/>
      <w:outlineLvl w:val="3"/>
    </w:pPr>
    <w:rPr>
      <w:rFonts w:ascii="Times New Roman" w:hAnsi="Times New Roman" w:cs="Times New Roman"/>
      <w:sz w:val="24"/>
      <w:lang w:val="en-AU"/>
    </w:rPr>
  </w:style>
  <w:style w:type="paragraph" w:customStyle="1" w:styleId="CONLeveli">
    <w:name w:val=".CON  Level  (i)"/>
    <w:basedOn w:val="Normal"/>
    <w:next w:val="Normal"/>
    <w:rsid w:val="004F1D92"/>
    <w:pPr>
      <w:numPr>
        <w:ilvl w:val="3"/>
        <w:numId w:val="18"/>
      </w:numPr>
      <w:spacing w:before="240"/>
      <w:outlineLvl w:val="4"/>
    </w:pPr>
    <w:rPr>
      <w:rFonts w:ascii="Times New Roman" w:hAnsi="Times New Roman" w:cs="Times New Roman"/>
      <w:sz w:val="24"/>
      <w:lang w:val="en-AU"/>
    </w:rPr>
  </w:style>
  <w:style w:type="paragraph" w:customStyle="1" w:styleId="CONLevel1">
    <w:name w:val=".CON  Level   1."/>
    <w:basedOn w:val="Normal"/>
    <w:next w:val="Normal"/>
    <w:rsid w:val="004F1D92"/>
    <w:pPr>
      <w:keepNext/>
      <w:numPr>
        <w:numId w:val="18"/>
      </w:numPr>
      <w:spacing w:before="240"/>
      <w:ind w:right="1701"/>
      <w:outlineLvl w:val="1"/>
    </w:pPr>
    <w:rPr>
      <w:rFonts w:ascii="Times New Roman" w:hAnsi="Times New Roman" w:cs="Times New Roman"/>
      <w:b/>
      <w:sz w:val="24"/>
      <w:lang w:val="en-AU"/>
    </w:rPr>
  </w:style>
  <w:style w:type="paragraph" w:customStyle="1" w:styleId="CONLevel11">
    <w:name w:val=".CON  Level   1.1"/>
    <w:basedOn w:val="Normal"/>
    <w:next w:val="Normal"/>
    <w:link w:val="CONLevel11Char"/>
    <w:rsid w:val="004F1D92"/>
    <w:pPr>
      <w:numPr>
        <w:ilvl w:val="1"/>
        <w:numId w:val="18"/>
      </w:numPr>
      <w:spacing w:before="240"/>
      <w:outlineLvl w:val="2"/>
    </w:pPr>
    <w:rPr>
      <w:rFonts w:ascii="Times New Roman" w:hAnsi="Times New Roman" w:cs="Times New Roman"/>
      <w:sz w:val="24"/>
      <w:lang w:val="en-AU"/>
    </w:rPr>
  </w:style>
  <w:style w:type="paragraph" w:customStyle="1" w:styleId="CONLevelA0">
    <w:name w:val=".CON  Level (A)"/>
    <w:basedOn w:val="Normal"/>
    <w:next w:val="Normal"/>
    <w:rsid w:val="004F1D92"/>
    <w:pPr>
      <w:numPr>
        <w:ilvl w:val="4"/>
        <w:numId w:val="18"/>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rsid w:val="004F1D92"/>
    <w:pPr>
      <w:numPr>
        <w:ilvl w:val="5"/>
        <w:numId w:val="18"/>
      </w:numPr>
      <w:spacing w:before="240"/>
      <w:outlineLvl w:val="6"/>
    </w:pPr>
    <w:rPr>
      <w:rFonts w:ascii="Times New Roman" w:hAnsi="Times New Roman" w:cs="Times New Roman"/>
      <w:sz w:val="24"/>
      <w:lang w:val="en-AU"/>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lang w:val="en-AU"/>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AFA"/>
  </w:style>
  <w:style w:type="paragraph" w:styleId="Heading1">
    <w:name w:val="heading 1"/>
    <w:basedOn w:val="Normal"/>
    <w:next w:val="Normal"/>
    <w:link w:val="Heading1Char"/>
    <w:uiPriority w:val="9"/>
    <w:qFormat/>
    <w:rsid w:val="00396227"/>
    <w:pPr>
      <w:keepNext/>
      <w:numPr>
        <w:numId w:val="9"/>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qFormat/>
    <w:rsid w:val="00DE0C5D"/>
    <w:pPr>
      <w:keepNext/>
      <w:numPr>
        <w:ilvl w:val="1"/>
        <w:numId w:val="9"/>
      </w:numPr>
      <w:outlineLvl w:val="1"/>
    </w:pPr>
    <w:rPr>
      <w:bCs/>
      <w:iCs/>
      <w:color w:val="003880"/>
      <w:sz w:val="24"/>
      <w:szCs w:val="48"/>
    </w:rPr>
  </w:style>
  <w:style w:type="paragraph" w:styleId="Heading3">
    <w:name w:val="heading 3"/>
    <w:basedOn w:val="Normal"/>
    <w:next w:val="Normal"/>
    <w:link w:val="Heading3Char"/>
    <w:qFormat/>
    <w:rsid w:val="00245A84"/>
    <w:pPr>
      <w:keepNext/>
      <w:numPr>
        <w:ilvl w:val="2"/>
        <w:numId w:val="9"/>
      </w:numPr>
      <w:outlineLvl w:val="2"/>
    </w:pPr>
    <w:rPr>
      <w:bCs/>
      <w:color w:val="003880"/>
      <w:sz w:val="24"/>
      <w:szCs w:val="28"/>
    </w:rPr>
  </w:style>
  <w:style w:type="paragraph" w:styleId="Heading4">
    <w:name w:val="heading 4"/>
    <w:basedOn w:val="Normal"/>
    <w:next w:val="Normal"/>
    <w:qFormat/>
    <w:rsid w:val="00643C39"/>
    <w:pPr>
      <w:keepNext/>
      <w:numPr>
        <w:ilvl w:val="3"/>
        <w:numId w:val="9"/>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6227"/>
    <w:rPr>
      <w:rFonts w:asciiTheme="minorHAnsi" w:hAnsiTheme="minorHAnsi" w:cstheme="minorHAnsi"/>
      <w:bCs/>
      <w:color w:val="003880"/>
      <w:kern w:val="32"/>
      <w:sz w:val="32"/>
      <w:szCs w:val="72"/>
    </w:rPr>
  </w:style>
  <w:style w:type="character" w:customStyle="1" w:styleId="Heading2Char">
    <w:name w:val="Heading 2 Char"/>
    <w:link w:val="Heading2"/>
    <w:rsid w:val="00DE0C5D"/>
    <w:rPr>
      <w:bCs/>
      <w:iCs/>
      <w:color w:val="003880"/>
      <w:sz w:val="24"/>
      <w:szCs w:val="48"/>
    </w:rPr>
  </w:style>
  <w:style w:type="character" w:customStyle="1" w:styleId="Heading3Char">
    <w:name w:val="Heading 3 Char"/>
    <w:link w:val="Heading3"/>
    <w:rsid w:val="00245A84"/>
    <w:rPr>
      <w:b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spacing w:before="120" w:after="120"/>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5D7550"/>
    <w:rPr>
      <w:sz w:val="20"/>
    </w:rPr>
  </w:style>
  <w:style w:type="paragraph" w:styleId="TOC1">
    <w:name w:val="toc 1"/>
    <w:basedOn w:val="Normal"/>
    <w:next w:val="Normal"/>
    <w:autoRedefine/>
    <w:uiPriority w:val="39"/>
    <w:qFormat/>
    <w:rsid w:val="007269E9"/>
    <w:pPr>
      <w:tabs>
        <w:tab w:val="left" w:pos="720"/>
        <w:tab w:val="right" w:pos="9000"/>
      </w:tabs>
      <w:spacing w:line="480" w:lineRule="auto"/>
      <w:ind w:left="720" w:hanging="720"/>
    </w:pPr>
    <w:rPr>
      <w:rFonts w:asciiTheme="majorHAnsi" w:hAnsiTheme="majorHAnsi" w:cstheme="minorHAnsi"/>
      <w:bCs/>
      <w:caps/>
      <w:noProof/>
      <w:color w:val="003880"/>
      <w:kern w:val="32"/>
      <w:sz w:val="20"/>
      <w:szCs w:val="24"/>
      <w:lang w:val="en-AU"/>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spacing w:after="120"/>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after="12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after="12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spacing w:after="120"/>
    </w:pPr>
  </w:style>
  <w:style w:type="paragraph" w:customStyle="1" w:styleId="TableTitle">
    <w:name w:val="Table Title"/>
    <w:basedOn w:val="Normal"/>
    <w:rsid w:val="00623899"/>
    <w:pPr>
      <w:spacing w:before="160" w:after="12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after="120"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6"/>
      </w:numPr>
      <w:spacing w:before="120" w:after="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line="276" w:lineRule="auto"/>
    </w:pPr>
    <w:rPr>
      <w:rFonts w:ascii="Calibri" w:eastAsia="Calibri" w:hAnsi="Calibri" w:cs="Arial"/>
      <w:b/>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18"/>
      </w:numPr>
      <w:spacing w:before="240"/>
      <w:outlineLvl w:val="3"/>
    </w:pPr>
    <w:rPr>
      <w:rFonts w:ascii="Times New Roman" w:hAnsi="Times New Roman" w:cs="Times New Roman"/>
      <w:sz w:val="24"/>
      <w:lang w:val="en-AU"/>
    </w:rPr>
  </w:style>
  <w:style w:type="paragraph" w:customStyle="1" w:styleId="CONLeveli">
    <w:name w:val=".CON  Level  (i)"/>
    <w:basedOn w:val="Normal"/>
    <w:next w:val="Normal"/>
    <w:rsid w:val="004F1D92"/>
    <w:pPr>
      <w:numPr>
        <w:ilvl w:val="3"/>
        <w:numId w:val="18"/>
      </w:numPr>
      <w:spacing w:before="240"/>
      <w:outlineLvl w:val="4"/>
    </w:pPr>
    <w:rPr>
      <w:rFonts w:ascii="Times New Roman" w:hAnsi="Times New Roman" w:cs="Times New Roman"/>
      <w:sz w:val="24"/>
      <w:lang w:val="en-AU"/>
    </w:rPr>
  </w:style>
  <w:style w:type="paragraph" w:customStyle="1" w:styleId="CONLevel1">
    <w:name w:val=".CON  Level   1."/>
    <w:basedOn w:val="Normal"/>
    <w:next w:val="Normal"/>
    <w:rsid w:val="004F1D92"/>
    <w:pPr>
      <w:keepNext/>
      <w:numPr>
        <w:numId w:val="18"/>
      </w:numPr>
      <w:spacing w:before="240"/>
      <w:ind w:right="1701"/>
      <w:outlineLvl w:val="1"/>
    </w:pPr>
    <w:rPr>
      <w:rFonts w:ascii="Times New Roman" w:hAnsi="Times New Roman" w:cs="Times New Roman"/>
      <w:b/>
      <w:sz w:val="24"/>
      <w:lang w:val="en-AU"/>
    </w:rPr>
  </w:style>
  <w:style w:type="paragraph" w:customStyle="1" w:styleId="CONLevel11">
    <w:name w:val=".CON  Level   1.1"/>
    <w:basedOn w:val="Normal"/>
    <w:next w:val="Normal"/>
    <w:link w:val="CONLevel11Char"/>
    <w:rsid w:val="004F1D92"/>
    <w:pPr>
      <w:numPr>
        <w:ilvl w:val="1"/>
        <w:numId w:val="18"/>
      </w:numPr>
      <w:spacing w:before="240"/>
      <w:outlineLvl w:val="2"/>
    </w:pPr>
    <w:rPr>
      <w:rFonts w:ascii="Times New Roman" w:hAnsi="Times New Roman" w:cs="Times New Roman"/>
      <w:sz w:val="24"/>
      <w:lang w:val="en-AU"/>
    </w:rPr>
  </w:style>
  <w:style w:type="paragraph" w:customStyle="1" w:styleId="CONLevelA0">
    <w:name w:val=".CON  Level (A)"/>
    <w:basedOn w:val="Normal"/>
    <w:next w:val="Normal"/>
    <w:rsid w:val="004F1D92"/>
    <w:pPr>
      <w:numPr>
        <w:ilvl w:val="4"/>
        <w:numId w:val="18"/>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rsid w:val="004F1D92"/>
    <w:pPr>
      <w:numPr>
        <w:ilvl w:val="5"/>
        <w:numId w:val="18"/>
      </w:numPr>
      <w:spacing w:before="240"/>
      <w:outlineLvl w:val="6"/>
    </w:pPr>
    <w:rPr>
      <w:rFonts w:ascii="Times New Roman" w:hAnsi="Times New Roman" w:cs="Times New Roman"/>
      <w:sz w:val="24"/>
      <w:lang w:val="en-AU"/>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lang w:val="en-AU"/>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0233">
      <w:bodyDiv w:val="1"/>
      <w:marLeft w:val="0"/>
      <w:marRight w:val="0"/>
      <w:marTop w:val="0"/>
      <w:marBottom w:val="0"/>
      <w:divBdr>
        <w:top w:val="none" w:sz="0" w:space="0" w:color="auto"/>
        <w:left w:val="none" w:sz="0" w:space="0" w:color="auto"/>
        <w:bottom w:val="none" w:sz="0" w:space="0" w:color="auto"/>
        <w:right w:val="none" w:sz="0" w:space="0" w:color="auto"/>
      </w:divBdr>
      <w:divsChild>
        <w:div w:id="197427172">
          <w:marLeft w:val="547"/>
          <w:marRight w:val="0"/>
          <w:marTop w:val="96"/>
          <w:marBottom w:val="60"/>
          <w:divBdr>
            <w:top w:val="none" w:sz="0" w:space="0" w:color="auto"/>
            <w:left w:val="none" w:sz="0" w:space="0" w:color="auto"/>
            <w:bottom w:val="none" w:sz="0" w:space="0" w:color="auto"/>
            <w:right w:val="none" w:sz="0" w:space="0" w:color="auto"/>
          </w:divBdr>
        </w:div>
      </w:divsChild>
    </w:div>
    <w:div w:id="77404168">
      <w:bodyDiv w:val="1"/>
      <w:marLeft w:val="0"/>
      <w:marRight w:val="0"/>
      <w:marTop w:val="0"/>
      <w:marBottom w:val="0"/>
      <w:divBdr>
        <w:top w:val="none" w:sz="0" w:space="0" w:color="auto"/>
        <w:left w:val="none" w:sz="0" w:space="0" w:color="auto"/>
        <w:bottom w:val="none" w:sz="0" w:space="0" w:color="auto"/>
        <w:right w:val="none" w:sz="0" w:space="0" w:color="auto"/>
      </w:divBdr>
      <w:divsChild>
        <w:div w:id="102850553">
          <w:marLeft w:val="720"/>
          <w:marRight w:val="0"/>
          <w:marTop w:val="96"/>
          <w:marBottom w:val="240"/>
          <w:divBdr>
            <w:top w:val="none" w:sz="0" w:space="0" w:color="auto"/>
            <w:left w:val="none" w:sz="0" w:space="0" w:color="auto"/>
            <w:bottom w:val="none" w:sz="0" w:space="0" w:color="auto"/>
            <w:right w:val="none" w:sz="0" w:space="0" w:color="auto"/>
          </w:divBdr>
        </w:div>
        <w:div w:id="545797290">
          <w:marLeft w:val="720"/>
          <w:marRight w:val="0"/>
          <w:marTop w:val="96"/>
          <w:marBottom w:val="240"/>
          <w:divBdr>
            <w:top w:val="none" w:sz="0" w:space="0" w:color="auto"/>
            <w:left w:val="none" w:sz="0" w:space="0" w:color="auto"/>
            <w:bottom w:val="none" w:sz="0" w:space="0" w:color="auto"/>
            <w:right w:val="none" w:sz="0" w:space="0" w:color="auto"/>
          </w:divBdr>
        </w:div>
        <w:div w:id="1612860248">
          <w:marLeft w:val="720"/>
          <w:marRight w:val="0"/>
          <w:marTop w:val="96"/>
          <w:marBottom w:val="240"/>
          <w:divBdr>
            <w:top w:val="none" w:sz="0" w:space="0" w:color="auto"/>
            <w:left w:val="none" w:sz="0" w:space="0" w:color="auto"/>
            <w:bottom w:val="none" w:sz="0" w:space="0" w:color="auto"/>
            <w:right w:val="none" w:sz="0" w:space="0" w:color="auto"/>
          </w:divBdr>
        </w:div>
        <w:div w:id="1693335963">
          <w:marLeft w:val="720"/>
          <w:marRight w:val="0"/>
          <w:marTop w:val="96"/>
          <w:marBottom w:val="240"/>
          <w:divBdr>
            <w:top w:val="none" w:sz="0" w:space="0" w:color="auto"/>
            <w:left w:val="none" w:sz="0" w:space="0" w:color="auto"/>
            <w:bottom w:val="none" w:sz="0" w:space="0" w:color="auto"/>
            <w:right w:val="none" w:sz="0" w:space="0" w:color="auto"/>
          </w:divBdr>
        </w:div>
      </w:divsChild>
    </w:div>
    <w:div w:id="99569468">
      <w:bodyDiv w:val="1"/>
      <w:marLeft w:val="0"/>
      <w:marRight w:val="0"/>
      <w:marTop w:val="0"/>
      <w:marBottom w:val="0"/>
      <w:divBdr>
        <w:top w:val="none" w:sz="0" w:space="0" w:color="auto"/>
        <w:left w:val="none" w:sz="0" w:space="0" w:color="auto"/>
        <w:bottom w:val="none" w:sz="0" w:space="0" w:color="auto"/>
        <w:right w:val="none" w:sz="0" w:space="0" w:color="auto"/>
      </w:divBdr>
    </w:div>
    <w:div w:id="101994056">
      <w:bodyDiv w:val="1"/>
      <w:marLeft w:val="0"/>
      <w:marRight w:val="0"/>
      <w:marTop w:val="0"/>
      <w:marBottom w:val="0"/>
      <w:divBdr>
        <w:top w:val="none" w:sz="0" w:space="0" w:color="auto"/>
        <w:left w:val="none" w:sz="0" w:space="0" w:color="auto"/>
        <w:bottom w:val="none" w:sz="0" w:space="0" w:color="auto"/>
        <w:right w:val="none" w:sz="0" w:space="0" w:color="auto"/>
      </w:divBdr>
    </w:div>
    <w:div w:id="121844454">
      <w:bodyDiv w:val="1"/>
      <w:marLeft w:val="0"/>
      <w:marRight w:val="0"/>
      <w:marTop w:val="0"/>
      <w:marBottom w:val="0"/>
      <w:divBdr>
        <w:top w:val="none" w:sz="0" w:space="0" w:color="auto"/>
        <w:left w:val="none" w:sz="0" w:space="0" w:color="auto"/>
        <w:bottom w:val="none" w:sz="0" w:space="0" w:color="auto"/>
        <w:right w:val="none" w:sz="0" w:space="0" w:color="auto"/>
      </w:divBdr>
      <w:divsChild>
        <w:div w:id="412363922">
          <w:marLeft w:val="547"/>
          <w:marRight w:val="0"/>
          <w:marTop w:val="96"/>
          <w:marBottom w:val="60"/>
          <w:divBdr>
            <w:top w:val="none" w:sz="0" w:space="0" w:color="auto"/>
            <w:left w:val="none" w:sz="0" w:space="0" w:color="auto"/>
            <w:bottom w:val="none" w:sz="0" w:space="0" w:color="auto"/>
            <w:right w:val="none" w:sz="0" w:space="0" w:color="auto"/>
          </w:divBdr>
        </w:div>
        <w:div w:id="1004623968">
          <w:marLeft w:val="547"/>
          <w:marRight w:val="0"/>
          <w:marTop w:val="96"/>
          <w:marBottom w:val="60"/>
          <w:divBdr>
            <w:top w:val="none" w:sz="0" w:space="0" w:color="auto"/>
            <w:left w:val="none" w:sz="0" w:space="0" w:color="auto"/>
            <w:bottom w:val="none" w:sz="0" w:space="0" w:color="auto"/>
            <w:right w:val="none" w:sz="0" w:space="0" w:color="auto"/>
          </w:divBdr>
        </w:div>
        <w:div w:id="2063863156">
          <w:marLeft w:val="547"/>
          <w:marRight w:val="0"/>
          <w:marTop w:val="96"/>
          <w:marBottom w:val="60"/>
          <w:divBdr>
            <w:top w:val="none" w:sz="0" w:space="0" w:color="auto"/>
            <w:left w:val="none" w:sz="0" w:space="0" w:color="auto"/>
            <w:bottom w:val="none" w:sz="0" w:space="0" w:color="auto"/>
            <w:right w:val="none" w:sz="0" w:space="0" w:color="auto"/>
          </w:divBdr>
        </w:div>
      </w:divsChild>
    </w:div>
    <w:div w:id="127600158">
      <w:bodyDiv w:val="1"/>
      <w:marLeft w:val="0"/>
      <w:marRight w:val="0"/>
      <w:marTop w:val="0"/>
      <w:marBottom w:val="0"/>
      <w:divBdr>
        <w:top w:val="none" w:sz="0" w:space="0" w:color="auto"/>
        <w:left w:val="none" w:sz="0" w:space="0" w:color="auto"/>
        <w:bottom w:val="none" w:sz="0" w:space="0" w:color="auto"/>
        <w:right w:val="none" w:sz="0" w:space="0" w:color="auto"/>
      </w:divBdr>
    </w:div>
    <w:div w:id="192618970">
      <w:bodyDiv w:val="1"/>
      <w:marLeft w:val="0"/>
      <w:marRight w:val="0"/>
      <w:marTop w:val="0"/>
      <w:marBottom w:val="0"/>
      <w:divBdr>
        <w:top w:val="none" w:sz="0" w:space="0" w:color="auto"/>
        <w:left w:val="none" w:sz="0" w:space="0" w:color="auto"/>
        <w:bottom w:val="none" w:sz="0" w:space="0" w:color="auto"/>
        <w:right w:val="none" w:sz="0" w:space="0" w:color="auto"/>
      </w:divBdr>
      <w:divsChild>
        <w:div w:id="75250651">
          <w:marLeft w:val="1166"/>
          <w:marRight w:val="0"/>
          <w:marTop w:val="77"/>
          <w:marBottom w:val="0"/>
          <w:divBdr>
            <w:top w:val="none" w:sz="0" w:space="0" w:color="auto"/>
            <w:left w:val="none" w:sz="0" w:space="0" w:color="auto"/>
            <w:bottom w:val="none" w:sz="0" w:space="0" w:color="auto"/>
            <w:right w:val="none" w:sz="0" w:space="0" w:color="auto"/>
          </w:divBdr>
        </w:div>
        <w:div w:id="107773002">
          <w:marLeft w:val="547"/>
          <w:marRight w:val="0"/>
          <w:marTop w:val="96"/>
          <w:marBottom w:val="0"/>
          <w:divBdr>
            <w:top w:val="none" w:sz="0" w:space="0" w:color="auto"/>
            <w:left w:val="none" w:sz="0" w:space="0" w:color="auto"/>
            <w:bottom w:val="none" w:sz="0" w:space="0" w:color="auto"/>
            <w:right w:val="none" w:sz="0" w:space="0" w:color="auto"/>
          </w:divBdr>
        </w:div>
        <w:div w:id="196046823">
          <w:marLeft w:val="547"/>
          <w:marRight w:val="0"/>
          <w:marTop w:val="96"/>
          <w:marBottom w:val="0"/>
          <w:divBdr>
            <w:top w:val="none" w:sz="0" w:space="0" w:color="auto"/>
            <w:left w:val="none" w:sz="0" w:space="0" w:color="auto"/>
            <w:bottom w:val="none" w:sz="0" w:space="0" w:color="auto"/>
            <w:right w:val="none" w:sz="0" w:space="0" w:color="auto"/>
          </w:divBdr>
        </w:div>
        <w:div w:id="352846504">
          <w:marLeft w:val="1166"/>
          <w:marRight w:val="0"/>
          <w:marTop w:val="77"/>
          <w:marBottom w:val="0"/>
          <w:divBdr>
            <w:top w:val="none" w:sz="0" w:space="0" w:color="auto"/>
            <w:left w:val="none" w:sz="0" w:space="0" w:color="auto"/>
            <w:bottom w:val="none" w:sz="0" w:space="0" w:color="auto"/>
            <w:right w:val="none" w:sz="0" w:space="0" w:color="auto"/>
          </w:divBdr>
        </w:div>
        <w:div w:id="577904355">
          <w:marLeft w:val="547"/>
          <w:marRight w:val="0"/>
          <w:marTop w:val="96"/>
          <w:marBottom w:val="0"/>
          <w:divBdr>
            <w:top w:val="none" w:sz="0" w:space="0" w:color="auto"/>
            <w:left w:val="none" w:sz="0" w:space="0" w:color="auto"/>
            <w:bottom w:val="none" w:sz="0" w:space="0" w:color="auto"/>
            <w:right w:val="none" w:sz="0" w:space="0" w:color="auto"/>
          </w:divBdr>
        </w:div>
        <w:div w:id="839269656">
          <w:marLeft w:val="547"/>
          <w:marRight w:val="0"/>
          <w:marTop w:val="96"/>
          <w:marBottom w:val="0"/>
          <w:divBdr>
            <w:top w:val="none" w:sz="0" w:space="0" w:color="auto"/>
            <w:left w:val="none" w:sz="0" w:space="0" w:color="auto"/>
            <w:bottom w:val="none" w:sz="0" w:space="0" w:color="auto"/>
            <w:right w:val="none" w:sz="0" w:space="0" w:color="auto"/>
          </w:divBdr>
        </w:div>
        <w:div w:id="1656451341">
          <w:marLeft w:val="547"/>
          <w:marRight w:val="0"/>
          <w:marTop w:val="96"/>
          <w:marBottom w:val="0"/>
          <w:divBdr>
            <w:top w:val="none" w:sz="0" w:space="0" w:color="auto"/>
            <w:left w:val="none" w:sz="0" w:space="0" w:color="auto"/>
            <w:bottom w:val="none" w:sz="0" w:space="0" w:color="auto"/>
            <w:right w:val="none" w:sz="0" w:space="0" w:color="auto"/>
          </w:divBdr>
        </w:div>
        <w:div w:id="1911499053">
          <w:marLeft w:val="547"/>
          <w:marRight w:val="0"/>
          <w:marTop w:val="96"/>
          <w:marBottom w:val="0"/>
          <w:divBdr>
            <w:top w:val="none" w:sz="0" w:space="0" w:color="auto"/>
            <w:left w:val="none" w:sz="0" w:space="0" w:color="auto"/>
            <w:bottom w:val="none" w:sz="0" w:space="0" w:color="auto"/>
            <w:right w:val="none" w:sz="0" w:space="0" w:color="auto"/>
          </w:divBdr>
        </w:div>
        <w:div w:id="1966083656">
          <w:marLeft w:val="1166"/>
          <w:marRight w:val="0"/>
          <w:marTop w:val="77"/>
          <w:marBottom w:val="0"/>
          <w:divBdr>
            <w:top w:val="none" w:sz="0" w:space="0" w:color="auto"/>
            <w:left w:val="none" w:sz="0" w:space="0" w:color="auto"/>
            <w:bottom w:val="none" w:sz="0" w:space="0" w:color="auto"/>
            <w:right w:val="none" w:sz="0" w:space="0" w:color="auto"/>
          </w:divBdr>
        </w:div>
      </w:divsChild>
    </w:div>
    <w:div w:id="202330612">
      <w:bodyDiv w:val="1"/>
      <w:marLeft w:val="0"/>
      <w:marRight w:val="0"/>
      <w:marTop w:val="0"/>
      <w:marBottom w:val="0"/>
      <w:divBdr>
        <w:top w:val="none" w:sz="0" w:space="0" w:color="auto"/>
        <w:left w:val="none" w:sz="0" w:space="0" w:color="auto"/>
        <w:bottom w:val="none" w:sz="0" w:space="0" w:color="auto"/>
        <w:right w:val="none" w:sz="0" w:space="0" w:color="auto"/>
      </w:divBdr>
    </w:div>
    <w:div w:id="212159533">
      <w:bodyDiv w:val="1"/>
      <w:marLeft w:val="0"/>
      <w:marRight w:val="0"/>
      <w:marTop w:val="0"/>
      <w:marBottom w:val="0"/>
      <w:divBdr>
        <w:top w:val="none" w:sz="0" w:space="0" w:color="auto"/>
        <w:left w:val="none" w:sz="0" w:space="0" w:color="auto"/>
        <w:bottom w:val="none" w:sz="0" w:space="0" w:color="auto"/>
        <w:right w:val="none" w:sz="0" w:space="0" w:color="auto"/>
      </w:divBdr>
    </w:div>
    <w:div w:id="244388490">
      <w:bodyDiv w:val="1"/>
      <w:marLeft w:val="0"/>
      <w:marRight w:val="0"/>
      <w:marTop w:val="0"/>
      <w:marBottom w:val="0"/>
      <w:divBdr>
        <w:top w:val="none" w:sz="0" w:space="0" w:color="auto"/>
        <w:left w:val="none" w:sz="0" w:space="0" w:color="auto"/>
        <w:bottom w:val="none" w:sz="0" w:space="0" w:color="auto"/>
        <w:right w:val="none" w:sz="0" w:space="0" w:color="auto"/>
      </w:divBdr>
    </w:div>
    <w:div w:id="253129208">
      <w:bodyDiv w:val="1"/>
      <w:marLeft w:val="0"/>
      <w:marRight w:val="0"/>
      <w:marTop w:val="0"/>
      <w:marBottom w:val="0"/>
      <w:divBdr>
        <w:top w:val="none" w:sz="0" w:space="0" w:color="auto"/>
        <w:left w:val="none" w:sz="0" w:space="0" w:color="auto"/>
        <w:bottom w:val="none" w:sz="0" w:space="0" w:color="auto"/>
        <w:right w:val="none" w:sz="0" w:space="0" w:color="auto"/>
      </w:divBdr>
      <w:divsChild>
        <w:div w:id="531379662">
          <w:marLeft w:val="547"/>
          <w:marRight w:val="0"/>
          <w:marTop w:val="96"/>
          <w:marBottom w:val="0"/>
          <w:divBdr>
            <w:top w:val="none" w:sz="0" w:space="0" w:color="auto"/>
            <w:left w:val="none" w:sz="0" w:space="0" w:color="auto"/>
            <w:bottom w:val="none" w:sz="0" w:space="0" w:color="auto"/>
            <w:right w:val="none" w:sz="0" w:space="0" w:color="auto"/>
          </w:divBdr>
        </w:div>
        <w:div w:id="682635624">
          <w:marLeft w:val="547"/>
          <w:marRight w:val="0"/>
          <w:marTop w:val="96"/>
          <w:marBottom w:val="0"/>
          <w:divBdr>
            <w:top w:val="none" w:sz="0" w:space="0" w:color="auto"/>
            <w:left w:val="none" w:sz="0" w:space="0" w:color="auto"/>
            <w:bottom w:val="none" w:sz="0" w:space="0" w:color="auto"/>
            <w:right w:val="none" w:sz="0" w:space="0" w:color="auto"/>
          </w:divBdr>
        </w:div>
        <w:div w:id="906888016">
          <w:marLeft w:val="547"/>
          <w:marRight w:val="0"/>
          <w:marTop w:val="96"/>
          <w:marBottom w:val="0"/>
          <w:divBdr>
            <w:top w:val="none" w:sz="0" w:space="0" w:color="auto"/>
            <w:left w:val="none" w:sz="0" w:space="0" w:color="auto"/>
            <w:bottom w:val="none" w:sz="0" w:space="0" w:color="auto"/>
            <w:right w:val="none" w:sz="0" w:space="0" w:color="auto"/>
          </w:divBdr>
        </w:div>
      </w:divsChild>
    </w:div>
    <w:div w:id="263147281">
      <w:bodyDiv w:val="1"/>
      <w:marLeft w:val="0"/>
      <w:marRight w:val="0"/>
      <w:marTop w:val="0"/>
      <w:marBottom w:val="0"/>
      <w:divBdr>
        <w:top w:val="none" w:sz="0" w:space="0" w:color="auto"/>
        <w:left w:val="none" w:sz="0" w:space="0" w:color="auto"/>
        <w:bottom w:val="none" w:sz="0" w:space="0" w:color="auto"/>
        <w:right w:val="none" w:sz="0" w:space="0" w:color="auto"/>
      </w:divBdr>
    </w:div>
    <w:div w:id="273559163">
      <w:bodyDiv w:val="1"/>
      <w:marLeft w:val="0"/>
      <w:marRight w:val="0"/>
      <w:marTop w:val="0"/>
      <w:marBottom w:val="0"/>
      <w:divBdr>
        <w:top w:val="none" w:sz="0" w:space="0" w:color="auto"/>
        <w:left w:val="none" w:sz="0" w:space="0" w:color="auto"/>
        <w:bottom w:val="none" w:sz="0" w:space="0" w:color="auto"/>
        <w:right w:val="none" w:sz="0" w:space="0" w:color="auto"/>
      </w:divBdr>
    </w:div>
    <w:div w:id="287664500">
      <w:bodyDiv w:val="1"/>
      <w:marLeft w:val="0"/>
      <w:marRight w:val="0"/>
      <w:marTop w:val="0"/>
      <w:marBottom w:val="0"/>
      <w:divBdr>
        <w:top w:val="none" w:sz="0" w:space="0" w:color="auto"/>
        <w:left w:val="none" w:sz="0" w:space="0" w:color="auto"/>
        <w:bottom w:val="none" w:sz="0" w:space="0" w:color="auto"/>
        <w:right w:val="none" w:sz="0" w:space="0" w:color="auto"/>
      </w:divBdr>
      <w:divsChild>
        <w:div w:id="444815798">
          <w:marLeft w:val="547"/>
          <w:marRight w:val="0"/>
          <w:marTop w:val="96"/>
          <w:marBottom w:val="60"/>
          <w:divBdr>
            <w:top w:val="none" w:sz="0" w:space="0" w:color="auto"/>
            <w:left w:val="none" w:sz="0" w:space="0" w:color="auto"/>
            <w:bottom w:val="none" w:sz="0" w:space="0" w:color="auto"/>
            <w:right w:val="none" w:sz="0" w:space="0" w:color="auto"/>
          </w:divBdr>
        </w:div>
        <w:div w:id="472674809">
          <w:marLeft w:val="547"/>
          <w:marRight w:val="0"/>
          <w:marTop w:val="96"/>
          <w:marBottom w:val="60"/>
          <w:divBdr>
            <w:top w:val="none" w:sz="0" w:space="0" w:color="auto"/>
            <w:left w:val="none" w:sz="0" w:space="0" w:color="auto"/>
            <w:bottom w:val="none" w:sz="0" w:space="0" w:color="auto"/>
            <w:right w:val="none" w:sz="0" w:space="0" w:color="auto"/>
          </w:divBdr>
        </w:div>
        <w:div w:id="591202394">
          <w:marLeft w:val="547"/>
          <w:marRight w:val="0"/>
          <w:marTop w:val="96"/>
          <w:marBottom w:val="60"/>
          <w:divBdr>
            <w:top w:val="none" w:sz="0" w:space="0" w:color="auto"/>
            <w:left w:val="none" w:sz="0" w:space="0" w:color="auto"/>
            <w:bottom w:val="none" w:sz="0" w:space="0" w:color="auto"/>
            <w:right w:val="none" w:sz="0" w:space="0" w:color="auto"/>
          </w:divBdr>
        </w:div>
        <w:div w:id="1299995985">
          <w:marLeft w:val="547"/>
          <w:marRight w:val="0"/>
          <w:marTop w:val="96"/>
          <w:marBottom w:val="60"/>
          <w:divBdr>
            <w:top w:val="none" w:sz="0" w:space="0" w:color="auto"/>
            <w:left w:val="none" w:sz="0" w:space="0" w:color="auto"/>
            <w:bottom w:val="none" w:sz="0" w:space="0" w:color="auto"/>
            <w:right w:val="none" w:sz="0" w:space="0" w:color="auto"/>
          </w:divBdr>
        </w:div>
        <w:div w:id="1520965789">
          <w:marLeft w:val="547"/>
          <w:marRight w:val="0"/>
          <w:marTop w:val="96"/>
          <w:marBottom w:val="60"/>
          <w:divBdr>
            <w:top w:val="none" w:sz="0" w:space="0" w:color="auto"/>
            <w:left w:val="none" w:sz="0" w:space="0" w:color="auto"/>
            <w:bottom w:val="none" w:sz="0" w:space="0" w:color="auto"/>
            <w:right w:val="none" w:sz="0" w:space="0" w:color="auto"/>
          </w:divBdr>
        </w:div>
      </w:divsChild>
    </w:div>
    <w:div w:id="418411875">
      <w:bodyDiv w:val="1"/>
      <w:marLeft w:val="0"/>
      <w:marRight w:val="0"/>
      <w:marTop w:val="0"/>
      <w:marBottom w:val="0"/>
      <w:divBdr>
        <w:top w:val="none" w:sz="0" w:space="0" w:color="auto"/>
        <w:left w:val="none" w:sz="0" w:space="0" w:color="auto"/>
        <w:bottom w:val="none" w:sz="0" w:space="0" w:color="auto"/>
        <w:right w:val="none" w:sz="0" w:space="0" w:color="auto"/>
      </w:divBdr>
      <w:divsChild>
        <w:div w:id="812605354">
          <w:marLeft w:val="547"/>
          <w:marRight w:val="0"/>
          <w:marTop w:val="96"/>
          <w:marBottom w:val="60"/>
          <w:divBdr>
            <w:top w:val="none" w:sz="0" w:space="0" w:color="auto"/>
            <w:left w:val="none" w:sz="0" w:space="0" w:color="auto"/>
            <w:bottom w:val="none" w:sz="0" w:space="0" w:color="auto"/>
            <w:right w:val="none" w:sz="0" w:space="0" w:color="auto"/>
          </w:divBdr>
        </w:div>
        <w:div w:id="935022908">
          <w:marLeft w:val="547"/>
          <w:marRight w:val="0"/>
          <w:marTop w:val="96"/>
          <w:marBottom w:val="60"/>
          <w:divBdr>
            <w:top w:val="none" w:sz="0" w:space="0" w:color="auto"/>
            <w:left w:val="none" w:sz="0" w:space="0" w:color="auto"/>
            <w:bottom w:val="none" w:sz="0" w:space="0" w:color="auto"/>
            <w:right w:val="none" w:sz="0" w:space="0" w:color="auto"/>
          </w:divBdr>
        </w:div>
        <w:div w:id="2012635934">
          <w:marLeft w:val="547"/>
          <w:marRight w:val="0"/>
          <w:marTop w:val="96"/>
          <w:marBottom w:val="60"/>
          <w:divBdr>
            <w:top w:val="none" w:sz="0" w:space="0" w:color="auto"/>
            <w:left w:val="none" w:sz="0" w:space="0" w:color="auto"/>
            <w:bottom w:val="none" w:sz="0" w:space="0" w:color="auto"/>
            <w:right w:val="none" w:sz="0" w:space="0" w:color="auto"/>
          </w:divBdr>
        </w:div>
      </w:divsChild>
    </w:div>
    <w:div w:id="419641846">
      <w:bodyDiv w:val="1"/>
      <w:marLeft w:val="0"/>
      <w:marRight w:val="0"/>
      <w:marTop w:val="0"/>
      <w:marBottom w:val="0"/>
      <w:divBdr>
        <w:top w:val="none" w:sz="0" w:space="0" w:color="auto"/>
        <w:left w:val="none" w:sz="0" w:space="0" w:color="auto"/>
        <w:bottom w:val="none" w:sz="0" w:space="0" w:color="auto"/>
        <w:right w:val="none" w:sz="0" w:space="0" w:color="auto"/>
      </w:divBdr>
    </w:div>
    <w:div w:id="468549070">
      <w:bodyDiv w:val="1"/>
      <w:marLeft w:val="0"/>
      <w:marRight w:val="0"/>
      <w:marTop w:val="0"/>
      <w:marBottom w:val="0"/>
      <w:divBdr>
        <w:top w:val="none" w:sz="0" w:space="0" w:color="auto"/>
        <w:left w:val="none" w:sz="0" w:space="0" w:color="auto"/>
        <w:bottom w:val="none" w:sz="0" w:space="0" w:color="auto"/>
        <w:right w:val="none" w:sz="0" w:space="0" w:color="auto"/>
      </w:divBdr>
      <w:divsChild>
        <w:div w:id="59182448">
          <w:marLeft w:val="720"/>
          <w:marRight w:val="0"/>
          <w:marTop w:val="96"/>
          <w:marBottom w:val="0"/>
          <w:divBdr>
            <w:top w:val="none" w:sz="0" w:space="0" w:color="auto"/>
            <w:left w:val="none" w:sz="0" w:space="0" w:color="auto"/>
            <w:bottom w:val="none" w:sz="0" w:space="0" w:color="auto"/>
            <w:right w:val="none" w:sz="0" w:space="0" w:color="auto"/>
          </w:divBdr>
        </w:div>
        <w:div w:id="377512079">
          <w:marLeft w:val="720"/>
          <w:marRight w:val="0"/>
          <w:marTop w:val="96"/>
          <w:marBottom w:val="0"/>
          <w:divBdr>
            <w:top w:val="none" w:sz="0" w:space="0" w:color="auto"/>
            <w:left w:val="none" w:sz="0" w:space="0" w:color="auto"/>
            <w:bottom w:val="none" w:sz="0" w:space="0" w:color="auto"/>
            <w:right w:val="none" w:sz="0" w:space="0" w:color="auto"/>
          </w:divBdr>
        </w:div>
        <w:div w:id="677000631">
          <w:marLeft w:val="720"/>
          <w:marRight w:val="0"/>
          <w:marTop w:val="96"/>
          <w:marBottom w:val="0"/>
          <w:divBdr>
            <w:top w:val="none" w:sz="0" w:space="0" w:color="auto"/>
            <w:left w:val="none" w:sz="0" w:space="0" w:color="auto"/>
            <w:bottom w:val="none" w:sz="0" w:space="0" w:color="auto"/>
            <w:right w:val="none" w:sz="0" w:space="0" w:color="auto"/>
          </w:divBdr>
        </w:div>
        <w:div w:id="951128755">
          <w:marLeft w:val="720"/>
          <w:marRight w:val="0"/>
          <w:marTop w:val="96"/>
          <w:marBottom w:val="0"/>
          <w:divBdr>
            <w:top w:val="none" w:sz="0" w:space="0" w:color="auto"/>
            <w:left w:val="none" w:sz="0" w:space="0" w:color="auto"/>
            <w:bottom w:val="none" w:sz="0" w:space="0" w:color="auto"/>
            <w:right w:val="none" w:sz="0" w:space="0" w:color="auto"/>
          </w:divBdr>
        </w:div>
        <w:div w:id="1742024075">
          <w:marLeft w:val="720"/>
          <w:marRight w:val="0"/>
          <w:marTop w:val="96"/>
          <w:marBottom w:val="0"/>
          <w:divBdr>
            <w:top w:val="none" w:sz="0" w:space="0" w:color="auto"/>
            <w:left w:val="none" w:sz="0" w:space="0" w:color="auto"/>
            <w:bottom w:val="none" w:sz="0" w:space="0" w:color="auto"/>
            <w:right w:val="none" w:sz="0" w:space="0" w:color="auto"/>
          </w:divBdr>
        </w:div>
        <w:div w:id="1872571739">
          <w:marLeft w:val="720"/>
          <w:marRight w:val="0"/>
          <w:marTop w:val="96"/>
          <w:marBottom w:val="0"/>
          <w:divBdr>
            <w:top w:val="none" w:sz="0" w:space="0" w:color="auto"/>
            <w:left w:val="none" w:sz="0" w:space="0" w:color="auto"/>
            <w:bottom w:val="none" w:sz="0" w:space="0" w:color="auto"/>
            <w:right w:val="none" w:sz="0" w:space="0" w:color="auto"/>
          </w:divBdr>
        </w:div>
      </w:divsChild>
    </w:div>
    <w:div w:id="480193744">
      <w:bodyDiv w:val="1"/>
      <w:marLeft w:val="0"/>
      <w:marRight w:val="0"/>
      <w:marTop w:val="0"/>
      <w:marBottom w:val="0"/>
      <w:divBdr>
        <w:top w:val="none" w:sz="0" w:space="0" w:color="auto"/>
        <w:left w:val="none" w:sz="0" w:space="0" w:color="auto"/>
        <w:bottom w:val="none" w:sz="0" w:space="0" w:color="auto"/>
        <w:right w:val="none" w:sz="0" w:space="0" w:color="auto"/>
      </w:divBdr>
    </w:div>
    <w:div w:id="505243936">
      <w:bodyDiv w:val="1"/>
      <w:marLeft w:val="0"/>
      <w:marRight w:val="0"/>
      <w:marTop w:val="0"/>
      <w:marBottom w:val="0"/>
      <w:divBdr>
        <w:top w:val="none" w:sz="0" w:space="0" w:color="auto"/>
        <w:left w:val="none" w:sz="0" w:space="0" w:color="auto"/>
        <w:bottom w:val="none" w:sz="0" w:space="0" w:color="auto"/>
        <w:right w:val="none" w:sz="0" w:space="0" w:color="auto"/>
      </w:divBdr>
      <w:divsChild>
        <w:div w:id="5448502">
          <w:marLeft w:val="547"/>
          <w:marRight w:val="0"/>
          <w:marTop w:val="96"/>
          <w:marBottom w:val="0"/>
          <w:divBdr>
            <w:top w:val="none" w:sz="0" w:space="0" w:color="auto"/>
            <w:left w:val="none" w:sz="0" w:space="0" w:color="auto"/>
            <w:bottom w:val="none" w:sz="0" w:space="0" w:color="auto"/>
            <w:right w:val="none" w:sz="0" w:space="0" w:color="auto"/>
          </w:divBdr>
        </w:div>
        <w:div w:id="451703905">
          <w:marLeft w:val="547"/>
          <w:marRight w:val="0"/>
          <w:marTop w:val="96"/>
          <w:marBottom w:val="0"/>
          <w:divBdr>
            <w:top w:val="none" w:sz="0" w:space="0" w:color="auto"/>
            <w:left w:val="none" w:sz="0" w:space="0" w:color="auto"/>
            <w:bottom w:val="none" w:sz="0" w:space="0" w:color="auto"/>
            <w:right w:val="none" w:sz="0" w:space="0" w:color="auto"/>
          </w:divBdr>
        </w:div>
        <w:div w:id="638534116">
          <w:marLeft w:val="547"/>
          <w:marRight w:val="0"/>
          <w:marTop w:val="96"/>
          <w:marBottom w:val="0"/>
          <w:divBdr>
            <w:top w:val="none" w:sz="0" w:space="0" w:color="auto"/>
            <w:left w:val="none" w:sz="0" w:space="0" w:color="auto"/>
            <w:bottom w:val="none" w:sz="0" w:space="0" w:color="auto"/>
            <w:right w:val="none" w:sz="0" w:space="0" w:color="auto"/>
          </w:divBdr>
        </w:div>
        <w:div w:id="977956305">
          <w:marLeft w:val="547"/>
          <w:marRight w:val="0"/>
          <w:marTop w:val="96"/>
          <w:marBottom w:val="0"/>
          <w:divBdr>
            <w:top w:val="none" w:sz="0" w:space="0" w:color="auto"/>
            <w:left w:val="none" w:sz="0" w:space="0" w:color="auto"/>
            <w:bottom w:val="none" w:sz="0" w:space="0" w:color="auto"/>
            <w:right w:val="none" w:sz="0" w:space="0" w:color="auto"/>
          </w:divBdr>
        </w:div>
        <w:div w:id="1141768731">
          <w:marLeft w:val="547"/>
          <w:marRight w:val="0"/>
          <w:marTop w:val="96"/>
          <w:marBottom w:val="0"/>
          <w:divBdr>
            <w:top w:val="none" w:sz="0" w:space="0" w:color="auto"/>
            <w:left w:val="none" w:sz="0" w:space="0" w:color="auto"/>
            <w:bottom w:val="none" w:sz="0" w:space="0" w:color="auto"/>
            <w:right w:val="none" w:sz="0" w:space="0" w:color="auto"/>
          </w:divBdr>
        </w:div>
        <w:div w:id="1658262490">
          <w:marLeft w:val="547"/>
          <w:marRight w:val="0"/>
          <w:marTop w:val="96"/>
          <w:marBottom w:val="0"/>
          <w:divBdr>
            <w:top w:val="none" w:sz="0" w:space="0" w:color="auto"/>
            <w:left w:val="none" w:sz="0" w:space="0" w:color="auto"/>
            <w:bottom w:val="none" w:sz="0" w:space="0" w:color="auto"/>
            <w:right w:val="none" w:sz="0" w:space="0" w:color="auto"/>
          </w:divBdr>
        </w:div>
      </w:divsChild>
    </w:div>
    <w:div w:id="530652521">
      <w:bodyDiv w:val="1"/>
      <w:marLeft w:val="0"/>
      <w:marRight w:val="0"/>
      <w:marTop w:val="0"/>
      <w:marBottom w:val="0"/>
      <w:divBdr>
        <w:top w:val="none" w:sz="0" w:space="0" w:color="auto"/>
        <w:left w:val="none" w:sz="0" w:space="0" w:color="auto"/>
        <w:bottom w:val="none" w:sz="0" w:space="0" w:color="auto"/>
        <w:right w:val="none" w:sz="0" w:space="0" w:color="auto"/>
      </w:divBdr>
    </w:div>
    <w:div w:id="596863638">
      <w:bodyDiv w:val="1"/>
      <w:marLeft w:val="0"/>
      <w:marRight w:val="0"/>
      <w:marTop w:val="0"/>
      <w:marBottom w:val="0"/>
      <w:divBdr>
        <w:top w:val="none" w:sz="0" w:space="0" w:color="auto"/>
        <w:left w:val="none" w:sz="0" w:space="0" w:color="auto"/>
        <w:bottom w:val="none" w:sz="0" w:space="0" w:color="auto"/>
        <w:right w:val="none" w:sz="0" w:space="0" w:color="auto"/>
      </w:divBdr>
    </w:div>
    <w:div w:id="642661625">
      <w:bodyDiv w:val="1"/>
      <w:marLeft w:val="0"/>
      <w:marRight w:val="0"/>
      <w:marTop w:val="0"/>
      <w:marBottom w:val="0"/>
      <w:divBdr>
        <w:top w:val="none" w:sz="0" w:space="0" w:color="auto"/>
        <w:left w:val="none" w:sz="0" w:space="0" w:color="auto"/>
        <w:bottom w:val="none" w:sz="0" w:space="0" w:color="auto"/>
        <w:right w:val="none" w:sz="0" w:space="0" w:color="auto"/>
      </w:divBdr>
      <w:divsChild>
        <w:div w:id="701368054">
          <w:marLeft w:val="446"/>
          <w:marRight w:val="0"/>
          <w:marTop w:val="0"/>
          <w:marBottom w:val="0"/>
          <w:divBdr>
            <w:top w:val="none" w:sz="0" w:space="0" w:color="auto"/>
            <w:left w:val="none" w:sz="0" w:space="0" w:color="auto"/>
            <w:bottom w:val="none" w:sz="0" w:space="0" w:color="auto"/>
            <w:right w:val="none" w:sz="0" w:space="0" w:color="auto"/>
          </w:divBdr>
        </w:div>
        <w:div w:id="1899323652">
          <w:marLeft w:val="446"/>
          <w:marRight w:val="0"/>
          <w:marTop w:val="0"/>
          <w:marBottom w:val="0"/>
          <w:divBdr>
            <w:top w:val="none" w:sz="0" w:space="0" w:color="auto"/>
            <w:left w:val="none" w:sz="0" w:space="0" w:color="auto"/>
            <w:bottom w:val="none" w:sz="0" w:space="0" w:color="auto"/>
            <w:right w:val="none" w:sz="0" w:space="0" w:color="auto"/>
          </w:divBdr>
        </w:div>
      </w:divsChild>
    </w:div>
    <w:div w:id="676615472">
      <w:bodyDiv w:val="1"/>
      <w:marLeft w:val="0"/>
      <w:marRight w:val="0"/>
      <w:marTop w:val="0"/>
      <w:marBottom w:val="0"/>
      <w:divBdr>
        <w:top w:val="none" w:sz="0" w:space="0" w:color="auto"/>
        <w:left w:val="none" w:sz="0" w:space="0" w:color="auto"/>
        <w:bottom w:val="none" w:sz="0" w:space="0" w:color="auto"/>
        <w:right w:val="none" w:sz="0" w:space="0" w:color="auto"/>
      </w:divBdr>
    </w:div>
    <w:div w:id="677659047">
      <w:bodyDiv w:val="1"/>
      <w:marLeft w:val="0"/>
      <w:marRight w:val="0"/>
      <w:marTop w:val="0"/>
      <w:marBottom w:val="0"/>
      <w:divBdr>
        <w:top w:val="none" w:sz="0" w:space="0" w:color="auto"/>
        <w:left w:val="none" w:sz="0" w:space="0" w:color="auto"/>
        <w:bottom w:val="none" w:sz="0" w:space="0" w:color="auto"/>
        <w:right w:val="none" w:sz="0" w:space="0" w:color="auto"/>
      </w:divBdr>
    </w:div>
    <w:div w:id="683555787">
      <w:bodyDiv w:val="1"/>
      <w:marLeft w:val="0"/>
      <w:marRight w:val="0"/>
      <w:marTop w:val="0"/>
      <w:marBottom w:val="0"/>
      <w:divBdr>
        <w:top w:val="none" w:sz="0" w:space="0" w:color="auto"/>
        <w:left w:val="none" w:sz="0" w:space="0" w:color="auto"/>
        <w:bottom w:val="none" w:sz="0" w:space="0" w:color="auto"/>
        <w:right w:val="none" w:sz="0" w:space="0" w:color="auto"/>
      </w:divBdr>
      <w:divsChild>
        <w:div w:id="43261523">
          <w:marLeft w:val="1166"/>
          <w:marRight w:val="0"/>
          <w:marTop w:val="86"/>
          <w:marBottom w:val="60"/>
          <w:divBdr>
            <w:top w:val="none" w:sz="0" w:space="0" w:color="auto"/>
            <w:left w:val="none" w:sz="0" w:space="0" w:color="auto"/>
            <w:bottom w:val="none" w:sz="0" w:space="0" w:color="auto"/>
            <w:right w:val="none" w:sz="0" w:space="0" w:color="auto"/>
          </w:divBdr>
        </w:div>
        <w:div w:id="439035981">
          <w:marLeft w:val="1166"/>
          <w:marRight w:val="0"/>
          <w:marTop w:val="86"/>
          <w:marBottom w:val="60"/>
          <w:divBdr>
            <w:top w:val="none" w:sz="0" w:space="0" w:color="auto"/>
            <w:left w:val="none" w:sz="0" w:space="0" w:color="auto"/>
            <w:bottom w:val="none" w:sz="0" w:space="0" w:color="auto"/>
            <w:right w:val="none" w:sz="0" w:space="0" w:color="auto"/>
          </w:divBdr>
        </w:div>
        <w:div w:id="898439424">
          <w:marLeft w:val="1166"/>
          <w:marRight w:val="0"/>
          <w:marTop w:val="86"/>
          <w:marBottom w:val="60"/>
          <w:divBdr>
            <w:top w:val="none" w:sz="0" w:space="0" w:color="auto"/>
            <w:left w:val="none" w:sz="0" w:space="0" w:color="auto"/>
            <w:bottom w:val="none" w:sz="0" w:space="0" w:color="auto"/>
            <w:right w:val="none" w:sz="0" w:space="0" w:color="auto"/>
          </w:divBdr>
        </w:div>
        <w:div w:id="988443331">
          <w:marLeft w:val="1166"/>
          <w:marRight w:val="0"/>
          <w:marTop w:val="86"/>
          <w:marBottom w:val="60"/>
          <w:divBdr>
            <w:top w:val="none" w:sz="0" w:space="0" w:color="auto"/>
            <w:left w:val="none" w:sz="0" w:space="0" w:color="auto"/>
            <w:bottom w:val="none" w:sz="0" w:space="0" w:color="auto"/>
            <w:right w:val="none" w:sz="0" w:space="0" w:color="auto"/>
          </w:divBdr>
        </w:div>
        <w:div w:id="1123884165">
          <w:marLeft w:val="1166"/>
          <w:marRight w:val="0"/>
          <w:marTop w:val="86"/>
          <w:marBottom w:val="60"/>
          <w:divBdr>
            <w:top w:val="none" w:sz="0" w:space="0" w:color="auto"/>
            <w:left w:val="none" w:sz="0" w:space="0" w:color="auto"/>
            <w:bottom w:val="none" w:sz="0" w:space="0" w:color="auto"/>
            <w:right w:val="none" w:sz="0" w:space="0" w:color="auto"/>
          </w:divBdr>
        </w:div>
        <w:div w:id="1447575416">
          <w:marLeft w:val="1166"/>
          <w:marRight w:val="0"/>
          <w:marTop w:val="86"/>
          <w:marBottom w:val="60"/>
          <w:divBdr>
            <w:top w:val="none" w:sz="0" w:space="0" w:color="auto"/>
            <w:left w:val="none" w:sz="0" w:space="0" w:color="auto"/>
            <w:bottom w:val="none" w:sz="0" w:space="0" w:color="auto"/>
            <w:right w:val="none" w:sz="0" w:space="0" w:color="auto"/>
          </w:divBdr>
        </w:div>
      </w:divsChild>
    </w:div>
    <w:div w:id="693728586">
      <w:bodyDiv w:val="1"/>
      <w:marLeft w:val="0"/>
      <w:marRight w:val="0"/>
      <w:marTop w:val="0"/>
      <w:marBottom w:val="0"/>
      <w:divBdr>
        <w:top w:val="none" w:sz="0" w:space="0" w:color="auto"/>
        <w:left w:val="none" w:sz="0" w:space="0" w:color="auto"/>
        <w:bottom w:val="none" w:sz="0" w:space="0" w:color="auto"/>
        <w:right w:val="none" w:sz="0" w:space="0" w:color="auto"/>
      </w:divBdr>
      <w:divsChild>
        <w:div w:id="1670937459">
          <w:marLeft w:val="547"/>
          <w:marRight w:val="0"/>
          <w:marTop w:val="96"/>
          <w:marBottom w:val="60"/>
          <w:divBdr>
            <w:top w:val="none" w:sz="0" w:space="0" w:color="auto"/>
            <w:left w:val="none" w:sz="0" w:space="0" w:color="auto"/>
            <w:bottom w:val="none" w:sz="0" w:space="0" w:color="auto"/>
            <w:right w:val="none" w:sz="0" w:space="0" w:color="auto"/>
          </w:divBdr>
        </w:div>
        <w:div w:id="1968387089">
          <w:marLeft w:val="547"/>
          <w:marRight w:val="0"/>
          <w:marTop w:val="96"/>
          <w:marBottom w:val="60"/>
          <w:divBdr>
            <w:top w:val="none" w:sz="0" w:space="0" w:color="auto"/>
            <w:left w:val="none" w:sz="0" w:space="0" w:color="auto"/>
            <w:bottom w:val="none" w:sz="0" w:space="0" w:color="auto"/>
            <w:right w:val="none" w:sz="0" w:space="0" w:color="auto"/>
          </w:divBdr>
        </w:div>
      </w:divsChild>
    </w:div>
    <w:div w:id="711151268">
      <w:bodyDiv w:val="1"/>
      <w:marLeft w:val="0"/>
      <w:marRight w:val="0"/>
      <w:marTop w:val="0"/>
      <w:marBottom w:val="0"/>
      <w:divBdr>
        <w:top w:val="none" w:sz="0" w:space="0" w:color="auto"/>
        <w:left w:val="none" w:sz="0" w:space="0" w:color="auto"/>
        <w:bottom w:val="none" w:sz="0" w:space="0" w:color="auto"/>
        <w:right w:val="none" w:sz="0" w:space="0" w:color="auto"/>
      </w:divBdr>
    </w:div>
    <w:div w:id="770661877">
      <w:bodyDiv w:val="1"/>
      <w:marLeft w:val="0"/>
      <w:marRight w:val="0"/>
      <w:marTop w:val="0"/>
      <w:marBottom w:val="0"/>
      <w:divBdr>
        <w:top w:val="none" w:sz="0" w:space="0" w:color="auto"/>
        <w:left w:val="none" w:sz="0" w:space="0" w:color="auto"/>
        <w:bottom w:val="none" w:sz="0" w:space="0" w:color="auto"/>
        <w:right w:val="none" w:sz="0" w:space="0" w:color="auto"/>
      </w:divBdr>
    </w:div>
    <w:div w:id="787048700">
      <w:bodyDiv w:val="1"/>
      <w:marLeft w:val="0"/>
      <w:marRight w:val="0"/>
      <w:marTop w:val="0"/>
      <w:marBottom w:val="0"/>
      <w:divBdr>
        <w:top w:val="none" w:sz="0" w:space="0" w:color="auto"/>
        <w:left w:val="none" w:sz="0" w:space="0" w:color="auto"/>
        <w:bottom w:val="none" w:sz="0" w:space="0" w:color="auto"/>
        <w:right w:val="none" w:sz="0" w:space="0" w:color="auto"/>
      </w:divBdr>
    </w:div>
    <w:div w:id="811825527">
      <w:bodyDiv w:val="1"/>
      <w:marLeft w:val="0"/>
      <w:marRight w:val="0"/>
      <w:marTop w:val="0"/>
      <w:marBottom w:val="0"/>
      <w:divBdr>
        <w:top w:val="none" w:sz="0" w:space="0" w:color="auto"/>
        <w:left w:val="none" w:sz="0" w:space="0" w:color="auto"/>
        <w:bottom w:val="none" w:sz="0" w:space="0" w:color="auto"/>
        <w:right w:val="none" w:sz="0" w:space="0" w:color="auto"/>
      </w:divBdr>
      <w:divsChild>
        <w:div w:id="117528376">
          <w:marLeft w:val="1166"/>
          <w:marRight w:val="0"/>
          <w:marTop w:val="77"/>
          <w:marBottom w:val="60"/>
          <w:divBdr>
            <w:top w:val="none" w:sz="0" w:space="0" w:color="auto"/>
            <w:left w:val="none" w:sz="0" w:space="0" w:color="auto"/>
            <w:bottom w:val="none" w:sz="0" w:space="0" w:color="auto"/>
            <w:right w:val="none" w:sz="0" w:space="0" w:color="auto"/>
          </w:divBdr>
        </w:div>
        <w:div w:id="622536017">
          <w:marLeft w:val="1166"/>
          <w:marRight w:val="0"/>
          <w:marTop w:val="77"/>
          <w:marBottom w:val="60"/>
          <w:divBdr>
            <w:top w:val="none" w:sz="0" w:space="0" w:color="auto"/>
            <w:left w:val="none" w:sz="0" w:space="0" w:color="auto"/>
            <w:bottom w:val="none" w:sz="0" w:space="0" w:color="auto"/>
            <w:right w:val="none" w:sz="0" w:space="0" w:color="auto"/>
          </w:divBdr>
        </w:div>
        <w:div w:id="650448365">
          <w:marLeft w:val="1166"/>
          <w:marRight w:val="0"/>
          <w:marTop w:val="77"/>
          <w:marBottom w:val="60"/>
          <w:divBdr>
            <w:top w:val="none" w:sz="0" w:space="0" w:color="auto"/>
            <w:left w:val="none" w:sz="0" w:space="0" w:color="auto"/>
            <w:bottom w:val="none" w:sz="0" w:space="0" w:color="auto"/>
            <w:right w:val="none" w:sz="0" w:space="0" w:color="auto"/>
          </w:divBdr>
        </w:div>
        <w:div w:id="1042560630">
          <w:marLeft w:val="1166"/>
          <w:marRight w:val="0"/>
          <w:marTop w:val="77"/>
          <w:marBottom w:val="60"/>
          <w:divBdr>
            <w:top w:val="none" w:sz="0" w:space="0" w:color="auto"/>
            <w:left w:val="none" w:sz="0" w:space="0" w:color="auto"/>
            <w:bottom w:val="none" w:sz="0" w:space="0" w:color="auto"/>
            <w:right w:val="none" w:sz="0" w:space="0" w:color="auto"/>
          </w:divBdr>
        </w:div>
        <w:div w:id="1183478107">
          <w:marLeft w:val="547"/>
          <w:marRight w:val="0"/>
          <w:marTop w:val="96"/>
          <w:marBottom w:val="60"/>
          <w:divBdr>
            <w:top w:val="none" w:sz="0" w:space="0" w:color="auto"/>
            <w:left w:val="none" w:sz="0" w:space="0" w:color="auto"/>
            <w:bottom w:val="none" w:sz="0" w:space="0" w:color="auto"/>
            <w:right w:val="none" w:sz="0" w:space="0" w:color="auto"/>
          </w:divBdr>
        </w:div>
        <w:div w:id="1434981635">
          <w:marLeft w:val="1166"/>
          <w:marRight w:val="0"/>
          <w:marTop w:val="77"/>
          <w:marBottom w:val="60"/>
          <w:divBdr>
            <w:top w:val="none" w:sz="0" w:space="0" w:color="auto"/>
            <w:left w:val="none" w:sz="0" w:space="0" w:color="auto"/>
            <w:bottom w:val="none" w:sz="0" w:space="0" w:color="auto"/>
            <w:right w:val="none" w:sz="0" w:space="0" w:color="auto"/>
          </w:divBdr>
        </w:div>
        <w:div w:id="1658922152">
          <w:marLeft w:val="1166"/>
          <w:marRight w:val="0"/>
          <w:marTop w:val="77"/>
          <w:marBottom w:val="60"/>
          <w:divBdr>
            <w:top w:val="none" w:sz="0" w:space="0" w:color="auto"/>
            <w:left w:val="none" w:sz="0" w:space="0" w:color="auto"/>
            <w:bottom w:val="none" w:sz="0" w:space="0" w:color="auto"/>
            <w:right w:val="none" w:sz="0" w:space="0" w:color="auto"/>
          </w:divBdr>
        </w:div>
        <w:div w:id="1873956981">
          <w:marLeft w:val="547"/>
          <w:marRight w:val="0"/>
          <w:marTop w:val="96"/>
          <w:marBottom w:val="60"/>
          <w:divBdr>
            <w:top w:val="none" w:sz="0" w:space="0" w:color="auto"/>
            <w:left w:val="none" w:sz="0" w:space="0" w:color="auto"/>
            <w:bottom w:val="none" w:sz="0" w:space="0" w:color="auto"/>
            <w:right w:val="none" w:sz="0" w:space="0" w:color="auto"/>
          </w:divBdr>
        </w:div>
        <w:div w:id="1981304561">
          <w:marLeft w:val="547"/>
          <w:marRight w:val="0"/>
          <w:marTop w:val="96"/>
          <w:marBottom w:val="60"/>
          <w:divBdr>
            <w:top w:val="none" w:sz="0" w:space="0" w:color="auto"/>
            <w:left w:val="none" w:sz="0" w:space="0" w:color="auto"/>
            <w:bottom w:val="none" w:sz="0" w:space="0" w:color="auto"/>
            <w:right w:val="none" w:sz="0" w:space="0" w:color="auto"/>
          </w:divBdr>
        </w:div>
        <w:div w:id="2108915161">
          <w:marLeft w:val="547"/>
          <w:marRight w:val="0"/>
          <w:marTop w:val="96"/>
          <w:marBottom w:val="60"/>
          <w:divBdr>
            <w:top w:val="none" w:sz="0" w:space="0" w:color="auto"/>
            <w:left w:val="none" w:sz="0" w:space="0" w:color="auto"/>
            <w:bottom w:val="none" w:sz="0" w:space="0" w:color="auto"/>
            <w:right w:val="none" w:sz="0" w:space="0" w:color="auto"/>
          </w:divBdr>
        </w:div>
      </w:divsChild>
    </w:div>
    <w:div w:id="846678826">
      <w:bodyDiv w:val="1"/>
      <w:marLeft w:val="0"/>
      <w:marRight w:val="0"/>
      <w:marTop w:val="0"/>
      <w:marBottom w:val="0"/>
      <w:divBdr>
        <w:top w:val="none" w:sz="0" w:space="0" w:color="auto"/>
        <w:left w:val="none" w:sz="0" w:space="0" w:color="auto"/>
        <w:bottom w:val="none" w:sz="0" w:space="0" w:color="auto"/>
        <w:right w:val="none" w:sz="0" w:space="0" w:color="auto"/>
      </w:divBdr>
      <w:divsChild>
        <w:div w:id="367531328">
          <w:marLeft w:val="547"/>
          <w:marRight w:val="0"/>
          <w:marTop w:val="96"/>
          <w:marBottom w:val="60"/>
          <w:divBdr>
            <w:top w:val="none" w:sz="0" w:space="0" w:color="auto"/>
            <w:left w:val="none" w:sz="0" w:space="0" w:color="auto"/>
            <w:bottom w:val="none" w:sz="0" w:space="0" w:color="auto"/>
            <w:right w:val="none" w:sz="0" w:space="0" w:color="auto"/>
          </w:divBdr>
        </w:div>
        <w:div w:id="835149427">
          <w:marLeft w:val="547"/>
          <w:marRight w:val="0"/>
          <w:marTop w:val="96"/>
          <w:marBottom w:val="60"/>
          <w:divBdr>
            <w:top w:val="none" w:sz="0" w:space="0" w:color="auto"/>
            <w:left w:val="none" w:sz="0" w:space="0" w:color="auto"/>
            <w:bottom w:val="none" w:sz="0" w:space="0" w:color="auto"/>
            <w:right w:val="none" w:sz="0" w:space="0" w:color="auto"/>
          </w:divBdr>
        </w:div>
        <w:div w:id="980697611">
          <w:marLeft w:val="1166"/>
          <w:marRight w:val="0"/>
          <w:marTop w:val="86"/>
          <w:marBottom w:val="60"/>
          <w:divBdr>
            <w:top w:val="none" w:sz="0" w:space="0" w:color="auto"/>
            <w:left w:val="none" w:sz="0" w:space="0" w:color="auto"/>
            <w:bottom w:val="none" w:sz="0" w:space="0" w:color="auto"/>
            <w:right w:val="none" w:sz="0" w:space="0" w:color="auto"/>
          </w:divBdr>
        </w:div>
        <w:div w:id="1274560233">
          <w:marLeft w:val="547"/>
          <w:marRight w:val="0"/>
          <w:marTop w:val="96"/>
          <w:marBottom w:val="60"/>
          <w:divBdr>
            <w:top w:val="none" w:sz="0" w:space="0" w:color="auto"/>
            <w:left w:val="none" w:sz="0" w:space="0" w:color="auto"/>
            <w:bottom w:val="none" w:sz="0" w:space="0" w:color="auto"/>
            <w:right w:val="none" w:sz="0" w:space="0" w:color="auto"/>
          </w:divBdr>
        </w:div>
        <w:div w:id="1319649134">
          <w:marLeft w:val="547"/>
          <w:marRight w:val="0"/>
          <w:marTop w:val="96"/>
          <w:marBottom w:val="60"/>
          <w:divBdr>
            <w:top w:val="none" w:sz="0" w:space="0" w:color="auto"/>
            <w:left w:val="none" w:sz="0" w:space="0" w:color="auto"/>
            <w:bottom w:val="none" w:sz="0" w:space="0" w:color="auto"/>
            <w:right w:val="none" w:sz="0" w:space="0" w:color="auto"/>
          </w:divBdr>
        </w:div>
        <w:div w:id="1746419174">
          <w:marLeft w:val="1166"/>
          <w:marRight w:val="0"/>
          <w:marTop w:val="86"/>
          <w:marBottom w:val="60"/>
          <w:divBdr>
            <w:top w:val="none" w:sz="0" w:space="0" w:color="auto"/>
            <w:left w:val="none" w:sz="0" w:space="0" w:color="auto"/>
            <w:bottom w:val="none" w:sz="0" w:space="0" w:color="auto"/>
            <w:right w:val="none" w:sz="0" w:space="0" w:color="auto"/>
          </w:divBdr>
        </w:div>
      </w:divsChild>
    </w:div>
    <w:div w:id="902182388">
      <w:bodyDiv w:val="1"/>
      <w:marLeft w:val="0"/>
      <w:marRight w:val="0"/>
      <w:marTop w:val="0"/>
      <w:marBottom w:val="0"/>
      <w:divBdr>
        <w:top w:val="none" w:sz="0" w:space="0" w:color="auto"/>
        <w:left w:val="none" w:sz="0" w:space="0" w:color="auto"/>
        <w:bottom w:val="none" w:sz="0" w:space="0" w:color="auto"/>
        <w:right w:val="none" w:sz="0" w:space="0" w:color="auto"/>
      </w:divBdr>
      <w:divsChild>
        <w:div w:id="102921809">
          <w:marLeft w:val="994"/>
          <w:marRight w:val="0"/>
          <w:marTop w:val="77"/>
          <w:marBottom w:val="0"/>
          <w:divBdr>
            <w:top w:val="none" w:sz="0" w:space="0" w:color="auto"/>
            <w:left w:val="none" w:sz="0" w:space="0" w:color="auto"/>
            <w:bottom w:val="none" w:sz="0" w:space="0" w:color="auto"/>
            <w:right w:val="none" w:sz="0" w:space="0" w:color="auto"/>
          </w:divBdr>
        </w:div>
        <w:div w:id="138697087">
          <w:marLeft w:val="994"/>
          <w:marRight w:val="0"/>
          <w:marTop w:val="77"/>
          <w:marBottom w:val="0"/>
          <w:divBdr>
            <w:top w:val="none" w:sz="0" w:space="0" w:color="auto"/>
            <w:left w:val="none" w:sz="0" w:space="0" w:color="auto"/>
            <w:bottom w:val="none" w:sz="0" w:space="0" w:color="auto"/>
            <w:right w:val="none" w:sz="0" w:space="0" w:color="auto"/>
          </w:divBdr>
        </w:div>
        <w:div w:id="494994534">
          <w:marLeft w:val="547"/>
          <w:marRight w:val="0"/>
          <w:marTop w:val="96"/>
          <w:marBottom w:val="60"/>
          <w:divBdr>
            <w:top w:val="none" w:sz="0" w:space="0" w:color="auto"/>
            <w:left w:val="none" w:sz="0" w:space="0" w:color="auto"/>
            <w:bottom w:val="none" w:sz="0" w:space="0" w:color="auto"/>
            <w:right w:val="none" w:sz="0" w:space="0" w:color="auto"/>
          </w:divBdr>
        </w:div>
        <w:div w:id="538858221">
          <w:marLeft w:val="547"/>
          <w:marRight w:val="0"/>
          <w:marTop w:val="96"/>
          <w:marBottom w:val="60"/>
          <w:divBdr>
            <w:top w:val="none" w:sz="0" w:space="0" w:color="auto"/>
            <w:left w:val="none" w:sz="0" w:space="0" w:color="auto"/>
            <w:bottom w:val="none" w:sz="0" w:space="0" w:color="auto"/>
            <w:right w:val="none" w:sz="0" w:space="0" w:color="auto"/>
          </w:divBdr>
        </w:div>
        <w:div w:id="934946717">
          <w:marLeft w:val="547"/>
          <w:marRight w:val="0"/>
          <w:marTop w:val="96"/>
          <w:marBottom w:val="60"/>
          <w:divBdr>
            <w:top w:val="none" w:sz="0" w:space="0" w:color="auto"/>
            <w:left w:val="none" w:sz="0" w:space="0" w:color="auto"/>
            <w:bottom w:val="none" w:sz="0" w:space="0" w:color="auto"/>
            <w:right w:val="none" w:sz="0" w:space="0" w:color="auto"/>
          </w:divBdr>
        </w:div>
        <w:div w:id="1088503836">
          <w:marLeft w:val="547"/>
          <w:marRight w:val="0"/>
          <w:marTop w:val="96"/>
          <w:marBottom w:val="60"/>
          <w:divBdr>
            <w:top w:val="none" w:sz="0" w:space="0" w:color="auto"/>
            <w:left w:val="none" w:sz="0" w:space="0" w:color="auto"/>
            <w:bottom w:val="none" w:sz="0" w:space="0" w:color="auto"/>
            <w:right w:val="none" w:sz="0" w:space="0" w:color="auto"/>
          </w:divBdr>
        </w:div>
        <w:div w:id="1124349046">
          <w:marLeft w:val="547"/>
          <w:marRight w:val="0"/>
          <w:marTop w:val="96"/>
          <w:marBottom w:val="60"/>
          <w:divBdr>
            <w:top w:val="none" w:sz="0" w:space="0" w:color="auto"/>
            <w:left w:val="none" w:sz="0" w:space="0" w:color="auto"/>
            <w:bottom w:val="none" w:sz="0" w:space="0" w:color="auto"/>
            <w:right w:val="none" w:sz="0" w:space="0" w:color="auto"/>
          </w:divBdr>
        </w:div>
      </w:divsChild>
    </w:div>
    <w:div w:id="922185922">
      <w:bodyDiv w:val="1"/>
      <w:marLeft w:val="0"/>
      <w:marRight w:val="0"/>
      <w:marTop w:val="0"/>
      <w:marBottom w:val="0"/>
      <w:divBdr>
        <w:top w:val="none" w:sz="0" w:space="0" w:color="auto"/>
        <w:left w:val="none" w:sz="0" w:space="0" w:color="auto"/>
        <w:bottom w:val="none" w:sz="0" w:space="0" w:color="auto"/>
        <w:right w:val="none" w:sz="0" w:space="0" w:color="auto"/>
      </w:divBdr>
      <w:divsChild>
        <w:div w:id="305546201">
          <w:marLeft w:val="1166"/>
          <w:marRight w:val="0"/>
          <w:marTop w:val="86"/>
          <w:marBottom w:val="0"/>
          <w:divBdr>
            <w:top w:val="none" w:sz="0" w:space="0" w:color="auto"/>
            <w:left w:val="none" w:sz="0" w:space="0" w:color="auto"/>
            <w:bottom w:val="none" w:sz="0" w:space="0" w:color="auto"/>
            <w:right w:val="none" w:sz="0" w:space="0" w:color="auto"/>
          </w:divBdr>
        </w:div>
        <w:div w:id="1624649048">
          <w:marLeft w:val="1166"/>
          <w:marRight w:val="0"/>
          <w:marTop w:val="86"/>
          <w:marBottom w:val="0"/>
          <w:divBdr>
            <w:top w:val="none" w:sz="0" w:space="0" w:color="auto"/>
            <w:left w:val="none" w:sz="0" w:space="0" w:color="auto"/>
            <w:bottom w:val="none" w:sz="0" w:space="0" w:color="auto"/>
            <w:right w:val="none" w:sz="0" w:space="0" w:color="auto"/>
          </w:divBdr>
        </w:div>
        <w:div w:id="1797333357">
          <w:marLeft w:val="1166"/>
          <w:marRight w:val="0"/>
          <w:marTop w:val="86"/>
          <w:marBottom w:val="0"/>
          <w:divBdr>
            <w:top w:val="none" w:sz="0" w:space="0" w:color="auto"/>
            <w:left w:val="none" w:sz="0" w:space="0" w:color="auto"/>
            <w:bottom w:val="none" w:sz="0" w:space="0" w:color="auto"/>
            <w:right w:val="none" w:sz="0" w:space="0" w:color="auto"/>
          </w:divBdr>
        </w:div>
        <w:div w:id="2017615493">
          <w:marLeft w:val="1166"/>
          <w:marRight w:val="0"/>
          <w:marTop w:val="86"/>
          <w:marBottom w:val="0"/>
          <w:divBdr>
            <w:top w:val="none" w:sz="0" w:space="0" w:color="auto"/>
            <w:left w:val="none" w:sz="0" w:space="0" w:color="auto"/>
            <w:bottom w:val="none" w:sz="0" w:space="0" w:color="auto"/>
            <w:right w:val="none" w:sz="0" w:space="0" w:color="auto"/>
          </w:divBdr>
        </w:div>
        <w:div w:id="2024014427">
          <w:marLeft w:val="547"/>
          <w:marRight w:val="0"/>
          <w:marTop w:val="96"/>
          <w:marBottom w:val="60"/>
          <w:divBdr>
            <w:top w:val="none" w:sz="0" w:space="0" w:color="auto"/>
            <w:left w:val="none" w:sz="0" w:space="0" w:color="auto"/>
            <w:bottom w:val="none" w:sz="0" w:space="0" w:color="auto"/>
            <w:right w:val="none" w:sz="0" w:space="0" w:color="auto"/>
          </w:divBdr>
        </w:div>
      </w:divsChild>
    </w:div>
    <w:div w:id="946503272">
      <w:bodyDiv w:val="1"/>
      <w:marLeft w:val="0"/>
      <w:marRight w:val="0"/>
      <w:marTop w:val="0"/>
      <w:marBottom w:val="0"/>
      <w:divBdr>
        <w:top w:val="none" w:sz="0" w:space="0" w:color="auto"/>
        <w:left w:val="none" w:sz="0" w:space="0" w:color="auto"/>
        <w:bottom w:val="none" w:sz="0" w:space="0" w:color="auto"/>
        <w:right w:val="none" w:sz="0" w:space="0" w:color="auto"/>
      </w:divBdr>
      <w:divsChild>
        <w:div w:id="119880023">
          <w:marLeft w:val="547"/>
          <w:marRight w:val="0"/>
          <w:marTop w:val="96"/>
          <w:marBottom w:val="60"/>
          <w:divBdr>
            <w:top w:val="none" w:sz="0" w:space="0" w:color="auto"/>
            <w:left w:val="none" w:sz="0" w:space="0" w:color="auto"/>
            <w:bottom w:val="none" w:sz="0" w:space="0" w:color="auto"/>
            <w:right w:val="none" w:sz="0" w:space="0" w:color="auto"/>
          </w:divBdr>
        </w:div>
        <w:div w:id="1044058882">
          <w:marLeft w:val="547"/>
          <w:marRight w:val="0"/>
          <w:marTop w:val="96"/>
          <w:marBottom w:val="60"/>
          <w:divBdr>
            <w:top w:val="none" w:sz="0" w:space="0" w:color="auto"/>
            <w:left w:val="none" w:sz="0" w:space="0" w:color="auto"/>
            <w:bottom w:val="none" w:sz="0" w:space="0" w:color="auto"/>
            <w:right w:val="none" w:sz="0" w:space="0" w:color="auto"/>
          </w:divBdr>
        </w:div>
        <w:div w:id="1280183715">
          <w:marLeft w:val="547"/>
          <w:marRight w:val="0"/>
          <w:marTop w:val="96"/>
          <w:marBottom w:val="60"/>
          <w:divBdr>
            <w:top w:val="none" w:sz="0" w:space="0" w:color="auto"/>
            <w:left w:val="none" w:sz="0" w:space="0" w:color="auto"/>
            <w:bottom w:val="none" w:sz="0" w:space="0" w:color="auto"/>
            <w:right w:val="none" w:sz="0" w:space="0" w:color="auto"/>
          </w:divBdr>
        </w:div>
        <w:div w:id="1382099716">
          <w:marLeft w:val="547"/>
          <w:marRight w:val="0"/>
          <w:marTop w:val="96"/>
          <w:marBottom w:val="60"/>
          <w:divBdr>
            <w:top w:val="none" w:sz="0" w:space="0" w:color="auto"/>
            <w:left w:val="none" w:sz="0" w:space="0" w:color="auto"/>
            <w:bottom w:val="none" w:sz="0" w:space="0" w:color="auto"/>
            <w:right w:val="none" w:sz="0" w:space="0" w:color="auto"/>
          </w:divBdr>
        </w:div>
        <w:div w:id="1906602497">
          <w:marLeft w:val="547"/>
          <w:marRight w:val="0"/>
          <w:marTop w:val="96"/>
          <w:marBottom w:val="60"/>
          <w:divBdr>
            <w:top w:val="none" w:sz="0" w:space="0" w:color="auto"/>
            <w:left w:val="none" w:sz="0" w:space="0" w:color="auto"/>
            <w:bottom w:val="none" w:sz="0" w:space="0" w:color="auto"/>
            <w:right w:val="none" w:sz="0" w:space="0" w:color="auto"/>
          </w:divBdr>
        </w:div>
        <w:div w:id="1941256893">
          <w:marLeft w:val="547"/>
          <w:marRight w:val="0"/>
          <w:marTop w:val="96"/>
          <w:marBottom w:val="60"/>
          <w:divBdr>
            <w:top w:val="none" w:sz="0" w:space="0" w:color="auto"/>
            <w:left w:val="none" w:sz="0" w:space="0" w:color="auto"/>
            <w:bottom w:val="none" w:sz="0" w:space="0" w:color="auto"/>
            <w:right w:val="none" w:sz="0" w:space="0" w:color="auto"/>
          </w:divBdr>
        </w:div>
      </w:divsChild>
    </w:div>
    <w:div w:id="948437936">
      <w:bodyDiv w:val="1"/>
      <w:marLeft w:val="0"/>
      <w:marRight w:val="0"/>
      <w:marTop w:val="0"/>
      <w:marBottom w:val="0"/>
      <w:divBdr>
        <w:top w:val="none" w:sz="0" w:space="0" w:color="auto"/>
        <w:left w:val="none" w:sz="0" w:space="0" w:color="auto"/>
        <w:bottom w:val="none" w:sz="0" w:space="0" w:color="auto"/>
        <w:right w:val="none" w:sz="0" w:space="0" w:color="auto"/>
      </w:divBdr>
    </w:div>
    <w:div w:id="966007931">
      <w:bodyDiv w:val="1"/>
      <w:marLeft w:val="0"/>
      <w:marRight w:val="0"/>
      <w:marTop w:val="0"/>
      <w:marBottom w:val="0"/>
      <w:divBdr>
        <w:top w:val="none" w:sz="0" w:space="0" w:color="auto"/>
        <w:left w:val="none" w:sz="0" w:space="0" w:color="auto"/>
        <w:bottom w:val="none" w:sz="0" w:space="0" w:color="auto"/>
        <w:right w:val="none" w:sz="0" w:space="0" w:color="auto"/>
      </w:divBdr>
    </w:div>
    <w:div w:id="974290774">
      <w:bodyDiv w:val="1"/>
      <w:marLeft w:val="0"/>
      <w:marRight w:val="0"/>
      <w:marTop w:val="0"/>
      <w:marBottom w:val="0"/>
      <w:divBdr>
        <w:top w:val="none" w:sz="0" w:space="0" w:color="auto"/>
        <w:left w:val="none" w:sz="0" w:space="0" w:color="auto"/>
        <w:bottom w:val="none" w:sz="0" w:space="0" w:color="auto"/>
        <w:right w:val="none" w:sz="0" w:space="0" w:color="auto"/>
      </w:divBdr>
    </w:div>
    <w:div w:id="1021205843">
      <w:bodyDiv w:val="1"/>
      <w:marLeft w:val="0"/>
      <w:marRight w:val="0"/>
      <w:marTop w:val="0"/>
      <w:marBottom w:val="0"/>
      <w:divBdr>
        <w:top w:val="none" w:sz="0" w:space="0" w:color="auto"/>
        <w:left w:val="none" w:sz="0" w:space="0" w:color="auto"/>
        <w:bottom w:val="none" w:sz="0" w:space="0" w:color="auto"/>
        <w:right w:val="none" w:sz="0" w:space="0" w:color="auto"/>
      </w:divBdr>
    </w:div>
    <w:div w:id="1077939967">
      <w:bodyDiv w:val="1"/>
      <w:marLeft w:val="0"/>
      <w:marRight w:val="0"/>
      <w:marTop w:val="0"/>
      <w:marBottom w:val="0"/>
      <w:divBdr>
        <w:top w:val="none" w:sz="0" w:space="0" w:color="auto"/>
        <w:left w:val="none" w:sz="0" w:space="0" w:color="auto"/>
        <w:bottom w:val="none" w:sz="0" w:space="0" w:color="auto"/>
        <w:right w:val="none" w:sz="0" w:space="0" w:color="auto"/>
      </w:divBdr>
      <w:divsChild>
        <w:div w:id="115872948">
          <w:marLeft w:val="1166"/>
          <w:marRight w:val="0"/>
          <w:marTop w:val="86"/>
          <w:marBottom w:val="60"/>
          <w:divBdr>
            <w:top w:val="none" w:sz="0" w:space="0" w:color="auto"/>
            <w:left w:val="none" w:sz="0" w:space="0" w:color="auto"/>
            <w:bottom w:val="none" w:sz="0" w:space="0" w:color="auto"/>
            <w:right w:val="none" w:sz="0" w:space="0" w:color="auto"/>
          </w:divBdr>
        </w:div>
        <w:div w:id="499663015">
          <w:marLeft w:val="1166"/>
          <w:marRight w:val="0"/>
          <w:marTop w:val="86"/>
          <w:marBottom w:val="60"/>
          <w:divBdr>
            <w:top w:val="none" w:sz="0" w:space="0" w:color="auto"/>
            <w:left w:val="none" w:sz="0" w:space="0" w:color="auto"/>
            <w:bottom w:val="none" w:sz="0" w:space="0" w:color="auto"/>
            <w:right w:val="none" w:sz="0" w:space="0" w:color="auto"/>
          </w:divBdr>
        </w:div>
        <w:div w:id="831721619">
          <w:marLeft w:val="547"/>
          <w:marRight w:val="0"/>
          <w:marTop w:val="96"/>
          <w:marBottom w:val="60"/>
          <w:divBdr>
            <w:top w:val="none" w:sz="0" w:space="0" w:color="auto"/>
            <w:left w:val="none" w:sz="0" w:space="0" w:color="auto"/>
            <w:bottom w:val="none" w:sz="0" w:space="0" w:color="auto"/>
            <w:right w:val="none" w:sz="0" w:space="0" w:color="auto"/>
          </w:divBdr>
        </w:div>
        <w:div w:id="1141654918">
          <w:marLeft w:val="1166"/>
          <w:marRight w:val="0"/>
          <w:marTop w:val="86"/>
          <w:marBottom w:val="60"/>
          <w:divBdr>
            <w:top w:val="none" w:sz="0" w:space="0" w:color="auto"/>
            <w:left w:val="none" w:sz="0" w:space="0" w:color="auto"/>
            <w:bottom w:val="none" w:sz="0" w:space="0" w:color="auto"/>
            <w:right w:val="none" w:sz="0" w:space="0" w:color="auto"/>
          </w:divBdr>
        </w:div>
        <w:div w:id="1451126738">
          <w:marLeft w:val="547"/>
          <w:marRight w:val="0"/>
          <w:marTop w:val="96"/>
          <w:marBottom w:val="60"/>
          <w:divBdr>
            <w:top w:val="none" w:sz="0" w:space="0" w:color="auto"/>
            <w:left w:val="none" w:sz="0" w:space="0" w:color="auto"/>
            <w:bottom w:val="none" w:sz="0" w:space="0" w:color="auto"/>
            <w:right w:val="none" w:sz="0" w:space="0" w:color="auto"/>
          </w:divBdr>
        </w:div>
        <w:div w:id="1864125216">
          <w:marLeft w:val="1166"/>
          <w:marRight w:val="0"/>
          <w:marTop w:val="86"/>
          <w:marBottom w:val="60"/>
          <w:divBdr>
            <w:top w:val="none" w:sz="0" w:space="0" w:color="auto"/>
            <w:left w:val="none" w:sz="0" w:space="0" w:color="auto"/>
            <w:bottom w:val="none" w:sz="0" w:space="0" w:color="auto"/>
            <w:right w:val="none" w:sz="0" w:space="0" w:color="auto"/>
          </w:divBdr>
        </w:div>
      </w:divsChild>
    </w:div>
    <w:div w:id="1082022695">
      <w:bodyDiv w:val="1"/>
      <w:marLeft w:val="0"/>
      <w:marRight w:val="0"/>
      <w:marTop w:val="0"/>
      <w:marBottom w:val="0"/>
      <w:divBdr>
        <w:top w:val="none" w:sz="0" w:space="0" w:color="auto"/>
        <w:left w:val="none" w:sz="0" w:space="0" w:color="auto"/>
        <w:bottom w:val="none" w:sz="0" w:space="0" w:color="auto"/>
        <w:right w:val="none" w:sz="0" w:space="0" w:color="auto"/>
      </w:divBdr>
      <w:divsChild>
        <w:div w:id="1396321892">
          <w:marLeft w:val="0"/>
          <w:marRight w:val="0"/>
          <w:marTop w:val="0"/>
          <w:marBottom w:val="0"/>
          <w:divBdr>
            <w:top w:val="none" w:sz="0" w:space="0" w:color="auto"/>
            <w:left w:val="none" w:sz="0" w:space="0" w:color="auto"/>
            <w:bottom w:val="none" w:sz="0" w:space="0" w:color="auto"/>
            <w:right w:val="none" w:sz="0" w:space="0" w:color="auto"/>
          </w:divBdr>
        </w:div>
      </w:divsChild>
    </w:div>
    <w:div w:id="1086997139">
      <w:bodyDiv w:val="1"/>
      <w:marLeft w:val="0"/>
      <w:marRight w:val="0"/>
      <w:marTop w:val="0"/>
      <w:marBottom w:val="0"/>
      <w:divBdr>
        <w:top w:val="none" w:sz="0" w:space="0" w:color="auto"/>
        <w:left w:val="none" w:sz="0" w:space="0" w:color="auto"/>
        <w:bottom w:val="none" w:sz="0" w:space="0" w:color="auto"/>
        <w:right w:val="none" w:sz="0" w:space="0" w:color="auto"/>
      </w:divBdr>
      <w:divsChild>
        <w:div w:id="391315820">
          <w:marLeft w:val="1166"/>
          <w:marRight w:val="0"/>
          <w:marTop w:val="86"/>
          <w:marBottom w:val="0"/>
          <w:divBdr>
            <w:top w:val="none" w:sz="0" w:space="0" w:color="auto"/>
            <w:left w:val="none" w:sz="0" w:space="0" w:color="auto"/>
            <w:bottom w:val="none" w:sz="0" w:space="0" w:color="auto"/>
            <w:right w:val="none" w:sz="0" w:space="0" w:color="auto"/>
          </w:divBdr>
        </w:div>
        <w:div w:id="650451171">
          <w:marLeft w:val="1166"/>
          <w:marRight w:val="0"/>
          <w:marTop w:val="86"/>
          <w:marBottom w:val="0"/>
          <w:divBdr>
            <w:top w:val="none" w:sz="0" w:space="0" w:color="auto"/>
            <w:left w:val="none" w:sz="0" w:space="0" w:color="auto"/>
            <w:bottom w:val="none" w:sz="0" w:space="0" w:color="auto"/>
            <w:right w:val="none" w:sz="0" w:space="0" w:color="auto"/>
          </w:divBdr>
        </w:div>
        <w:div w:id="925840667">
          <w:marLeft w:val="547"/>
          <w:marRight w:val="0"/>
          <w:marTop w:val="96"/>
          <w:marBottom w:val="0"/>
          <w:divBdr>
            <w:top w:val="none" w:sz="0" w:space="0" w:color="auto"/>
            <w:left w:val="none" w:sz="0" w:space="0" w:color="auto"/>
            <w:bottom w:val="none" w:sz="0" w:space="0" w:color="auto"/>
            <w:right w:val="none" w:sz="0" w:space="0" w:color="auto"/>
          </w:divBdr>
        </w:div>
        <w:div w:id="1433168511">
          <w:marLeft w:val="547"/>
          <w:marRight w:val="0"/>
          <w:marTop w:val="96"/>
          <w:marBottom w:val="0"/>
          <w:divBdr>
            <w:top w:val="none" w:sz="0" w:space="0" w:color="auto"/>
            <w:left w:val="none" w:sz="0" w:space="0" w:color="auto"/>
            <w:bottom w:val="none" w:sz="0" w:space="0" w:color="auto"/>
            <w:right w:val="none" w:sz="0" w:space="0" w:color="auto"/>
          </w:divBdr>
        </w:div>
        <w:div w:id="1923368991">
          <w:marLeft w:val="547"/>
          <w:marRight w:val="0"/>
          <w:marTop w:val="96"/>
          <w:marBottom w:val="0"/>
          <w:divBdr>
            <w:top w:val="none" w:sz="0" w:space="0" w:color="auto"/>
            <w:left w:val="none" w:sz="0" w:space="0" w:color="auto"/>
            <w:bottom w:val="none" w:sz="0" w:space="0" w:color="auto"/>
            <w:right w:val="none" w:sz="0" w:space="0" w:color="auto"/>
          </w:divBdr>
        </w:div>
        <w:div w:id="2070837395">
          <w:marLeft w:val="547"/>
          <w:marRight w:val="0"/>
          <w:marTop w:val="96"/>
          <w:marBottom w:val="0"/>
          <w:divBdr>
            <w:top w:val="none" w:sz="0" w:space="0" w:color="auto"/>
            <w:left w:val="none" w:sz="0" w:space="0" w:color="auto"/>
            <w:bottom w:val="none" w:sz="0" w:space="0" w:color="auto"/>
            <w:right w:val="none" w:sz="0" w:space="0" w:color="auto"/>
          </w:divBdr>
        </w:div>
      </w:divsChild>
    </w:div>
    <w:div w:id="1104881385">
      <w:bodyDiv w:val="1"/>
      <w:marLeft w:val="0"/>
      <w:marRight w:val="0"/>
      <w:marTop w:val="0"/>
      <w:marBottom w:val="0"/>
      <w:divBdr>
        <w:top w:val="none" w:sz="0" w:space="0" w:color="auto"/>
        <w:left w:val="none" w:sz="0" w:space="0" w:color="auto"/>
        <w:bottom w:val="none" w:sz="0" w:space="0" w:color="auto"/>
        <w:right w:val="none" w:sz="0" w:space="0" w:color="auto"/>
      </w:divBdr>
      <w:divsChild>
        <w:div w:id="771323012">
          <w:marLeft w:val="1166"/>
          <w:marRight w:val="0"/>
          <w:marTop w:val="82"/>
          <w:marBottom w:val="0"/>
          <w:divBdr>
            <w:top w:val="none" w:sz="0" w:space="0" w:color="auto"/>
            <w:left w:val="none" w:sz="0" w:space="0" w:color="auto"/>
            <w:bottom w:val="none" w:sz="0" w:space="0" w:color="auto"/>
            <w:right w:val="none" w:sz="0" w:space="0" w:color="auto"/>
          </w:divBdr>
        </w:div>
        <w:div w:id="1238857709">
          <w:marLeft w:val="547"/>
          <w:marRight w:val="0"/>
          <w:marTop w:val="96"/>
          <w:marBottom w:val="0"/>
          <w:divBdr>
            <w:top w:val="none" w:sz="0" w:space="0" w:color="auto"/>
            <w:left w:val="none" w:sz="0" w:space="0" w:color="auto"/>
            <w:bottom w:val="none" w:sz="0" w:space="0" w:color="auto"/>
            <w:right w:val="none" w:sz="0" w:space="0" w:color="auto"/>
          </w:divBdr>
        </w:div>
        <w:div w:id="1319455080">
          <w:marLeft w:val="1166"/>
          <w:marRight w:val="0"/>
          <w:marTop w:val="82"/>
          <w:marBottom w:val="0"/>
          <w:divBdr>
            <w:top w:val="none" w:sz="0" w:space="0" w:color="auto"/>
            <w:left w:val="none" w:sz="0" w:space="0" w:color="auto"/>
            <w:bottom w:val="none" w:sz="0" w:space="0" w:color="auto"/>
            <w:right w:val="none" w:sz="0" w:space="0" w:color="auto"/>
          </w:divBdr>
        </w:div>
        <w:div w:id="1865361936">
          <w:marLeft w:val="1166"/>
          <w:marRight w:val="0"/>
          <w:marTop w:val="82"/>
          <w:marBottom w:val="0"/>
          <w:divBdr>
            <w:top w:val="none" w:sz="0" w:space="0" w:color="auto"/>
            <w:left w:val="none" w:sz="0" w:space="0" w:color="auto"/>
            <w:bottom w:val="none" w:sz="0" w:space="0" w:color="auto"/>
            <w:right w:val="none" w:sz="0" w:space="0" w:color="auto"/>
          </w:divBdr>
        </w:div>
        <w:div w:id="1942563266">
          <w:marLeft w:val="547"/>
          <w:marRight w:val="0"/>
          <w:marTop w:val="96"/>
          <w:marBottom w:val="0"/>
          <w:divBdr>
            <w:top w:val="none" w:sz="0" w:space="0" w:color="auto"/>
            <w:left w:val="none" w:sz="0" w:space="0" w:color="auto"/>
            <w:bottom w:val="none" w:sz="0" w:space="0" w:color="auto"/>
            <w:right w:val="none" w:sz="0" w:space="0" w:color="auto"/>
          </w:divBdr>
        </w:div>
      </w:divsChild>
    </w:div>
    <w:div w:id="1122383149">
      <w:bodyDiv w:val="1"/>
      <w:marLeft w:val="0"/>
      <w:marRight w:val="0"/>
      <w:marTop w:val="0"/>
      <w:marBottom w:val="0"/>
      <w:divBdr>
        <w:top w:val="none" w:sz="0" w:space="0" w:color="auto"/>
        <w:left w:val="none" w:sz="0" w:space="0" w:color="auto"/>
        <w:bottom w:val="none" w:sz="0" w:space="0" w:color="auto"/>
        <w:right w:val="none" w:sz="0" w:space="0" w:color="auto"/>
      </w:divBdr>
    </w:div>
    <w:div w:id="1144930899">
      <w:bodyDiv w:val="1"/>
      <w:marLeft w:val="0"/>
      <w:marRight w:val="0"/>
      <w:marTop w:val="0"/>
      <w:marBottom w:val="0"/>
      <w:divBdr>
        <w:top w:val="none" w:sz="0" w:space="0" w:color="auto"/>
        <w:left w:val="none" w:sz="0" w:space="0" w:color="auto"/>
        <w:bottom w:val="none" w:sz="0" w:space="0" w:color="auto"/>
        <w:right w:val="none" w:sz="0" w:space="0" w:color="auto"/>
      </w:divBdr>
    </w:div>
    <w:div w:id="1171532411">
      <w:bodyDiv w:val="1"/>
      <w:marLeft w:val="0"/>
      <w:marRight w:val="0"/>
      <w:marTop w:val="0"/>
      <w:marBottom w:val="0"/>
      <w:divBdr>
        <w:top w:val="none" w:sz="0" w:space="0" w:color="auto"/>
        <w:left w:val="none" w:sz="0" w:space="0" w:color="auto"/>
        <w:bottom w:val="none" w:sz="0" w:space="0" w:color="auto"/>
        <w:right w:val="none" w:sz="0" w:space="0" w:color="auto"/>
      </w:divBdr>
    </w:div>
    <w:div w:id="1178697452">
      <w:bodyDiv w:val="1"/>
      <w:marLeft w:val="0"/>
      <w:marRight w:val="0"/>
      <w:marTop w:val="0"/>
      <w:marBottom w:val="0"/>
      <w:divBdr>
        <w:top w:val="none" w:sz="0" w:space="0" w:color="auto"/>
        <w:left w:val="none" w:sz="0" w:space="0" w:color="auto"/>
        <w:bottom w:val="none" w:sz="0" w:space="0" w:color="auto"/>
        <w:right w:val="none" w:sz="0" w:space="0" w:color="auto"/>
      </w:divBdr>
    </w:div>
    <w:div w:id="1195733184">
      <w:bodyDiv w:val="1"/>
      <w:marLeft w:val="0"/>
      <w:marRight w:val="0"/>
      <w:marTop w:val="0"/>
      <w:marBottom w:val="0"/>
      <w:divBdr>
        <w:top w:val="none" w:sz="0" w:space="0" w:color="auto"/>
        <w:left w:val="none" w:sz="0" w:space="0" w:color="auto"/>
        <w:bottom w:val="none" w:sz="0" w:space="0" w:color="auto"/>
        <w:right w:val="none" w:sz="0" w:space="0" w:color="auto"/>
      </w:divBdr>
    </w:div>
    <w:div w:id="1243031815">
      <w:bodyDiv w:val="1"/>
      <w:marLeft w:val="0"/>
      <w:marRight w:val="0"/>
      <w:marTop w:val="0"/>
      <w:marBottom w:val="0"/>
      <w:divBdr>
        <w:top w:val="none" w:sz="0" w:space="0" w:color="auto"/>
        <w:left w:val="none" w:sz="0" w:space="0" w:color="auto"/>
        <w:bottom w:val="none" w:sz="0" w:space="0" w:color="auto"/>
        <w:right w:val="none" w:sz="0" w:space="0" w:color="auto"/>
      </w:divBdr>
      <w:divsChild>
        <w:div w:id="248387332">
          <w:marLeft w:val="547"/>
          <w:marRight w:val="0"/>
          <w:marTop w:val="91"/>
          <w:marBottom w:val="0"/>
          <w:divBdr>
            <w:top w:val="none" w:sz="0" w:space="0" w:color="auto"/>
            <w:left w:val="none" w:sz="0" w:space="0" w:color="auto"/>
            <w:bottom w:val="none" w:sz="0" w:space="0" w:color="auto"/>
            <w:right w:val="none" w:sz="0" w:space="0" w:color="auto"/>
          </w:divBdr>
        </w:div>
        <w:div w:id="1494377238">
          <w:marLeft w:val="547"/>
          <w:marRight w:val="0"/>
          <w:marTop w:val="91"/>
          <w:marBottom w:val="0"/>
          <w:divBdr>
            <w:top w:val="none" w:sz="0" w:space="0" w:color="auto"/>
            <w:left w:val="none" w:sz="0" w:space="0" w:color="auto"/>
            <w:bottom w:val="none" w:sz="0" w:space="0" w:color="auto"/>
            <w:right w:val="none" w:sz="0" w:space="0" w:color="auto"/>
          </w:divBdr>
        </w:div>
        <w:div w:id="1549295372">
          <w:marLeft w:val="547"/>
          <w:marRight w:val="0"/>
          <w:marTop w:val="91"/>
          <w:marBottom w:val="0"/>
          <w:divBdr>
            <w:top w:val="none" w:sz="0" w:space="0" w:color="auto"/>
            <w:left w:val="none" w:sz="0" w:space="0" w:color="auto"/>
            <w:bottom w:val="none" w:sz="0" w:space="0" w:color="auto"/>
            <w:right w:val="none" w:sz="0" w:space="0" w:color="auto"/>
          </w:divBdr>
        </w:div>
        <w:div w:id="1694576635">
          <w:marLeft w:val="547"/>
          <w:marRight w:val="0"/>
          <w:marTop w:val="91"/>
          <w:marBottom w:val="0"/>
          <w:divBdr>
            <w:top w:val="none" w:sz="0" w:space="0" w:color="auto"/>
            <w:left w:val="none" w:sz="0" w:space="0" w:color="auto"/>
            <w:bottom w:val="none" w:sz="0" w:space="0" w:color="auto"/>
            <w:right w:val="none" w:sz="0" w:space="0" w:color="auto"/>
          </w:divBdr>
        </w:div>
      </w:divsChild>
    </w:div>
    <w:div w:id="1298339851">
      <w:bodyDiv w:val="1"/>
      <w:marLeft w:val="0"/>
      <w:marRight w:val="0"/>
      <w:marTop w:val="0"/>
      <w:marBottom w:val="0"/>
      <w:divBdr>
        <w:top w:val="none" w:sz="0" w:space="0" w:color="auto"/>
        <w:left w:val="none" w:sz="0" w:space="0" w:color="auto"/>
        <w:bottom w:val="none" w:sz="0" w:space="0" w:color="auto"/>
        <w:right w:val="none" w:sz="0" w:space="0" w:color="auto"/>
      </w:divBdr>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sChild>
        <w:div w:id="446001587">
          <w:marLeft w:val="547"/>
          <w:marRight w:val="0"/>
          <w:marTop w:val="115"/>
          <w:marBottom w:val="60"/>
          <w:divBdr>
            <w:top w:val="none" w:sz="0" w:space="0" w:color="auto"/>
            <w:left w:val="none" w:sz="0" w:space="0" w:color="auto"/>
            <w:bottom w:val="none" w:sz="0" w:space="0" w:color="auto"/>
            <w:right w:val="none" w:sz="0" w:space="0" w:color="auto"/>
          </w:divBdr>
        </w:div>
        <w:div w:id="678967548">
          <w:marLeft w:val="1166"/>
          <w:marRight w:val="0"/>
          <w:marTop w:val="96"/>
          <w:marBottom w:val="60"/>
          <w:divBdr>
            <w:top w:val="none" w:sz="0" w:space="0" w:color="auto"/>
            <w:left w:val="none" w:sz="0" w:space="0" w:color="auto"/>
            <w:bottom w:val="none" w:sz="0" w:space="0" w:color="auto"/>
            <w:right w:val="none" w:sz="0" w:space="0" w:color="auto"/>
          </w:divBdr>
        </w:div>
        <w:div w:id="1404375325">
          <w:marLeft w:val="1166"/>
          <w:marRight w:val="0"/>
          <w:marTop w:val="96"/>
          <w:marBottom w:val="60"/>
          <w:divBdr>
            <w:top w:val="none" w:sz="0" w:space="0" w:color="auto"/>
            <w:left w:val="none" w:sz="0" w:space="0" w:color="auto"/>
            <w:bottom w:val="none" w:sz="0" w:space="0" w:color="auto"/>
            <w:right w:val="none" w:sz="0" w:space="0" w:color="auto"/>
          </w:divBdr>
        </w:div>
        <w:div w:id="1525627697">
          <w:marLeft w:val="1166"/>
          <w:marRight w:val="0"/>
          <w:marTop w:val="96"/>
          <w:marBottom w:val="60"/>
          <w:divBdr>
            <w:top w:val="none" w:sz="0" w:space="0" w:color="auto"/>
            <w:left w:val="none" w:sz="0" w:space="0" w:color="auto"/>
            <w:bottom w:val="none" w:sz="0" w:space="0" w:color="auto"/>
            <w:right w:val="none" w:sz="0" w:space="0" w:color="auto"/>
          </w:divBdr>
        </w:div>
        <w:div w:id="1773353912">
          <w:marLeft w:val="547"/>
          <w:marRight w:val="0"/>
          <w:marTop w:val="115"/>
          <w:marBottom w:val="60"/>
          <w:divBdr>
            <w:top w:val="none" w:sz="0" w:space="0" w:color="auto"/>
            <w:left w:val="none" w:sz="0" w:space="0" w:color="auto"/>
            <w:bottom w:val="none" w:sz="0" w:space="0" w:color="auto"/>
            <w:right w:val="none" w:sz="0" w:space="0" w:color="auto"/>
          </w:divBdr>
        </w:div>
        <w:div w:id="2020692940">
          <w:marLeft w:val="1166"/>
          <w:marRight w:val="0"/>
          <w:marTop w:val="96"/>
          <w:marBottom w:val="60"/>
          <w:divBdr>
            <w:top w:val="none" w:sz="0" w:space="0" w:color="auto"/>
            <w:left w:val="none" w:sz="0" w:space="0" w:color="auto"/>
            <w:bottom w:val="none" w:sz="0" w:space="0" w:color="auto"/>
            <w:right w:val="none" w:sz="0" w:space="0" w:color="auto"/>
          </w:divBdr>
        </w:div>
      </w:divsChild>
    </w:div>
    <w:div w:id="1309284894">
      <w:bodyDiv w:val="1"/>
      <w:marLeft w:val="0"/>
      <w:marRight w:val="0"/>
      <w:marTop w:val="0"/>
      <w:marBottom w:val="0"/>
      <w:divBdr>
        <w:top w:val="none" w:sz="0" w:space="0" w:color="auto"/>
        <w:left w:val="none" w:sz="0" w:space="0" w:color="auto"/>
        <w:bottom w:val="none" w:sz="0" w:space="0" w:color="auto"/>
        <w:right w:val="none" w:sz="0" w:space="0" w:color="auto"/>
      </w:divBdr>
      <w:divsChild>
        <w:div w:id="776292441">
          <w:marLeft w:val="547"/>
          <w:marRight w:val="0"/>
          <w:marTop w:val="96"/>
          <w:marBottom w:val="60"/>
          <w:divBdr>
            <w:top w:val="none" w:sz="0" w:space="0" w:color="auto"/>
            <w:left w:val="none" w:sz="0" w:space="0" w:color="auto"/>
            <w:bottom w:val="none" w:sz="0" w:space="0" w:color="auto"/>
            <w:right w:val="none" w:sz="0" w:space="0" w:color="auto"/>
          </w:divBdr>
        </w:div>
        <w:div w:id="788747391">
          <w:marLeft w:val="1166"/>
          <w:marRight w:val="0"/>
          <w:marTop w:val="86"/>
          <w:marBottom w:val="60"/>
          <w:divBdr>
            <w:top w:val="none" w:sz="0" w:space="0" w:color="auto"/>
            <w:left w:val="none" w:sz="0" w:space="0" w:color="auto"/>
            <w:bottom w:val="none" w:sz="0" w:space="0" w:color="auto"/>
            <w:right w:val="none" w:sz="0" w:space="0" w:color="auto"/>
          </w:divBdr>
        </w:div>
        <w:div w:id="1282762081">
          <w:marLeft w:val="1166"/>
          <w:marRight w:val="0"/>
          <w:marTop w:val="86"/>
          <w:marBottom w:val="60"/>
          <w:divBdr>
            <w:top w:val="none" w:sz="0" w:space="0" w:color="auto"/>
            <w:left w:val="none" w:sz="0" w:space="0" w:color="auto"/>
            <w:bottom w:val="none" w:sz="0" w:space="0" w:color="auto"/>
            <w:right w:val="none" w:sz="0" w:space="0" w:color="auto"/>
          </w:divBdr>
        </w:div>
        <w:div w:id="1361279023">
          <w:marLeft w:val="1166"/>
          <w:marRight w:val="0"/>
          <w:marTop w:val="86"/>
          <w:marBottom w:val="60"/>
          <w:divBdr>
            <w:top w:val="none" w:sz="0" w:space="0" w:color="auto"/>
            <w:left w:val="none" w:sz="0" w:space="0" w:color="auto"/>
            <w:bottom w:val="none" w:sz="0" w:space="0" w:color="auto"/>
            <w:right w:val="none" w:sz="0" w:space="0" w:color="auto"/>
          </w:divBdr>
        </w:div>
        <w:div w:id="1412966956">
          <w:marLeft w:val="547"/>
          <w:marRight w:val="0"/>
          <w:marTop w:val="96"/>
          <w:marBottom w:val="60"/>
          <w:divBdr>
            <w:top w:val="none" w:sz="0" w:space="0" w:color="auto"/>
            <w:left w:val="none" w:sz="0" w:space="0" w:color="auto"/>
            <w:bottom w:val="none" w:sz="0" w:space="0" w:color="auto"/>
            <w:right w:val="none" w:sz="0" w:space="0" w:color="auto"/>
          </w:divBdr>
        </w:div>
        <w:div w:id="1705136304">
          <w:marLeft w:val="547"/>
          <w:marRight w:val="0"/>
          <w:marTop w:val="96"/>
          <w:marBottom w:val="60"/>
          <w:divBdr>
            <w:top w:val="none" w:sz="0" w:space="0" w:color="auto"/>
            <w:left w:val="none" w:sz="0" w:space="0" w:color="auto"/>
            <w:bottom w:val="none" w:sz="0" w:space="0" w:color="auto"/>
            <w:right w:val="none" w:sz="0" w:space="0" w:color="auto"/>
          </w:divBdr>
        </w:div>
        <w:div w:id="1984387605">
          <w:marLeft w:val="1166"/>
          <w:marRight w:val="0"/>
          <w:marTop w:val="86"/>
          <w:marBottom w:val="60"/>
          <w:divBdr>
            <w:top w:val="none" w:sz="0" w:space="0" w:color="auto"/>
            <w:left w:val="none" w:sz="0" w:space="0" w:color="auto"/>
            <w:bottom w:val="none" w:sz="0" w:space="0" w:color="auto"/>
            <w:right w:val="none" w:sz="0" w:space="0" w:color="auto"/>
          </w:divBdr>
        </w:div>
      </w:divsChild>
    </w:div>
    <w:div w:id="1319654802">
      <w:bodyDiv w:val="1"/>
      <w:marLeft w:val="0"/>
      <w:marRight w:val="0"/>
      <w:marTop w:val="0"/>
      <w:marBottom w:val="0"/>
      <w:divBdr>
        <w:top w:val="none" w:sz="0" w:space="0" w:color="auto"/>
        <w:left w:val="none" w:sz="0" w:space="0" w:color="auto"/>
        <w:bottom w:val="none" w:sz="0" w:space="0" w:color="auto"/>
        <w:right w:val="none" w:sz="0" w:space="0" w:color="auto"/>
      </w:divBdr>
      <w:divsChild>
        <w:div w:id="493837962">
          <w:marLeft w:val="720"/>
          <w:marRight w:val="0"/>
          <w:marTop w:val="96"/>
          <w:marBottom w:val="240"/>
          <w:divBdr>
            <w:top w:val="none" w:sz="0" w:space="0" w:color="auto"/>
            <w:left w:val="none" w:sz="0" w:space="0" w:color="auto"/>
            <w:bottom w:val="none" w:sz="0" w:space="0" w:color="auto"/>
            <w:right w:val="none" w:sz="0" w:space="0" w:color="auto"/>
          </w:divBdr>
        </w:div>
        <w:div w:id="548958451">
          <w:marLeft w:val="720"/>
          <w:marRight w:val="0"/>
          <w:marTop w:val="96"/>
          <w:marBottom w:val="240"/>
          <w:divBdr>
            <w:top w:val="none" w:sz="0" w:space="0" w:color="auto"/>
            <w:left w:val="none" w:sz="0" w:space="0" w:color="auto"/>
            <w:bottom w:val="none" w:sz="0" w:space="0" w:color="auto"/>
            <w:right w:val="none" w:sz="0" w:space="0" w:color="auto"/>
          </w:divBdr>
        </w:div>
        <w:div w:id="551307175">
          <w:marLeft w:val="720"/>
          <w:marRight w:val="0"/>
          <w:marTop w:val="96"/>
          <w:marBottom w:val="240"/>
          <w:divBdr>
            <w:top w:val="none" w:sz="0" w:space="0" w:color="auto"/>
            <w:left w:val="none" w:sz="0" w:space="0" w:color="auto"/>
            <w:bottom w:val="none" w:sz="0" w:space="0" w:color="auto"/>
            <w:right w:val="none" w:sz="0" w:space="0" w:color="auto"/>
          </w:divBdr>
        </w:div>
        <w:div w:id="640842255">
          <w:marLeft w:val="720"/>
          <w:marRight w:val="0"/>
          <w:marTop w:val="96"/>
          <w:marBottom w:val="240"/>
          <w:divBdr>
            <w:top w:val="none" w:sz="0" w:space="0" w:color="auto"/>
            <w:left w:val="none" w:sz="0" w:space="0" w:color="auto"/>
            <w:bottom w:val="none" w:sz="0" w:space="0" w:color="auto"/>
            <w:right w:val="none" w:sz="0" w:space="0" w:color="auto"/>
          </w:divBdr>
        </w:div>
        <w:div w:id="676158680">
          <w:marLeft w:val="720"/>
          <w:marRight w:val="0"/>
          <w:marTop w:val="96"/>
          <w:marBottom w:val="240"/>
          <w:divBdr>
            <w:top w:val="none" w:sz="0" w:space="0" w:color="auto"/>
            <w:left w:val="none" w:sz="0" w:space="0" w:color="auto"/>
            <w:bottom w:val="none" w:sz="0" w:space="0" w:color="auto"/>
            <w:right w:val="none" w:sz="0" w:space="0" w:color="auto"/>
          </w:divBdr>
        </w:div>
        <w:div w:id="817261135">
          <w:marLeft w:val="720"/>
          <w:marRight w:val="0"/>
          <w:marTop w:val="96"/>
          <w:marBottom w:val="240"/>
          <w:divBdr>
            <w:top w:val="none" w:sz="0" w:space="0" w:color="auto"/>
            <w:left w:val="none" w:sz="0" w:space="0" w:color="auto"/>
            <w:bottom w:val="none" w:sz="0" w:space="0" w:color="auto"/>
            <w:right w:val="none" w:sz="0" w:space="0" w:color="auto"/>
          </w:divBdr>
        </w:div>
        <w:div w:id="1208178002">
          <w:marLeft w:val="720"/>
          <w:marRight w:val="0"/>
          <w:marTop w:val="96"/>
          <w:marBottom w:val="240"/>
          <w:divBdr>
            <w:top w:val="none" w:sz="0" w:space="0" w:color="auto"/>
            <w:left w:val="none" w:sz="0" w:space="0" w:color="auto"/>
            <w:bottom w:val="none" w:sz="0" w:space="0" w:color="auto"/>
            <w:right w:val="none" w:sz="0" w:space="0" w:color="auto"/>
          </w:divBdr>
        </w:div>
      </w:divsChild>
    </w:div>
    <w:div w:id="1328971716">
      <w:bodyDiv w:val="1"/>
      <w:marLeft w:val="0"/>
      <w:marRight w:val="0"/>
      <w:marTop w:val="0"/>
      <w:marBottom w:val="0"/>
      <w:divBdr>
        <w:top w:val="none" w:sz="0" w:space="0" w:color="auto"/>
        <w:left w:val="none" w:sz="0" w:space="0" w:color="auto"/>
        <w:bottom w:val="none" w:sz="0" w:space="0" w:color="auto"/>
        <w:right w:val="none" w:sz="0" w:space="0" w:color="auto"/>
      </w:divBdr>
      <w:divsChild>
        <w:div w:id="67503837">
          <w:marLeft w:val="547"/>
          <w:marRight w:val="0"/>
          <w:marTop w:val="86"/>
          <w:marBottom w:val="0"/>
          <w:divBdr>
            <w:top w:val="none" w:sz="0" w:space="0" w:color="auto"/>
            <w:left w:val="none" w:sz="0" w:space="0" w:color="auto"/>
            <w:bottom w:val="none" w:sz="0" w:space="0" w:color="auto"/>
            <w:right w:val="none" w:sz="0" w:space="0" w:color="auto"/>
          </w:divBdr>
        </w:div>
        <w:div w:id="420956310">
          <w:marLeft w:val="547"/>
          <w:marRight w:val="0"/>
          <w:marTop w:val="86"/>
          <w:marBottom w:val="0"/>
          <w:divBdr>
            <w:top w:val="none" w:sz="0" w:space="0" w:color="auto"/>
            <w:left w:val="none" w:sz="0" w:space="0" w:color="auto"/>
            <w:bottom w:val="none" w:sz="0" w:space="0" w:color="auto"/>
            <w:right w:val="none" w:sz="0" w:space="0" w:color="auto"/>
          </w:divBdr>
        </w:div>
        <w:div w:id="502009233">
          <w:marLeft w:val="547"/>
          <w:marRight w:val="0"/>
          <w:marTop w:val="86"/>
          <w:marBottom w:val="0"/>
          <w:divBdr>
            <w:top w:val="none" w:sz="0" w:space="0" w:color="auto"/>
            <w:left w:val="none" w:sz="0" w:space="0" w:color="auto"/>
            <w:bottom w:val="none" w:sz="0" w:space="0" w:color="auto"/>
            <w:right w:val="none" w:sz="0" w:space="0" w:color="auto"/>
          </w:divBdr>
        </w:div>
        <w:div w:id="800731503">
          <w:marLeft w:val="547"/>
          <w:marRight w:val="0"/>
          <w:marTop w:val="86"/>
          <w:marBottom w:val="0"/>
          <w:divBdr>
            <w:top w:val="none" w:sz="0" w:space="0" w:color="auto"/>
            <w:left w:val="none" w:sz="0" w:space="0" w:color="auto"/>
            <w:bottom w:val="none" w:sz="0" w:space="0" w:color="auto"/>
            <w:right w:val="none" w:sz="0" w:space="0" w:color="auto"/>
          </w:divBdr>
        </w:div>
        <w:div w:id="828984160">
          <w:marLeft w:val="547"/>
          <w:marRight w:val="0"/>
          <w:marTop w:val="86"/>
          <w:marBottom w:val="0"/>
          <w:divBdr>
            <w:top w:val="none" w:sz="0" w:space="0" w:color="auto"/>
            <w:left w:val="none" w:sz="0" w:space="0" w:color="auto"/>
            <w:bottom w:val="none" w:sz="0" w:space="0" w:color="auto"/>
            <w:right w:val="none" w:sz="0" w:space="0" w:color="auto"/>
          </w:divBdr>
        </w:div>
        <w:div w:id="1790516152">
          <w:marLeft w:val="547"/>
          <w:marRight w:val="0"/>
          <w:marTop w:val="86"/>
          <w:marBottom w:val="0"/>
          <w:divBdr>
            <w:top w:val="none" w:sz="0" w:space="0" w:color="auto"/>
            <w:left w:val="none" w:sz="0" w:space="0" w:color="auto"/>
            <w:bottom w:val="none" w:sz="0" w:space="0" w:color="auto"/>
            <w:right w:val="none" w:sz="0" w:space="0" w:color="auto"/>
          </w:divBdr>
        </w:div>
        <w:div w:id="2048025146">
          <w:marLeft w:val="547"/>
          <w:marRight w:val="0"/>
          <w:marTop w:val="86"/>
          <w:marBottom w:val="0"/>
          <w:divBdr>
            <w:top w:val="none" w:sz="0" w:space="0" w:color="auto"/>
            <w:left w:val="none" w:sz="0" w:space="0" w:color="auto"/>
            <w:bottom w:val="none" w:sz="0" w:space="0" w:color="auto"/>
            <w:right w:val="none" w:sz="0" w:space="0" w:color="auto"/>
          </w:divBdr>
        </w:div>
        <w:div w:id="2057005119">
          <w:marLeft w:val="547"/>
          <w:marRight w:val="0"/>
          <w:marTop w:val="86"/>
          <w:marBottom w:val="0"/>
          <w:divBdr>
            <w:top w:val="none" w:sz="0" w:space="0" w:color="auto"/>
            <w:left w:val="none" w:sz="0" w:space="0" w:color="auto"/>
            <w:bottom w:val="none" w:sz="0" w:space="0" w:color="auto"/>
            <w:right w:val="none" w:sz="0" w:space="0" w:color="auto"/>
          </w:divBdr>
        </w:div>
      </w:divsChild>
    </w:div>
    <w:div w:id="1330787993">
      <w:bodyDiv w:val="1"/>
      <w:marLeft w:val="0"/>
      <w:marRight w:val="0"/>
      <w:marTop w:val="0"/>
      <w:marBottom w:val="0"/>
      <w:divBdr>
        <w:top w:val="none" w:sz="0" w:space="0" w:color="auto"/>
        <w:left w:val="none" w:sz="0" w:space="0" w:color="auto"/>
        <w:bottom w:val="none" w:sz="0" w:space="0" w:color="auto"/>
        <w:right w:val="none" w:sz="0" w:space="0" w:color="auto"/>
      </w:divBdr>
      <w:divsChild>
        <w:div w:id="840507213">
          <w:marLeft w:val="1166"/>
          <w:marRight w:val="0"/>
          <w:marTop w:val="0"/>
          <w:marBottom w:val="0"/>
          <w:divBdr>
            <w:top w:val="none" w:sz="0" w:space="0" w:color="auto"/>
            <w:left w:val="none" w:sz="0" w:space="0" w:color="auto"/>
            <w:bottom w:val="none" w:sz="0" w:space="0" w:color="auto"/>
            <w:right w:val="none" w:sz="0" w:space="0" w:color="auto"/>
          </w:divBdr>
        </w:div>
        <w:div w:id="861866538">
          <w:marLeft w:val="547"/>
          <w:marRight w:val="0"/>
          <w:marTop w:val="0"/>
          <w:marBottom w:val="0"/>
          <w:divBdr>
            <w:top w:val="none" w:sz="0" w:space="0" w:color="auto"/>
            <w:left w:val="none" w:sz="0" w:space="0" w:color="auto"/>
            <w:bottom w:val="none" w:sz="0" w:space="0" w:color="auto"/>
            <w:right w:val="none" w:sz="0" w:space="0" w:color="auto"/>
          </w:divBdr>
        </w:div>
      </w:divsChild>
    </w:div>
    <w:div w:id="1342778815">
      <w:bodyDiv w:val="1"/>
      <w:marLeft w:val="0"/>
      <w:marRight w:val="0"/>
      <w:marTop w:val="0"/>
      <w:marBottom w:val="0"/>
      <w:divBdr>
        <w:top w:val="none" w:sz="0" w:space="0" w:color="auto"/>
        <w:left w:val="none" w:sz="0" w:space="0" w:color="auto"/>
        <w:bottom w:val="none" w:sz="0" w:space="0" w:color="auto"/>
        <w:right w:val="none" w:sz="0" w:space="0" w:color="auto"/>
      </w:divBdr>
    </w:div>
    <w:div w:id="1373001120">
      <w:bodyDiv w:val="1"/>
      <w:marLeft w:val="0"/>
      <w:marRight w:val="0"/>
      <w:marTop w:val="0"/>
      <w:marBottom w:val="0"/>
      <w:divBdr>
        <w:top w:val="none" w:sz="0" w:space="0" w:color="auto"/>
        <w:left w:val="none" w:sz="0" w:space="0" w:color="auto"/>
        <w:bottom w:val="none" w:sz="0" w:space="0" w:color="auto"/>
        <w:right w:val="none" w:sz="0" w:space="0" w:color="auto"/>
      </w:divBdr>
    </w:div>
    <w:div w:id="1386295351">
      <w:bodyDiv w:val="1"/>
      <w:marLeft w:val="0"/>
      <w:marRight w:val="0"/>
      <w:marTop w:val="0"/>
      <w:marBottom w:val="0"/>
      <w:divBdr>
        <w:top w:val="none" w:sz="0" w:space="0" w:color="auto"/>
        <w:left w:val="none" w:sz="0" w:space="0" w:color="auto"/>
        <w:bottom w:val="none" w:sz="0" w:space="0" w:color="auto"/>
        <w:right w:val="none" w:sz="0" w:space="0" w:color="auto"/>
      </w:divBdr>
    </w:div>
    <w:div w:id="1392583436">
      <w:bodyDiv w:val="1"/>
      <w:marLeft w:val="0"/>
      <w:marRight w:val="0"/>
      <w:marTop w:val="0"/>
      <w:marBottom w:val="0"/>
      <w:divBdr>
        <w:top w:val="none" w:sz="0" w:space="0" w:color="auto"/>
        <w:left w:val="none" w:sz="0" w:space="0" w:color="auto"/>
        <w:bottom w:val="none" w:sz="0" w:space="0" w:color="auto"/>
        <w:right w:val="none" w:sz="0" w:space="0" w:color="auto"/>
      </w:divBdr>
    </w:div>
    <w:div w:id="1393649599">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908198694">
          <w:marLeft w:val="547"/>
          <w:marRight w:val="0"/>
          <w:marTop w:val="115"/>
          <w:marBottom w:val="0"/>
          <w:divBdr>
            <w:top w:val="none" w:sz="0" w:space="0" w:color="auto"/>
            <w:left w:val="none" w:sz="0" w:space="0" w:color="auto"/>
            <w:bottom w:val="none" w:sz="0" w:space="0" w:color="auto"/>
            <w:right w:val="none" w:sz="0" w:space="0" w:color="auto"/>
          </w:divBdr>
        </w:div>
      </w:divsChild>
    </w:div>
    <w:div w:id="1454446844">
      <w:bodyDiv w:val="1"/>
      <w:marLeft w:val="0"/>
      <w:marRight w:val="0"/>
      <w:marTop w:val="0"/>
      <w:marBottom w:val="0"/>
      <w:divBdr>
        <w:top w:val="none" w:sz="0" w:space="0" w:color="auto"/>
        <w:left w:val="none" w:sz="0" w:space="0" w:color="auto"/>
        <w:bottom w:val="none" w:sz="0" w:space="0" w:color="auto"/>
        <w:right w:val="none" w:sz="0" w:space="0" w:color="auto"/>
      </w:divBdr>
    </w:div>
    <w:div w:id="1458599035">
      <w:bodyDiv w:val="1"/>
      <w:marLeft w:val="0"/>
      <w:marRight w:val="0"/>
      <w:marTop w:val="0"/>
      <w:marBottom w:val="0"/>
      <w:divBdr>
        <w:top w:val="none" w:sz="0" w:space="0" w:color="auto"/>
        <w:left w:val="none" w:sz="0" w:space="0" w:color="auto"/>
        <w:bottom w:val="none" w:sz="0" w:space="0" w:color="auto"/>
        <w:right w:val="none" w:sz="0" w:space="0" w:color="auto"/>
      </w:divBdr>
    </w:div>
    <w:div w:id="1485925525">
      <w:bodyDiv w:val="1"/>
      <w:marLeft w:val="0"/>
      <w:marRight w:val="0"/>
      <w:marTop w:val="0"/>
      <w:marBottom w:val="0"/>
      <w:divBdr>
        <w:top w:val="none" w:sz="0" w:space="0" w:color="auto"/>
        <w:left w:val="none" w:sz="0" w:space="0" w:color="auto"/>
        <w:bottom w:val="none" w:sz="0" w:space="0" w:color="auto"/>
        <w:right w:val="none" w:sz="0" w:space="0" w:color="auto"/>
      </w:divBdr>
      <w:divsChild>
        <w:div w:id="30569152">
          <w:marLeft w:val="1166"/>
          <w:marRight w:val="0"/>
          <w:marTop w:val="86"/>
          <w:marBottom w:val="60"/>
          <w:divBdr>
            <w:top w:val="none" w:sz="0" w:space="0" w:color="auto"/>
            <w:left w:val="none" w:sz="0" w:space="0" w:color="auto"/>
            <w:bottom w:val="none" w:sz="0" w:space="0" w:color="auto"/>
            <w:right w:val="none" w:sz="0" w:space="0" w:color="auto"/>
          </w:divBdr>
        </w:div>
        <w:div w:id="1262566280">
          <w:marLeft w:val="1166"/>
          <w:marRight w:val="0"/>
          <w:marTop w:val="86"/>
          <w:marBottom w:val="60"/>
          <w:divBdr>
            <w:top w:val="none" w:sz="0" w:space="0" w:color="auto"/>
            <w:left w:val="none" w:sz="0" w:space="0" w:color="auto"/>
            <w:bottom w:val="none" w:sz="0" w:space="0" w:color="auto"/>
            <w:right w:val="none" w:sz="0" w:space="0" w:color="auto"/>
          </w:divBdr>
        </w:div>
        <w:div w:id="1309355671">
          <w:marLeft w:val="1166"/>
          <w:marRight w:val="0"/>
          <w:marTop w:val="86"/>
          <w:marBottom w:val="60"/>
          <w:divBdr>
            <w:top w:val="none" w:sz="0" w:space="0" w:color="auto"/>
            <w:left w:val="none" w:sz="0" w:space="0" w:color="auto"/>
            <w:bottom w:val="none" w:sz="0" w:space="0" w:color="auto"/>
            <w:right w:val="none" w:sz="0" w:space="0" w:color="auto"/>
          </w:divBdr>
        </w:div>
        <w:div w:id="1693606742">
          <w:marLeft w:val="547"/>
          <w:marRight w:val="0"/>
          <w:marTop w:val="96"/>
          <w:marBottom w:val="60"/>
          <w:divBdr>
            <w:top w:val="none" w:sz="0" w:space="0" w:color="auto"/>
            <w:left w:val="none" w:sz="0" w:space="0" w:color="auto"/>
            <w:bottom w:val="none" w:sz="0" w:space="0" w:color="auto"/>
            <w:right w:val="none" w:sz="0" w:space="0" w:color="auto"/>
          </w:divBdr>
        </w:div>
      </w:divsChild>
    </w:div>
    <w:div w:id="1527519975">
      <w:bodyDiv w:val="1"/>
      <w:marLeft w:val="0"/>
      <w:marRight w:val="0"/>
      <w:marTop w:val="0"/>
      <w:marBottom w:val="0"/>
      <w:divBdr>
        <w:top w:val="none" w:sz="0" w:space="0" w:color="auto"/>
        <w:left w:val="none" w:sz="0" w:space="0" w:color="auto"/>
        <w:bottom w:val="none" w:sz="0" w:space="0" w:color="auto"/>
        <w:right w:val="none" w:sz="0" w:space="0" w:color="auto"/>
      </w:divBdr>
    </w:div>
    <w:div w:id="1572886820">
      <w:bodyDiv w:val="1"/>
      <w:marLeft w:val="0"/>
      <w:marRight w:val="0"/>
      <w:marTop w:val="0"/>
      <w:marBottom w:val="0"/>
      <w:divBdr>
        <w:top w:val="none" w:sz="0" w:space="0" w:color="auto"/>
        <w:left w:val="none" w:sz="0" w:space="0" w:color="auto"/>
        <w:bottom w:val="none" w:sz="0" w:space="0" w:color="auto"/>
        <w:right w:val="none" w:sz="0" w:space="0" w:color="auto"/>
      </w:divBdr>
      <w:divsChild>
        <w:div w:id="497305999">
          <w:marLeft w:val="547"/>
          <w:marRight w:val="0"/>
          <w:marTop w:val="96"/>
          <w:marBottom w:val="60"/>
          <w:divBdr>
            <w:top w:val="none" w:sz="0" w:space="0" w:color="auto"/>
            <w:left w:val="none" w:sz="0" w:space="0" w:color="auto"/>
            <w:bottom w:val="none" w:sz="0" w:space="0" w:color="auto"/>
            <w:right w:val="none" w:sz="0" w:space="0" w:color="auto"/>
          </w:divBdr>
        </w:div>
        <w:div w:id="602303924">
          <w:marLeft w:val="547"/>
          <w:marRight w:val="0"/>
          <w:marTop w:val="96"/>
          <w:marBottom w:val="60"/>
          <w:divBdr>
            <w:top w:val="none" w:sz="0" w:space="0" w:color="auto"/>
            <w:left w:val="none" w:sz="0" w:space="0" w:color="auto"/>
            <w:bottom w:val="none" w:sz="0" w:space="0" w:color="auto"/>
            <w:right w:val="none" w:sz="0" w:space="0" w:color="auto"/>
          </w:divBdr>
        </w:div>
        <w:div w:id="743642519">
          <w:marLeft w:val="547"/>
          <w:marRight w:val="0"/>
          <w:marTop w:val="96"/>
          <w:marBottom w:val="60"/>
          <w:divBdr>
            <w:top w:val="none" w:sz="0" w:space="0" w:color="auto"/>
            <w:left w:val="none" w:sz="0" w:space="0" w:color="auto"/>
            <w:bottom w:val="none" w:sz="0" w:space="0" w:color="auto"/>
            <w:right w:val="none" w:sz="0" w:space="0" w:color="auto"/>
          </w:divBdr>
        </w:div>
      </w:divsChild>
    </w:div>
    <w:div w:id="1583105407">
      <w:bodyDiv w:val="1"/>
      <w:marLeft w:val="0"/>
      <w:marRight w:val="0"/>
      <w:marTop w:val="0"/>
      <w:marBottom w:val="0"/>
      <w:divBdr>
        <w:top w:val="none" w:sz="0" w:space="0" w:color="auto"/>
        <w:left w:val="none" w:sz="0" w:space="0" w:color="auto"/>
        <w:bottom w:val="none" w:sz="0" w:space="0" w:color="auto"/>
        <w:right w:val="none" w:sz="0" w:space="0" w:color="auto"/>
      </w:divBdr>
    </w:div>
    <w:div w:id="1597205688">
      <w:bodyDiv w:val="1"/>
      <w:marLeft w:val="0"/>
      <w:marRight w:val="0"/>
      <w:marTop w:val="0"/>
      <w:marBottom w:val="0"/>
      <w:divBdr>
        <w:top w:val="none" w:sz="0" w:space="0" w:color="auto"/>
        <w:left w:val="none" w:sz="0" w:space="0" w:color="auto"/>
        <w:bottom w:val="none" w:sz="0" w:space="0" w:color="auto"/>
        <w:right w:val="none" w:sz="0" w:space="0" w:color="auto"/>
      </w:divBdr>
    </w:div>
    <w:div w:id="1605184177">
      <w:bodyDiv w:val="1"/>
      <w:marLeft w:val="0"/>
      <w:marRight w:val="0"/>
      <w:marTop w:val="0"/>
      <w:marBottom w:val="0"/>
      <w:divBdr>
        <w:top w:val="none" w:sz="0" w:space="0" w:color="auto"/>
        <w:left w:val="none" w:sz="0" w:space="0" w:color="auto"/>
        <w:bottom w:val="none" w:sz="0" w:space="0" w:color="auto"/>
        <w:right w:val="none" w:sz="0" w:space="0" w:color="auto"/>
      </w:divBdr>
      <w:divsChild>
        <w:div w:id="363596250">
          <w:marLeft w:val="547"/>
          <w:marRight w:val="0"/>
          <w:marTop w:val="96"/>
          <w:marBottom w:val="60"/>
          <w:divBdr>
            <w:top w:val="none" w:sz="0" w:space="0" w:color="auto"/>
            <w:left w:val="none" w:sz="0" w:space="0" w:color="auto"/>
            <w:bottom w:val="none" w:sz="0" w:space="0" w:color="auto"/>
            <w:right w:val="none" w:sz="0" w:space="0" w:color="auto"/>
          </w:divBdr>
        </w:div>
        <w:div w:id="608389844">
          <w:marLeft w:val="547"/>
          <w:marRight w:val="0"/>
          <w:marTop w:val="96"/>
          <w:marBottom w:val="60"/>
          <w:divBdr>
            <w:top w:val="none" w:sz="0" w:space="0" w:color="auto"/>
            <w:left w:val="none" w:sz="0" w:space="0" w:color="auto"/>
            <w:bottom w:val="none" w:sz="0" w:space="0" w:color="auto"/>
            <w:right w:val="none" w:sz="0" w:space="0" w:color="auto"/>
          </w:divBdr>
        </w:div>
        <w:div w:id="1431002926">
          <w:marLeft w:val="547"/>
          <w:marRight w:val="0"/>
          <w:marTop w:val="96"/>
          <w:marBottom w:val="60"/>
          <w:divBdr>
            <w:top w:val="none" w:sz="0" w:space="0" w:color="auto"/>
            <w:left w:val="none" w:sz="0" w:space="0" w:color="auto"/>
            <w:bottom w:val="none" w:sz="0" w:space="0" w:color="auto"/>
            <w:right w:val="none" w:sz="0" w:space="0" w:color="auto"/>
          </w:divBdr>
        </w:div>
        <w:div w:id="1640499733">
          <w:marLeft w:val="547"/>
          <w:marRight w:val="0"/>
          <w:marTop w:val="96"/>
          <w:marBottom w:val="60"/>
          <w:divBdr>
            <w:top w:val="none" w:sz="0" w:space="0" w:color="auto"/>
            <w:left w:val="none" w:sz="0" w:space="0" w:color="auto"/>
            <w:bottom w:val="none" w:sz="0" w:space="0" w:color="auto"/>
            <w:right w:val="none" w:sz="0" w:space="0" w:color="auto"/>
          </w:divBdr>
        </w:div>
        <w:div w:id="1688632976">
          <w:marLeft w:val="547"/>
          <w:marRight w:val="0"/>
          <w:marTop w:val="96"/>
          <w:marBottom w:val="60"/>
          <w:divBdr>
            <w:top w:val="none" w:sz="0" w:space="0" w:color="auto"/>
            <w:left w:val="none" w:sz="0" w:space="0" w:color="auto"/>
            <w:bottom w:val="none" w:sz="0" w:space="0" w:color="auto"/>
            <w:right w:val="none" w:sz="0" w:space="0" w:color="auto"/>
          </w:divBdr>
        </w:div>
        <w:div w:id="1820799912">
          <w:marLeft w:val="547"/>
          <w:marRight w:val="0"/>
          <w:marTop w:val="96"/>
          <w:marBottom w:val="60"/>
          <w:divBdr>
            <w:top w:val="none" w:sz="0" w:space="0" w:color="auto"/>
            <w:left w:val="none" w:sz="0" w:space="0" w:color="auto"/>
            <w:bottom w:val="none" w:sz="0" w:space="0" w:color="auto"/>
            <w:right w:val="none" w:sz="0" w:space="0" w:color="auto"/>
          </w:divBdr>
        </w:div>
      </w:divsChild>
    </w:div>
    <w:div w:id="1657562714">
      <w:bodyDiv w:val="1"/>
      <w:marLeft w:val="0"/>
      <w:marRight w:val="0"/>
      <w:marTop w:val="0"/>
      <w:marBottom w:val="0"/>
      <w:divBdr>
        <w:top w:val="none" w:sz="0" w:space="0" w:color="auto"/>
        <w:left w:val="none" w:sz="0" w:space="0" w:color="auto"/>
        <w:bottom w:val="none" w:sz="0" w:space="0" w:color="auto"/>
        <w:right w:val="none" w:sz="0" w:space="0" w:color="auto"/>
      </w:divBdr>
      <w:divsChild>
        <w:div w:id="346754092">
          <w:marLeft w:val="547"/>
          <w:marRight w:val="0"/>
          <w:marTop w:val="96"/>
          <w:marBottom w:val="60"/>
          <w:divBdr>
            <w:top w:val="none" w:sz="0" w:space="0" w:color="auto"/>
            <w:left w:val="none" w:sz="0" w:space="0" w:color="auto"/>
            <w:bottom w:val="none" w:sz="0" w:space="0" w:color="auto"/>
            <w:right w:val="none" w:sz="0" w:space="0" w:color="auto"/>
          </w:divBdr>
        </w:div>
        <w:div w:id="367754092">
          <w:marLeft w:val="547"/>
          <w:marRight w:val="0"/>
          <w:marTop w:val="96"/>
          <w:marBottom w:val="60"/>
          <w:divBdr>
            <w:top w:val="none" w:sz="0" w:space="0" w:color="auto"/>
            <w:left w:val="none" w:sz="0" w:space="0" w:color="auto"/>
            <w:bottom w:val="none" w:sz="0" w:space="0" w:color="auto"/>
            <w:right w:val="none" w:sz="0" w:space="0" w:color="auto"/>
          </w:divBdr>
        </w:div>
        <w:div w:id="454831498">
          <w:marLeft w:val="547"/>
          <w:marRight w:val="0"/>
          <w:marTop w:val="96"/>
          <w:marBottom w:val="60"/>
          <w:divBdr>
            <w:top w:val="none" w:sz="0" w:space="0" w:color="auto"/>
            <w:left w:val="none" w:sz="0" w:space="0" w:color="auto"/>
            <w:bottom w:val="none" w:sz="0" w:space="0" w:color="auto"/>
            <w:right w:val="none" w:sz="0" w:space="0" w:color="auto"/>
          </w:divBdr>
        </w:div>
        <w:div w:id="640577586">
          <w:marLeft w:val="547"/>
          <w:marRight w:val="0"/>
          <w:marTop w:val="96"/>
          <w:marBottom w:val="60"/>
          <w:divBdr>
            <w:top w:val="none" w:sz="0" w:space="0" w:color="auto"/>
            <w:left w:val="none" w:sz="0" w:space="0" w:color="auto"/>
            <w:bottom w:val="none" w:sz="0" w:space="0" w:color="auto"/>
            <w:right w:val="none" w:sz="0" w:space="0" w:color="auto"/>
          </w:divBdr>
        </w:div>
        <w:div w:id="1425758253">
          <w:marLeft w:val="547"/>
          <w:marRight w:val="0"/>
          <w:marTop w:val="96"/>
          <w:marBottom w:val="60"/>
          <w:divBdr>
            <w:top w:val="none" w:sz="0" w:space="0" w:color="auto"/>
            <w:left w:val="none" w:sz="0" w:space="0" w:color="auto"/>
            <w:bottom w:val="none" w:sz="0" w:space="0" w:color="auto"/>
            <w:right w:val="none" w:sz="0" w:space="0" w:color="auto"/>
          </w:divBdr>
        </w:div>
        <w:div w:id="1438989672">
          <w:marLeft w:val="547"/>
          <w:marRight w:val="0"/>
          <w:marTop w:val="96"/>
          <w:marBottom w:val="60"/>
          <w:divBdr>
            <w:top w:val="none" w:sz="0" w:space="0" w:color="auto"/>
            <w:left w:val="none" w:sz="0" w:space="0" w:color="auto"/>
            <w:bottom w:val="none" w:sz="0" w:space="0" w:color="auto"/>
            <w:right w:val="none" w:sz="0" w:space="0" w:color="auto"/>
          </w:divBdr>
        </w:div>
      </w:divsChild>
    </w:div>
    <w:div w:id="1670407756">
      <w:bodyDiv w:val="1"/>
      <w:marLeft w:val="0"/>
      <w:marRight w:val="0"/>
      <w:marTop w:val="0"/>
      <w:marBottom w:val="0"/>
      <w:divBdr>
        <w:top w:val="none" w:sz="0" w:space="0" w:color="auto"/>
        <w:left w:val="none" w:sz="0" w:space="0" w:color="auto"/>
        <w:bottom w:val="none" w:sz="0" w:space="0" w:color="auto"/>
        <w:right w:val="none" w:sz="0" w:space="0" w:color="auto"/>
      </w:divBdr>
    </w:div>
    <w:div w:id="1687294333">
      <w:bodyDiv w:val="1"/>
      <w:marLeft w:val="0"/>
      <w:marRight w:val="0"/>
      <w:marTop w:val="0"/>
      <w:marBottom w:val="0"/>
      <w:divBdr>
        <w:top w:val="none" w:sz="0" w:space="0" w:color="auto"/>
        <w:left w:val="none" w:sz="0" w:space="0" w:color="auto"/>
        <w:bottom w:val="none" w:sz="0" w:space="0" w:color="auto"/>
        <w:right w:val="none" w:sz="0" w:space="0" w:color="auto"/>
      </w:divBdr>
    </w:div>
    <w:div w:id="1691955850">
      <w:bodyDiv w:val="1"/>
      <w:marLeft w:val="0"/>
      <w:marRight w:val="0"/>
      <w:marTop w:val="0"/>
      <w:marBottom w:val="0"/>
      <w:divBdr>
        <w:top w:val="none" w:sz="0" w:space="0" w:color="auto"/>
        <w:left w:val="none" w:sz="0" w:space="0" w:color="auto"/>
        <w:bottom w:val="none" w:sz="0" w:space="0" w:color="auto"/>
        <w:right w:val="none" w:sz="0" w:space="0" w:color="auto"/>
      </w:divBdr>
      <w:divsChild>
        <w:div w:id="998774270">
          <w:marLeft w:val="720"/>
          <w:marRight w:val="0"/>
          <w:marTop w:val="96"/>
          <w:marBottom w:val="60"/>
          <w:divBdr>
            <w:top w:val="none" w:sz="0" w:space="0" w:color="auto"/>
            <w:left w:val="none" w:sz="0" w:space="0" w:color="auto"/>
            <w:bottom w:val="none" w:sz="0" w:space="0" w:color="auto"/>
            <w:right w:val="none" w:sz="0" w:space="0" w:color="auto"/>
          </w:divBdr>
        </w:div>
        <w:div w:id="1218317562">
          <w:marLeft w:val="720"/>
          <w:marRight w:val="0"/>
          <w:marTop w:val="96"/>
          <w:marBottom w:val="60"/>
          <w:divBdr>
            <w:top w:val="none" w:sz="0" w:space="0" w:color="auto"/>
            <w:left w:val="none" w:sz="0" w:space="0" w:color="auto"/>
            <w:bottom w:val="none" w:sz="0" w:space="0" w:color="auto"/>
            <w:right w:val="none" w:sz="0" w:space="0" w:color="auto"/>
          </w:divBdr>
        </w:div>
        <w:div w:id="1886523486">
          <w:marLeft w:val="720"/>
          <w:marRight w:val="0"/>
          <w:marTop w:val="96"/>
          <w:marBottom w:val="60"/>
          <w:divBdr>
            <w:top w:val="none" w:sz="0" w:space="0" w:color="auto"/>
            <w:left w:val="none" w:sz="0" w:space="0" w:color="auto"/>
            <w:bottom w:val="none" w:sz="0" w:space="0" w:color="auto"/>
            <w:right w:val="none" w:sz="0" w:space="0" w:color="auto"/>
          </w:divBdr>
        </w:div>
        <w:div w:id="2065175821">
          <w:marLeft w:val="720"/>
          <w:marRight w:val="0"/>
          <w:marTop w:val="96"/>
          <w:marBottom w:val="60"/>
          <w:divBdr>
            <w:top w:val="none" w:sz="0" w:space="0" w:color="auto"/>
            <w:left w:val="none" w:sz="0" w:space="0" w:color="auto"/>
            <w:bottom w:val="none" w:sz="0" w:space="0" w:color="auto"/>
            <w:right w:val="none" w:sz="0" w:space="0" w:color="auto"/>
          </w:divBdr>
        </w:div>
      </w:divsChild>
    </w:div>
    <w:div w:id="1747847121">
      <w:bodyDiv w:val="1"/>
      <w:marLeft w:val="0"/>
      <w:marRight w:val="0"/>
      <w:marTop w:val="0"/>
      <w:marBottom w:val="0"/>
      <w:divBdr>
        <w:top w:val="none" w:sz="0" w:space="0" w:color="auto"/>
        <w:left w:val="none" w:sz="0" w:space="0" w:color="auto"/>
        <w:bottom w:val="none" w:sz="0" w:space="0" w:color="auto"/>
        <w:right w:val="none" w:sz="0" w:space="0" w:color="auto"/>
      </w:divBdr>
    </w:div>
    <w:div w:id="1768043004">
      <w:bodyDiv w:val="1"/>
      <w:marLeft w:val="0"/>
      <w:marRight w:val="0"/>
      <w:marTop w:val="0"/>
      <w:marBottom w:val="0"/>
      <w:divBdr>
        <w:top w:val="none" w:sz="0" w:space="0" w:color="auto"/>
        <w:left w:val="none" w:sz="0" w:space="0" w:color="auto"/>
        <w:bottom w:val="none" w:sz="0" w:space="0" w:color="auto"/>
        <w:right w:val="none" w:sz="0" w:space="0" w:color="auto"/>
      </w:divBdr>
    </w:div>
    <w:div w:id="1805654898">
      <w:bodyDiv w:val="1"/>
      <w:marLeft w:val="0"/>
      <w:marRight w:val="0"/>
      <w:marTop w:val="0"/>
      <w:marBottom w:val="0"/>
      <w:divBdr>
        <w:top w:val="none" w:sz="0" w:space="0" w:color="auto"/>
        <w:left w:val="none" w:sz="0" w:space="0" w:color="auto"/>
        <w:bottom w:val="none" w:sz="0" w:space="0" w:color="auto"/>
        <w:right w:val="none" w:sz="0" w:space="0" w:color="auto"/>
      </w:divBdr>
      <w:divsChild>
        <w:div w:id="92357910">
          <w:marLeft w:val="547"/>
          <w:marRight w:val="0"/>
          <w:marTop w:val="96"/>
          <w:marBottom w:val="0"/>
          <w:divBdr>
            <w:top w:val="none" w:sz="0" w:space="0" w:color="auto"/>
            <w:left w:val="none" w:sz="0" w:space="0" w:color="auto"/>
            <w:bottom w:val="none" w:sz="0" w:space="0" w:color="auto"/>
            <w:right w:val="none" w:sz="0" w:space="0" w:color="auto"/>
          </w:divBdr>
        </w:div>
        <w:div w:id="131799618">
          <w:marLeft w:val="547"/>
          <w:marRight w:val="0"/>
          <w:marTop w:val="96"/>
          <w:marBottom w:val="0"/>
          <w:divBdr>
            <w:top w:val="none" w:sz="0" w:space="0" w:color="auto"/>
            <w:left w:val="none" w:sz="0" w:space="0" w:color="auto"/>
            <w:bottom w:val="none" w:sz="0" w:space="0" w:color="auto"/>
            <w:right w:val="none" w:sz="0" w:space="0" w:color="auto"/>
          </w:divBdr>
        </w:div>
        <w:div w:id="244805491">
          <w:marLeft w:val="547"/>
          <w:marRight w:val="0"/>
          <w:marTop w:val="96"/>
          <w:marBottom w:val="0"/>
          <w:divBdr>
            <w:top w:val="none" w:sz="0" w:space="0" w:color="auto"/>
            <w:left w:val="none" w:sz="0" w:space="0" w:color="auto"/>
            <w:bottom w:val="none" w:sz="0" w:space="0" w:color="auto"/>
            <w:right w:val="none" w:sz="0" w:space="0" w:color="auto"/>
          </w:divBdr>
        </w:div>
        <w:div w:id="996962638">
          <w:marLeft w:val="547"/>
          <w:marRight w:val="0"/>
          <w:marTop w:val="96"/>
          <w:marBottom w:val="0"/>
          <w:divBdr>
            <w:top w:val="none" w:sz="0" w:space="0" w:color="auto"/>
            <w:left w:val="none" w:sz="0" w:space="0" w:color="auto"/>
            <w:bottom w:val="none" w:sz="0" w:space="0" w:color="auto"/>
            <w:right w:val="none" w:sz="0" w:space="0" w:color="auto"/>
          </w:divBdr>
        </w:div>
        <w:div w:id="1235312852">
          <w:marLeft w:val="547"/>
          <w:marRight w:val="0"/>
          <w:marTop w:val="96"/>
          <w:marBottom w:val="0"/>
          <w:divBdr>
            <w:top w:val="none" w:sz="0" w:space="0" w:color="auto"/>
            <w:left w:val="none" w:sz="0" w:space="0" w:color="auto"/>
            <w:bottom w:val="none" w:sz="0" w:space="0" w:color="auto"/>
            <w:right w:val="none" w:sz="0" w:space="0" w:color="auto"/>
          </w:divBdr>
        </w:div>
        <w:div w:id="1289967255">
          <w:marLeft w:val="547"/>
          <w:marRight w:val="0"/>
          <w:marTop w:val="96"/>
          <w:marBottom w:val="0"/>
          <w:divBdr>
            <w:top w:val="none" w:sz="0" w:space="0" w:color="auto"/>
            <w:left w:val="none" w:sz="0" w:space="0" w:color="auto"/>
            <w:bottom w:val="none" w:sz="0" w:space="0" w:color="auto"/>
            <w:right w:val="none" w:sz="0" w:space="0" w:color="auto"/>
          </w:divBdr>
        </w:div>
        <w:div w:id="1430157370">
          <w:marLeft w:val="547"/>
          <w:marRight w:val="0"/>
          <w:marTop w:val="96"/>
          <w:marBottom w:val="0"/>
          <w:divBdr>
            <w:top w:val="none" w:sz="0" w:space="0" w:color="auto"/>
            <w:left w:val="none" w:sz="0" w:space="0" w:color="auto"/>
            <w:bottom w:val="none" w:sz="0" w:space="0" w:color="auto"/>
            <w:right w:val="none" w:sz="0" w:space="0" w:color="auto"/>
          </w:divBdr>
        </w:div>
        <w:div w:id="1831477330">
          <w:marLeft w:val="547"/>
          <w:marRight w:val="0"/>
          <w:marTop w:val="96"/>
          <w:marBottom w:val="0"/>
          <w:divBdr>
            <w:top w:val="none" w:sz="0" w:space="0" w:color="auto"/>
            <w:left w:val="none" w:sz="0" w:space="0" w:color="auto"/>
            <w:bottom w:val="none" w:sz="0" w:space="0" w:color="auto"/>
            <w:right w:val="none" w:sz="0" w:space="0" w:color="auto"/>
          </w:divBdr>
        </w:div>
      </w:divsChild>
    </w:div>
    <w:div w:id="1826778497">
      <w:bodyDiv w:val="1"/>
      <w:marLeft w:val="0"/>
      <w:marRight w:val="0"/>
      <w:marTop w:val="0"/>
      <w:marBottom w:val="0"/>
      <w:divBdr>
        <w:top w:val="none" w:sz="0" w:space="0" w:color="auto"/>
        <w:left w:val="none" w:sz="0" w:space="0" w:color="auto"/>
        <w:bottom w:val="none" w:sz="0" w:space="0" w:color="auto"/>
        <w:right w:val="none" w:sz="0" w:space="0" w:color="auto"/>
      </w:divBdr>
    </w:div>
    <w:div w:id="1833787956">
      <w:bodyDiv w:val="1"/>
      <w:marLeft w:val="0"/>
      <w:marRight w:val="0"/>
      <w:marTop w:val="0"/>
      <w:marBottom w:val="0"/>
      <w:divBdr>
        <w:top w:val="none" w:sz="0" w:space="0" w:color="auto"/>
        <w:left w:val="none" w:sz="0" w:space="0" w:color="auto"/>
        <w:bottom w:val="none" w:sz="0" w:space="0" w:color="auto"/>
        <w:right w:val="none" w:sz="0" w:space="0" w:color="auto"/>
      </w:divBdr>
      <w:divsChild>
        <w:div w:id="254241535">
          <w:marLeft w:val="547"/>
          <w:marRight w:val="0"/>
          <w:marTop w:val="96"/>
          <w:marBottom w:val="60"/>
          <w:divBdr>
            <w:top w:val="none" w:sz="0" w:space="0" w:color="auto"/>
            <w:left w:val="none" w:sz="0" w:space="0" w:color="auto"/>
            <w:bottom w:val="none" w:sz="0" w:space="0" w:color="auto"/>
            <w:right w:val="none" w:sz="0" w:space="0" w:color="auto"/>
          </w:divBdr>
        </w:div>
        <w:div w:id="2009480760">
          <w:marLeft w:val="547"/>
          <w:marRight w:val="0"/>
          <w:marTop w:val="96"/>
          <w:marBottom w:val="60"/>
          <w:divBdr>
            <w:top w:val="none" w:sz="0" w:space="0" w:color="auto"/>
            <w:left w:val="none" w:sz="0" w:space="0" w:color="auto"/>
            <w:bottom w:val="none" w:sz="0" w:space="0" w:color="auto"/>
            <w:right w:val="none" w:sz="0" w:space="0" w:color="auto"/>
          </w:divBdr>
        </w:div>
      </w:divsChild>
    </w:div>
    <w:div w:id="1842308884">
      <w:bodyDiv w:val="1"/>
      <w:marLeft w:val="0"/>
      <w:marRight w:val="0"/>
      <w:marTop w:val="0"/>
      <w:marBottom w:val="0"/>
      <w:divBdr>
        <w:top w:val="none" w:sz="0" w:space="0" w:color="auto"/>
        <w:left w:val="none" w:sz="0" w:space="0" w:color="auto"/>
        <w:bottom w:val="none" w:sz="0" w:space="0" w:color="auto"/>
        <w:right w:val="none" w:sz="0" w:space="0" w:color="auto"/>
      </w:divBdr>
    </w:div>
    <w:div w:id="1842357354">
      <w:bodyDiv w:val="1"/>
      <w:marLeft w:val="0"/>
      <w:marRight w:val="0"/>
      <w:marTop w:val="0"/>
      <w:marBottom w:val="0"/>
      <w:divBdr>
        <w:top w:val="none" w:sz="0" w:space="0" w:color="auto"/>
        <w:left w:val="none" w:sz="0" w:space="0" w:color="auto"/>
        <w:bottom w:val="none" w:sz="0" w:space="0" w:color="auto"/>
        <w:right w:val="none" w:sz="0" w:space="0" w:color="auto"/>
      </w:divBdr>
    </w:div>
    <w:div w:id="1848867773">
      <w:bodyDiv w:val="1"/>
      <w:marLeft w:val="0"/>
      <w:marRight w:val="0"/>
      <w:marTop w:val="0"/>
      <w:marBottom w:val="0"/>
      <w:divBdr>
        <w:top w:val="none" w:sz="0" w:space="0" w:color="auto"/>
        <w:left w:val="none" w:sz="0" w:space="0" w:color="auto"/>
        <w:bottom w:val="none" w:sz="0" w:space="0" w:color="auto"/>
        <w:right w:val="none" w:sz="0" w:space="0" w:color="auto"/>
      </w:divBdr>
    </w:div>
    <w:div w:id="1858738019">
      <w:bodyDiv w:val="1"/>
      <w:marLeft w:val="0"/>
      <w:marRight w:val="0"/>
      <w:marTop w:val="0"/>
      <w:marBottom w:val="0"/>
      <w:divBdr>
        <w:top w:val="none" w:sz="0" w:space="0" w:color="auto"/>
        <w:left w:val="none" w:sz="0" w:space="0" w:color="auto"/>
        <w:bottom w:val="none" w:sz="0" w:space="0" w:color="auto"/>
        <w:right w:val="none" w:sz="0" w:space="0" w:color="auto"/>
      </w:divBdr>
    </w:div>
    <w:div w:id="1934169440">
      <w:bodyDiv w:val="1"/>
      <w:marLeft w:val="0"/>
      <w:marRight w:val="0"/>
      <w:marTop w:val="0"/>
      <w:marBottom w:val="0"/>
      <w:divBdr>
        <w:top w:val="none" w:sz="0" w:space="0" w:color="auto"/>
        <w:left w:val="none" w:sz="0" w:space="0" w:color="auto"/>
        <w:bottom w:val="none" w:sz="0" w:space="0" w:color="auto"/>
        <w:right w:val="none" w:sz="0" w:space="0" w:color="auto"/>
      </w:divBdr>
    </w:div>
    <w:div w:id="1942906577">
      <w:bodyDiv w:val="1"/>
      <w:marLeft w:val="0"/>
      <w:marRight w:val="0"/>
      <w:marTop w:val="0"/>
      <w:marBottom w:val="0"/>
      <w:divBdr>
        <w:top w:val="none" w:sz="0" w:space="0" w:color="auto"/>
        <w:left w:val="none" w:sz="0" w:space="0" w:color="auto"/>
        <w:bottom w:val="none" w:sz="0" w:space="0" w:color="auto"/>
        <w:right w:val="none" w:sz="0" w:space="0" w:color="auto"/>
      </w:divBdr>
    </w:div>
    <w:div w:id="1978756348">
      <w:bodyDiv w:val="1"/>
      <w:marLeft w:val="0"/>
      <w:marRight w:val="0"/>
      <w:marTop w:val="0"/>
      <w:marBottom w:val="0"/>
      <w:divBdr>
        <w:top w:val="none" w:sz="0" w:space="0" w:color="auto"/>
        <w:left w:val="none" w:sz="0" w:space="0" w:color="auto"/>
        <w:bottom w:val="none" w:sz="0" w:space="0" w:color="auto"/>
        <w:right w:val="none" w:sz="0" w:space="0" w:color="auto"/>
      </w:divBdr>
      <w:divsChild>
        <w:div w:id="1760254185">
          <w:marLeft w:val="0"/>
          <w:marRight w:val="0"/>
          <w:marTop w:val="0"/>
          <w:marBottom w:val="0"/>
          <w:divBdr>
            <w:top w:val="none" w:sz="0" w:space="0" w:color="auto"/>
            <w:left w:val="none" w:sz="0" w:space="0" w:color="auto"/>
            <w:bottom w:val="none" w:sz="0" w:space="0" w:color="auto"/>
            <w:right w:val="none" w:sz="0" w:space="0" w:color="auto"/>
          </w:divBdr>
          <w:divsChild>
            <w:div w:id="2065173264">
              <w:marLeft w:val="0"/>
              <w:marRight w:val="0"/>
              <w:marTop w:val="0"/>
              <w:marBottom w:val="0"/>
              <w:divBdr>
                <w:top w:val="none" w:sz="0" w:space="0" w:color="auto"/>
                <w:left w:val="none" w:sz="0" w:space="0" w:color="auto"/>
                <w:bottom w:val="none" w:sz="0" w:space="0" w:color="auto"/>
                <w:right w:val="none" w:sz="0" w:space="0" w:color="auto"/>
              </w:divBdr>
              <w:divsChild>
                <w:div w:id="2026320122">
                  <w:marLeft w:val="0"/>
                  <w:marRight w:val="0"/>
                  <w:marTop w:val="0"/>
                  <w:marBottom w:val="0"/>
                  <w:divBdr>
                    <w:top w:val="none" w:sz="0" w:space="0" w:color="auto"/>
                    <w:left w:val="none" w:sz="0" w:space="0" w:color="auto"/>
                    <w:bottom w:val="none" w:sz="0" w:space="0" w:color="auto"/>
                    <w:right w:val="none" w:sz="0" w:space="0" w:color="auto"/>
                  </w:divBdr>
                  <w:divsChild>
                    <w:div w:id="1363095048">
                      <w:marLeft w:val="0"/>
                      <w:marRight w:val="0"/>
                      <w:marTop w:val="0"/>
                      <w:marBottom w:val="0"/>
                      <w:divBdr>
                        <w:top w:val="none" w:sz="0" w:space="0" w:color="auto"/>
                        <w:left w:val="none" w:sz="0" w:space="0" w:color="auto"/>
                        <w:bottom w:val="none" w:sz="0" w:space="0" w:color="auto"/>
                        <w:right w:val="none" w:sz="0" w:space="0" w:color="auto"/>
                      </w:divBdr>
                      <w:divsChild>
                        <w:div w:id="1667782254">
                          <w:marLeft w:val="0"/>
                          <w:marRight w:val="0"/>
                          <w:marTop w:val="0"/>
                          <w:marBottom w:val="0"/>
                          <w:divBdr>
                            <w:top w:val="none" w:sz="0" w:space="0" w:color="auto"/>
                            <w:left w:val="none" w:sz="0" w:space="0" w:color="auto"/>
                            <w:bottom w:val="none" w:sz="0" w:space="0" w:color="auto"/>
                            <w:right w:val="none" w:sz="0" w:space="0" w:color="auto"/>
                          </w:divBdr>
                          <w:divsChild>
                            <w:div w:id="7607316">
                              <w:marLeft w:val="0"/>
                              <w:marRight w:val="0"/>
                              <w:marTop w:val="0"/>
                              <w:marBottom w:val="0"/>
                              <w:divBdr>
                                <w:top w:val="none" w:sz="0" w:space="0" w:color="auto"/>
                                <w:left w:val="none" w:sz="0" w:space="0" w:color="auto"/>
                                <w:bottom w:val="none" w:sz="0" w:space="0" w:color="auto"/>
                                <w:right w:val="none" w:sz="0" w:space="0" w:color="auto"/>
                              </w:divBdr>
                              <w:divsChild>
                                <w:div w:id="293996338">
                                  <w:marLeft w:val="0"/>
                                  <w:marRight w:val="0"/>
                                  <w:marTop w:val="0"/>
                                  <w:marBottom w:val="0"/>
                                  <w:divBdr>
                                    <w:top w:val="none" w:sz="0" w:space="0" w:color="auto"/>
                                    <w:left w:val="none" w:sz="0" w:space="0" w:color="auto"/>
                                    <w:bottom w:val="none" w:sz="0" w:space="0" w:color="auto"/>
                                    <w:right w:val="none" w:sz="0" w:space="0" w:color="auto"/>
                                  </w:divBdr>
                                  <w:divsChild>
                                    <w:div w:id="212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0664">
      <w:bodyDiv w:val="1"/>
      <w:marLeft w:val="0"/>
      <w:marRight w:val="0"/>
      <w:marTop w:val="0"/>
      <w:marBottom w:val="0"/>
      <w:divBdr>
        <w:top w:val="none" w:sz="0" w:space="0" w:color="auto"/>
        <w:left w:val="none" w:sz="0" w:space="0" w:color="auto"/>
        <w:bottom w:val="none" w:sz="0" w:space="0" w:color="auto"/>
        <w:right w:val="none" w:sz="0" w:space="0" w:color="auto"/>
      </w:divBdr>
      <w:divsChild>
        <w:div w:id="723330734">
          <w:marLeft w:val="0"/>
          <w:marRight w:val="0"/>
          <w:marTop w:val="0"/>
          <w:marBottom w:val="0"/>
          <w:divBdr>
            <w:top w:val="none" w:sz="0" w:space="0" w:color="auto"/>
            <w:left w:val="none" w:sz="0" w:space="0" w:color="auto"/>
            <w:bottom w:val="none" w:sz="0" w:space="0" w:color="auto"/>
            <w:right w:val="none" w:sz="0" w:space="0" w:color="auto"/>
          </w:divBdr>
          <w:divsChild>
            <w:div w:id="1935702179">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150"/>
                  <w:marTop w:val="0"/>
                  <w:marBottom w:val="0"/>
                  <w:divBdr>
                    <w:top w:val="none" w:sz="0" w:space="0" w:color="auto"/>
                    <w:left w:val="none" w:sz="0" w:space="0" w:color="auto"/>
                    <w:bottom w:val="none" w:sz="0" w:space="0" w:color="auto"/>
                    <w:right w:val="none" w:sz="0" w:space="0" w:color="auto"/>
                  </w:divBdr>
                  <w:divsChild>
                    <w:div w:id="778568260">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20131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2.png"/><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customXml" Target="../customXml/item4.xml"/><Relationship Id="rId20" Type="http://schemas.openxmlformats.org/officeDocument/2006/relationships/header" Target="header3.xml"/><Relationship Id="rId41" Type="http://schemas.openxmlformats.org/officeDocument/2006/relationships/footer" Target="footer6.xml"/></Relationships>
</file>

<file path=word/_rels/endnotes.xml.rels><?xml version="1.0" encoding="UTF-8" standalone="yes"?>
<Relationships xmlns="http://schemas.openxmlformats.org/package/2006/relationships"><Relationship Id="rId1" Type="http://schemas.openxmlformats.org/officeDocument/2006/relationships/hyperlink" Target="http://www.thejakartapost.com/news/2013/08/22/govt-seeks-expand-access-education.html%20on%205%20January%20201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tranet2.ausaid.gov.au/sharedsites/arf/Headlineresultsreportingkeydocuments/Forms/Main.aspx?RootFolder=%2fsharedsites%2farf%2fHeadlineresultsreportingkeydocuments%2fHeadline%20Results%20Technical%20Not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_rels/header8.xml.rels><?xml version="1.0" encoding="UTF-8" standalone="yes"?>
<Relationships xmlns="http://schemas.openxmlformats.org/package/2006/relationships"><Relationship Id="rId1" Type="http://schemas.openxmlformats.org/officeDocument/2006/relationships/image" Target="media/image7.emf"/></Relationships>
</file>

<file path=word/_rels/header9.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Missing / NA</c:v>
                </c:pt>
              </c:strCache>
            </c:strRef>
          </c:tx>
          <c:spPr>
            <a:solidFill>
              <a:schemeClr val="tx1"/>
            </a:solidFill>
          </c:spPr>
          <c:invertIfNegative val="0"/>
          <c:cat>
            <c:strRef>
              <c:f>Sheet1!$B$1:$I$1</c:f>
              <c:strCache>
                <c:ptCount val="8"/>
                <c:pt idx="0">
                  <c:v>2004/2005</c:v>
                </c:pt>
                <c:pt idx="1">
                  <c:v>2005/2006</c:v>
                </c:pt>
                <c:pt idx="2">
                  <c:v>2006/2007</c:v>
                </c:pt>
                <c:pt idx="3">
                  <c:v>2007/2008</c:v>
                </c:pt>
                <c:pt idx="4">
                  <c:v>2008/2009</c:v>
                </c:pt>
                <c:pt idx="5">
                  <c:v>2009/2010</c:v>
                </c:pt>
                <c:pt idx="6">
                  <c:v>2010/2011</c:v>
                </c:pt>
                <c:pt idx="7">
                  <c:v>2011/2012</c:v>
                </c:pt>
              </c:strCache>
            </c:strRef>
          </c:cat>
          <c:val>
            <c:numRef>
              <c:f>Sheet1!$B$2:$I$2</c:f>
              <c:numCache>
                <c:formatCode>General</c:formatCode>
                <c:ptCount val="8"/>
                <c:pt idx="0">
                  <c:v>98</c:v>
                </c:pt>
                <c:pt idx="1">
                  <c:v>74</c:v>
                </c:pt>
                <c:pt idx="2">
                  <c:v>58</c:v>
                </c:pt>
                <c:pt idx="3">
                  <c:v>57</c:v>
                </c:pt>
                <c:pt idx="4">
                  <c:v>40</c:v>
                </c:pt>
                <c:pt idx="5">
                  <c:v>39</c:v>
                </c:pt>
                <c:pt idx="6">
                  <c:v>0</c:v>
                </c:pt>
                <c:pt idx="7">
                  <c:v>0</c:v>
                </c:pt>
              </c:numCache>
            </c:numRef>
          </c:val>
        </c:ser>
        <c:ser>
          <c:idx val="1"/>
          <c:order val="1"/>
          <c:tx>
            <c:strRef>
              <c:f>Sheet1!$A$3</c:f>
              <c:strCache>
                <c:ptCount val="1"/>
                <c:pt idx="0">
                  <c:v>GER &lt;75%</c:v>
                </c:pt>
              </c:strCache>
            </c:strRef>
          </c:tx>
          <c:invertIfNegative val="0"/>
          <c:dLbls>
            <c:dLbl>
              <c:idx val="3"/>
              <c:layout>
                <c:manualLayout>
                  <c:x val="3.9980474565825749E-2"/>
                  <c:y val="0"/>
                </c:manualLayout>
              </c:layout>
              <c:showLegendKey val="0"/>
              <c:showVal val="1"/>
              <c:showCatName val="0"/>
              <c:showSerName val="0"/>
              <c:showPercent val="0"/>
              <c:showBubbleSize val="0"/>
            </c:dLbl>
            <c:dLbl>
              <c:idx val="4"/>
              <c:layout>
                <c:manualLayout>
                  <c:x val="3.7624919547108546E-2"/>
                  <c:y val="0"/>
                </c:manualLayout>
              </c:layout>
              <c:showLegendKey val="0"/>
              <c:showVal val="1"/>
              <c:showCatName val="0"/>
              <c:showSerName val="0"/>
              <c:showPercent val="0"/>
              <c:showBubbleSize val="0"/>
            </c:dLbl>
            <c:dLbl>
              <c:idx val="5"/>
              <c:layout>
                <c:manualLayout>
                  <c:x val="3.9976477018802831E-2"/>
                  <c:y val="3.9331354584239706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Sheet1!$B$1:$I$1</c:f>
              <c:strCache>
                <c:ptCount val="8"/>
                <c:pt idx="0">
                  <c:v>2004/2005</c:v>
                </c:pt>
                <c:pt idx="1">
                  <c:v>2005/2006</c:v>
                </c:pt>
                <c:pt idx="2">
                  <c:v>2006/2007</c:v>
                </c:pt>
                <c:pt idx="3">
                  <c:v>2007/2008</c:v>
                </c:pt>
                <c:pt idx="4">
                  <c:v>2008/2009</c:v>
                </c:pt>
                <c:pt idx="5">
                  <c:v>2009/2010</c:v>
                </c:pt>
                <c:pt idx="6">
                  <c:v>2010/2011</c:v>
                </c:pt>
                <c:pt idx="7">
                  <c:v>2011/2012</c:v>
                </c:pt>
              </c:strCache>
            </c:strRef>
          </c:cat>
          <c:val>
            <c:numRef>
              <c:f>Sheet1!$B$3:$I$3</c:f>
              <c:numCache>
                <c:formatCode>General</c:formatCode>
                <c:ptCount val="8"/>
                <c:pt idx="0">
                  <c:v>42</c:v>
                </c:pt>
                <c:pt idx="1">
                  <c:v>55</c:v>
                </c:pt>
                <c:pt idx="2">
                  <c:v>61</c:v>
                </c:pt>
                <c:pt idx="3">
                  <c:v>18</c:v>
                </c:pt>
                <c:pt idx="4">
                  <c:v>4</c:v>
                </c:pt>
                <c:pt idx="5">
                  <c:v>5</c:v>
                </c:pt>
                <c:pt idx="6">
                  <c:v>27</c:v>
                </c:pt>
                <c:pt idx="7">
                  <c:v>24</c:v>
                </c:pt>
              </c:numCache>
            </c:numRef>
          </c:val>
        </c:ser>
        <c:ser>
          <c:idx val="2"/>
          <c:order val="2"/>
          <c:tx>
            <c:strRef>
              <c:f>Sheet1!$A$4</c:f>
              <c:strCache>
                <c:ptCount val="1"/>
                <c:pt idx="0">
                  <c:v>GER 75% - &lt;90%</c:v>
                </c:pt>
              </c:strCache>
            </c:strRef>
          </c:tx>
          <c:spPr>
            <a:solidFill>
              <a:schemeClr val="accent2">
                <a:lumMod val="40000"/>
                <a:lumOff val="6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Sheet1!$B$1:$I$1</c:f>
              <c:strCache>
                <c:ptCount val="8"/>
                <c:pt idx="0">
                  <c:v>2004/2005</c:v>
                </c:pt>
                <c:pt idx="1">
                  <c:v>2005/2006</c:v>
                </c:pt>
                <c:pt idx="2">
                  <c:v>2006/2007</c:v>
                </c:pt>
                <c:pt idx="3">
                  <c:v>2007/2008</c:v>
                </c:pt>
                <c:pt idx="4">
                  <c:v>2008/2009</c:v>
                </c:pt>
                <c:pt idx="5">
                  <c:v>2009/2010</c:v>
                </c:pt>
                <c:pt idx="6">
                  <c:v>2010/2011</c:v>
                </c:pt>
                <c:pt idx="7">
                  <c:v>2011/2012</c:v>
                </c:pt>
              </c:strCache>
            </c:strRef>
          </c:cat>
          <c:val>
            <c:numRef>
              <c:f>Sheet1!$B$4:$I$4</c:f>
              <c:numCache>
                <c:formatCode>General</c:formatCode>
                <c:ptCount val="8"/>
                <c:pt idx="0">
                  <c:v>142</c:v>
                </c:pt>
                <c:pt idx="1">
                  <c:v>130</c:v>
                </c:pt>
                <c:pt idx="2">
                  <c:v>124</c:v>
                </c:pt>
                <c:pt idx="3">
                  <c:v>122</c:v>
                </c:pt>
                <c:pt idx="4">
                  <c:v>106</c:v>
                </c:pt>
                <c:pt idx="5">
                  <c:v>107</c:v>
                </c:pt>
                <c:pt idx="6">
                  <c:v>107</c:v>
                </c:pt>
                <c:pt idx="7">
                  <c:v>99</c:v>
                </c:pt>
              </c:numCache>
            </c:numRef>
          </c:val>
        </c:ser>
        <c:ser>
          <c:idx val="3"/>
          <c:order val="3"/>
          <c:tx>
            <c:strRef>
              <c:f>Sheet1!$A$5</c:f>
              <c:strCache>
                <c:ptCount val="1"/>
                <c:pt idx="0">
                  <c:v>GER 90% - &lt;95%</c:v>
                </c:pt>
              </c:strCache>
            </c:strRef>
          </c:tx>
          <c:spPr>
            <a:solidFill>
              <a:schemeClr val="tx2">
                <a:lumMod val="40000"/>
                <a:lumOff val="6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Sheet1!$B$1:$I$1</c:f>
              <c:strCache>
                <c:ptCount val="8"/>
                <c:pt idx="0">
                  <c:v>2004/2005</c:v>
                </c:pt>
                <c:pt idx="1">
                  <c:v>2005/2006</c:v>
                </c:pt>
                <c:pt idx="2">
                  <c:v>2006/2007</c:v>
                </c:pt>
                <c:pt idx="3">
                  <c:v>2007/2008</c:v>
                </c:pt>
                <c:pt idx="4">
                  <c:v>2008/2009</c:v>
                </c:pt>
                <c:pt idx="5">
                  <c:v>2009/2010</c:v>
                </c:pt>
                <c:pt idx="6">
                  <c:v>2010/2011</c:v>
                </c:pt>
                <c:pt idx="7">
                  <c:v>2011/2012</c:v>
                </c:pt>
              </c:strCache>
            </c:strRef>
          </c:cat>
          <c:val>
            <c:numRef>
              <c:f>Sheet1!$B$5:$I$5</c:f>
              <c:numCache>
                <c:formatCode>General</c:formatCode>
                <c:ptCount val="8"/>
                <c:pt idx="0">
                  <c:v>51</c:v>
                </c:pt>
                <c:pt idx="1">
                  <c:v>53</c:v>
                </c:pt>
                <c:pt idx="2">
                  <c:v>54</c:v>
                </c:pt>
                <c:pt idx="3">
                  <c:v>56</c:v>
                </c:pt>
                <c:pt idx="4">
                  <c:v>55</c:v>
                </c:pt>
                <c:pt idx="5">
                  <c:v>55</c:v>
                </c:pt>
                <c:pt idx="6">
                  <c:v>66</c:v>
                </c:pt>
                <c:pt idx="7">
                  <c:v>50</c:v>
                </c:pt>
              </c:numCache>
            </c:numRef>
          </c:val>
        </c:ser>
        <c:ser>
          <c:idx val="4"/>
          <c:order val="4"/>
          <c:tx>
            <c:strRef>
              <c:f>Sheet1!$A$6</c:f>
              <c:strCache>
                <c:ptCount val="1"/>
                <c:pt idx="0">
                  <c:v>GER &gt;95%</c:v>
                </c:pt>
              </c:strCache>
            </c:strRef>
          </c:tx>
          <c:spPr>
            <a:solidFill>
              <a:schemeClr val="tx2"/>
            </a:solidFill>
          </c:spPr>
          <c:invertIfNegative val="0"/>
          <c:dLbls>
            <c:txPr>
              <a:bodyPr/>
              <a:lstStyle/>
              <a:p>
                <a:pPr>
                  <a:defRPr sz="800">
                    <a:solidFill>
                      <a:schemeClr val="bg1"/>
                    </a:solidFill>
                  </a:defRPr>
                </a:pPr>
                <a:endParaRPr lang="en-US"/>
              </a:p>
            </c:txPr>
            <c:showLegendKey val="0"/>
            <c:showVal val="1"/>
            <c:showCatName val="0"/>
            <c:showSerName val="0"/>
            <c:showPercent val="0"/>
            <c:showBubbleSize val="0"/>
            <c:showLeaderLines val="0"/>
          </c:dLbls>
          <c:cat>
            <c:strRef>
              <c:f>Sheet1!$B$1:$I$1</c:f>
              <c:strCache>
                <c:ptCount val="8"/>
                <c:pt idx="0">
                  <c:v>2004/2005</c:v>
                </c:pt>
                <c:pt idx="1">
                  <c:v>2005/2006</c:v>
                </c:pt>
                <c:pt idx="2">
                  <c:v>2006/2007</c:v>
                </c:pt>
                <c:pt idx="3">
                  <c:v>2007/2008</c:v>
                </c:pt>
                <c:pt idx="4">
                  <c:v>2008/2009</c:v>
                </c:pt>
                <c:pt idx="5">
                  <c:v>2009/2010</c:v>
                </c:pt>
                <c:pt idx="6">
                  <c:v>2010/2011</c:v>
                </c:pt>
                <c:pt idx="7">
                  <c:v>2011/2012</c:v>
                </c:pt>
              </c:strCache>
            </c:strRef>
          </c:cat>
          <c:val>
            <c:numRef>
              <c:f>Sheet1!$B$6:$I$6</c:f>
              <c:numCache>
                <c:formatCode>General</c:formatCode>
                <c:ptCount val="8"/>
                <c:pt idx="0">
                  <c:v>164</c:v>
                </c:pt>
                <c:pt idx="1">
                  <c:v>185</c:v>
                </c:pt>
                <c:pt idx="2">
                  <c:v>200</c:v>
                </c:pt>
                <c:pt idx="3">
                  <c:v>244</c:v>
                </c:pt>
                <c:pt idx="4">
                  <c:v>292</c:v>
                </c:pt>
                <c:pt idx="5">
                  <c:v>291</c:v>
                </c:pt>
                <c:pt idx="6">
                  <c:v>297</c:v>
                </c:pt>
                <c:pt idx="7">
                  <c:v>324</c:v>
                </c:pt>
              </c:numCache>
            </c:numRef>
          </c:val>
        </c:ser>
        <c:dLbls>
          <c:showLegendKey val="0"/>
          <c:showVal val="0"/>
          <c:showCatName val="0"/>
          <c:showSerName val="0"/>
          <c:showPercent val="0"/>
          <c:showBubbleSize val="0"/>
        </c:dLbls>
        <c:gapWidth val="60"/>
        <c:overlap val="100"/>
        <c:axId val="132579328"/>
        <c:axId val="132580864"/>
      </c:barChart>
      <c:catAx>
        <c:axId val="132579328"/>
        <c:scaling>
          <c:orientation val="minMax"/>
        </c:scaling>
        <c:delete val="0"/>
        <c:axPos val="b"/>
        <c:majorTickMark val="out"/>
        <c:minorTickMark val="none"/>
        <c:tickLblPos val="nextTo"/>
        <c:crossAx val="132580864"/>
        <c:crosses val="autoZero"/>
        <c:auto val="1"/>
        <c:lblAlgn val="ctr"/>
        <c:lblOffset val="100"/>
        <c:noMultiLvlLbl val="0"/>
      </c:catAx>
      <c:valAx>
        <c:axId val="132580864"/>
        <c:scaling>
          <c:orientation val="minMax"/>
          <c:max val="500"/>
        </c:scaling>
        <c:delete val="0"/>
        <c:axPos val="l"/>
        <c:numFmt formatCode="General" sourceLinked="1"/>
        <c:majorTickMark val="out"/>
        <c:minorTickMark val="none"/>
        <c:tickLblPos val="nextTo"/>
        <c:crossAx val="132579328"/>
        <c:crosses val="autoZero"/>
        <c:crossBetween val="between"/>
        <c:majorUnit val="1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E40AF-8374-4696-90E0-B98F28B6FC51}"/>
</file>

<file path=customXml/itemProps2.xml><?xml version="1.0" encoding="utf-8"?>
<ds:datastoreItem xmlns:ds="http://schemas.openxmlformats.org/officeDocument/2006/customXml" ds:itemID="{061DC7A8-27B2-4B6D-A7DE-90DB94BA7CD8}"/>
</file>

<file path=customXml/itemProps3.xml><?xml version="1.0" encoding="utf-8"?>
<ds:datastoreItem xmlns:ds="http://schemas.openxmlformats.org/officeDocument/2006/customXml" ds:itemID="{AE545BAC-F7E5-4E13-9F17-0D330EB26BFE}"/>
</file>

<file path=customXml/itemProps4.xml><?xml version="1.0" encoding="utf-8"?>
<ds:datastoreItem xmlns:ds="http://schemas.openxmlformats.org/officeDocument/2006/customXml" ds:itemID="{40647BE8-BB0C-414E-99AF-348B0F7C5901}"/>
</file>

<file path=docProps/app.xml><?xml version="1.0" encoding="utf-8"?>
<Properties xmlns="http://schemas.openxmlformats.org/officeDocument/2006/extended-properties" xmlns:vt="http://schemas.openxmlformats.org/officeDocument/2006/docPropsVTypes">
  <Template>1E894A98.dotm</Template>
  <TotalTime>0</TotalTime>
  <Pages>90</Pages>
  <Words>22983</Words>
  <Characters>132941</Characters>
  <Application>Microsoft Office Word</Application>
  <DocSecurity>0</DocSecurity>
  <Lines>1107</Lines>
  <Paragraphs>311</Paragraphs>
  <ScaleCrop>false</ScaleCrop>
  <Company/>
  <LinksUpToDate>false</LinksUpToDate>
  <CharactersWithSpaces>155613</CharactersWithSpaces>
  <SharedDoc>false</SharedDoc>
  <HLinks>
    <vt:vector size="228" baseType="variant">
      <vt:variant>
        <vt:i4>1703996</vt:i4>
      </vt:variant>
      <vt:variant>
        <vt:i4>224</vt:i4>
      </vt:variant>
      <vt:variant>
        <vt:i4>0</vt:i4>
      </vt:variant>
      <vt:variant>
        <vt:i4>5</vt:i4>
      </vt:variant>
      <vt:variant>
        <vt:lpwstr/>
      </vt:variant>
      <vt:variant>
        <vt:lpwstr>_Toc353955940</vt:lpwstr>
      </vt:variant>
      <vt:variant>
        <vt:i4>1900604</vt:i4>
      </vt:variant>
      <vt:variant>
        <vt:i4>218</vt:i4>
      </vt:variant>
      <vt:variant>
        <vt:i4>0</vt:i4>
      </vt:variant>
      <vt:variant>
        <vt:i4>5</vt:i4>
      </vt:variant>
      <vt:variant>
        <vt:lpwstr/>
      </vt:variant>
      <vt:variant>
        <vt:lpwstr>_Toc353955939</vt:lpwstr>
      </vt:variant>
      <vt:variant>
        <vt:i4>1900604</vt:i4>
      </vt:variant>
      <vt:variant>
        <vt:i4>212</vt:i4>
      </vt:variant>
      <vt:variant>
        <vt:i4>0</vt:i4>
      </vt:variant>
      <vt:variant>
        <vt:i4>5</vt:i4>
      </vt:variant>
      <vt:variant>
        <vt:lpwstr/>
      </vt:variant>
      <vt:variant>
        <vt:lpwstr>_Toc353955938</vt:lpwstr>
      </vt:variant>
      <vt:variant>
        <vt:i4>1900604</vt:i4>
      </vt:variant>
      <vt:variant>
        <vt:i4>206</vt:i4>
      </vt:variant>
      <vt:variant>
        <vt:i4>0</vt:i4>
      </vt:variant>
      <vt:variant>
        <vt:i4>5</vt:i4>
      </vt:variant>
      <vt:variant>
        <vt:lpwstr/>
      </vt:variant>
      <vt:variant>
        <vt:lpwstr>_Toc353955937</vt:lpwstr>
      </vt:variant>
      <vt:variant>
        <vt:i4>1900604</vt:i4>
      </vt:variant>
      <vt:variant>
        <vt:i4>200</vt:i4>
      </vt:variant>
      <vt:variant>
        <vt:i4>0</vt:i4>
      </vt:variant>
      <vt:variant>
        <vt:i4>5</vt:i4>
      </vt:variant>
      <vt:variant>
        <vt:lpwstr/>
      </vt:variant>
      <vt:variant>
        <vt:lpwstr>_Toc353955936</vt:lpwstr>
      </vt:variant>
      <vt:variant>
        <vt:i4>1900604</vt:i4>
      </vt:variant>
      <vt:variant>
        <vt:i4>194</vt:i4>
      </vt:variant>
      <vt:variant>
        <vt:i4>0</vt:i4>
      </vt:variant>
      <vt:variant>
        <vt:i4>5</vt:i4>
      </vt:variant>
      <vt:variant>
        <vt:lpwstr/>
      </vt:variant>
      <vt:variant>
        <vt:lpwstr>_Toc353955935</vt:lpwstr>
      </vt:variant>
      <vt:variant>
        <vt:i4>1900604</vt:i4>
      </vt:variant>
      <vt:variant>
        <vt:i4>188</vt:i4>
      </vt:variant>
      <vt:variant>
        <vt:i4>0</vt:i4>
      </vt:variant>
      <vt:variant>
        <vt:i4>5</vt:i4>
      </vt:variant>
      <vt:variant>
        <vt:lpwstr/>
      </vt:variant>
      <vt:variant>
        <vt:lpwstr>_Toc353955934</vt:lpwstr>
      </vt:variant>
      <vt:variant>
        <vt:i4>1900604</vt:i4>
      </vt:variant>
      <vt:variant>
        <vt:i4>182</vt:i4>
      </vt:variant>
      <vt:variant>
        <vt:i4>0</vt:i4>
      </vt:variant>
      <vt:variant>
        <vt:i4>5</vt:i4>
      </vt:variant>
      <vt:variant>
        <vt:lpwstr/>
      </vt:variant>
      <vt:variant>
        <vt:lpwstr>_Toc353955933</vt:lpwstr>
      </vt:variant>
      <vt:variant>
        <vt:i4>1900604</vt:i4>
      </vt:variant>
      <vt:variant>
        <vt:i4>176</vt:i4>
      </vt:variant>
      <vt:variant>
        <vt:i4>0</vt:i4>
      </vt:variant>
      <vt:variant>
        <vt:i4>5</vt:i4>
      </vt:variant>
      <vt:variant>
        <vt:lpwstr/>
      </vt:variant>
      <vt:variant>
        <vt:lpwstr>_Toc353955932</vt:lpwstr>
      </vt:variant>
      <vt:variant>
        <vt:i4>1900604</vt:i4>
      </vt:variant>
      <vt:variant>
        <vt:i4>170</vt:i4>
      </vt:variant>
      <vt:variant>
        <vt:i4>0</vt:i4>
      </vt:variant>
      <vt:variant>
        <vt:i4>5</vt:i4>
      </vt:variant>
      <vt:variant>
        <vt:lpwstr/>
      </vt:variant>
      <vt:variant>
        <vt:lpwstr>_Toc353955931</vt:lpwstr>
      </vt:variant>
      <vt:variant>
        <vt:i4>1900604</vt:i4>
      </vt:variant>
      <vt:variant>
        <vt:i4>164</vt:i4>
      </vt:variant>
      <vt:variant>
        <vt:i4>0</vt:i4>
      </vt:variant>
      <vt:variant>
        <vt:i4>5</vt:i4>
      </vt:variant>
      <vt:variant>
        <vt:lpwstr/>
      </vt:variant>
      <vt:variant>
        <vt:lpwstr>_Toc353955930</vt:lpwstr>
      </vt:variant>
      <vt:variant>
        <vt:i4>1835068</vt:i4>
      </vt:variant>
      <vt:variant>
        <vt:i4>158</vt:i4>
      </vt:variant>
      <vt:variant>
        <vt:i4>0</vt:i4>
      </vt:variant>
      <vt:variant>
        <vt:i4>5</vt:i4>
      </vt:variant>
      <vt:variant>
        <vt:lpwstr/>
      </vt:variant>
      <vt:variant>
        <vt:lpwstr>_Toc353955929</vt:lpwstr>
      </vt:variant>
      <vt:variant>
        <vt:i4>1835068</vt:i4>
      </vt:variant>
      <vt:variant>
        <vt:i4>152</vt:i4>
      </vt:variant>
      <vt:variant>
        <vt:i4>0</vt:i4>
      </vt:variant>
      <vt:variant>
        <vt:i4>5</vt:i4>
      </vt:variant>
      <vt:variant>
        <vt:lpwstr/>
      </vt:variant>
      <vt:variant>
        <vt:lpwstr>_Toc353955928</vt:lpwstr>
      </vt:variant>
      <vt:variant>
        <vt:i4>1835068</vt:i4>
      </vt:variant>
      <vt:variant>
        <vt:i4>146</vt:i4>
      </vt:variant>
      <vt:variant>
        <vt:i4>0</vt:i4>
      </vt:variant>
      <vt:variant>
        <vt:i4>5</vt:i4>
      </vt:variant>
      <vt:variant>
        <vt:lpwstr/>
      </vt:variant>
      <vt:variant>
        <vt:lpwstr>_Toc353955927</vt:lpwstr>
      </vt:variant>
      <vt:variant>
        <vt:i4>1835068</vt:i4>
      </vt:variant>
      <vt:variant>
        <vt:i4>140</vt:i4>
      </vt:variant>
      <vt:variant>
        <vt:i4>0</vt:i4>
      </vt:variant>
      <vt:variant>
        <vt:i4>5</vt:i4>
      </vt:variant>
      <vt:variant>
        <vt:lpwstr/>
      </vt:variant>
      <vt:variant>
        <vt:lpwstr>_Toc353955926</vt:lpwstr>
      </vt:variant>
      <vt:variant>
        <vt:i4>1835068</vt:i4>
      </vt:variant>
      <vt:variant>
        <vt:i4>134</vt:i4>
      </vt:variant>
      <vt:variant>
        <vt:i4>0</vt:i4>
      </vt:variant>
      <vt:variant>
        <vt:i4>5</vt:i4>
      </vt:variant>
      <vt:variant>
        <vt:lpwstr/>
      </vt:variant>
      <vt:variant>
        <vt:lpwstr>_Toc353955925</vt:lpwstr>
      </vt:variant>
      <vt:variant>
        <vt:i4>1835068</vt:i4>
      </vt:variant>
      <vt:variant>
        <vt:i4>128</vt:i4>
      </vt:variant>
      <vt:variant>
        <vt:i4>0</vt:i4>
      </vt:variant>
      <vt:variant>
        <vt:i4>5</vt:i4>
      </vt:variant>
      <vt:variant>
        <vt:lpwstr/>
      </vt:variant>
      <vt:variant>
        <vt:lpwstr>_Toc353955924</vt:lpwstr>
      </vt:variant>
      <vt:variant>
        <vt:i4>1835068</vt:i4>
      </vt:variant>
      <vt:variant>
        <vt:i4>122</vt:i4>
      </vt:variant>
      <vt:variant>
        <vt:i4>0</vt:i4>
      </vt:variant>
      <vt:variant>
        <vt:i4>5</vt:i4>
      </vt:variant>
      <vt:variant>
        <vt:lpwstr/>
      </vt:variant>
      <vt:variant>
        <vt:lpwstr>_Toc353955923</vt:lpwstr>
      </vt:variant>
      <vt:variant>
        <vt:i4>1835068</vt:i4>
      </vt:variant>
      <vt:variant>
        <vt:i4>116</vt:i4>
      </vt:variant>
      <vt:variant>
        <vt:i4>0</vt:i4>
      </vt:variant>
      <vt:variant>
        <vt:i4>5</vt:i4>
      </vt:variant>
      <vt:variant>
        <vt:lpwstr/>
      </vt:variant>
      <vt:variant>
        <vt:lpwstr>_Toc353955922</vt:lpwstr>
      </vt:variant>
      <vt:variant>
        <vt:i4>1835068</vt:i4>
      </vt:variant>
      <vt:variant>
        <vt:i4>110</vt:i4>
      </vt:variant>
      <vt:variant>
        <vt:i4>0</vt:i4>
      </vt:variant>
      <vt:variant>
        <vt:i4>5</vt:i4>
      </vt:variant>
      <vt:variant>
        <vt:lpwstr/>
      </vt:variant>
      <vt:variant>
        <vt:lpwstr>_Toc353955921</vt:lpwstr>
      </vt:variant>
      <vt:variant>
        <vt:i4>1835068</vt:i4>
      </vt:variant>
      <vt:variant>
        <vt:i4>104</vt:i4>
      </vt:variant>
      <vt:variant>
        <vt:i4>0</vt:i4>
      </vt:variant>
      <vt:variant>
        <vt:i4>5</vt:i4>
      </vt:variant>
      <vt:variant>
        <vt:lpwstr/>
      </vt:variant>
      <vt:variant>
        <vt:lpwstr>_Toc353955920</vt:lpwstr>
      </vt:variant>
      <vt:variant>
        <vt:i4>2031676</vt:i4>
      </vt:variant>
      <vt:variant>
        <vt:i4>98</vt:i4>
      </vt:variant>
      <vt:variant>
        <vt:i4>0</vt:i4>
      </vt:variant>
      <vt:variant>
        <vt:i4>5</vt:i4>
      </vt:variant>
      <vt:variant>
        <vt:lpwstr/>
      </vt:variant>
      <vt:variant>
        <vt:lpwstr>_Toc353955919</vt:lpwstr>
      </vt:variant>
      <vt:variant>
        <vt:i4>2031676</vt:i4>
      </vt:variant>
      <vt:variant>
        <vt:i4>92</vt:i4>
      </vt:variant>
      <vt:variant>
        <vt:i4>0</vt:i4>
      </vt:variant>
      <vt:variant>
        <vt:i4>5</vt:i4>
      </vt:variant>
      <vt:variant>
        <vt:lpwstr/>
      </vt:variant>
      <vt:variant>
        <vt:lpwstr>_Toc353955918</vt:lpwstr>
      </vt:variant>
      <vt:variant>
        <vt:i4>2031676</vt:i4>
      </vt:variant>
      <vt:variant>
        <vt:i4>86</vt:i4>
      </vt:variant>
      <vt:variant>
        <vt:i4>0</vt:i4>
      </vt:variant>
      <vt:variant>
        <vt:i4>5</vt:i4>
      </vt:variant>
      <vt:variant>
        <vt:lpwstr/>
      </vt:variant>
      <vt:variant>
        <vt:lpwstr>_Toc353955917</vt:lpwstr>
      </vt:variant>
      <vt:variant>
        <vt:i4>2031676</vt:i4>
      </vt:variant>
      <vt:variant>
        <vt:i4>80</vt:i4>
      </vt:variant>
      <vt:variant>
        <vt:i4>0</vt:i4>
      </vt:variant>
      <vt:variant>
        <vt:i4>5</vt:i4>
      </vt:variant>
      <vt:variant>
        <vt:lpwstr/>
      </vt:variant>
      <vt:variant>
        <vt:lpwstr>_Toc353955916</vt:lpwstr>
      </vt:variant>
      <vt:variant>
        <vt:i4>2031676</vt:i4>
      </vt:variant>
      <vt:variant>
        <vt:i4>74</vt:i4>
      </vt:variant>
      <vt:variant>
        <vt:i4>0</vt:i4>
      </vt:variant>
      <vt:variant>
        <vt:i4>5</vt:i4>
      </vt:variant>
      <vt:variant>
        <vt:lpwstr/>
      </vt:variant>
      <vt:variant>
        <vt:lpwstr>_Toc353955915</vt:lpwstr>
      </vt:variant>
      <vt:variant>
        <vt:i4>2031676</vt:i4>
      </vt:variant>
      <vt:variant>
        <vt:i4>68</vt:i4>
      </vt:variant>
      <vt:variant>
        <vt:i4>0</vt:i4>
      </vt:variant>
      <vt:variant>
        <vt:i4>5</vt:i4>
      </vt:variant>
      <vt:variant>
        <vt:lpwstr/>
      </vt:variant>
      <vt:variant>
        <vt:lpwstr>_Toc353955914</vt:lpwstr>
      </vt:variant>
      <vt:variant>
        <vt:i4>2031676</vt:i4>
      </vt:variant>
      <vt:variant>
        <vt:i4>62</vt:i4>
      </vt:variant>
      <vt:variant>
        <vt:i4>0</vt:i4>
      </vt:variant>
      <vt:variant>
        <vt:i4>5</vt:i4>
      </vt:variant>
      <vt:variant>
        <vt:lpwstr/>
      </vt:variant>
      <vt:variant>
        <vt:lpwstr>_Toc353955913</vt:lpwstr>
      </vt:variant>
      <vt:variant>
        <vt:i4>2031676</vt:i4>
      </vt:variant>
      <vt:variant>
        <vt:i4>56</vt:i4>
      </vt:variant>
      <vt:variant>
        <vt:i4>0</vt:i4>
      </vt:variant>
      <vt:variant>
        <vt:i4>5</vt:i4>
      </vt:variant>
      <vt:variant>
        <vt:lpwstr/>
      </vt:variant>
      <vt:variant>
        <vt:lpwstr>_Toc353955912</vt:lpwstr>
      </vt:variant>
      <vt:variant>
        <vt:i4>2031676</vt:i4>
      </vt:variant>
      <vt:variant>
        <vt:i4>50</vt:i4>
      </vt:variant>
      <vt:variant>
        <vt:i4>0</vt:i4>
      </vt:variant>
      <vt:variant>
        <vt:i4>5</vt:i4>
      </vt:variant>
      <vt:variant>
        <vt:lpwstr/>
      </vt:variant>
      <vt:variant>
        <vt:lpwstr>_Toc353955911</vt:lpwstr>
      </vt:variant>
      <vt:variant>
        <vt:i4>2031676</vt:i4>
      </vt:variant>
      <vt:variant>
        <vt:i4>44</vt:i4>
      </vt:variant>
      <vt:variant>
        <vt:i4>0</vt:i4>
      </vt:variant>
      <vt:variant>
        <vt:i4>5</vt:i4>
      </vt:variant>
      <vt:variant>
        <vt:lpwstr/>
      </vt:variant>
      <vt:variant>
        <vt:lpwstr>_Toc353955910</vt:lpwstr>
      </vt:variant>
      <vt:variant>
        <vt:i4>1966140</vt:i4>
      </vt:variant>
      <vt:variant>
        <vt:i4>38</vt:i4>
      </vt:variant>
      <vt:variant>
        <vt:i4>0</vt:i4>
      </vt:variant>
      <vt:variant>
        <vt:i4>5</vt:i4>
      </vt:variant>
      <vt:variant>
        <vt:lpwstr/>
      </vt:variant>
      <vt:variant>
        <vt:lpwstr>_Toc353955909</vt:lpwstr>
      </vt:variant>
      <vt:variant>
        <vt:i4>1966140</vt:i4>
      </vt:variant>
      <vt:variant>
        <vt:i4>32</vt:i4>
      </vt:variant>
      <vt:variant>
        <vt:i4>0</vt:i4>
      </vt:variant>
      <vt:variant>
        <vt:i4>5</vt:i4>
      </vt:variant>
      <vt:variant>
        <vt:lpwstr/>
      </vt:variant>
      <vt:variant>
        <vt:lpwstr>_Toc353955908</vt:lpwstr>
      </vt:variant>
      <vt:variant>
        <vt:i4>1966140</vt:i4>
      </vt:variant>
      <vt:variant>
        <vt:i4>26</vt:i4>
      </vt:variant>
      <vt:variant>
        <vt:i4>0</vt:i4>
      </vt:variant>
      <vt:variant>
        <vt:i4>5</vt:i4>
      </vt:variant>
      <vt:variant>
        <vt:lpwstr/>
      </vt:variant>
      <vt:variant>
        <vt:lpwstr>_Toc353955907</vt:lpwstr>
      </vt:variant>
      <vt:variant>
        <vt:i4>1966140</vt:i4>
      </vt:variant>
      <vt:variant>
        <vt:i4>20</vt:i4>
      </vt:variant>
      <vt:variant>
        <vt:i4>0</vt:i4>
      </vt:variant>
      <vt:variant>
        <vt:i4>5</vt:i4>
      </vt:variant>
      <vt:variant>
        <vt:lpwstr/>
      </vt:variant>
      <vt:variant>
        <vt:lpwstr>_Toc353955906</vt:lpwstr>
      </vt:variant>
      <vt:variant>
        <vt:i4>1966140</vt:i4>
      </vt:variant>
      <vt:variant>
        <vt:i4>14</vt:i4>
      </vt:variant>
      <vt:variant>
        <vt:i4>0</vt:i4>
      </vt:variant>
      <vt:variant>
        <vt:i4>5</vt:i4>
      </vt:variant>
      <vt:variant>
        <vt:lpwstr/>
      </vt:variant>
      <vt:variant>
        <vt:lpwstr>_Toc353955905</vt:lpwstr>
      </vt:variant>
      <vt:variant>
        <vt:i4>1966140</vt:i4>
      </vt:variant>
      <vt:variant>
        <vt:i4>8</vt:i4>
      </vt:variant>
      <vt:variant>
        <vt:i4>0</vt:i4>
      </vt:variant>
      <vt:variant>
        <vt:i4>5</vt:i4>
      </vt:variant>
      <vt:variant>
        <vt:lpwstr/>
      </vt:variant>
      <vt:variant>
        <vt:lpwstr>_Toc353955904</vt:lpwstr>
      </vt:variant>
      <vt:variant>
        <vt:i4>1966140</vt:i4>
      </vt:variant>
      <vt:variant>
        <vt:i4>2</vt:i4>
      </vt:variant>
      <vt:variant>
        <vt:i4>0</vt:i4>
      </vt:variant>
      <vt:variant>
        <vt:i4>5</vt:i4>
      </vt:variant>
      <vt:variant>
        <vt:lpwstr/>
      </vt:variant>
      <vt:variant>
        <vt:lpwstr>_Toc353955903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2015-08-25T06:31:00Z</dcterms:created>
  <dcterms:modified xsi:type="dcterms:W3CDTF">2015-08-25T06:31:00Z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965200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