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73" w:rsidRPr="00290C57" w:rsidRDefault="008C733B" w:rsidP="00F60A73">
      <w:pPr>
        <w:pStyle w:val="DocName"/>
        <w:pBdr>
          <w:top w:val="single" w:sz="4" w:space="12" w:color="FF9900"/>
          <w:bottom w:val="single" w:sz="4" w:space="5" w:color="FF9900"/>
        </w:pBdr>
        <w:shd w:val="clear" w:color="auto" w:fill="FFFFCC"/>
        <w:spacing w:line="276" w:lineRule="auto"/>
        <w:rPr>
          <w:rFonts w:ascii="Times New Roman" w:hAnsi="Times New Roman"/>
          <w:szCs w:val="28"/>
          <w:lang w:eastAsia="en-AU"/>
        </w:rPr>
      </w:pPr>
      <w:bookmarkStart w:id="0" w:name="_GoBack"/>
      <w:bookmarkEnd w:id="0"/>
      <w:r w:rsidRPr="00290C57">
        <w:rPr>
          <w:rFonts w:ascii="Times New Roman" w:hAnsi="Times New Roman"/>
          <w:szCs w:val="28"/>
          <w:lang w:eastAsia="en-AU"/>
        </w:rPr>
        <w:t>Education Partnership</w:t>
      </w:r>
      <w:r w:rsidR="00F62212" w:rsidRPr="00290C57">
        <w:rPr>
          <w:rFonts w:ascii="Times New Roman" w:hAnsi="Times New Roman"/>
          <w:szCs w:val="28"/>
          <w:lang w:eastAsia="en-AU"/>
        </w:rPr>
        <w:t xml:space="preserve"> Annual Partnership Performance Report</w:t>
      </w:r>
    </w:p>
    <w:p w:rsidR="00F60A73" w:rsidRPr="00290C57" w:rsidRDefault="00F60A73" w:rsidP="00F60A73">
      <w:pPr>
        <w:pStyle w:val="DocName"/>
        <w:pBdr>
          <w:top w:val="single" w:sz="4" w:space="12" w:color="FF9900"/>
          <w:bottom w:val="single" w:sz="4" w:space="5" w:color="FF9900"/>
        </w:pBdr>
        <w:shd w:val="clear" w:color="auto" w:fill="FFFFCC"/>
        <w:spacing w:line="276" w:lineRule="auto"/>
        <w:rPr>
          <w:rFonts w:ascii="Times New Roman" w:hAnsi="Times New Roman"/>
          <w:sz w:val="12"/>
          <w:szCs w:val="28"/>
          <w:lang w:eastAsia="en-AU"/>
        </w:rPr>
      </w:pPr>
    </w:p>
    <w:p w:rsidR="008C733B" w:rsidRPr="00290C57" w:rsidRDefault="008C733B" w:rsidP="008D1A91">
      <w:pPr>
        <w:pStyle w:val="DocName"/>
        <w:pBdr>
          <w:top w:val="single" w:sz="4" w:space="12" w:color="FF9900"/>
          <w:bottom w:val="single" w:sz="4" w:space="5" w:color="FF9900"/>
        </w:pBdr>
        <w:shd w:val="clear" w:color="auto" w:fill="FFFFCC"/>
        <w:rPr>
          <w:rFonts w:ascii="Times New Roman" w:hAnsi="Times New Roman"/>
          <w:szCs w:val="28"/>
          <w:lang w:eastAsia="en-AU"/>
        </w:rPr>
      </w:pPr>
      <w:r w:rsidRPr="00290C57">
        <w:rPr>
          <w:rFonts w:ascii="Times New Roman" w:hAnsi="Times New Roman"/>
          <w:szCs w:val="28"/>
          <w:lang w:eastAsia="en-AU"/>
        </w:rPr>
        <w:t>MANAGEMENT RESPONSE</w:t>
      </w:r>
    </w:p>
    <w:p w:rsidR="00290C57" w:rsidRDefault="00290C57" w:rsidP="00290C57">
      <w:pPr>
        <w:tabs>
          <w:tab w:val="left" w:pos="1539"/>
        </w:tabs>
        <w:spacing w:after="0" w:line="240" w:lineRule="auto"/>
        <w:ind w:left="1440" w:hanging="1440"/>
        <w:rPr>
          <w:rFonts w:ascii="Times New Roman" w:hAnsi="Times New Roman" w:cs="Times New Roman"/>
          <w:b/>
          <w:sz w:val="24"/>
          <w:szCs w:val="24"/>
          <w:lang w:eastAsia="en-AU"/>
        </w:rPr>
      </w:pPr>
    </w:p>
    <w:p w:rsidR="00290C57" w:rsidRDefault="002F190B" w:rsidP="00CC2E79">
      <w:pPr>
        <w:tabs>
          <w:tab w:val="left" w:pos="1276"/>
          <w:tab w:val="left" w:pos="1560"/>
        </w:tabs>
        <w:spacing w:after="0" w:line="240" w:lineRule="auto"/>
        <w:ind w:left="1701" w:hanging="1701"/>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Prepared by</w:t>
      </w:r>
      <w:r w:rsidRPr="00290C57">
        <w:rPr>
          <w:rFonts w:ascii="Times New Roman" w:hAnsi="Times New Roman" w:cs="Times New Roman"/>
          <w:sz w:val="24"/>
          <w:szCs w:val="24"/>
          <w:lang w:eastAsia="en-AU"/>
        </w:rPr>
        <w:tab/>
      </w:r>
      <w:r w:rsidR="00290C57">
        <w:rPr>
          <w:rFonts w:ascii="Times New Roman" w:hAnsi="Times New Roman" w:cs="Times New Roman"/>
          <w:sz w:val="24"/>
          <w:szCs w:val="24"/>
          <w:lang w:eastAsia="en-AU"/>
        </w:rPr>
        <w:tab/>
      </w:r>
      <w:r w:rsidRPr="00290C57">
        <w:rPr>
          <w:rFonts w:ascii="Times New Roman" w:hAnsi="Times New Roman" w:cs="Times New Roman"/>
          <w:sz w:val="24"/>
          <w:szCs w:val="24"/>
          <w:lang w:eastAsia="en-AU"/>
        </w:rPr>
        <w:t xml:space="preserve">: </w:t>
      </w:r>
      <w:r w:rsidR="00E910C3" w:rsidRPr="00290C57">
        <w:rPr>
          <w:rFonts w:ascii="Times New Roman" w:hAnsi="Times New Roman" w:cs="Times New Roman"/>
          <w:sz w:val="24"/>
          <w:szCs w:val="24"/>
          <w:lang w:eastAsia="en-AU"/>
        </w:rPr>
        <w:t xml:space="preserve">Sarah Leslie, </w:t>
      </w:r>
      <w:r w:rsidR="005832B0" w:rsidRPr="00290C57">
        <w:rPr>
          <w:rFonts w:ascii="Times New Roman" w:hAnsi="Times New Roman" w:cs="Times New Roman"/>
          <w:sz w:val="24"/>
          <w:szCs w:val="24"/>
          <w:lang w:eastAsia="en-AU"/>
        </w:rPr>
        <w:t xml:space="preserve">Senior Program Manager </w:t>
      </w:r>
      <w:r w:rsidR="00CC2E79">
        <w:rPr>
          <w:rFonts w:ascii="Times New Roman" w:hAnsi="Times New Roman" w:cs="Times New Roman"/>
          <w:sz w:val="24"/>
          <w:szCs w:val="24"/>
          <w:lang w:eastAsia="en-AU"/>
        </w:rPr>
        <w:t xml:space="preserve">Basic Education </w:t>
      </w:r>
      <w:r w:rsidR="005832B0" w:rsidRPr="00290C57">
        <w:rPr>
          <w:rFonts w:ascii="Times New Roman" w:hAnsi="Times New Roman" w:cs="Times New Roman"/>
          <w:sz w:val="24"/>
          <w:szCs w:val="24"/>
          <w:lang w:eastAsia="en-AU"/>
        </w:rPr>
        <w:t>Performance</w:t>
      </w:r>
      <w:r w:rsidR="00CC2E79">
        <w:rPr>
          <w:rFonts w:ascii="Times New Roman" w:hAnsi="Times New Roman" w:cs="Times New Roman"/>
          <w:sz w:val="24"/>
          <w:szCs w:val="24"/>
          <w:lang w:eastAsia="en-AU"/>
        </w:rPr>
        <w:t xml:space="preserve"> and Visibility</w:t>
      </w:r>
      <w:r w:rsidR="005832B0" w:rsidRPr="00290C57">
        <w:rPr>
          <w:rFonts w:ascii="Times New Roman" w:hAnsi="Times New Roman" w:cs="Times New Roman"/>
          <w:sz w:val="24"/>
          <w:szCs w:val="24"/>
          <w:lang w:eastAsia="en-AU"/>
        </w:rPr>
        <w:t xml:space="preserve">; </w:t>
      </w:r>
    </w:p>
    <w:p w:rsidR="008C733B" w:rsidRDefault="00290C57" w:rsidP="00290C57">
      <w:pPr>
        <w:tabs>
          <w:tab w:val="left" w:pos="1539"/>
        </w:tabs>
        <w:spacing w:after="0" w:line="240" w:lineRule="auto"/>
        <w:rPr>
          <w:rFonts w:ascii="Times New Roman" w:hAnsi="Times New Roman" w:cs="Times New Roman"/>
          <w:sz w:val="24"/>
          <w:szCs w:val="24"/>
          <w:lang w:eastAsia="en-AU"/>
        </w:rPr>
      </w:pPr>
      <w:r>
        <w:rPr>
          <w:rFonts w:ascii="Times New Roman" w:hAnsi="Times New Roman" w:cs="Times New Roman"/>
          <w:b/>
          <w:sz w:val="24"/>
          <w:szCs w:val="24"/>
          <w:lang w:eastAsia="en-AU"/>
        </w:rPr>
        <w:tab/>
        <w:t xml:space="preserve">  </w:t>
      </w:r>
      <w:r w:rsidR="00CC2E79">
        <w:rPr>
          <w:rFonts w:ascii="Times New Roman" w:hAnsi="Times New Roman" w:cs="Times New Roman"/>
          <w:b/>
          <w:sz w:val="24"/>
          <w:szCs w:val="24"/>
          <w:lang w:eastAsia="en-AU"/>
        </w:rPr>
        <w:t xml:space="preserve"> </w:t>
      </w:r>
      <w:r w:rsidR="005F0968">
        <w:rPr>
          <w:rFonts w:ascii="Times New Roman" w:hAnsi="Times New Roman" w:cs="Times New Roman"/>
          <w:sz w:val="24"/>
          <w:szCs w:val="24"/>
          <w:lang w:eastAsia="en-AU"/>
        </w:rPr>
        <w:t>Natassia Kaufman</w:t>
      </w:r>
      <w:r w:rsidR="00A870B5">
        <w:rPr>
          <w:rFonts w:ascii="Times New Roman" w:hAnsi="Times New Roman" w:cs="Times New Roman"/>
          <w:sz w:val="24"/>
          <w:szCs w:val="24"/>
          <w:lang w:eastAsia="en-AU"/>
        </w:rPr>
        <w:t>, Graduate</w:t>
      </w:r>
    </w:p>
    <w:p w:rsidR="00290C57" w:rsidRPr="00290C57" w:rsidRDefault="00290C57" w:rsidP="00290C57">
      <w:pPr>
        <w:tabs>
          <w:tab w:val="left" w:pos="1539"/>
        </w:tabs>
        <w:spacing w:after="0" w:line="240" w:lineRule="auto"/>
        <w:rPr>
          <w:rFonts w:ascii="Times New Roman" w:hAnsi="Times New Roman" w:cs="Times New Roman"/>
          <w:sz w:val="24"/>
          <w:szCs w:val="24"/>
          <w:lang w:eastAsia="en-AU"/>
        </w:rPr>
      </w:pPr>
    </w:p>
    <w:p w:rsidR="002F190B" w:rsidRDefault="002F190B" w:rsidP="00F35A3E">
      <w:pPr>
        <w:tabs>
          <w:tab w:val="left" w:pos="1539"/>
        </w:tabs>
        <w:spacing w:after="0" w:line="240" w:lineRule="auto"/>
        <w:ind w:left="1440" w:hanging="1440"/>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Through</w:t>
      </w:r>
      <w:r w:rsidRPr="00290C57">
        <w:rPr>
          <w:rFonts w:ascii="Times New Roman" w:hAnsi="Times New Roman" w:cs="Times New Roman"/>
          <w:b/>
          <w:sz w:val="24"/>
          <w:szCs w:val="24"/>
          <w:lang w:eastAsia="en-AU"/>
        </w:rPr>
        <w:tab/>
      </w:r>
      <w:r w:rsidR="00290C57">
        <w:rPr>
          <w:rFonts w:ascii="Times New Roman" w:hAnsi="Times New Roman" w:cs="Times New Roman"/>
          <w:b/>
          <w:sz w:val="24"/>
          <w:szCs w:val="24"/>
          <w:lang w:eastAsia="en-AU"/>
        </w:rPr>
        <w:tab/>
      </w:r>
      <w:r w:rsidRPr="00290C57">
        <w:rPr>
          <w:rFonts w:ascii="Times New Roman" w:hAnsi="Times New Roman" w:cs="Times New Roman"/>
          <w:sz w:val="24"/>
          <w:szCs w:val="24"/>
          <w:lang w:eastAsia="en-AU"/>
        </w:rPr>
        <w:t>:</w:t>
      </w:r>
      <w:r w:rsidR="00404AD8" w:rsidRPr="00290C57">
        <w:rPr>
          <w:rFonts w:ascii="Times New Roman" w:hAnsi="Times New Roman" w:cs="Times New Roman"/>
          <w:sz w:val="24"/>
          <w:szCs w:val="24"/>
          <w:lang w:eastAsia="en-AU"/>
        </w:rPr>
        <w:t xml:space="preserve"> </w:t>
      </w:r>
      <w:r w:rsidR="00CC2E79">
        <w:rPr>
          <w:rFonts w:ascii="Times New Roman" w:hAnsi="Times New Roman" w:cs="Times New Roman"/>
          <w:sz w:val="24"/>
          <w:szCs w:val="24"/>
          <w:lang w:eastAsia="en-AU"/>
        </w:rPr>
        <w:t xml:space="preserve"> </w:t>
      </w:r>
      <w:r w:rsidR="004A44D9" w:rsidRPr="00290C57">
        <w:rPr>
          <w:rFonts w:ascii="Times New Roman" w:hAnsi="Times New Roman" w:cs="Times New Roman"/>
          <w:sz w:val="24"/>
          <w:szCs w:val="24"/>
          <w:lang w:eastAsia="en-AU"/>
        </w:rPr>
        <w:t>Hannah Birdsey</w:t>
      </w:r>
      <w:r w:rsidR="005832B0" w:rsidRPr="00290C57">
        <w:rPr>
          <w:rFonts w:ascii="Times New Roman" w:hAnsi="Times New Roman" w:cs="Times New Roman"/>
          <w:sz w:val="24"/>
          <w:szCs w:val="24"/>
          <w:lang w:eastAsia="en-AU"/>
        </w:rPr>
        <w:t>, Counsellor</w:t>
      </w:r>
      <w:r w:rsidR="005C7465">
        <w:rPr>
          <w:rFonts w:ascii="Times New Roman" w:hAnsi="Times New Roman" w:cs="Times New Roman"/>
          <w:sz w:val="24"/>
          <w:szCs w:val="24"/>
          <w:lang w:eastAsia="en-AU"/>
        </w:rPr>
        <w:t>,</w:t>
      </w:r>
      <w:r w:rsidR="005832B0" w:rsidRPr="00290C57">
        <w:rPr>
          <w:rFonts w:ascii="Times New Roman" w:hAnsi="Times New Roman" w:cs="Times New Roman"/>
          <w:sz w:val="24"/>
          <w:szCs w:val="24"/>
          <w:lang w:eastAsia="en-AU"/>
        </w:rPr>
        <w:t xml:space="preserve"> Education, Scholarships and Knowledge</w:t>
      </w:r>
    </w:p>
    <w:p w:rsidR="00F35A3E" w:rsidRDefault="00CD7626" w:rsidP="00CD7626">
      <w:pPr>
        <w:tabs>
          <w:tab w:val="left" w:pos="1539"/>
        </w:tabs>
        <w:spacing w:after="0" w:line="240" w:lineRule="auto"/>
        <w:ind w:left="1440" w:hanging="1440"/>
        <w:rPr>
          <w:rFonts w:ascii="Times New Roman" w:hAnsi="Times New Roman" w:cs="Times New Roman"/>
          <w:sz w:val="24"/>
          <w:szCs w:val="24"/>
          <w:lang w:eastAsia="en-AU"/>
        </w:rPr>
      </w:pPr>
      <w:r>
        <w:rPr>
          <w:rFonts w:ascii="Times New Roman" w:hAnsi="Times New Roman" w:cs="Times New Roman"/>
          <w:b/>
          <w:sz w:val="24"/>
          <w:szCs w:val="24"/>
          <w:lang w:eastAsia="en-AU"/>
        </w:rPr>
        <w:tab/>
      </w:r>
      <w:r>
        <w:rPr>
          <w:rFonts w:ascii="Times New Roman" w:hAnsi="Times New Roman" w:cs="Times New Roman"/>
          <w:b/>
          <w:sz w:val="24"/>
          <w:szCs w:val="24"/>
          <w:lang w:eastAsia="en-AU"/>
        </w:rPr>
        <w:tab/>
        <w:t xml:space="preserve">   </w:t>
      </w:r>
      <w:r w:rsidRPr="00F477BB">
        <w:rPr>
          <w:rFonts w:ascii="Times New Roman" w:hAnsi="Times New Roman" w:cs="Times New Roman"/>
          <w:sz w:val="24"/>
          <w:szCs w:val="24"/>
          <w:lang w:eastAsia="en-AU"/>
        </w:rPr>
        <w:t>Jean-</w:t>
      </w:r>
      <w:r>
        <w:rPr>
          <w:rFonts w:ascii="Times New Roman" w:hAnsi="Times New Roman" w:cs="Times New Roman"/>
          <w:sz w:val="24"/>
          <w:szCs w:val="24"/>
          <w:lang w:eastAsia="en-AU"/>
        </w:rPr>
        <w:t>Bernard Carrasco, Minister Counsellor (DFAT Development Cooperation)</w:t>
      </w:r>
    </w:p>
    <w:p w:rsidR="00290C57" w:rsidRPr="00290C57" w:rsidRDefault="00290C57" w:rsidP="00290C57">
      <w:pPr>
        <w:tabs>
          <w:tab w:val="left" w:pos="1539"/>
        </w:tabs>
        <w:spacing w:after="0" w:line="240" w:lineRule="auto"/>
        <w:ind w:left="1440" w:hanging="1440"/>
        <w:rPr>
          <w:rFonts w:ascii="Times New Roman" w:hAnsi="Times New Roman" w:cs="Times New Roman"/>
          <w:sz w:val="24"/>
          <w:szCs w:val="24"/>
          <w:lang w:eastAsia="en-AU"/>
        </w:rPr>
      </w:pPr>
    </w:p>
    <w:p w:rsidR="00325FB9" w:rsidRDefault="008C733B" w:rsidP="00325FB9">
      <w:pPr>
        <w:tabs>
          <w:tab w:val="left" w:pos="1539"/>
        </w:tabs>
        <w:spacing w:after="0" w:line="240" w:lineRule="auto"/>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Approved by</w:t>
      </w:r>
      <w:r w:rsidR="002F190B" w:rsidRPr="00290C57">
        <w:rPr>
          <w:rFonts w:ascii="Times New Roman" w:hAnsi="Times New Roman" w:cs="Times New Roman"/>
          <w:sz w:val="24"/>
          <w:szCs w:val="24"/>
          <w:lang w:eastAsia="en-AU"/>
        </w:rPr>
        <w:tab/>
        <w:t>:</w:t>
      </w:r>
      <w:r w:rsidR="004A44D9" w:rsidRPr="00290C57">
        <w:rPr>
          <w:rFonts w:ascii="Times New Roman" w:hAnsi="Times New Roman" w:cs="Times New Roman"/>
          <w:sz w:val="24"/>
          <w:szCs w:val="24"/>
          <w:lang w:eastAsia="en-AU"/>
        </w:rPr>
        <w:t xml:space="preserve"> </w:t>
      </w:r>
      <w:r w:rsidR="00F35A3E">
        <w:rPr>
          <w:rFonts w:ascii="Times New Roman" w:hAnsi="Times New Roman" w:cs="Times New Roman"/>
          <w:sz w:val="24"/>
          <w:szCs w:val="24"/>
          <w:lang w:eastAsia="en-AU"/>
        </w:rPr>
        <w:t>James Gilling</w:t>
      </w:r>
      <w:r w:rsidR="005832B0" w:rsidRPr="00290C57">
        <w:rPr>
          <w:rFonts w:ascii="Times New Roman" w:hAnsi="Times New Roman" w:cs="Times New Roman"/>
          <w:sz w:val="24"/>
          <w:szCs w:val="24"/>
          <w:lang w:eastAsia="en-AU"/>
        </w:rPr>
        <w:t>, Minister</w:t>
      </w:r>
      <w:r w:rsidR="005C7465">
        <w:rPr>
          <w:rFonts w:ascii="Times New Roman" w:hAnsi="Times New Roman" w:cs="Times New Roman"/>
          <w:sz w:val="24"/>
          <w:szCs w:val="24"/>
          <w:lang w:eastAsia="en-AU"/>
        </w:rPr>
        <w:t xml:space="preserve"> </w:t>
      </w:r>
      <w:r w:rsidR="00CC2E79">
        <w:rPr>
          <w:rFonts w:ascii="Times New Roman" w:hAnsi="Times New Roman" w:cs="Times New Roman"/>
          <w:sz w:val="24"/>
          <w:szCs w:val="24"/>
          <w:lang w:eastAsia="en-AU"/>
        </w:rPr>
        <w:t>(</w:t>
      </w:r>
      <w:r w:rsidR="00325FB9">
        <w:rPr>
          <w:rFonts w:ascii="Times New Roman" w:hAnsi="Times New Roman" w:cs="Times New Roman"/>
          <w:sz w:val="24"/>
          <w:szCs w:val="24"/>
          <w:lang w:eastAsia="en-AU"/>
        </w:rPr>
        <w:t>DFAT Development</w:t>
      </w:r>
      <w:r w:rsidR="005C7465">
        <w:rPr>
          <w:rFonts w:ascii="Times New Roman" w:hAnsi="Times New Roman" w:cs="Times New Roman"/>
          <w:sz w:val="24"/>
          <w:szCs w:val="24"/>
          <w:lang w:eastAsia="en-AU"/>
        </w:rPr>
        <w:t xml:space="preserve"> Cooperation</w:t>
      </w:r>
      <w:r w:rsidR="00CC2E79">
        <w:rPr>
          <w:rFonts w:ascii="Times New Roman" w:hAnsi="Times New Roman" w:cs="Times New Roman"/>
          <w:sz w:val="24"/>
          <w:szCs w:val="24"/>
          <w:lang w:eastAsia="en-AU"/>
        </w:rPr>
        <w:t>)</w:t>
      </w:r>
      <w:r w:rsidR="005832B0" w:rsidRPr="00290C57">
        <w:rPr>
          <w:rFonts w:ascii="Times New Roman" w:hAnsi="Times New Roman" w:cs="Times New Roman"/>
          <w:sz w:val="24"/>
          <w:szCs w:val="24"/>
          <w:lang w:eastAsia="en-AU"/>
        </w:rPr>
        <w:t xml:space="preserve"> </w:t>
      </w:r>
      <w:r w:rsidR="00F35A3E">
        <w:rPr>
          <w:rFonts w:ascii="Times New Roman" w:hAnsi="Times New Roman" w:cs="Times New Roman"/>
          <w:sz w:val="24"/>
          <w:szCs w:val="24"/>
          <w:lang w:eastAsia="en-AU"/>
        </w:rPr>
        <w:t xml:space="preserve"> </w:t>
      </w:r>
      <w:r w:rsidR="00E910C3" w:rsidRPr="00290C57">
        <w:rPr>
          <w:rFonts w:ascii="Times New Roman" w:hAnsi="Times New Roman" w:cs="Times New Roman"/>
          <w:sz w:val="24"/>
          <w:szCs w:val="24"/>
          <w:lang w:eastAsia="en-AU"/>
        </w:rPr>
        <w:tab/>
      </w:r>
    </w:p>
    <w:p w:rsidR="00325FB9" w:rsidRPr="00290C57" w:rsidRDefault="00325FB9" w:rsidP="00325FB9">
      <w:pPr>
        <w:tabs>
          <w:tab w:val="left" w:pos="1539"/>
        </w:tabs>
        <w:spacing w:after="0" w:line="240" w:lineRule="auto"/>
        <w:ind w:left="1440" w:hanging="1440"/>
        <w:rPr>
          <w:rFonts w:ascii="Times New Roman" w:hAnsi="Times New Roman" w:cs="Times New Roman"/>
          <w:sz w:val="24"/>
          <w:szCs w:val="24"/>
          <w:lang w:eastAsia="en-AU"/>
        </w:rPr>
      </w:pPr>
    </w:p>
    <w:p w:rsidR="008C733B" w:rsidRDefault="008C733B" w:rsidP="00A71114">
      <w:pPr>
        <w:tabs>
          <w:tab w:val="left" w:pos="1539"/>
        </w:tabs>
        <w:spacing w:after="0" w:line="240" w:lineRule="auto"/>
        <w:rPr>
          <w:rFonts w:ascii="Times New Roman" w:hAnsi="Times New Roman" w:cs="Times New Roman"/>
          <w:sz w:val="24"/>
          <w:szCs w:val="24"/>
          <w:lang w:eastAsia="en-AU"/>
        </w:rPr>
      </w:pPr>
      <w:r w:rsidRPr="00290C57">
        <w:rPr>
          <w:rFonts w:ascii="Times New Roman" w:hAnsi="Times New Roman" w:cs="Times New Roman"/>
          <w:b/>
          <w:sz w:val="24"/>
          <w:szCs w:val="24"/>
          <w:lang w:eastAsia="en-AU"/>
        </w:rPr>
        <w:t>Date Approved</w:t>
      </w:r>
      <w:r w:rsidRPr="00A71114">
        <w:rPr>
          <w:rFonts w:ascii="Times New Roman" w:hAnsi="Times New Roman" w:cs="Times New Roman"/>
          <w:sz w:val="24"/>
          <w:szCs w:val="24"/>
          <w:lang w:eastAsia="en-AU"/>
        </w:rPr>
        <w:t>:</w:t>
      </w:r>
      <w:r w:rsidRPr="00290C57">
        <w:rPr>
          <w:rFonts w:ascii="Times New Roman" w:hAnsi="Times New Roman" w:cs="Times New Roman"/>
          <w:b/>
          <w:sz w:val="24"/>
          <w:szCs w:val="24"/>
          <w:lang w:eastAsia="en-AU"/>
        </w:rPr>
        <w:t xml:space="preserve"> </w:t>
      </w:r>
      <w:r w:rsidRPr="00290C57">
        <w:rPr>
          <w:rFonts w:ascii="Times New Roman" w:hAnsi="Times New Roman" w:cs="Times New Roman"/>
          <w:sz w:val="24"/>
          <w:szCs w:val="24"/>
          <w:lang w:eastAsia="en-AU"/>
        </w:rPr>
        <w:tab/>
      </w:r>
    </w:p>
    <w:p w:rsidR="00290C57" w:rsidRPr="00290C57" w:rsidRDefault="00290C57" w:rsidP="008D1A91">
      <w:pPr>
        <w:tabs>
          <w:tab w:val="left" w:pos="1539"/>
        </w:tabs>
        <w:spacing w:line="240" w:lineRule="auto"/>
        <w:rPr>
          <w:rFonts w:ascii="Times New Roman" w:hAnsi="Times New Roman" w:cs="Times New Roman"/>
          <w:sz w:val="24"/>
          <w:szCs w:val="24"/>
          <w:lang w:eastAsia="en-AU"/>
        </w:rPr>
      </w:pPr>
    </w:p>
    <w:p w:rsidR="002F190B" w:rsidRPr="00290C57" w:rsidRDefault="002F190B"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Aid Activity Objective</w:t>
      </w:r>
    </w:p>
    <w:p w:rsidR="00E177B8" w:rsidRPr="00290C57" w:rsidRDefault="00E177B8" w:rsidP="0080778F">
      <w:pPr>
        <w:pStyle w:val="Heading2"/>
        <w:spacing w:before="0" w:after="0"/>
        <w:rPr>
          <w:rFonts w:ascii="Times New Roman" w:hAnsi="Times New Roman" w:cs="Times New Roman"/>
          <w:szCs w:val="24"/>
        </w:rPr>
      </w:pPr>
    </w:p>
    <w:p w:rsidR="00A870B5" w:rsidRDefault="00E177B8" w:rsidP="00F60A73">
      <w:pPr>
        <w:pStyle w:val="Heading2"/>
        <w:spacing w:before="0" w:after="0"/>
        <w:jc w:val="both"/>
        <w:rPr>
          <w:rFonts w:ascii="Times New Roman" w:eastAsiaTheme="minorHAnsi" w:hAnsi="Times New Roman" w:cs="Times New Roman"/>
          <w:b w:val="0"/>
          <w:iCs w:val="0"/>
          <w:szCs w:val="24"/>
          <w:lang w:eastAsia="en-US"/>
        </w:rPr>
      </w:pPr>
      <w:r w:rsidRPr="00290C57">
        <w:rPr>
          <w:rFonts w:ascii="Times New Roman" w:eastAsiaTheme="minorHAnsi" w:hAnsi="Times New Roman" w:cs="Times New Roman"/>
          <w:b w:val="0"/>
          <w:iCs w:val="0"/>
          <w:szCs w:val="24"/>
          <w:lang w:eastAsia="en-US"/>
        </w:rPr>
        <w:t xml:space="preserve">The overall objective of </w:t>
      </w:r>
      <w:r w:rsidR="00077A25" w:rsidRPr="00290C57">
        <w:rPr>
          <w:rFonts w:ascii="Times New Roman" w:eastAsiaTheme="minorHAnsi" w:hAnsi="Times New Roman" w:cs="Times New Roman"/>
          <w:b w:val="0"/>
          <w:iCs w:val="0"/>
          <w:szCs w:val="24"/>
          <w:lang w:eastAsia="en-US"/>
        </w:rPr>
        <w:t xml:space="preserve">Australia’s </w:t>
      </w:r>
      <w:r w:rsidRPr="00290C57">
        <w:rPr>
          <w:rFonts w:ascii="Times New Roman" w:eastAsiaTheme="minorHAnsi" w:hAnsi="Times New Roman" w:cs="Times New Roman"/>
          <w:b w:val="0"/>
          <w:iCs w:val="0"/>
          <w:szCs w:val="24"/>
          <w:lang w:eastAsia="en-US"/>
        </w:rPr>
        <w:t xml:space="preserve">Education Partnership </w:t>
      </w:r>
      <w:r w:rsidR="00D86EC9" w:rsidRPr="00290C57">
        <w:rPr>
          <w:rFonts w:ascii="Times New Roman" w:eastAsiaTheme="minorHAnsi" w:hAnsi="Times New Roman" w:cs="Times New Roman"/>
          <w:b w:val="0"/>
          <w:iCs w:val="0"/>
          <w:szCs w:val="24"/>
          <w:lang w:eastAsia="en-US"/>
        </w:rPr>
        <w:t>with Indonesia (</w:t>
      </w:r>
      <w:r w:rsidR="00AD2679">
        <w:rPr>
          <w:rFonts w:ascii="Times New Roman" w:eastAsiaTheme="minorHAnsi" w:hAnsi="Times New Roman" w:cs="Times New Roman"/>
          <w:b w:val="0"/>
          <w:iCs w:val="0"/>
          <w:szCs w:val="24"/>
          <w:lang w:eastAsia="en-US"/>
        </w:rPr>
        <w:t>Education Partnership</w:t>
      </w:r>
      <w:r w:rsidR="00F559B8">
        <w:rPr>
          <w:rFonts w:ascii="Times New Roman" w:eastAsiaTheme="minorHAnsi" w:hAnsi="Times New Roman" w:cs="Times New Roman"/>
          <w:b w:val="0"/>
          <w:iCs w:val="0"/>
          <w:szCs w:val="24"/>
          <w:lang w:eastAsia="en-US"/>
        </w:rPr>
        <w:t xml:space="preserve"> or EP</w:t>
      </w:r>
      <w:r w:rsidR="00077A25" w:rsidRPr="00290C57">
        <w:rPr>
          <w:rFonts w:ascii="Times New Roman" w:eastAsiaTheme="minorHAnsi" w:hAnsi="Times New Roman" w:cs="Times New Roman"/>
          <w:b w:val="0"/>
          <w:iCs w:val="0"/>
          <w:szCs w:val="24"/>
          <w:lang w:eastAsia="en-US"/>
        </w:rPr>
        <w:t xml:space="preserve">) </w:t>
      </w:r>
      <w:r w:rsidRPr="00290C57">
        <w:rPr>
          <w:rFonts w:ascii="Times New Roman" w:eastAsiaTheme="minorHAnsi" w:hAnsi="Times New Roman" w:cs="Times New Roman"/>
          <w:b w:val="0"/>
          <w:iCs w:val="0"/>
          <w:szCs w:val="24"/>
          <w:lang w:eastAsia="en-US"/>
        </w:rPr>
        <w:t xml:space="preserve">is to support </w:t>
      </w:r>
      <w:r w:rsidR="00077A25" w:rsidRPr="00290C57">
        <w:rPr>
          <w:rFonts w:ascii="Times New Roman" w:eastAsiaTheme="minorHAnsi" w:hAnsi="Times New Roman" w:cs="Times New Roman"/>
          <w:b w:val="0"/>
          <w:iCs w:val="0"/>
          <w:szCs w:val="24"/>
          <w:lang w:eastAsia="en-US"/>
        </w:rPr>
        <w:t>the Government of Indonesia (</w:t>
      </w:r>
      <w:r w:rsidRPr="00290C57">
        <w:rPr>
          <w:rFonts w:ascii="Times New Roman" w:eastAsiaTheme="minorHAnsi" w:hAnsi="Times New Roman" w:cs="Times New Roman"/>
          <w:b w:val="0"/>
          <w:iCs w:val="0"/>
          <w:szCs w:val="24"/>
          <w:lang w:eastAsia="en-US"/>
        </w:rPr>
        <w:t>GoI</w:t>
      </w:r>
      <w:r w:rsidR="00077A25" w:rsidRPr="00290C57">
        <w:rPr>
          <w:rFonts w:ascii="Times New Roman" w:eastAsiaTheme="minorHAnsi" w:hAnsi="Times New Roman" w:cs="Times New Roman"/>
          <w:b w:val="0"/>
          <w:iCs w:val="0"/>
          <w:szCs w:val="24"/>
          <w:lang w:eastAsia="en-US"/>
        </w:rPr>
        <w:t>)</w:t>
      </w:r>
      <w:r w:rsidRPr="00290C57">
        <w:rPr>
          <w:rFonts w:ascii="Times New Roman" w:eastAsiaTheme="minorHAnsi" w:hAnsi="Times New Roman" w:cs="Times New Roman"/>
          <w:b w:val="0"/>
          <w:iCs w:val="0"/>
          <w:szCs w:val="24"/>
          <w:lang w:eastAsia="en-US"/>
        </w:rPr>
        <w:t xml:space="preserve"> to </w:t>
      </w:r>
      <w:r w:rsidR="00A870B5">
        <w:rPr>
          <w:rFonts w:ascii="Times New Roman" w:eastAsiaTheme="minorHAnsi" w:hAnsi="Times New Roman" w:cs="Times New Roman"/>
          <w:b w:val="0"/>
          <w:iCs w:val="0"/>
          <w:szCs w:val="24"/>
          <w:lang w:eastAsia="en-US"/>
        </w:rPr>
        <w:t>ensur</w:t>
      </w:r>
      <w:r w:rsidR="004C204C">
        <w:rPr>
          <w:rFonts w:ascii="Times New Roman" w:eastAsiaTheme="minorHAnsi" w:hAnsi="Times New Roman" w:cs="Times New Roman"/>
          <w:b w:val="0"/>
          <w:iCs w:val="0"/>
          <w:szCs w:val="24"/>
          <w:lang w:eastAsia="en-US"/>
        </w:rPr>
        <w:t>e</w:t>
      </w:r>
      <w:r w:rsidR="00A870B5">
        <w:rPr>
          <w:rFonts w:ascii="Times New Roman" w:eastAsiaTheme="minorHAnsi" w:hAnsi="Times New Roman" w:cs="Times New Roman"/>
          <w:b w:val="0"/>
          <w:iCs w:val="0"/>
          <w:szCs w:val="24"/>
          <w:lang w:eastAsia="en-US"/>
        </w:rPr>
        <w:t xml:space="preserve"> all </w:t>
      </w:r>
      <w:r w:rsidRPr="00290C57">
        <w:rPr>
          <w:rFonts w:ascii="Times New Roman" w:eastAsiaTheme="minorHAnsi" w:hAnsi="Times New Roman" w:cs="Times New Roman"/>
          <w:b w:val="0"/>
          <w:iCs w:val="0"/>
          <w:szCs w:val="24"/>
          <w:lang w:eastAsia="en-US"/>
        </w:rPr>
        <w:t>Indonesian chil</w:t>
      </w:r>
      <w:r w:rsidR="00EB3E1A" w:rsidRPr="00290C57">
        <w:rPr>
          <w:rFonts w:ascii="Times New Roman" w:eastAsiaTheme="minorHAnsi" w:hAnsi="Times New Roman" w:cs="Times New Roman"/>
          <w:b w:val="0"/>
          <w:iCs w:val="0"/>
          <w:szCs w:val="24"/>
          <w:lang w:eastAsia="en-US"/>
        </w:rPr>
        <w:t>dren</w:t>
      </w:r>
      <w:r w:rsidR="00F60A73" w:rsidRPr="00290C57">
        <w:rPr>
          <w:rFonts w:ascii="Times New Roman" w:eastAsiaTheme="minorHAnsi" w:hAnsi="Times New Roman" w:cs="Times New Roman"/>
          <w:b w:val="0"/>
          <w:iCs w:val="0"/>
          <w:szCs w:val="24"/>
          <w:lang w:eastAsia="en-US"/>
        </w:rPr>
        <w:t xml:space="preserve"> </w:t>
      </w:r>
      <w:r w:rsidR="00336C2B">
        <w:rPr>
          <w:rFonts w:ascii="Times New Roman" w:eastAsiaTheme="minorHAnsi" w:hAnsi="Times New Roman" w:cs="Times New Roman"/>
          <w:b w:val="0"/>
          <w:iCs w:val="0"/>
          <w:szCs w:val="24"/>
          <w:lang w:eastAsia="en-US"/>
        </w:rPr>
        <w:t>have</w:t>
      </w:r>
      <w:r w:rsidR="00A870B5">
        <w:rPr>
          <w:rFonts w:ascii="Times New Roman" w:eastAsiaTheme="minorHAnsi" w:hAnsi="Times New Roman" w:cs="Times New Roman"/>
          <w:b w:val="0"/>
          <w:iCs w:val="0"/>
          <w:szCs w:val="24"/>
          <w:lang w:eastAsia="en-US"/>
        </w:rPr>
        <w:t xml:space="preserve"> access to quality basic education (the nine years of primary and junior secondary schooling)</w:t>
      </w:r>
      <w:r w:rsidR="00EB3E1A" w:rsidRPr="00290C57">
        <w:rPr>
          <w:rFonts w:ascii="Times New Roman" w:eastAsiaTheme="minorHAnsi" w:hAnsi="Times New Roman" w:cs="Times New Roman"/>
          <w:b w:val="0"/>
          <w:iCs w:val="0"/>
          <w:szCs w:val="24"/>
          <w:lang w:eastAsia="en-US"/>
        </w:rPr>
        <w:t xml:space="preserve">. </w:t>
      </w:r>
      <w:r w:rsidR="004C204C">
        <w:rPr>
          <w:rFonts w:ascii="Times New Roman" w:eastAsiaTheme="minorHAnsi" w:hAnsi="Times New Roman" w:cs="Times New Roman"/>
          <w:b w:val="0"/>
          <w:iCs w:val="0"/>
          <w:szCs w:val="24"/>
          <w:lang w:eastAsia="en-US"/>
        </w:rPr>
        <w:t xml:space="preserve"> Specifically, the EP supports GoI to </w:t>
      </w:r>
      <w:r w:rsidR="004C204C" w:rsidRPr="00290C57">
        <w:rPr>
          <w:rFonts w:ascii="Times New Roman" w:eastAsiaTheme="minorHAnsi" w:hAnsi="Times New Roman" w:cs="Times New Roman"/>
          <w:b w:val="0"/>
          <w:iCs w:val="0"/>
          <w:szCs w:val="24"/>
          <w:lang w:eastAsia="en-US"/>
        </w:rPr>
        <w:t xml:space="preserve">achieve </w:t>
      </w:r>
      <w:r w:rsidR="004C204C">
        <w:rPr>
          <w:rFonts w:ascii="Times New Roman" w:eastAsiaTheme="minorHAnsi" w:hAnsi="Times New Roman" w:cs="Times New Roman"/>
          <w:b w:val="0"/>
          <w:iCs w:val="0"/>
          <w:szCs w:val="24"/>
          <w:lang w:eastAsia="en-US"/>
        </w:rPr>
        <w:t>a number of</w:t>
      </w:r>
      <w:r w:rsidR="004C204C" w:rsidRPr="00290C57">
        <w:rPr>
          <w:rFonts w:ascii="Times New Roman" w:eastAsiaTheme="minorHAnsi" w:hAnsi="Times New Roman" w:cs="Times New Roman"/>
          <w:b w:val="0"/>
          <w:iCs w:val="0"/>
          <w:szCs w:val="24"/>
          <w:lang w:eastAsia="en-US"/>
        </w:rPr>
        <w:t xml:space="preserve"> priorities </w:t>
      </w:r>
      <w:r w:rsidR="004C204C">
        <w:rPr>
          <w:rFonts w:ascii="Times New Roman" w:eastAsiaTheme="minorHAnsi" w:hAnsi="Times New Roman" w:cs="Times New Roman"/>
          <w:b w:val="0"/>
          <w:iCs w:val="0"/>
          <w:szCs w:val="24"/>
          <w:lang w:eastAsia="en-US"/>
        </w:rPr>
        <w:t>set out in</w:t>
      </w:r>
      <w:r w:rsidR="004C204C" w:rsidRPr="00290C57">
        <w:rPr>
          <w:rFonts w:ascii="Times New Roman" w:eastAsiaTheme="minorHAnsi" w:hAnsi="Times New Roman" w:cs="Times New Roman"/>
          <w:b w:val="0"/>
          <w:iCs w:val="0"/>
          <w:szCs w:val="24"/>
          <w:lang w:eastAsia="en-US"/>
        </w:rPr>
        <w:t xml:space="preserve"> its </w:t>
      </w:r>
      <w:r w:rsidR="004C204C" w:rsidRPr="00290C57">
        <w:rPr>
          <w:rFonts w:ascii="Times New Roman" w:eastAsiaTheme="minorHAnsi" w:hAnsi="Times New Roman" w:cs="Times New Roman"/>
          <w:b w:val="0"/>
          <w:i/>
          <w:iCs w:val="0"/>
          <w:szCs w:val="24"/>
          <w:lang w:eastAsia="en-US"/>
        </w:rPr>
        <w:t>Education Sector Strategic Plan 2010-2014 (‘Renstra 2010-2014’)</w:t>
      </w:r>
      <w:r w:rsidR="004C204C">
        <w:rPr>
          <w:rFonts w:ascii="Times New Roman" w:eastAsiaTheme="minorHAnsi" w:hAnsi="Times New Roman" w:cs="Times New Roman"/>
          <w:b w:val="0"/>
          <w:iCs w:val="0"/>
          <w:szCs w:val="24"/>
          <w:lang w:eastAsia="en-US"/>
        </w:rPr>
        <w:t>.</w:t>
      </w:r>
    </w:p>
    <w:p w:rsidR="00E177B8" w:rsidRPr="00290C57" w:rsidRDefault="00A870B5" w:rsidP="00F60A73">
      <w:pPr>
        <w:pStyle w:val="Heading2"/>
        <w:spacing w:before="0" w:after="0"/>
        <w:jc w:val="both"/>
        <w:rPr>
          <w:rFonts w:ascii="Times New Roman" w:eastAsiaTheme="minorHAnsi" w:hAnsi="Times New Roman" w:cs="Times New Roman"/>
          <w:b w:val="0"/>
          <w:iCs w:val="0"/>
          <w:szCs w:val="24"/>
          <w:lang w:eastAsia="en-US"/>
        </w:rPr>
      </w:pPr>
      <w:r>
        <w:rPr>
          <w:rFonts w:ascii="Times New Roman" w:eastAsiaTheme="minorHAnsi" w:hAnsi="Times New Roman" w:cs="Times New Roman"/>
          <w:b w:val="0"/>
          <w:iCs w:val="0"/>
          <w:szCs w:val="24"/>
          <w:lang w:eastAsia="en-US"/>
        </w:rPr>
        <w:t xml:space="preserve">To deliver the EP, </w:t>
      </w:r>
      <w:r w:rsidR="00EB3E1A" w:rsidRPr="00290C57">
        <w:rPr>
          <w:rFonts w:ascii="Times New Roman" w:eastAsiaTheme="minorHAnsi" w:hAnsi="Times New Roman" w:cs="Times New Roman"/>
          <w:b w:val="0"/>
          <w:iCs w:val="0"/>
          <w:szCs w:val="24"/>
          <w:lang w:eastAsia="en-US"/>
        </w:rPr>
        <w:t xml:space="preserve">Australia </w:t>
      </w:r>
      <w:r>
        <w:rPr>
          <w:rFonts w:ascii="Times New Roman" w:eastAsiaTheme="minorHAnsi" w:hAnsi="Times New Roman" w:cs="Times New Roman"/>
          <w:b w:val="0"/>
          <w:iCs w:val="0"/>
          <w:szCs w:val="24"/>
          <w:lang w:eastAsia="en-US"/>
        </w:rPr>
        <w:t xml:space="preserve">works in partnership with </w:t>
      </w:r>
      <w:r w:rsidR="00077A25" w:rsidRPr="00290C57">
        <w:rPr>
          <w:rFonts w:ascii="Times New Roman" w:eastAsiaTheme="minorHAnsi" w:hAnsi="Times New Roman" w:cs="Times New Roman"/>
          <w:b w:val="0"/>
          <w:iCs w:val="0"/>
          <w:szCs w:val="24"/>
          <w:lang w:eastAsia="en-US"/>
        </w:rPr>
        <w:t>GoI</w:t>
      </w:r>
      <w:r w:rsidR="00EB3E1A" w:rsidRPr="00290C57">
        <w:rPr>
          <w:rFonts w:ascii="Times New Roman" w:eastAsiaTheme="minorHAnsi" w:hAnsi="Times New Roman" w:cs="Times New Roman"/>
          <w:b w:val="0"/>
          <w:iCs w:val="0"/>
          <w:szCs w:val="24"/>
          <w:lang w:eastAsia="en-US"/>
        </w:rPr>
        <w:t xml:space="preserve"> </w:t>
      </w:r>
      <w:r w:rsidR="005D3CAB" w:rsidRPr="00290C57">
        <w:rPr>
          <w:rFonts w:ascii="Times New Roman" w:eastAsiaTheme="minorHAnsi" w:hAnsi="Times New Roman" w:cs="Times New Roman"/>
          <w:b w:val="0"/>
          <w:iCs w:val="0"/>
          <w:szCs w:val="24"/>
          <w:lang w:eastAsia="en-US"/>
        </w:rPr>
        <w:t xml:space="preserve">and </w:t>
      </w:r>
      <w:r w:rsidR="00EB3E1A" w:rsidRPr="00290C57">
        <w:rPr>
          <w:rFonts w:ascii="Times New Roman" w:eastAsiaTheme="minorHAnsi" w:hAnsi="Times New Roman" w:cs="Times New Roman"/>
          <w:b w:val="0"/>
          <w:iCs w:val="0"/>
          <w:szCs w:val="24"/>
          <w:lang w:eastAsia="en-US"/>
        </w:rPr>
        <w:t>other development partners</w:t>
      </w:r>
      <w:r w:rsidR="00077A25" w:rsidRPr="00290C57">
        <w:rPr>
          <w:rFonts w:ascii="Times New Roman" w:eastAsiaTheme="minorHAnsi" w:hAnsi="Times New Roman" w:cs="Times New Roman"/>
          <w:b w:val="0"/>
          <w:iCs w:val="0"/>
          <w:szCs w:val="24"/>
          <w:lang w:eastAsia="en-US"/>
        </w:rPr>
        <w:t>, including the European Union (EU) and the Asian Development Bank (ADB)</w:t>
      </w:r>
      <w:r w:rsidR="00EB3E1A" w:rsidRPr="00290C57">
        <w:rPr>
          <w:rFonts w:ascii="Times New Roman" w:eastAsiaTheme="minorHAnsi" w:hAnsi="Times New Roman" w:cs="Times New Roman"/>
          <w:b w:val="0"/>
          <w:iCs w:val="0"/>
          <w:szCs w:val="24"/>
          <w:lang w:eastAsia="en-US"/>
        </w:rPr>
        <w:t xml:space="preserve">.  </w:t>
      </w:r>
    </w:p>
    <w:p w:rsidR="0080778F" w:rsidRPr="00290C57" w:rsidRDefault="0080778F" w:rsidP="0080778F">
      <w:pPr>
        <w:pStyle w:val="Heading2"/>
        <w:spacing w:before="480"/>
        <w:rPr>
          <w:rFonts w:ascii="Times New Roman" w:hAnsi="Times New Roman" w:cs="Times New Roman"/>
          <w:szCs w:val="24"/>
        </w:rPr>
      </w:pPr>
      <w:r w:rsidRPr="00290C57">
        <w:rPr>
          <w:rFonts w:ascii="Times New Roman" w:hAnsi="Times New Roman" w:cs="Times New Roman"/>
          <w:szCs w:val="24"/>
        </w:rPr>
        <w:t>Aid Activity Summary</w:t>
      </w:r>
    </w:p>
    <w:tbl>
      <w:tblPr>
        <w:tblStyle w:val="Tablewithheader"/>
        <w:tblW w:w="0" w:type="auto"/>
        <w:tblLook w:val="01E0" w:firstRow="1" w:lastRow="1" w:firstColumn="1" w:lastColumn="1" w:noHBand="0" w:noVBand="0"/>
      </w:tblPr>
      <w:tblGrid>
        <w:gridCol w:w="2210"/>
        <w:gridCol w:w="2081"/>
        <w:gridCol w:w="1680"/>
        <w:gridCol w:w="3271"/>
      </w:tblGrid>
      <w:tr w:rsidR="00F11DC7" w:rsidRPr="00290C57" w:rsidTr="0080778F">
        <w:trPr>
          <w:cnfStyle w:val="100000000000" w:firstRow="1" w:lastRow="0" w:firstColumn="0" w:lastColumn="0" w:oddVBand="0" w:evenVBand="0" w:oddHBand="0" w:evenHBand="0" w:firstRowFirstColumn="0" w:firstRowLastColumn="0" w:lastRowFirstColumn="0" w:lastRowLastColumn="0"/>
        </w:trPr>
        <w:tc>
          <w:tcPr>
            <w:tcW w:w="2210" w:type="dxa"/>
            <w:vAlign w:val="center"/>
          </w:tcPr>
          <w:p w:rsidR="00F11DC7" w:rsidRPr="00290C57" w:rsidRDefault="00F11DC7" w:rsidP="00F11DC7">
            <w:pPr>
              <w:pStyle w:val="Table-normal-text"/>
              <w:jc w:val="left"/>
              <w:rPr>
                <w:rFonts w:ascii="Times New Roman" w:hAnsi="Times New Roman"/>
                <w:sz w:val="24"/>
              </w:rPr>
            </w:pPr>
            <w:r w:rsidRPr="00290C57">
              <w:rPr>
                <w:rFonts w:ascii="Times New Roman" w:hAnsi="Times New Roman"/>
                <w:sz w:val="24"/>
              </w:rPr>
              <w:t>Aid Activity Name</w:t>
            </w:r>
          </w:p>
        </w:tc>
        <w:tc>
          <w:tcPr>
            <w:tcW w:w="7032" w:type="dxa"/>
            <w:gridSpan w:val="3"/>
            <w:vAlign w:val="center"/>
          </w:tcPr>
          <w:p w:rsidR="00F11DC7" w:rsidRPr="00290C57" w:rsidRDefault="00077A25" w:rsidP="00F11DC7">
            <w:pPr>
              <w:pStyle w:val="Table-normal-text"/>
              <w:jc w:val="left"/>
              <w:rPr>
                <w:rFonts w:ascii="Times New Roman" w:hAnsi="Times New Roman"/>
                <w:sz w:val="24"/>
              </w:rPr>
            </w:pPr>
            <w:r w:rsidRPr="00290C57">
              <w:rPr>
                <w:rFonts w:ascii="Times New Roman" w:hAnsi="Times New Roman"/>
                <w:sz w:val="24"/>
              </w:rPr>
              <w:t xml:space="preserve">Australia’s </w:t>
            </w:r>
            <w:r w:rsidR="00E177B8" w:rsidRPr="00290C57">
              <w:rPr>
                <w:rFonts w:ascii="Times New Roman" w:hAnsi="Times New Roman"/>
                <w:sz w:val="24"/>
              </w:rPr>
              <w:t>Education Partnership</w:t>
            </w:r>
            <w:r w:rsidRPr="00290C57">
              <w:rPr>
                <w:rFonts w:ascii="Times New Roman" w:hAnsi="Times New Roman"/>
                <w:sz w:val="24"/>
              </w:rPr>
              <w:t xml:space="preserve"> with Indonesia</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AidWorks initiative number</w:t>
            </w:r>
          </w:p>
        </w:tc>
        <w:tc>
          <w:tcPr>
            <w:tcW w:w="7032" w:type="dxa"/>
            <w:gridSpan w:val="3"/>
          </w:tcPr>
          <w:p w:rsidR="00F11DC7" w:rsidRPr="00290C57" w:rsidRDefault="0080778F" w:rsidP="0080778F">
            <w:pPr>
              <w:pStyle w:val="Table-normal-text"/>
              <w:rPr>
                <w:rFonts w:ascii="Times New Roman" w:hAnsi="Times New Roman"/>
                <w:sz w:val="24"/>
              </w:rPr>
            </w:pPr>
            <w:r w:rsidRPr="00290C57">
              <w:rPr>
                <w:rFonts w:ascii="Times New Roman" w:hAnsi="Times New Roman"/>
                <w:sz w:val="24"/>
              </w:rPr>
              <w:t>INJ648</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Commencement date</w:t>
            </w:r>
          </w:p>
        </w:tc>
        <w:tc>
          <w:tcPr>
            <w:tcW w:w="2081" w:type="dxa"/>
          </w:tcPr>
          <w:p w:rsidR="00F11DC7" w:rsidRPr="00290C57" w:rsidRDefault="0080778F" w:rsidP="00F11DC7">
            <w:pPr>
              <w:pStyle w:val="Table-normal-text"/>
              <w:rPr>
                <w:rFonts w:ascii="Times New Roman" w:hAnsi="Times New Roman"/>
                <w:sz w:val="24"/>
              </w:rPr>
            </w:pPr>
            <w:r w:rsidRPr="00290C57">
              <w:rPr>
                <w:rFonts w:ascii="Times New Roman" w:hAnsi="Times New Roman"/>
                <w:sz w:val="24"/>
              </w:rPr>
              <w:t>5 November 2010</w:t>
            </w:r>
          </w:p>
        </w:tc>
        <w:tc>
          <w:tcPr>
            <w:tcW w:w="168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Completion date</w:t>
            </w:r>
          </w:p>
        </w:tc>
        <w:tc>
          <w:tcPr>
            <w:tcW w:w="3271" w:type="dxa"/>
          </w:tcPr>
          <w:p w:rsidR="00F11DC7" w:rsidRPr="00290C57" w:rsidRDefault="0080778F" w:rsidP="00F11DC7">
            <w:pPr>
              <w:pStyle w:val="Table-normal-text"/>
              <w:rPr>
                <w:rFonts w:ascii="Times New Roman" w:hAnsi="Times New Roman"/>
                <w:sz w:val="24"/>
              </w:rPr>
            </w:pPr>
            <w:r w:rsidRPr="00290C57">
              <w:rPr>
                <w:rFonts w:ascii="Times New Roman" w:hAnsi="Times New Roman"/>
                <w:sz w:val="24"/>
              </w:rPr>
              <w:t>30 June 2016</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Total Australian $</w:t>
            </w:r>
          </w:p>
        </w:tc>
        <w:tc>
          <w:tcPr>
            <w:tcW w:w="7032" w:type="dxa"/>
            <w:gridSpan w:val="3"/>
          </w:tcPr>
          <w:p w:rsidR="00F11DC7" w:rsidRPr="00290C57" w:rsidRDefault="0080778F" w:rsidP="00A870B5">
            <w:pPr>
              <w:pStyle w:val="Table-normal-text"/>
              <w:rPr>
                <w:rFonts w:ascii="Times New Roman" w:hAnsi="Times New Roman"/>
                <w:sz w:val="24"/>
              </w:rPr>
            </w:pPr>
            <w:r w:rsidRPr="00290C57">
              <w:rPr>
                <w:rFonts w:ascii="Times New Roman" w:hAnsi="Times New Roman"/>
                <w:sz w:val="24"/>
              </w:rPr>
              <w:t>A</w:t>
            </w:r>
            <w:r w:rsidR="00A870B5">
              <w:rPr>
                <w:rFonts w:ascii="Times New Roman" w:hAnsi="Times New Roman"/>
                <w:sz w:val="24"/>
              </w:rPr>
              <w:t>UD</w:t>
            </w:r>
            <w:r w:rsidRPr="00290C57">
              <w:rPr>
                <w:rFonts w:ascii="Times New Roman" w:hAnsi="Times New Roman"/>
                <w:sz w:val="24"/>
              </w:rPr>
              <w:t>5</w:t>
            </w:r>
            <w:r w:rsidR="00077A25" w:rsidRPr="00290C57">
              <w:rPr>
                <w:rFonts w:ascii="Times New Roman" w:hAnsi="Times New Roman"/>
                <w:sz w:val="24"/>
              </w:rPr>
              <w:t>24</w:t>
            </w:r>
            <w:r w:rsidRPr="00290C57">
              <w:rPr>
                <w:rFonts w:ascii="Times New Roman" w:hAnsi="Times New Roman"/>
                <w:sz w:val="24"/>
              </w:rPr>
              <w:t xml:space="preserve"> million (committed amount)</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Total other $</w:t>
            </w:r>
          </w:p>
        </w:tc>
        <w:tc>
          <w:tcPr>
            <w:tcW w:w="7032" w:type="dxa"/>
            <w:gridSpan w:val="3"/>
          </w:tcPr>
          <w:p w:rsidR="00F11DC7" w:rsidRPr="00290C57" w:rsidRDefault="00A870B5" w:rsidP="00F11DC7">
            <w:pPr>
              <w:pStyle w:val="Table-normal-text"/>
              <w:rPr>
                <w:rFonts w:ascii="Times New Roman" w:hAnsi="Times New Roman"/>
                <w:sz w:val="24"/>
              </w:rPr>
            </w:pPr>
            <w:r>
              <w:rPr>
                <w:rFonts w:ascii="Times New Roman" w:hAnsi="Times New Roman"/>
                <w:sz w:val="24"/>
              </w:rPr>
              <w:t>-</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Delivery organisation(s)</w:t>
            </w:r>
          </w:p>
        </w:tc>
        <w:tc>
          <w:tcPr>
            <w:tcW w:w="7032" w:type="dxa"/>
            <w:gridSpan w:val="3"/>
          </w:tcPr>
          <w:p w:rsidR="0080778F" w:rsidRPr="00290C57" w:rsidRDefault="0080778F" w:rsidP="00EC65AB">
            <w:pPr>
              <w:pStyle w:val="Table-normal-text"/>
              <w:numPr>
                <w:ilvl w:val="0"/>
                <w:numId w:val="15"/>
              </w:numPr>
              <w:ind w:left="342" w:hanging="342"/>
              <w:rPr>
                <w:rFonts w:ascii="Times New Roman" w:hAnsi="Times New Roman"/>
                <w:sz w:val="24"/>
              </w:rPr>
            </w:pPr>
            <w:r w:rsidRPr="00290C57">
              <w:rPr>
                <w:rFonts w:ascii="Times New Roman" w:hAnsi="Times New Roman"/>
                <w:sz w:val="24"/>
              </w:rPr>
              <w:t>Cardno Emerging Markets</w:t>
            </w:r>
            <w:r w:rsidR="00E910C3" w:rsidRPr="00290C57">
              <w:rPr>
                <w:rFonts w:ascii="Times New Roman" w:hAnsi="Times New Roman"/>
                <w:sz w:val="24"/>
              </w:rPr>
              <w:t xml:space="preserve"> (School System and Quality – SSQ)</w:t>
            </w:r>
          </w:p>
          <w:p w:rsidR="00E910C3" w:rsidRPr="00290C57" w:rsidRDefault="00E910C3" w:rsidP="00EC65AB">
            <w:pPr>
              <w:pStyle w:val="Table-normal-text"/>
              <w:numPr>
                <w:ilvl w:val="0"/>
                <w:numId w:val="16"/>
              </w:numPr>
              <w:ind w:left="342" w:hanging="342"/>
              <w:rPr>
                <w:rFonts w:ascii="Times New Roman" w:hAnsi="Times New Roman"/>
                <w:sz w:val="24"/>
              </w:rPr>
            </w:pPr>
            <w:r w:rsidRPr="00290C57">
              <w:rPr>
                <w:rFonts w:ascii="Times New Roman" w:hAnsi="Times New Roman"/>
                <w:sz w:val="24"/>
              </w:rPr>
              <w:t>GRM International (Performance Oversight and Monitoring – POM)</w:t>
            </w:r>
          </w:p>
          <w:p w:rsidR="00E910C3" w:rsidRPr="00290C57" w:rsidRDefault="00E910C3" w:rsidP="00EC65AB">
            <w:pPr>
              <w:pStyle w:val="Table-normal-text"/>
              <w:numPr>
                <w:ilvl w:val="0"/>
                <w:numId w:val="16"/>
              </w:numPr>
              <w:ind w:left="342" w:hanging="342"/>
              <w:rPr>
                <w:rFonts w:ascii="Times New Roman" w:hAnsi="Times New Roman"/>
                <w:sz w:val="24"/>
              </w:rPr>
            </w:pPr>
            <w:r w:rsidRPr="00290C57">
              <w:rPr>
                <w:rFonts w:ascii="Times New Roman" w:hAnsi="Times New Roman"/>
                <w:sz w:val="24"/>
              </w:rPr>
              <w:t>Asian Development Bank (Analytical and Capacity Development Partnership – ACDP)</w:t>
            </w:r>
            <w:r w:rsidR="00CB3A6A" w:rsidRPr="00290C57">
              <w:rPr>
                <w:rFonts w:ascii="Times New Roman" w:hAnsi="Times New Roman"/>
                <w:sz w:val="24"/>
              </w:rPr>
              <w:t xml:space="preserve"> </w:t>
            </w:r>
          </w:p>
          <w:p w:rsidR="00E910C3" w:rsidRPr="00290C57" w:rsidRDefault="00E910C3" w:rsidP="00EC65AB">
            <w:pPr>
              <w:pStyle w:val="Table-normal-text"/>
              <w:numPr>
                <w:ilvl w:val="0"/>
                <w:numId w:val="16"/>
              </w:numPr>
              <w:ind w:left="342" w:hanging="342"/>
              <w:rPr>
                <w:rFonts w:ascii="Times New Roman" w:hAnsi="Times New Roman"/>
                <w:sz w:val="24"/>
              </w:rPr>
            </w:pPr>
            <w:r w:rsidRPr="00290C57">
              <w:rPr>
                <w:rFonts w:ascii="Times New Roman" w:hAnsi="Times New Roman"/>
                <w:sz w:val="24"/>
              </w:rPr>
              <w:t>URS Pty. Ltd. (Education Partnership Outreach Services – EPOS)</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Implementing Partner(s)</w:t>
            </w:r>
          </w:p>
        </w:tc>
        <w:tc>
          <w:tcPr>
            <w:tcW w:w="7032" w:type="dxa"/>
            <w:gridSpan w:val="3"/>
          </w:tcPr>
          <w:p w:rsidR="00EC65AB" w:rsidRDefault="00EC65AB" w:rsidP="00EC65AB">
            <w:pPr>
              <w:pStyle w:val="Table-normal-text"/>
              <w:rPr>
                <w:rFonts w:ascii="Times New Roman" w:hAnsi="Times New Roman"/>
                <w:sz w:val="24"/>
              </w:rPr>
            </w:pPr>
            <w:r>
              <w:rPr>
                <w:rFonts w:ascii="Times New Roman" w:hAnsi="Times New Roman"/>
                <w:sz w:val="24"/>
              </w:rPr>
              <w:t>Government of Indonesia, specifically:</w:t>
            </w:r>
          </w:p>
          <w:p w:rsidR="00EC65AB" w:rsidRDefault="00F11DC7" w:rsidP="00EC65AB">
            <w:pPr>
              <w:pStyle w:val="Table-normal-text"/>
              <w:numPr>
                <w:ilvl w:val="0"/>
                <w:numId w:val="17"/>
              </w:numPr>
              <w:ind w:left="342" w:hanging="342"/>
              <w:rPr>
                <w:rFonts w:ascii="Times New Roman" w:hAnsi="Times New Roman"/>
                <w:sz w:val="24"/>
              </w:rPr>
            </w:pPr>
            <w:r w:rsidRPr="00290C57">
              <w:rPr>
                <w:rFonts w:ascii="Times New Roman" w:hAnsi="Times New Roman"/>
                <w:sz w:val="24"/>
              </w:rPr>
              <w:t>Ministry of Education</w:t>
            </w:r>
            <w:r w:rsidR="00077A25" w:rsidRPr="00290C57">
              <w:rPr>
                <w:rFonts w:ascii="Times New Roman" w:hAnsi="Times New Roman"/>
                <w:sz w:val="24"/>
              </w:rPr>
              <w:t xml:space="preserve"> and Culture</w:t>
            </w:r>
            <w:r w:rsidR="000E4021">
              <w:rPr>
                <w:rFonts w:ascii="Times New Roman" w:hAnsi="Times New Roman"/>
                <w:sz w:val="24"/>
              </w:rPr>
              <w:t xml:space="preserve"> (MoEC</w:t>
            </w:r>
            <w:r w:rsidR="00F60A73" w:rsidRPr="00290C57">
              <w:rPr>
                <w:rFonts w:ascii="Times New Roman" w:hAnsi="Times New Roman"/>
                <w:sz w:val="24"/>
              </w:rPr>
              <w:t xml:space="preserve">) </w:t>
            </w:r>
          </w:p>
          <w:p w:rsidR="00F11DC7" w:rsidRPr="00290C57" w:rsidRDefault="00F11DC7" w:rsidP="00EC65AB">
            <w:pPr>
              <w:pStyle w:val="Table-normal-text"/>
              <w:numPr>
                <w:ilvl w:val="0"/>
                <w:numId w:val="17"/>
              </w:numPr>
              <w:ind w:left="342" w:hanging="342"/>
              <w:rPr>
                <w:rFonts w:ascii="Times New Roman" w:hAnsi="Times New Roman"/>
                <w:sz w:val="24"/>
              </w:rPr>
            </w:pPr>
            <w:r w:rsidRPr="00290C57">
              <w:rPr>
                <w:rFonts w:ascii="Times New Roman" w:hAnsi="Times New Roman"/>
                <w:sz w:val="24"/>
              </w:rPr>
              <w:t>Ministry of Religious Affairs</w:t>
            </w:r>
            <w:r w:rsidR="000E4021">
              <w:rPr>
                <w:rFonts w:ascii="Times New Roman" w:hAnsi="Times New Roman"/>
                <w:sz w:val="24"/>
              </w:rPr>
              <w:t xml:space="preserve"> (MoRA</w:t>
            </w:r>
            <w:r w:rsidRPr="00290C57">
              <w:rPr>
                <w:rFonts w:ascii="Times New Roman" w:hAnsi="Times New Roman"/>
                <w:sz w:val="24"/>
              </w:rPr>
              <w:t>)</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lastRenderedPageBreak/>
              <w:t>Country/Region</w:t>
            </w:r>
          </w:p>
        </w:tc>
        <w:tc>
          <w:tcPr>
            <w:tcW w:w="7032" w:type="dxa"/>
            <w:gridSpan w:val="3"/>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Indonesia, Asia</w:t>
            </w:r>
          </w:p>
        </w:tc>
      </w:tr>
      <w:tr w:rsidR="00F11DC7" w:rsidRPr="00290C57" w:rsidTr="0080778F">
        <w:tc>
          <w:tcPr>
            <w:tcW w:w="2210" w:type="dxa"/>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Primary Sector</w:t>
            </w:r>
          </w:p>
        </w:tc>
        <w:tc>
          <w:tcPr>
            <w:tcW w:w="7032" w:type="dxa"/>
            <w:gridSpan w:val="3"/>
          </w:tcPr>
          <w:p w:rsidR="00F11DC7" w:rsidRPr="00290C57" w:rsidRDefault="00F11DC7" w:rsidP="00F11DC7">
            <w:pPr>
              <w:pStyle w:val="Table-normal-text"/>
              <w:rPr>
                <w:rFonts w:ascii="Times New Roman" w:hAnsi="Times New Roman"/>
                <w:sz w:val="24"/>
              </w:rPr>
            </w:pPr>
            <w:r w:rsidRPr="00290C57">
              <w:rPr>
                <w:rFonts w:ascii="Times New Roman" w:hAnsi="Times New Roman"/>
                <w:sz w:val="24"/>
              </w:rPr>
              <w:t>Education</w:t>
            </w:r>
            <w:r w:rsidR="00EC65AB">
              <w:rPr>
                <w:rFonts w:ascii="Times New Roman" w:hAnsi="Times New Roman"/>
                <w:sz w:val="24"/>
              </w:rPr>
              <w:t xml:space="preserve"> (Basic)</w:t>
            </w:r>
          </w:p>
        </w:tc>
      </w:tr>
    </w:tbl>
    <w:p w:rsidR="0080778F" w:rsidRPr="00290C57" w:rsidRDefault="0080778F" w:rsidP="008D1A91">
      <w:pPr>
        <w:spacing w:line="240" w:lineRule="auto"/>
        <w:jc w:val="both"/>
        <w:rPr>
          <w:rFonts w:ascii="Times New Roman" w:eastAsia="Times New Roman" w:hAnsi="Times New Roman" w:cs="Times New Roman"/>
          <w:b/>
          <w:iCs/>
          <w:sz w:val="24"/>
          <w:szCs w:val="24"/>
          <w:lang w:eastAsia="en-AU"/>
        </w:rPr>
      </w:pPr>
    </w:p>
    <w:p w:rsidR="00DD3DB3" w:rsidRPr="00290C57" w:rsidRDefault="008229F3"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Overview of the Aid Activity</w:t>
      </w:r>
    </w:p>
    <w:p w:rsidR="00290C57" w:rsidRDefault="00290C57" w:rsidP="00BC14D5">
      <w:pPr>
        <w:spacing w:after="0" w:line="240" w:lineRule="auto"/>
        <w:jc w:val="both"/>
        <w:rPr>
          <w:rFonts w:ascii="Times New Roman" w:hAnsi="Times New Roman" w:cs="Times New Roman"/>
          <w:sz w:val="24"/>
          <w:szCs w:val="24"/>
        </w:rPr>
      </w:pPr>
    </w:p>
    <w:p w:rsidR="00EC65AB" w:rsidRDefault="00A7022E" w:rsidP="00BC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w:t>
      </w:r>
      <w:r w:rsidR="00F559B8">
        <w:rPr>
          <w:rFonts w:ascii="Times New Roman" w:hAnsi="Times New Roman" w:cs="Times New Roman"/>
          <w:sz w:val="24"/>
          <w:szCs w:val="24"/>
        </w:rPr>
        <w:t xml:space="preserve">ducation </w:t>
      </w:r>
      <w:r>
        <w:rPr>
          <w:rFonts w:ascii="Times New Roman" w:hAnsi="Times New Roman" w:cs="Times New Roman"/>
          <w:sz w:val="24"/>
          <w:szCs w:val="24"/>
        </w:rPr>
        <w:t>P</w:t>
      </w:r>
      <w:r w:rsidR="00F559B8">
        <w:rPr>
          <w:rFonts w:ascii="Times New Roman" w:hAnsi="Times New Roman" w:cs="Times New Roman"/>
          <w:sz w:val="24"/>
          <w:szCs w:val="24"/>
        </w:rPr>
        <w:t>artnership</w:t>
      </w:r>
      <w:r w:rsidR="00AD2679">
        <w:rPr>
          <w:rFonts w:ascii="Times New Roman" w:hAnsi="Times New Roman" w:cs="Times New Roman"/>
          <w:sz w:val="24"/>
          <w:szCs w:val="24"/>
        </w:rPr>
        <w:t>’s vision is to improve education service delivery in Indonesia</w:t>
      </w:r>
      <w:r w:rsidR="00F559B8">
        <w:rPr>
          <w:rFonts w:ascii="Times New Roman" w:hAnsi="Times New Roman" w:cs="Times New Roman"/>
          <w:sz w:val="24"/>
          <w:szCs w:val="24"/>
        </w:rPr>
        <w:t>.  Australia will work with GoI</w:t>
      </w:r>
      <w:r>
        <w:rPr>
          <w:rFonts w:ascii="Times New Roman" w:hAnsi="Times New Roman" w:cs="Times New Roman"/>
          <w:sz w:val="24"/>
          <w:szCs w:val="24"/>
        </w:rPr>
        <w:t xml:space="preserve"> </w:t>
      </w:r>
      <w:r w:rsidR="00AD2679">
        <w:rPr>
          <w:rFonts w:ascii="Times New Roman" w:hAnsi="Times New Roman" w:cs="Times New Roman"/>
          <w:sz w:val="24"/>
          <w:szCs w:val="24"/>
        </w:rPr>
        <w:t>to</w:t>
      </w:r>
      <w:r>
        <w:rPr>
          <w:rFonts w:ascii="Times New Roman" w:hAnsi="Times New Roman" w:cs="Times New Roman"/>
          <w:sz w:val="24"/>
          <w:szCs w:val="24"/>
        </w:rPr>
        <w:t xml:space="preserve"> increase participation</w:t>
      </w:r>
      <w:r w:rsidR="00F559B8">
        <w:rPr>
          <w:rFonts w:ascii="Times New Roman" w:hAnsi="Times New Roman" w:cs="Times New Roman"/>
          <w:sz w:val="24"/>
          <w:szCs w:val="24"/>
        </w:rPr>
        <w:t xml:space="preserve"> in schooling</w:t>
      </w:r>
      <w:r>
        <w:rPr>
          <w:rFonts w:ascii="Times New Roman" w:hAnsi="Times New Roman" w:cs="Times New Roman"/>
          <w:sz w:val="24"/>
          <w:szCs w:val="24"/>
        </w:rPr>
        <w:t>, improve</w:t>
      </w:r>
      <w:r w:rsidR="00F559B8">
        <w:rPr>
          <w:rFonts w:ascii="Times New Roman" w:hAnsi="Times New Roman" w:cs="Times New Roman"/>
          <w:sz w:val="24"/>
          <w:szCs w:val="24"/>
        </w:rPr>
        <w:t xml:space="preserve"> the</w:t>
      </w:r>
      <w:r>
        <w:rPr>
          <w:rFonts w:ascii="Times New Roman" w:hAnsi="Times New Roman" w:cs="Times New Roman"/>
          <w:sz w:val="24"/>
          <w:szCs w:val="24"/>
        </w:rPr>
        <w:t xml:space="preserve"> quality of education </w:t>
      </w:r>
      <w:r w:rsidR="00F559B8">
        <w:rPr>
          <w:rFonts w:ascii="Times New Roman" w:hAnsi="Times New Roman" w:cs="Times New Roman"/>
          <w:sz w:val="24"/>
          <w:szCs w:val="24"/>
        </w:rPr>
        <w:t xml:space="preserve">in </w:t>
      </w:r>
      <w:r>
        <w:rPr>
          <w:rFonts w:ascii="Times New Roman" w:hAnsi="Times New Roman" w:cs="Times New Roman"/>
          <w:sz w:val="24"/>
          <w:szCs w:val="24"/>
        </w:rPr>
        <w:t xml:space="preserve">public and private schools (including madrasah), and improve </w:t>
      </w:r>
      <w:r w:rsidR="00AD2679">
        <w:rPr>
          <w:rFonts w:ascii="Times New Roman" w:hAnsi="Times New Roman" w:cs="Times New Roman"/>
          <w:sz w:val="24"/>
          <w:szCs w:val="24"/>
        </w:rPr>
        <w:t xml:space="preserve">education sector </w:t>
      </w:r>
      <w:r>
        <w:rPr>
          <w:rFonts w:ascii="Times New Roman" w:hAnsi="Times New Roman" w:cs="Times New Roman"/>
          <w:sz w:val="24"/>
          <w:szCs w:val="24"/>
        </w:rPr>
        <w:t xml:space="preserve">governance. To achieve this, the following </w:t>
      </w:r>
      <w:r w:rsidR="00E214A5">
        <w:rPr>
          <w:rFonts w:ascii="Times New Roman" w:hAnsi="Times New Roman" w:cs="Times New Roman"/>
          <w:sz w:val="24"/>
          <w:szCs w:val="24"/>
        </w:rPr>
        <w:t>End of Partnership O</w:t>
      </w:r>
      <w:r>
        <w:rPr>
          <w:rFonts w:ascii="Times New Roman" w:hAnsi="Times New Roman" w:cs="Times New Roman"/>
          <w:sz w:val="24"/>
          <w:szCs w:val="24"/>
        </w:rPr>
        <w:t>utcomes</w:t>
      </w:r>
      <w:r w:rsidR="00A668C0">
        <w:rPr>
          <w:rFonts w:ascii="Times New Roman" w:hAnsi="Times New Roman" w:cs="Times New Roman"/>
          <w:sz w:val="24"/>
          <w:szCs w:val="24"/>
        </w:rPr>
        <w:t xml:space="preserve"> (EOPO)</w:t>
      </w:r>
      <w:r>
        <w:rPr>
          <w:rFonts w:ascii="Times New Roman" w:hAnsi="Times New Roman" w:cs="Times New Roman"/>
          <w:sz w:val="24"/>
          <w:szCs w:val="24"/>
        </w:rPr>
        <w:t xml:space="preserve"> should be demonstrable at the end of </w:t>
      </w:r>
      <w:r w:rsidR="00EC65AB">
        <w:rPr>
          <w:rFonts w:ascii="Times New Roman" w:hAnsi="Times New Roman" w:cs="Times New Roman"/>
          <w:sz w:val="24"/>
          <w:szCs w:val="24"/>
        </w:rPr>
        <w:t>the EP:</w:t>
      </w:r>
    </w:p>
    <w:p w:rsidR="00EC65AB" w:rsidRDefault="00E811A9" w:rsidP="00EC65A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Increased enrolment in Junior Secondary Education in participating districts.</w:t>
      </w:r>
    </w:p>
    <w:p w:rsidR="00B72B5B" w:rsidRPr="00B72B5B" w:rsidRDefault="00B72B5B" w:rsidP="00B72B5B">
      <w:pPr>
        <w:pStyle w:val="ListParagraph"/>
        <w:spacing w:after="0" w:line="240" w:lineRule="auto"/>
        <w:jc w:val="both"/>
        <w:rPr>
          <w:rFonts w:ascii="Times New Roman" w:hAnsi="Times New Roman" w:cs="Times New Roman"/>
          <w:sz w:val="16"/>
          <w:szCs w:val="16"/>
        </w:rPr>
      </w:pPr>
    </w:p>
    <w:p w:rsidR="00E811A9" w:rsidRDefault="00E811A9" w:rsidP="00EC65A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Improved management of schools and madrasah in participating districts.</w:t>
      </w:r>
    </w:p>
    <w:p w:rsidR="00B72B5B" w:rsidRPr="00B72B5B" w:rsidRDefault="00B72B5B" w:rsidP="00B72B5B">
      <w:pPr>
        <w:pStyle w:val="ListParagraph"/>
        <w:spacing w:after="0" w:line="240" w:lineRule="auto"/>
        <w:jc w:val="both"/>
        <w:rPr>
          <w:rFonts w:ascii="Times New Roman" w:hAnsi="Times New Roman" w:cs="Times New Roman"/>
          <w:sz w:val="16"/>
          <w:szCs w:val="16"/>
        </w:rPr>
      </w:pPr>
    </w:p>
    <w:p w:rsidR="00E811A9" w:rsidRDefault="00E811A9" w:rsidP="00EC65A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Improved quality of madrasah service provision (in line with National Education Standards) in targeted provinces.</w:t>
      </w:r>
    </w:p>
    <w:p w:rsidR="00B72B5B" w:rsidRPr="00B72B5B" w:rsidRDefault="00B72B5B" w:rsidP="00B72B5B">
      <w:pPr>
        <w:pStyle w:val="ListParagraph"/>
        <w:spacing w:after="0" w:line="240" w:lineRule="auto"/>
        <w:jc w:val="both"/>
        <w:rPr>
          <w:rFonts w:ascii="Times New Roman" w:hAnsi="Times New Roman" w:cs="Times New Roman"/>
          <w:sz w:val="16"/>
          <w:szCs w:val="16"/>
        </w:rPr>
      </w:pPr>
    </w:p>
    <w:p w:rsidR="00E811A9" w:rsidRPr="00EC65AB" w:rsidRDefault="00E811A9" w:rsidP="00EC65A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ACDP evidence is incorporated in relevant education sector policies, regulations, plans and budgets.</w:t>
      </w:r>
    </w:p>
    <w:p w:rsidR="00EC65AB" w:rsidRDefault="00EC65AB" w:rsidP="00BC14D5">
      <w:pPr>
        <w:spacing w:after="0" w:line="240" w:lineRule="auto"/>
        <w:jc w:val="both"/>
        <w:rPr>
          <w:rFonts w:ascii="Times New Roman" w:hAnsi="Times New Roman" w:cs="Times New Roman"/>
          <w:sz w:val="24"/>
          <w:szCs w:val="24"/>
        </w:rPr>
      </w:pPr>
    </w:p>
    <w:p w:rsidR="00252BD8" w:rsidRDefault="00F559B8" w:rsidP="00252BD8">
      <w:pPr>
        <w:spacing w:after="0" w:line="240" w:lineRule="auto"/>
        <w:rPr>
          <w:rFonts w:ascii="Times New Roman" w:hAnsi="Times New Roman" w:cs="Times New Roman"/>
          <w:sz w:val="24"/>
          <w:szCs w:val="24"/>
        </w:rPr>
      </w:pPr>
      <w:r>
        <w:rPr>
          <w:rFonts w:ascii="Times New Roman" w:hAnsi="Times New Roman" w:cs="Times New Roman"/>
          <w:sz w:val="24"/>
          <w:szCs w:val="24"/>
        </w:rPr>
        <w:t>To contribute to these broader goals, Australia will</w:t>
      </w:r>
      <w:r w:rsidR="00252BD8" w:rsidRPr="00290C57">
        <w:rPr>
          <w:rFonts w:ascii="Times New Roman" w:hAnsi="Times New Roman" w:cs="Times New Roman"/>
          <w:sz w:val="24"/>
          <w:szCs w:val="24"/>
        </w:rPr>
        <w:t xml:space="preserve">: </w:t>
      </w:r>
    </w:p>
    <w:p w:rsidR="00024FC2" w:rsidRPr="00290C57" w:rsidRDefault="00024FC2" w:rsidP="00252BD8">
      <w:pPr>
        <w:spacing w:after="0" w:line="240" w:lineRule="auto"/>
        <w:rPr>
          <w:rFonts w:ascii="Times New Roman" w:hAnsi="Times New Roman" w:cs="Times New Roman"/>
          <w:sz w:val="24"/>
          <w:szCs w:val="24"/>
        </w:rPr>
      </w:pPr>
    </w:p>
    <w:p w:rsidR="00252BD8" w:rsidRPr="00A77D1E" w:rsidRDefault="00252BD8" w:rsidP="00252BD8">
      <w:pPr>
        <w:pStyle w:val="ListParagraph"/>
        <w:numPr>
          <w:ilvl w:val="0"/>
          <w:numId w:val="19"/>
        </w:numPr>
        <w:spacing w:after="0" w:line="240" w:lineRule="auto"/>
        <w:rPr>
          <w:rFonts w:ascii="Times New Roman" w:hAnsi="Times New Roman" w:cs="Times New Roman"/>
          <w:sz w:val="24"/>
          <w:szCs w:val="24"/>
        </w:rPr>
      </w:pPr>
      <w:r w:rsidRPr="00252BD8">
        <w:rPr>
          <w:rFonts w:ascii="Times New Roman" w:hAnsi="Times New Roman" w:cs="Times New Roman"/>
          <w:sz w:val="24"/>
          <w:szCs w:val="24"/>
        </w:rPr>
        <w:t xml:space="preserve">construct or expand </w:t>
      </w:r>
      <w:r w:rsidRPr="00A77D1E">
        <w:rPr>
          <w:rFonts w:ascii="Times New Roman" w:hAnsi="Times New Roman" w:cs="Times New Roman"/>
          <w:sz w:val="24"/>
          <w:szCs w:val="24"/>
        </w:rPr>
        <w:t>up to 2,000 more junior secondary schools and create approximately 300,000 new places for junior secondary school students;</w:t>
      </w:r>
    </w:p>
    <w:p w:rsidR="00252BD8" w:rsidRPr="00B72B5B" w:rsidRDefault="00252BD8" w:rsidP="00252BD8">
      <w:pPr>
        <w:pStyle w:val="ListParagraph"/>
        <w:spacing w:after="0" w:line="240" w:lineRule="auto"/>
        <w:rPr>
          <w:rFonts w:ascii="Times New Roman" w:hAnsi="Times New Roman" w:cs="Times New Roman"/>
          <w:sz w:val="16"/>
          <w:szCs w:val="16"/>
        </w:rPr>
      </w:pPr>
    </w:p>
    <w:p w:rsidR="00252BD8" w:rsidRPr="00252BD8" w:rsidRDefault="00252BD8" w:rsidP="00252BD8">
      <w:pPr>
        <w:pStyle w:val="ListParagraph"/>
        <w:numPr>
          <w:ilvl w:val="0"/>
          <w:numId w:val="19"/>
        </w:numPr>
        <w:spacing w:after="0" w:line="240" w:lineRule="auto"/>
        <w:rPr>
          <w:rFonts w:ascii="Times New Roman" w:hAnsi="Times New Roman" w:cs="Times New Roman"/>
          <w:sz w:val="24"/>
          <w:szCs w:val="24"/>
        </w:rPr>
      </w:pPr>
      <w:r w:rsidRPr="00252BD8">
        <w:rPr>
          <w:rFonts w:ascii="Times New Roman" w:hAnsi="Times New Roman" w:cs="Times New Roman"/>
          <w:sz w:val="24"/>
          <w:szCs w:val="24"/>
        </w:rPr>
        <w:t xml:space="preserve">improve the quality of school and madrasah management by developing a professional development system which will be </w:t>
      </w:r>
      <w:r w:rsidR="00A77D1E">
        <w:rPr>
          <w:rFonts w:ascii="Times New Roman" w:hAnsi="Times New Roman" w:cs="Times New Roman"/>
          <w:sz w:val="24"/>
          <w:szCs w:val="24"/>
        </w:rPr>
        <w:t xml:space="preserve">made </w:t>
      </w:r>
      <w:r w:rsidRPr="00A77D1E">
        <w:rPr>
          <w:rFonts w:ascii="Times New Roman" w:hAnsi="Times New Roman" w:cs="Times New Roman"/>
          <w:sz w:val="24"/>
          <w:szCs w:val="24"/>
        </w:rPr>
        <w:t>available to all 293,000 of Indonesia's</w:t>
      </w:r>
      <w:r w:rsidRPr="00252BD8">
        <w:rPr>
          <w:rFonts w:ascii="Times New Roman" w:hAnsi="Times New Roman" w:cs="Times New Roman"/>
          <w:sz w:val="24"/>
          <w:szCs w:val="24"/>
        </w:rPr>
        <w:t xml:space="preserve"> school principals, school supervisors and district education officials;</w:t>
      </w:r>
    </w:p>
    <w:p w:rsidR="00252BD8" w:rsidRPr="00B72B5B" w:rsidRDefault="00252BD8" w:rsidP="00252BD8">
      <w:pPr>
        <w:pStyle w:val="ListParagraph"/>
        <w:spacing w:after="0" w:line="240" w:lineRule="auto"/>
        <w:rPr>
          <w:rFonts w:ascii="Times New Roman" w:hAnsi="Times New Roman" w:cs="Times New Roman"/>
          <w:sz w:val="16"/>
          <w:szCs w:val="16"/>
        </w:rPr>
      </w:pPr>
    </w:p>
    <w:p w:rsidR="00252BD8" w:rsidRDefault="00252BD8" w:rsidP="00252BD8">
      <w:pPr>
        <w:pStyle w:val="ListParagraph"/>
        <w:numPr>
          <w:ilvl w:val="0"/>
          <w:numId w:val="19"/>
        </w:numPr>
        <w:spacing w:after="0" w:line="240" w:lineRule="auto"/>
        <w:rPr>
          <w:rFonts w:ascii="Times New Roman" w:hAnsi="Times New Roman" w:cs="Times New Roman"/>
          <w:sz w:val="24"/>
          <w:szCs w:val="24"/>
        </w:rPr>
      </w:pPr>
      <w:r w:rsidRPr="00290C57">
        <w:rPr>
          <w:rFonts w:ascii="Times New Roman" w:hAnsi="Times New Roman" w:cs="Times New Roman"/>
          <w:sz w:val="24"/>
          <w:szCs w:val="24"/>
        </w:rPr>
        <w:t xml:space="preserve">support good quality Islamic Education by helping </w:t>
      </w:r>
      <w:r w:rsidR="00A77D1E" w:rsidRPr="00A77D1E">
        <w:rPr>
          <w:rFonts w:ascii="Times New Roman" w:hAnsi="Times New Roman" w:cs="Times New Roman"/>
          <w:sz w:val="24"/>
          <w:szCs w:val="24"/>
        </w:rPr>
        <w:t>up to</w:t>
      </w:r>
      <w:r w:rsidRPr="00A77D1E">
        <w:rPr>
          <w:rFonts w:ascii="Times New Roman" w:hAnsi="Times New Roman" w:cs="Times New Roman"/>
          <w:sz w:val="24"/>
          <w:szCs w:val="24"/>
        </w:rPr>
        <w:t xml:space="preserve"> 1,500 Islamic</w:t>
      </w:r>
      <w:r w:rsidR="00024FC2">
        <w:rPr>
          <w:rFonts w:ascii="Times New Roman" w:hAnsi="Times New Roman" w:cs="Times New Roman"/>
          <w:sz w:val="24"/>
          <w:szCs w:val="24"/>
        </w:rPr>
        <w:t xml:space="preserve"> schools (m</w:t>
      </w:r>
      <w:r w:rsidRPr="00290C57">
        <w:rPr>
          <w:rFonts w:ascii="Times New Roman" w:hAnsi="Times New Roman" w:cs="Times New Roman"/>
          <w:sz w:val="24"/>
          <w:szCs w:val="24"/>
        </w:rPr>
        <w:t>adrasah) to achieve accreditation against National Education Standards;</w:t>
      </w:r>
    </w:p>
    <w:p w:rsidR="00252BD8" w:rsidRPr="00B72B5B" w:rsidRDefault="00252BD8" w:rsidP="00252BD8">
      <w:pPr>
        <w:pStyle w:val="ListParagraph"/>
        <w:rPr>
          <w:rFonts w:ascii="Times New Roman" w:hAnsi="Times New Roman" w:cs="Times New Roman"/>
          <w:sz w:val="16"/>
          <w:szCs w:val="16"/>
        </w:rPr>
      </w:pPr>
    </w:p>
    <w:p w:rsidR="0006465A" w:rsidRPr="00252BD8" w:rsidRDefault="00252BD8" w:rsidP="00252BD8">
      <w:pPr>
        <w:pStyle w:val="ListParagraph"/>
        <w:numPr>
          <w:ilvl w:val="0"/>
          <w:numId w:val="19"/>
        </w:numPr>
        <w:spacing w:after="0" w:line="240" w:lineRule="auto"/>
        <w:rPr>
          <w:rFonts w:ascii="Times New Roman" w:hAnsi="Times New Roman" w:cs="Times New Roman"/>
          <w:sz w:val="24"/>
          <w:szCs w:val="24"/>
        </w:rPr>
      </w:pPr>
      <w:r w:rsidRPr="00252BD8">
        <w:rPr>
          <w:rFonts w:ascii="Times New Roman" w:hAnsi="Times New Roman" w:cs="Times New Roman"/>
          <w:sz w:val="24"/>
          <w:szCs w:val="24"/>
        </w:rPr>
        <w:t>work together with the European Union</w:t>
      </w:r>
      <w:r w:rsidR="000E4021">
        <w:rPr>
          <w:rFonts w:ascii="Times New Roman" w:hAnsi="Times New Roman" w:cs="Times New Roman"/>
          <w:sz w:val="24"/>
          <w:szCs w:val="24"/>
        </w:rPr>
        <w:t xml:space="preserve"> (EU)</w:t>
      </w:r>
      <w:r w:rsidRPr="00252BD8">
        <w:rPr>
          <w:rFonts w:ascii="Times New Roman" w:hAnsi="Times New Roman" w:cs="Times New Roman"/>
          <w:sz w:val="24"/>
          <w:szCs w:val="24"/>
        </w:rPr>
        <w:t xml:space="preserve"> and the Asian Development Bank</w:t>
      </w:r>
      <w:r w:rsidR="000E4021">
        <w:rPr>
          <w:rFonts w:ascii="Times New Roman" w:hAnsi="Times New Roman" w:cs="Times New Roman"/>
          <w:sz w:val="24"/>
          <w:szCs w:val="24"/>
        </w:rPr>
        <w:t xml:space="preserve"> (ADB)</w:t>
      </w:r>
      <w:r w:rsidRPr="00252BD8">
        <w:rPr>
          <w:rFonts w:ascii="Times New Roman" w:hAnsi="Times New Roman" w:cs="Times New Roman"/>
          <w:sz w:val="24"/>
          <w:szCs w:val="24"/>
        </w:rPr>
        <w:t xml:space="preserve"> to support relevant, high quality and timely research and analysis that strengthens education policy.</w:t>
      </w:r>
    </w:p>
    <w:p w:rsidR="0006465A" w:rsidRDefault="0006465A" w:rsidP="00BC14D5">
      <w:pPr>
        <w:spacing w:after="0" w:line="240" w:lineRule="auto"/>
        <w:jc w:val="both"/>
        <w:rPr>
          <w:rFonts w:ascii="Times New Roman" w:hAnsi="Times New Roman" w:cs="Times New Roman"/>
          <w:sz w:val="24"/>
          <w:szCs w:val="24"/>
        </w:rPr>
      </w:pPr>
    </w:p>
    <w:p w:rsidR="00A7022E" w:rsidRDefault="00A7022E" w:rsidP="00BC14D5">
      <w:pPr>
        <w:spacing w:after="0" w:line="240" w:lineRule="auto"/>
        <w:jc w:val="both"/>
        <w:rPr>
          <w:rFonts w:ascii="Times New Roman" w:hAnsi="Times New Roman" w:cs="Times New Roman"/>
          <w:sz w:val="24"/>
          <w:szCs w:val="24"/>
        </w:rPr>
      </w:pPr>
      <w:r w:rsidRPr="00290C57">
        <w:rPr>
          <w:rFonts w:ascii="Times New Roman" w:hAnsi="Times New Roman" w:cs="Times New Roman"/>
          <w:sz w:val="24"/>
          <w:szCs w:val="24"/>
        </w:rPr>
        <w:t xml:space="preserve">The total value of </w:t>
      </w:r>
      <w:r>
        <w:rPr>
          <w:rFonts w:ascii="Times New Roman" w:hAnsi="Times New Roman" w:cs="Times New Roman"/>
          <w:sz w:val="24"/>
          <w:szCs w:val="24"/>
        </w:rPr>
        <w:t>the E</w:t>
      </w:r>
      <w:r w:rsidR="00E214A5">
        <w:rPr>
          <w:rFonts w:ascii="Times New Roman" w:hAnsi="Times New Roman" w:cs="Times New Roman"/>
          <w:sz w:val="24"/>
          <w:szCs w:val="24"/>
        </w:rPr>
        <w:t xml:space="preserve">ducation </w:t>
      </w:r>
      <w:r>
        <w:rPr>
          <w:rFonts w:ascii="Times New Roman" w:hAnsi="Times New Roman" w:cs="Times New Roman"/>
          <w:sz w:val="24"/>
          <w:szCs w:val="24"/>
        </w:rPr>
        <w:t>P</w:t>
      </w:r>
      <w:r w:rsidR="00E214A5">
        <w:rPr>
          <w:rFonts w:ascii="Times New Roman" w:hAnsi="Times New Roman" w:cs="Times New Roman"/>
          <w:sz w:val="24"/>
          <w:szCs w:val="24"/>
        </w:rPr>
        <w:t>artnership</w:t>
      </w:r>
      <w:r>
        <w:rPr>
          <w:rFonts w:ascii="Times New Roman" w:hAnsi="Times New Roman" w:cs="Times New Roman"/>
          <w:sz w:val="24"/>
          <w:szCs w:val="24"/>
        </w:rPr>
        <w:t xml:space="preserve"> </w:t>
      </w:r>
      <w:r w:rsidRPr="00290C57">
        <w:rPr>
          <w:rFonts w:ascii="Times New Roman" w:hAnsi="Times New Roman" w:cs="Times New Roman"/>
          <w:sz w:val="24"/>
          <w:szCs w:val="24"/>
        </w:rPr>
        <w:t>is $524 million</w:t>
      </w:r>
      <w:r>
        <w:rPr>
          <w:rFonts w:ascii="Times New Roman" w:hAnsi="Times New Roman" w:cs="Times New Roman"/>
          <w:sz w:val="24"/>
          <w:szCs w:val="24"/>
        </w:rPr>
        <w:t>, delivered</w:t>
      </w:r>
      <w:r w:rsidRPr="00290C57">
        <w:rPr>
          <w:rFonts w:ascii="Times New Roman" w:hAnsi="Times New Roman" w:cs="Times New Roman"/>
          <w:sz w:val="24"/>
          <w:szCs w:val="24"/>
        </w:rPr>
        <w:t xml:space="preserve"> over 5 years</w:t>
      </w:r>
      <w:r>
        <w:rPr>
          <w:rFonts w:ascii="Times New Roman" w:hAnsi="Times New Roman" w:cs="Times New Roman"/>
          <w:sz w:val="24"/>
          <w:szCs w:val="24"/>
        </w:rPr>
        <w:t xml:space="preserve"> (</w:t>
      </w:r>
      <w:r w:rsidRPr="00290C57">
        <w:rPr>
          <w:rFonts w:ascii="Times New Roman" w:hAnsi="Times New Roman" w:cs="Times New Roman"/>
          <w:sz w:val="24"/>
          <w:szCs w:val="24"/>
        </w:rPr>
        <w:t>2011</w:t>
      </w:r>
      <w:r>
        <w:rPr>
          <w:rFonts w:ascii="Times New Roman" w:hAnsi="Times New Roman" w:cs="Times New Roman"/>
          <w:sz w:val="24"/>
          <w:szCs w:val="24"/>
        </w:rPr>
        <w:noBreakHyphen/>
        <w:t>2016)</w:t>
      </w:r>
      <w:r w:rsidRPr="00290C57">
        <w:rPr>
          <w:rFonts w:ascii="Times New Roman" w:hAnsi="Times New Roman" w:cs="Times New Roman"/>
          <w:sz w:val="24"/>
          <w:szCs w:val="24"/>
        </w:rPr>
        <w:t>.</w:t>
      </w:r>
      <w:r>
        <w:rPr>
          <w:rFonts w:ascii="Times New Roman" w:hAnsi="Times New Roman" w:cs="Times New Roman"/>
          <w:sz w:val="24"/>
          <w:szCs w:val="24"/>
        </w:rPr>
        <w:t xml:space="preserve">  </w:t>
      </w:r>
    </w:p>
    <w:p w:rsidR="00A7022E" w:rsidRDefault="00A7022E" w:rsidP="00BC14D5">
      <w:pPr>
        <w:spacing w:after="0" w:line="240" w:lineRule="auto"/>
        <w:jc w:val="both"/>
        <w:rPr>
          <w:rFonts w:ascii="Times New Roman" w:hAnsi="Times New Roman" w:cs="Times New Roman"/>
          <w:sz w:val="24"/>
          <w:szCs w:val="24"/>
        </w:rPr>
      </w:pPr>
    </w:p>
    <w:p w:rsidR="00E910C3" w:rsidRPr="00290C57" w:rsidRDefault="00E910C3" w:rsidP="00A7022E">
      <w:pPr>
        <w:spacing w:line="240" w:lineRule="auto"/>
        <w:jc w:val="both"/>
        <w:rPr>
          <w:rFonts w:ascii="Times New Roman" w:hAnsi="Times New Roman" w:cs="Times New Roman"/>
          <w:b/>
          <w:sz w:val="24"/>
          <w:szCs w:val="24"/>
        </w:rPr>
      </w:pPr>
    </w:p>
    <w:p w:rsidR="00B32886" w:rsidRPr="00290C57" w:rsidRDefault="00B32886"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Annual Partnership Performance Report</w:t>
      </w:r>
    </w:p>
    <w:p w:rsidR="00E910C3" w:rsidRPr="00290C57" w:rsidRDefault="00E910C3" w:rsidP="00B76EE1">
      <w:pPr>
        <w:spacing w:after="0" w:line="240" w:lineRule="auto"/>
        <w:jc w:val="both"/>
        <w:rPr>
          <w:rFonts w:ascii="Times New Roman" w:hAnsi="Times New Roman" w:cs="Times New Roman"/>
          <w:b/>
          <w:sz w:val="24"/>
          <w:szCs w:val="24"/>
        </w:rPr>
      </w:pPr>
    </w:p>
    <w:p w:rsidR="00B32886" w:rsidRPr="00290C57" w:rsidRDefault="00B32886" w:rsidP="008D1A91">
      <w:pPr>
        <w:spacing w:after="0" w:line="240" w:lineRule="auto"/>
        <w:jc w:val="both"/>
        <w:rPr>
          <w:rFonts w:ascii="Times New Roman" w:hAnsi="Times New Roman" w:cs="Times New Roman"/>
          <w:b/>
          <w:sz w:val="24"/>
          <w:szCs w:val="24"/>
        </w:rPr>
      </w:pPr>
      <w:r w:rsidRPr="00290C57">
        <w:rPr>
          <w:rFonts w:ascii="Times New Roman" w:hAnsi="Times New Roman" w:cs="Times New Roman"/>
          <w:b/>
          <w:sz w:val="24"/>
          <w:szCs w:val="24"/>
        </w:rPr>
        <w:t>Report Objective:</w:t>
      </w:r>
    </w:p>
    <w:p w:rsidR="00CB3A6A" w:rsidRPr="00290C57" w:rsidRDefault="00CB3A6A" w:rsidP="008D1A91">
      <w:pPr>
        <w:spacing w:after="0" w:line="240" w:lineRule="auto"/>
        <w:jc w:val="both"/>
        <w:rPr>
          <w:rFonts w:ascii="Times New Roman" w:hAnsi="Times New Roman" w:cs="Times New Roman"/>
          <w:b/>
          <w:sz w:val="24"/>
          <w:szCs w:val="24"/>
        </w:rPr>
      </w:pPr>
    </w:p>
    <w:p w:rsidR="00B72B5B" w:rsidRDefault="00B32886" w:rsidP="008D1A91">
      <w:pPr>
        <w:spacing w:after="0" w:line="240" w:lineRule="auto"/>
        <w:jc w:val="both"/>
        <w:rPr>
          <w:b/>
          <w:sz w:val="24"/>
        </w:rPr>
      </w:pPr>
      <w:r w:rsidRPr="00290C57">
        <w:rPr>
          <w:rFonts w:ascii="Times New Roman" w:hAnsi="Times New Roman" w:cs="Times New Roman"/>
          <w:sz w:val="24"/>
          <w:szCs w:val="24"/>
        </w:rPr>
        <w:t xml:space="preserve">The Annual Partnership Performance Report (APPR) presents an annual overview of </w:t>
      </w:r>
      <w:r w:rsidR="00D86EC9" w:rsidRPr="00290C57">
        <w:rPr>
          <w:rFonts w:ascii="Times New Roman" w:hAnsi="Times New Roman" w:cs="Times New Roman"/>
          <w:sz w:val="24"/>
          <w:szCs w:val="24"/>
        </w:rPr>
        <w:t>EP</w:t>
      </w:r>
      <w:r w:rsidR="00077A25" w:rsidRPr="00290C57">
        <w:rPr>
          <w:rFonts w:ascii="Times New Roman" w:hAnsi="Times New Roman" w:cs="Times New Roman"/>
          <w:sz w:val="24"/>
          <w:szCs w:val="24"/>
        </w:rPr>
        <w:t xml:space="preserve"> </w:t>
      </w:r>
      <w:r w:rsidRPr="00290C57">
        <w:rPr>
          <w:rFonts w:ascii="Times New Roman" w:hAnsi="Times New Roman" w:cs="Times New Roman"/>
          <w:sz w:val="24"/>
          <w:szCs w:val="24"/>
        </w:rPr>
        <w:t>progress at all levels of the program logic and with respect to cross-cutting and ove</w:t>
      </w:r>
      <w:r w:rsidR="00B76EE1" w:rsidRPr="00290C57">
        <w:rPr>
          <w:rFonts w:ascii="Times New Roman" w:hAnsi="Times New Roman" w:cs="Times New Roman"/>
          <w:sz w:val="24"/>
          <w:szCs w:val="24"/>
        </w:rPr>
        <w:t>rarchi</w:t>
      </w:r>
      <w:r w:rsidR="00252BD8">
        <w:rPr>
          <w:rFonts w:ascii="Times New Roman" w:hAnsi="Times New Roman" w:cs="Times New Roman"/>
          <w:sz w:val="24"/>
          <w:szCs w:val="24"/>
        </w:rPr>
        <w:t xml:space="preserve">ng developmental themes. </w:t>
      </w:r>
      <w:r w:rsidR="00252BD8">
        <w:rPr>
          <w:rFonts w:ascii="Times New Roman" w:hAnsi="Times New Roman" w:cs="Times New Roman"/>
          <w:sz w:val="24"/>
        </w:rPr>
        <w:t>Based on this</w:t>
      </w:r>
      <w:r w:rsidR="00252BD8" w:rsidRPr="00252BD8">
        <w:rPr>
          <w:rFonts w:ascii="Times New Roman" w:hAnsi="Times New Roman" w:cs="Times New Roman"/>
          <w:sz w:val="24"/>
        </w:rPr>
        <w:t xml:space="preserve"> overview, the APPR </w:t>
      </w:r>
      <w:r w:rsidR="008D66E3">
        <w:rPr>
          <w:rFonts w:ascii="Times New Roman" w:hAnsi="Times New Roman" w:cs="Times New Roman"/>
          <w:sz w:val="24"/>
        </w:rPr>
        <w:t>presents</w:t>
      </w:r>
      <w:r w:rsidR="00252BD8" w:rsidRPr="00252BD8">
        <w:rPr>
          <w:rFonts w:ascii="Times New Roman" w:hAnsi="Times New Roman" w:cs="Times New Roman"/>
          <w:sz w:val="24"/>
        </w:rPr>
        <w:t xml:space="preserve"> a set of recommendations for action</w:t>
      </w:r>
      <w:r w:rsidR="008D66E3">
        <w:rPr>
          <w:rFonts w:ascii="Times New Roman" w:hAnsi="Times New Roman" w:cs="Times New Roman"/>
          <w:sz w:val="24"/>
        </w:rPr>
        <w:t>s</w:t>
      </w:r>
      <w:r w:rsidR="00252BD8" w:rsidRPr="00252BD8">
        <w:rPr>
          <w:rFonts w:ascii="Times New Roman" w:hAnsi="Times New Roman" w:cs="Times New Roman"/>
          <w:sz w:val="24"/>
        </w:rPr>
        <w:t xml:space="preserve"> to improve the future performance of the EP.</w:t>
      </w:r>
      <w:r w:rsidR="00252BD8">
        <w:rPr>
          <w:b/>
          <w:sz w:val="24"/>
        </w:rPr>
        <w:t xml:space="preserve"> </w:t>
      </w:r>
    </w:p>
    <w:p w:rsidR="00B72B5B" w:rsidRDefault="00B72B5B" w:rsidP="008D1A91">
      <w:pPr>
        <w:spacing w:after="0" w:line="240" w:lineRule="auto"/>
        <w:jc w:val="both"/>
        <w:rPr>
          <w:b/>
          <w:sz w:val="24"/>
        </w:rPr>
      </w:pPr>
    </w:p>
    <w:p w:rsidR="00B32886" w:rsidRPr="00290C57" w:rsidRDefault="00252BD8" w:rsidP="008D1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APPR </w:t>
      </w:r>
      <w:r w:rsidR="00B72B5B">
        <w:rPr>
          <w:rFonts w:ascii="Times New Roman" w:hAnsi="Times New Roman" w:cs="Times New Roman"/>
          <w:sz w:val="24"/>
          <w:szCs w:val="24"/>
        </w:rPr>
        <w:t>is one of the key products of the EP’s Performance Monitoring System</w:t>
      </w:r>
      <w:r w:rsidR="000E4021">
        <w:rPr>
          <w:rFonts w:ascii="Times New Roman" w:hAnsi="Times New Roman" w:cs="Times New Roman"/>
          <w:sz w:val="24"/>
          <w:szCs w:val="24"/>
        </w:rPr>
        <w:t xml:space="preserve"> (EP-PMS)</w:t>
      </w:r>
      <w:r w:rsidR="00B72B5B">
        <w:rPr>
          <w:rFonts w:ascii="Times New Roman" w:hAnsi="Times New Roman" w:cs="Times New Roman"/>
          <w:sz w:val="24"/>
          <w:szCs w:val="24"/>
        </w:rPr>
        <w:t>, and aims to support a commitment to</w:t>
      </w:r>
      <w:r w:rsidR="008D66E3">
        <w:rPr>
          <w:rFonts w:ascii="Times New Roman" w:hAnsi="Times New Roman" w:cs="Times New Roman"/>
          <w:sz w:val="24"/>
          <w:szCs w:val="24"/>
        </w:rPr>
        <w:t>,</w:t>
      </w:r>
      <w:r w:rsidR="00B72B5B">
        <w:rPr>
          <w:rFonts w:ascii="Times New Roman" w:hAnsi="Times New Roman" w:cs="Times New Roman"/>
          <w:sz w:val="24"/>
          <w:szCs w:val="24"/>
        </w:rPr>
        <w:t xml:space="preserve"> and culture of</w:t>
      </w:r>
      <w:r w:rsidR="008D66E3">
        <w:rPr>
          <w:rFonts w:ascii="Times New Roman" w:hAnsi="Times New Roman" w:cs="Times New Roman"/>
          <w:sz w:val="24"/>
          <w:szCs w:val="24"/>
        </w:rPr>
        <w:t>,</w:t>
      </w:r>
      <w:r w:rsidR="00B72B5B">
        <w:rPr>
          <w:rFonts w:ascii="Times New Roman" w:hAnsi="Times New Roman" w:cs="Times New Roman"/>
          <w:sz w:val="24"/>
          <w:szCs w:val="24"/>
        </w:rPr>
        <w:t xml:space="preserve"> continuous improvement in program management and performance.</w:t>
      </w:r>
    </w:p>
    <w:p w:rsidR="008229F3" w:rsidRPr="00290C57" w:rsidRDefault="008229F3" w:rsidP="008D1A91">
      <w:pPr>
        <w:spacing w:line="240" w:lineRule="auto"/>
        <w:jc w:val="both"/>
        <w:rPr>
          <w:rFonts w:ascii="Times New Roman" w:hAnsi="Times New Roman" w:cs="Times New Roman"/>
          <w:b/>
          <w:sz w:val="24"/>
          <w:szCs w:val="24"/>
        </w:rPr>
      </w:pPr>
    </w:p>
    <w:p w:rsidR="00057D38" w:rsidRPr="00290C57" w:rsidRDefault="00CB3A6A" w:rsidP="008D1A91">
      <w:pPr>
        <w:spacing w:line="240" w:lineRule="auto"/>
        <w:rPr>
          <w:rFonts w:ascii="Times New Roman" w:hAnsi="Times New Roman" w:cs="Times New Roman"/>
          <w:b/>
          <w:sz w:val="24"/>
          <w:szCs w:val="24"/>
        </w:rPr>
      </w:pPr>
      <w:r w:rsidRPr="00290C57">
        <w:rPr>
          <w:rFonts w:ascii="Times New Roman" w:hAnsi="Times New Roman" w:cs="Times New Roman"/>
          <w:b/>
          <w:sz w:val="24"/>
          <w:szCs w:val="24"/>
        </w:rPr>
        <w:t xml:space="preserve">Overview of the </w:t>
      </w:r>
      <w:r w:rsidR="00FD2B3E">
        <w:rPr>
          <w:rFonts w:ascii="Times New Roman" w:hAnsi="Times New Roman" w:cs="Times New Roman"/>
          <w:b/>
          <w:sz w:val="24"/>
          <w:szCs w:val="24"/>
        </w:rPr>
        <w:t xml:space="preserve">2013 </w:t>
      </w:r>
      <w:r w:rsidR="00252BD8">
        <w:rPr>
          <w:rFonts w:ascii="Times New Roman" w:hAnsi="Times New Roman" w:cs="Times New Roman"/>
          <w:b/>
          <w:sz w:val="24"/>
          <w:szCs w:val="24"/>
        </w:rPr>
        <w:t>APPR</w:t>
      </w:r>
      <w:r w:rsidR="001D1469" w:rsidRPr="00290C57">
        <w:rPr>
          <w:rFonts w:ascii="Times New Roman" w:hAnsi="Times New Roman" w:cs="Times New Roman"/>
          <w:b/>
          <w:sz w:val="24"/>
          <w:szCs w:val="24"/>
        </w:rPr>
        <w:t>:</w:t>
      </w:r>
    </w:p>
    <w:p w:rsidR="00CB3A6A" w:rsidRPr="00290C57" w:rsidRDefault="00CB3A6A" w:rsidP="00CB3A6A">
      <w:pPr>
        <w:spacing w:after="0" w:line="240" w:lineRule="auto"/>
        <w:jc w:val="both"/>
        <w:rPr>
          <w:rFonts w:ascii="Times New Roman" w:hAnsi="Times New Roman" w:cs="Times New Roman"/>
          <w:sz w:val="24"/>
          <w:szCs w:val="24"/>
        </w:rPr>
      </w:pPr>
      <w:r w:rsidRPr="00290C57">
        <w:rPr>
          <w:rFonts w:ascii="Times New Roman" w:hAnsi="Times New Roman" w:cs="Times New Roman"/>
          <w:sz w:val="24"/>
          <w:szCs w:val="24"/>
        </w:rPr>
        <w:t xml:space="preserve">The </w:t>
      </w:r>
      <w:r w:rsidR="00FD2B3E">
        <w:rPr>
          <w:rFonts w:ascii="Times New Roman" w:hAnsi="Times New Roman" w:cs="Times New Roman"/>
          <w:sz w:val="24"/>
          <w:szCs w:val="24"/>
        </w:rPr>
        <w:t xml:space="preserve">2013 </w:t>
      </w:r>
      <w:r w:rsidR="00B72B5B">
        <w:rPr>
          <w:rFonts w:ascii="Times New Roman" w:hAnsi="Times New Roman" w:cs="Times New Roman"/>
          <w:sz w:val="24"/>
          <w:szCs w:val="24"/>
        </w:rPr>
        <w:t xml:space="preserve">APPR </w:t>
      </w:r>
      <w:r w:rsidRPr="00290C57">
        <w:rPr>
          <w:rFonts w:ascii="Times New Roman" w:hAnsi="Times New Roman" w:cs="Times New Roman"/>
          <w:sz w:val="24"/>
          <w:szCs w:val="24"/>
        </w:rPr>
        <w:t>synthesizes the result of analysis conducted by</w:t>
      </w:r>
      <w:r w:rsidR="00D86EC9" w:rsidRPr="00290C57">
        <w:rPr>
          <w:rFonts w:ascii="Times New Roman" w:hAnsi="Times New Roman" w:cs="Times New Roman"/>
          <w:sz w:val="24"/>
          <w:szCs w:val="24"/>
        </w:rPr>
        <w:t xml:space="preserve"> the</w:t>
      </w:r>
      <w:r w:rsidRPr="00290C57">
        <w:rPr>
          <w:rFonts w:ascii="Times New Roman" w:hAnsi="Times New Roman" w:cs="Times New Roman"/>
          <w:sz w:val="24"/>
          <w:szCs w:val="24"/>
        </w:rPr>
        <w:t xml:space="preserve"> </w:t>
      </w:r>
      <w:r w:rsidR="00D86EC9" w:rsidRPr="00290C57">
        <w:rPr>
          <w:rFonts w:ascii="Times New Roman" w:hAnsi="Times New Roman" w:cs="Times New Roman"/>
          <w:sz w:val="24"/>
          <w:szCs w:val="24"/>
        </w:rPr>
        <w:t>EP</w:t>
      </w:r>
      <w:r w:rsidR="00E910C3" w:rsidRPr="00290C57">
        <w:rPr>
          <w:rFonts w:ascii="Times New Roman" w:hAnsi="Times New Roman" w:cs="Times New Roman"/>
          <w:sz w:val="24"/>
          <w:szCs w:val="24"/>
        </w:rPr>
        <w:t xml:space="preserve">’s </w:t>
      </w:r>
      <w:r w:rsidRPr="00290C57">
        <w:rPr>
          <w:rFonts w:ascii="Times New Roman" w:hAnsi="Times New Roman" w:cs="Times New Roman"/>
          <w:sz w:val="24"/>
          <w:szCs w:val="24"/>
        </w:rPr>
        <w:t>P</w:t>
      </w:r>
      <w:r w:rsidR="00E910C3" w:rsidRPr="00290C57">
        <w:rPr>
          <w:rFonts w:ascii="Times New Roman" w:hAnsi="Times New Roman" w:cs="Times New Roman"/>
          <w:sz w:val="24"/>
          <w:szCs w:val="24"/>
        </w:rPr>
        <w:t xml:space="preserve">erformance </w:t>
      </w:r>
      <w:r w:rsidRPr="00290C57">
        <w:rPr>
          <w:rFonts w:ascii="Times New Roman" w:hAnsi="Times New Roman" w:cs="Times New Roman"/>
          <w:sz w:val="24"/>
          <w:szCs w:val="24"/>
        </w:rPr>
        <w:t>O</w:t>
      </w:r>
      <w:r w:rsidR="00E910C3" w:rsidRPr="00290C57">
        <w:rPr>
          <w:rFonts w:ascii="Times New Roman" w:hAnsi="Times New Roman" w:cs="Times New Roman"/>
          <w:sz w:val="24"/>
          <w:szCs w:val="24"/>
        </w:rPr>
        <w:t xml:space="preserve">versight and </w:t>
      </w:r>
      <w:r w:rsidRPr="00290C57">
        <w:rPr>
          <w:rFonts w:ascii="Times New Roman" w:hAnsi="Times New Roman" w:cs="Times New Roman"/>
          <w:sz w:val="24"/>
          <w:szCs w:val="24"/>
        </w:rPr>
        <w:t>M</w:t>
      </w:r>
      <w:r w:rsidR="00E910C3" w:rsidRPr="00290C57">
        <w:rPr>
          <w:rFonts w:ascii="Times New Roman" w:hAnsi="Times New Roman" w:cs="Times New Roman"/>
          <w:sz w:val="24"/>
          <w:szCs w:val="24"/>
        </w:rPr>
        <w:t>onitoring contractor (POM)</w:t>
      </w:r>
      <w:r w:rsidR="00A77D1E">
        <w:rPr>
          <w:rFonts w:ascii="Times New Roman" w:hAnsi="Times New Roman" w:cs="Times New Roman"/>
          <w:sz w:val="24"/>
          <w:szCs w:val="24"/>
        </w:rPr>
        <w:t>.</w:t>
      </w:r>
      <w:r w:rsidRPr="00290C57">
        <w:rPr>
          <w:rFonts w:ascii="Times New Roman" w:hAnsi="Times New Roman" w:cs="Times New Roman"/>
          <w:sz w:val="24"/>
          <w:szCs w:val="24"/>
        </w:rPr>
        <w:t xml:space="preserve"> The process </w:t>
      </w:r>
      <w:r w:rsidR="00B72B5B">
        <w:rPr>
          <w:rFonts w:ascii="Times New Roman" w:hAnsi="Times New Roman" w:cs="Times New Roman"/>
          <w:sz w:val="24"/>
          <w:szCs w:val="24"/>
        </w:rPr>
        <w:t xml:space="preserve">of analysis involved </w:t>
      </w:r>
      <w:r w:rsidRPr="00290C57">
        <w:rPr>
          <w:rFonts w:ascii="Times New Roman" w:hAnsi="Times New Roman" w:cs="Times New Roman"/>
          <w:sz w:val="24"/>
          <w:szCs w:val="24"/>
        </w:rPr>
        <w:t xml:space="preserve">three </w:t>
      </w:r>
      <w:r w:rsidR="00B72B5B">
        <w:rPr>
          <w:rFonts w:ascii="Times New Roman" w:hAnsi="Times New Roman" w:cs="Times New Roman"/>
          <w:sz w:val="24"/>
          <w:szCs w:val="24"/>
        </w:rPr>
        <w:t xml:space="preserve">main </w:t>
      </w:r>
      <w:r w:rsidRPr="00290C57">
        <w:rPr>
          <w:rFonts w:ascii="Times New Roman" w:hAnsi="Times New Roman" w:cs="Times New Roman"/>
          <w:sz w:val="24"/>
          <w:szCs w:val="24"/>
        </w:rPr>
        <w:t xml:space="preserve">stages: </w:t>
      </w:r>
    </w:p>
    <w:p w:rsidR="00CB3A6A" w:rsidRPr="00A77D1E" w:rsidRDefault="00CB3A6A" w:rsidP="00CB3A6A">
      <w:pPr>
        <w:pStyle w:val="ListParagraph"/>
        <w:numPr>
          <w:ilvl w:val="0"/>
          <w:numId w:val="14"/>
        </w:numPr>
        <w:spacing w:after="0" w:line="240" w:lineRule="auto"/>
        <w:jc w:val="both"/>
        <w:rPr>
          <w:rFonts w:ascii="Times New Roman" w:hAnsi="Times New Roman" w:cs="Times New Roman"/>
          <w:sz w:val="24"/>
          <w:szCs w:val="24"/>
        </w:rPr>
      </w:pPr>
      <w:r w:rsidRPr="00A77D1E">
        <w:rPr>
          <w:rFonts w:ascii="Times New Roman" w:hAnsi="Times New Roman" w:cs="Times New Roman"/>
          <w:sz w:val="24"/>
          <w:szCs w:val="24"/>
        </w:rPr>
        <w:t xml:space="preserve">a review of documentary evidence produced within the </w:t>
      </w:r>
      <w:r w:rsidR="000E4021">
        <w:rPr>
          <w:rFonts w:ascii="Times New Roman" w:hAnsi="Times New Roman" w:cs="Times New Roman"/>
          <w:sz w:val="24"/>
          <w:szCs w:val="24"/>
        </w:rPr>
        <w:t>program</w:t>
      </w:r>
      <w:r w:rsidRPr="00A77D1E">
        <w:rPr>
          <w:rFonts w:ascii="Times New Roman" w:hAnsi="Times New Roman" w:cs="Times New Roman"/>
          <w:sz w:val="24"/>
          <w:szCs w:val="24"/>
        </w:rPr>
        <w:t xml:space="preserve"> (e.g. monitoring reports, research reports, technical reports) </w:t>
      </w:r>
      <w:r w:rsidR="00A77D1E" w:rsidRPr="00A77D1E">
        <w:rPr>
          <w:rFonts w:ascii="Times New Roman" w:hAnsi="Times New Roman" w:cs="Times New Roman"/>
          <w:sz w:val="24"/>
          <w:szCs w:val="24"/>
        </w:rPr>
        <w:t>utilising</w:t>
      </w:r>
      <w:r w:rsidRPr="00A77D1E">
        <w:rPr>
          <w:rFonts w:ascii="Times New Roman" w:hAnsi="Times New Roman" w:cs="Times New Roman"/>
          <w:sz w:val="24"/>
          <w:szCs w:val="24"/>
        </w:rPr>
        <w:t xml:space="preserve"> the analytical framework agreed in the </w:t>
      </w:r>
      <w:r w:rsidR="00D86EC9" w:rsidRPr="00A77D1E">
        <w:rPr>
          <w:rFonts w:ascii="Times New Roman" w:hAnsi="Times New Roman" w:cs="Times New Roman"/>
          <w:sz w:val="24"/>
          <w:szCs w:val="24"/>
        </w:rPr>
        <w:t>EP</w:t>
      </w:r>
      <w:r w:rsidRPr="00A77D1E">
        <w:rPr>
          <w:rFonts w:ascii="Times New Roman" w:hAnsi="Times New Roman" w:cs="Times New Roman"/>
          <w:sz w:val="24"/>
          <w:szCs w:val="24"/>
        </w:rPr>
        <w:t>’s Performance Management System</w:t>
      </w:r>
      <w:r w:rsidR="00077A25" w:rsidRPr="00A77D1E">
        <w:rPr>
          <w:rFonts w:ascii="Times New Roman" w:hAnsi="Times New Roman" w:cs="Times New Roman"/>
          <w:sz w:val="24"/>
          <w:szCs w:val="24"/>
        </w:rPr>
        <w:t>;</w:t>
      </w:r>
      <w:r w:rsidRPr="00A77D1E">
        <w:rPr>
          <w:rFonts w:ascii="Times New Roman" w:hAnsi="Times New Roman" w:cs="Times New Roman"/>
          <w:sz w:val="24"/>
          <w:szCs w:val="24"/>
        </w:rPr>
        <w:t xml:space="preserve"> </w:t>
      </w:r>
    </w:p>
    <w:p w:rsidR="00CB3A6A" w:rsidRPr="00A77D1E" w:rsidRDefault="00CB3A6A" w:rsidP="00CB3A6A">
      <w:pPr>
        <w:pStyle w:val="ListParagraph"/>
        <w:numPr>
          <w:ilvl w:val="0"/>
          <w:numId w:val="14"/>
        </w:numPr>
        <w:spacing w:after="0" w:line="240" w:lineRule="auto"/>
        <w:jc w:val="both"/>
        <w:rPr>
          <w:rFonts w:ascii="Times New Roman" w:hAnsi="Times New Roman" w:cs="Times New Roman"/>
          <w:sz w:val="24"/>
          <w:szCs w:val="24"/>
        </w:rPr>
      </w:pPr>
      <w:r w:rsidRPr="00A77D1E">
        <w:rPr>
          <w:rFonts w:ascii="Times New Roman" w:hAnsi="Times New Roman" w:cs="Times New Roman"/>
          <w:sz w:val="24"/>
          <w:szCs w:val="24"/>
        </w:rPr>
        <w:t xml:space="preserve">a series of key informant interviews to explore issues pertinent to the </w:t>
      </w:r>
      <w:r w:rsidR="00A77D1E" w:rsidRPr="00A77D1E">
        <w:rPr>
          <w:rFonts w:ascii="Times New Roman" w:hAnsi="Times New Roman" w:cs="Times New Roman"/>
          <w:sz w:val="24"/>
          <w:szCs w:val="24"/>
        </w:rPr>
        <w:t xml:space="preserve">performance of the </w:t>
      </w:r>
      <w:r w:rsidRPr="00A77D1E">
        <w:rPr>
          <w:rFonts w:ascii="Times New Roman" w:hAnsi="Times New Roman" w:cs="Times New Roman"/>
          <w:sz w:val="24"/>
          <w:szCs w:val="24"/>
        </w:rPr>
        <w:t>EP since its inception</w:t>
      </w:r>
      <w:r w:rsidR="00077A25" w:rsidRPr="00A77D1E">
        <w:rPr>
          <w:rFonts w:ascii="Times New Roman" w:hAnsi="Times New Roman" w:cs="Times New Roman"/>
          <w:sz w:val="24"/>
          <w:szCs w:val="24"/>
        </w:rPr>
        <w:t>;</w:t>
      </w:r>
      <w:r w:rsidRPr="00A77D1E">
        <w:rPr>
          <w:rFonts w:ascii="Times New Roman" w:hAnsi="Times New Roman" w:cs="Times New Roman"/>
          <w:sz w:val="24"/>
          <w:szCs w:val="24"/>
        </w:rPr>
        <w:t xml:space="preserve"> and </w:t>
      </w:r>
    </w:p>
    <w:p w:rsidR="00CB3A6A" w:rsidRPr="00A77D1E" w:rsidRDefault="00CB3A6A" w:rsidP="00CB3A6A">
      <w:pPr>
        <w:pStyle w:val="ListParagraph"/>
        <w:numPr>
          <w:ilvl w:val="0"/>
          <w:numId w:val="14"/>
        </w:numPr>
        <w:spacing w:after="0" w:line="240" w:lineRule="auto"/>
        <w:jc w:val="both"/>
        <w:rPr>
          <w:rFonts w:ascii="Times New Roman" w:hAnsi="Times New Roman" w:cs="Times New Roman"/>
          <w:sz w:val="24"/>
          <w:szCs w:val="24"/>
        </w:rPr>
      </w:pPr>
      <w:r w:rsidRPr="00A77D1E">
        <w:rPr>
          <w:rFonts w:ascii="Times New Roman" w:hAnsi="Times New Roman" w:cs="Times New Roman"/>
          <w:sz w:val="24"/>
          <w:szCs w:val="24"/>
        </w:rPr>
        <w:t xml:space="preserve">a consultative workshop with EP stakeholders on </w:t>
      </w:r>
      <w:r w:rsidR="00024FC2">
        <w:rPr>
          <w:rFonts w:ascii="Times New Roman" w:hAnsi="Times New Roman" w:cs="Times New Roman"/>
          <w:sz w:val="24"/>
          <w:szCs w:val="24"/>
        </w:rPr>
        <w:t>29 November 2013</w:t>
      </w:r>
      <w:r w:rsidRPr="00A77D1E">
        <w:rPr>
          <w:rFonts w:ascii="Times New Roman" w:hAnsi="Times New Roman" w:cs="Times New Roman"/>
          <w:sz w:val="24"/>
          <w:szCs w:val="24"/>
        </w:rPr>
        <w:t>.</w:t>
      </w:r>
    </w:p>
    <w:p w:rsidR="00CB3A6A" w:rsidRPr="00290C57" w:rsidRDefault="00CB3A6A" w:rsidP="00CB3A6A">
      <w:pPr>
        <w:spacing w:after="0" w:line="240" w:lineRule="auto"/>
        <w:jc w:val="both"/>
        <w:rPr>
          <w:rFonts w:ascii="Times New Roman" w:hAnsi="Times New Roman" w:cs="Times New Roman"/>
          <w:sz w:val="24"/>
          <w:szCs w:val="24"/>
        </w:rPr>
      </w:pPr>
    </w:p>
    <w:p w:rsidR="0080184F" w:rsidRPr="00290C57" w:rsidRDefault="002217A0" w:rsidP="0080184F">
      <w:pPr>
        <w:spacing w:after="0" w:line="240" w:lineRule="auto"/>
        <w:jc w:val="both"/>
        <w:rPr>
          <w:rFonts w:ascii="Times New Roman" w:hAnsi="Times New Roman" w:cs="Times New Roman"/>
          <w:sz w:val="24"/>
          <w:szCs w:val="24"/>
        </w:rPr>
      </w:pPr>
      <w:r w:rsidRPr="00290C57">
        <w:rPr>
          <w:rFonts w:ascii="Times New Roman" w:hAnsi="Times New Roman" w:cs="Times New Roman"/>
          <w:sz w:val="24"/>
          <w:szCs w:val="24"/>
        </w:rPr>
        <w:t xml:space="preserve">This </w:t>
      </w:r>
      <w:r w:rsidR="00B72B5B">
        <w:rPr>
          <w:rFonts w:ascii="Times New Roman" w:hAnsi="Times New Roman" w:cs="Times New Roman"/>
          <w:sz w:val="24"/>
          <w:szCs w:val="24"/>
        </w:rPr>
        <w:t xml:space="preserve">is the second APPR produced by POM, and covers the period </w:t>
      </w:r>
      <w:r w:rsidR="00B72B5B" w:rsidRPr="00B72B5B">
        <w:rPr>
          <w:rFonts w:ascii="Times New Roman" w:hAnsi="Times New Roman" w:cs="Times New Roman"/>
          <w:bCs/>
          <w:sz w:val="24"/>
        </w:rPr>
        <w:t>January</w:t>
      </w:r>
      <w:r w:rsidR="00FD2B3E">
        <w:rPr>
          <w:rFonts w:ascii="Times New Roman" w:hAnsi="Times New Roman" w:cs="Times New Roman"/>
          <w:bCs/>
          <w:sz w:val="24"/>
        </w:rPr>
        <w:t xml:space="preserve"> to </w:t>
      </w:r>
      <w:r w:rsidR="00B72B5B" w:rsidRPr="00B72B5B">
        <w:rPr>
          <w:rFonts w:ascii="Times New Roman" w:hAnsi="Times New Roman" w:cs="Times New Roman"/>
          <w:bCs/>
          <w:sz w:val="24"/>
        </w:rPr>
        <w:t>December 2013</w:t>
      </w:r>
      <w:r w:rsidR="00054B75">
        <w:rPr>
          <w:rFonts w:ascii="Times New Roman" w:hAnsi="Times New Roman" w:cs="Times New Roman"/>
          <w:sz w:val="24"/>
          <w:szCs w:val="24"/>
        </w:rPr>
        <w:t xml:space="preserve">. </w:t>
      </w:r>
      <w:r w:rsidR="00CB3A6A" w:rsidRPr="00290C57">
        <w:rPr>
          <w:rFonts w:ascii="Times New Roman" w:hAnsi="Times New Roman" w:cs="Times New Roman"/>
          <w:sz w:val="24"/>
          <w:szCs w:val="24"/>
        </w:rPr>
        <w:t>The report</w:t>
      </w:r>
      <w:r w:rsidR="0080184F" w:rsidRPr="00290C57">
        <w:rPr>
          <w:rFonts w:ascii="Times New Roman" w:hAnsi="Times New Roman" w:cs="Times New Roman"/>
          <w:sz w:val="24"/>
          <w:szCs w:val="24"/>
        </w:rPr>
        <w:t xml:space="preserve"> </w:t>
      </w:r>
      <w:r w:rsidR="00CB3A6A" w:rsidRPr="00290C57">
        <w:rPr>
          <w:rFonts w:ascii="Times New Roman" w:hAnsi="Times New Roman" w:cs="Times New Roman"/>
          <w:sz w:val="24"/>
          <w:szCs w:val="24"/>
        </w:rPr>
        <w:t xml:space="preserve">provides </w:t>
      </w:r>
      <w:r w:rsidR="00482A1A">
        <w:rPr>
          <w:rFonts w:ascii="Times New Roman" w:hAnsi="Times New Roman" w:cs="Times New Roman"/>
          <w:sz w:val="24"/>
          <w:szCs w:val="24"/>
        </w:rPr>
        <w:t xml:space="preserve">POM’s assessment </w:t>
      </w:r>
      <w:r w:rsidR="00FD2B3E">
        <w:rPr>
          <w:rFonts w:ascii="Times New Roman" w:hAnsi="Times New Roman" w:cs="Times New Roman"/>
          <w:sz w:val="24"/>
          <w:szCs w:val="24"/>
        </w:rPr>
        <w:t>of</w:t>
      </w:r>
      <w:r w:rsidR="00482A1A">
        <w:rPr>
          <w:rFonts w:ascii="Times New Roman" w:hAnsi="Times New Roman" w:cs="Times New Roman"/>
          <w:sz w:val="24"/>
          <w:szCs w:val="24"/>
        </w:rPr>
        <w:t xml:space="preserve"> EP achievements, weaknesses, opportunities and challenges.</w:t>
      </w:r>
      <w:r w:rsidR="00B72B5B">
        <w:rPr>
          <w:rFonts w:ascii="Times New Roman" w:hAnsi="Times New Roman" w:cs="Times New Roman"/>
          <w:sz w:val="24"/>
          <w:szCs w:val="24"/>
        </w:rPr>
        <w:t xml:space="preserve"> </w:t>
      </w:r>
      <w:r w:rsidR="00DD78A5" w:rsidRPr="00DD78A5">
        <w:rPr>
          <w:rFonts w:ascii="Times New Roman" w:hAnsi="Times New Roman" w:cs="Times New Roman"/>
          <w:sz w:val="24"/>
          <w:szCs w:val="24"/>
        </w:rPr>
        <w:t>It draws on an assessment of context changes, consideration of the delivery mechanism, the impact of working in partnership and consideration of the sustainability of the EP</w:t>
      </w:r>
      <w:r w:rsidR="0080184F" w:rsidRPr="00DD78A5">
        <w:rPr>
          <w:rFonts w:ascii="Times New Roman" w:hAnsi="Times New Roman" w:cs="Times New Roman"/>
          <w:sz w:val="24"/>
          <w:szCs w:val="24"/>
        </w:rPr>
        <w:t>. Most importantly, the report provides recommendation</w:t>
      </w:r>
      <w:r w:rsidR="005D3CAB" w:rsidRPr="00DD78A5">
        <w:rPr>
          <w:rFonts w:ascii="Times New Roman" w:hAnsi="Times New Roman" w:cs="Times New Roman"/>
          <w:sz w:val="24"/>
          <w:szCs w:val="24"/>
        </w:rPr>
        <w:t>s</w:t>
      </w:r>
      <w:r w:rsidR="0080184F" w:rsidRPr="00DD78A5">
        <w:rPr>
          <w:rFonts w:ascii="Times New Roman" w:hAnsi="Times New Roman" w:cs="Times New Roman"/>
          <w:sz w:val="24"/>
          <w:szCs w:val="24"/>
        </w:rPr>
        <w:t xml:space="preserve"> </w:t>
      </w:r>
      <w:r w:rsidR="005D3CAB" w:rsidRPr="00DD78A5">
        <w:rPr>
          <w:rFonts w:ascii="Times New Roman" w:hAnsi="Times New Roman" w:cs="Times New Roman"/>
          <w:sz w:val="24"/>
          <w:szCs w:val="24"/>
        </w:rPr>
        <w:t>for</w:t>
      </w:r>
      <w:r w:rsidR="0080184F" w:rsidRPr="00DD78A5">
        <w:rPr>
          <w:rFonts w:ascii="Times New Roman" w:hAnsi="Times New Roman" w:cs="Times New Roman"/>
          <w:sz w:val="24"/>
          <w:szCs w:val="24"/>
        </w:rPr>
        <w:t xml:space="preserve"> all </w:t>
      </w:r>
      <w:r w:rsidR="00FD2B3E">
        <w:rPr>
          <w:rFonts w:ascii="Times New Roman" w:hAnsi="Times New Roman" w:cs="Times New Roman"/>
          <w:sz w:val="24"/>
          <w:szCs w:val="24"/>
        </w:rPr>
        <w:t xml:space="preserve">EP </w:t>
      </w:r>
      <w:r w:rsidR="0080184F" w:rsidRPr="00DD78A5">
        <w:rPr>
          <w:rFonts w:ascii="Times New Roman" w:hAnsi="Times New Roman" w:cs="Times New Roman"/>
          <w:sz w:val="24"/>
          <w:szCs w:val="24"/>
        </w:rPr>
        <w:t>stakeholders to better safeguard Australia’s investment in Indonesia’s education sector.</w:t>
      </w:r>
    </w:p>
    <w:p w:rsidR="001D1469" w:rsidRDefault="001D1469" w:rsidP="008D1A91">
      <w:pPr>
        <w:spacing w:line="240" w:lineRule="auto"/>
        <w:rPr>
          <w:rFonts w:ascii="Times New Roman" w:hAnsi="Times New Roman" w:cs="Times New Roman"/>
          <w:b/>
          <w:sz w:val="24"/>
          <w:szCs w:val="24"/>
        </w:rPr>
      </w:pPr>
    </w:p>
    <w:p w:rsidR="00482A1A" w:rsidRDefault="00482A1A" w:rsidP="008D1A91">
      <w:pPr>
        <w:spacing w:line="240" w:lineRule="auto"/>
        <w:rPr>
          <w:rFonts w:ascii="Times New Roman" w:hAnsi="Times New Roman" w:cs="Times New Roman"/>
          <w:sz w:val="24"/>
          <w:szCs w:val="24"/>
        </w:rPr>
      </w:pPr>
      <w:r>
        <w:rPr>
          <w:rFonts w:ascii="Times New Roman" w:hAnsi="Times New Roman" w:cs="Times New Roman"/>
          <w:sz w:val="24"/>
          <w:szCs w:val="24"/>
        </w:rPr>
        <w:t>Th</w:t>
      </w:r>
      <w:r w:rsidR="008D66E3">
        <w:rPr>
          <w:rFonts w:ascii="Times New Roman" w:hAnsi="Times New Roman" w:cs="Times New Roman"/>
          <w:sz w:val="24"/>
          <w:szCs w:val="24"/>
        </w:rPr>
        <w:t xml:space="preserve">is </w:t>
      </w:r>
      <w:r>
        <w:rPr>
          <w:rFonts w:ascii="Times New Roman" w:hAnsi="Times New Roman" w:cs="Times New Roman"/>
          <w:sz w:val="24"/>
          <w:szCs w:val="24"/>
        </w:rPr>
        <w:t xml:space="preserve">APPR </w:t>
      </w:r>
      <w:r w:rsidR="00DD78A5">
        <w:rPr>
          <w:rFonts w:ascii="Times New Roman" w:hAnsi="Times New Roman" w:cs="Times New Roman"/>
          <w:sz w:val="24"/>
          <w:szCs w:val="24"/>
        </w:rPr>
        <w:t>is structured differently</w:t>
      </w:r>
      <w:r>
        <w:rPr>
          <w:rFonts w:ascii="Times New Roman" w:hAnsi="Times New Roman" w:cs="Times New Roman"/>
          <w:sz w:val="24"/>
          <w:szCs w:val="24"/>
        </w:rPr>
        <w:t xml:space="preserve"> to the </w:t>
      </w:r>
      <w:r w:rsidR="008D66E3">
        <w:rPr>
          <w:rFonts w:ascii="Times New Roman" w:hAnsi="Times New Roman" w:cs="Times New Roman"/>
          <w:sz w:val="24"/>
          <w:szCs w:val="24"/>
        </w:rPr>
        <w:t xml:space="preserve">2012 </w:t>
      </w:r>
      <w:r>
        <w:rPr>
          <w:rFonts w:ascii="Times New Roman" w:hAnsi="Times New Roman" w:cs="Times New Roman"/>
          <w:sz w:val="24"/>
          <w:szCs w:val="24"/>
        </w:rPr>
        <w:t>APPR. The 2013 APPR has</w:t>
      </w:r>
      <w:r w:rsidR="00054B75">
        <w:rPr>
          <w:rFonts w:ascii="Times New Roman" w:hAnsi="Times New Roman" w:cs="Times New Roman"/>
          <w:sz w:val="24"/>
          <w:szCs w:val="24"/>
        </w:rPr>
        <w:t xml:space="preserve"> a chapter on each component which covers the areas of context and achievements and then provides</w:t>
      </w:r>
      <w:r>
        <w:rPr>
          <w:rFonts w:ascii="Times New Roman" w:hAnsi="Times New Roman" w:cs="Times New Roman"/>
          <w:sz w:val="24"/>
          <w:szCs w:val="24"/>
        </w:rPr>
        <w:t xml:space="preserve"> </w:t>
      </w:r>
      <w:r w:rsidR="00054B75">
        <w:rPr>
          <w:rFonts w:ascii="Times New Roman" w:hAnsi="Times New Roman" w:cs="Times New Roman"/>
          <w:sz w:val="24"/>
          <w:szCs w:val="24"/>
        </w:rPr>
        <w:t>an assessment</w:t>
      </w:r>
      <w:r>
        <w:rPr>
          <w:rFonts w:ascii="Times New Roman" w:hAnsi="Times New Roman" w:cs="Times New Roman"/>
          <w:sz w:val="24"/>
          <w:szCs w:val="24"/>
        </w:rPr>
        <w:t xml:space="preserve"> </w:t>
      </w:r>
      <w:r w:rsidR="00DD78A5">
        <w:rPr>
          <w:rFonts w:ascii="Times New Roman" w:hAnsi="Times New Roman" w:cs="Times New Roman"/>
          <w:sz w:val="24"/>
          <w:szCs w:val="24"/>
        </w:rPr>
        <w:t xml:space="preserve">of each component’s performance </w:t>
      </w:r>
      <w:r>
        <w:rPr>
          <w:rFonts w:ascii="Times New Roman" w:hAnsi="Times New Roman" w:cs="Times New Roman"/>
          <w:sz w:val="24"/>
          <w:szCs w:val="24"/>
        </w:rPr>
        <w:t>in line with the O</w:t>
      </w:r>
      <w:r w:rsidR="008D66E3">
        <w:rPr>
          <w:rFonts w:ascii="Times New Roman" w:hAnsi="Times New Roman" w:cs="Times New Roman"/>
          <w:sz w:val="24"/>
          <w:szCs w:val="24"/>
        </w:rPr>
        <w:t xml:space="preserve">rganisation for </w:t>
      </w:r>
      <w:r>
        <w:rPr>
          <w:rFonts w:ascii="Times New Roman" w:hAnsi="Times New Roman" w:cs="Times New Roman"/>
          <w:sz w:val="24"/>
          <w:szCs w:val="24"/>
        </w:rPr>
        <w:t>E</w:t>
      </w:r>
      <w:r w:rsidR="008D66E3">
        <w:rPr>
          <w:rFonts w:ascii="Times New Roman" w:hAnsi="Times New Roman" w:cs="Times New Roman"/>
          <w:sz w:val="24"/>
          <w:szCs w:val="24"/>
        </w:rPr>
        <w:t xml:space="preserve">conomic </w:t>
      </w:r>
      <w:r>
        <w:rPr>
          <w:rFonts w:ascii="Times New Roman" w:hAnsi="Times New Roman" w:cs="Times New Roman"/>
          <w:sz w:val="24"/>
          <w:szCs w:val="24"/>
        </w:rPr>
        <w:t>C</w:t>
      </w:r>
      <w:r w:rsidR="008D66E3">
        <w:rPr>
          <w:rFonts w:ascii="Times New Roman" w:hAnsi="Times New Roman" w:cs="Times New Roman"/>
          <w:sz w:val="24"/>
          <w:szCs w:val="24"/>
        </w:rPr>
        <w:t xml:space="preserve">o-operation and </w:t>
      </w:r>
      <w:r>
        <w:rPr>
          <w:rFonts w:ascii="Times New Roman" w:hAnsi="Times New Roman" w:cs="Times New Roman"/>
          <w:sz w:val="24"/>
          <w:szCs w:val="24"/>
        </w:rPr>
        <w:t>D</w:t>
      </w:r>
      <w:r w:rsidR="008D66E3">
        <w:rPr>
          <w:rFonts w:ascii="Times New Roman" w:hAnsi="Times New Roman" w:cs="Times New Roman"/>
          <w:sz w:val="24"/>
          <w:szCs w:val="24"/>
        </w:rPr>
        <w:t>evelopment’s</w:t>
      </w:r>
      <w:r>
        <w:rPr>
          <w:rFonts w:ascii="Times New Roman" w:hAnsi="Times New Roman" w:cs="Times New Roman"/>
          <w:sz w:val="24"/>
          <w:szCs w:val="24"/>
        </w:rPr>
        <w:t xml:space="preserve"> D</w:t>
      </w:r>
      <w:r w:rsidR="008D66E3">
        <w:rPr>
          <w:rFonts w:ascii="Times New Roman" w:hAnsi="Times New Roman" w:cs="Times New Roman"/>
          <w:sz w:val="24"/>
          <w:szCs w:val="24"/>
        </w:rPr>
        <w:t xml:space="preserve">evelopment </w:t>
      </w:r>
      <w:r>
        <w:rPr>
          <w:rFonts w:ascii="Times New Roman" w:hAnsi="Times New Roman" w:cs="Times New Roman"/>
          <w:sz w:val="24"/>
          <w:szCs w:val="24"/>
        </w:rPr>
        <w:t>A</w:t>
      </w:r>
      <w:r w:rsidR="008D66E3">
        <w:rPr>
          <w:rFonts w:ascii="Times New Roman" w:hAnsi="Times New Roman" w:cs="Times New Roman"/>
          <w:sz w:val="24"/>
          <w:szCs w:val="24"/>
        </w:rPr>
        <w:t xml:space="preserve">ssistance </w:t>
      </w:r>
      <w:r>
        <w:rPr>
          <w:rFonts w:ascii="Times New Roman" w:hAnsi="Times New Roman" w:cs="Times New Roman"/>
          <w:sz w:val="24"/>
          <w:szCs w:val="24"/>
        </w:rPr>
        <w:t>C</w:t>
      </w:r>
      <w:r w:rsidR="008D66E3">
        <w:rPr>
          <w:rFonts w:ascii="Times New Roman" w:hAnsi="Times New Roman" w:cs="Times New Roman"/>
          <w:sz w:val="24"/>
          <w:szCs w:val="24"/>
        </w:rPr>
        <w:t>ommittee (OECD DAC)</w:t>
      </w:r>
      <w:r>
        <w:rPr>
          <w:rFonts w:ascii="Times New Roman" w:hAnsi="Times New Roman" w:cs="Times New Roman"/>
          <w:sz w:val="24"/>
          <w:szCs w:val="24"/>
        </w:rPr>
        <w:t xml:space="preserve"> criteria. </w:t>
      </w:r>
      <w:r w:rsidR="00DD78A5">
        <w:rPr>
          <w:rFonts w:ascii="Times New Roman" w:hAnsi="Times New Roman" w:cs="Times New Roman"/>
          <w:sz w:val="24"/>
          <w:szCs w:val="24"/>
        </w:rPr>
        <w:t>It also includes a section with recommendations specifically on the management of the E</w:t>
      </w:r>
      <w:r w:rsidR="00A07D4A">
        <w:rPr>
          <w:rFonts w:ascii="Times New Roman" w:hAnsi="Times New Roman" w:cs="Times New Roman"/>
          <w:sz w:val="24"/>
          <w:szCs w:val="24"/>
        </w:rPr>
        <w:t xml:space="preserve">ducation </w:t>
      </w:r>
      <w:r w:rsidR="00DD78A5">
        <w:rPr>
          <w:rFonts w:ascii="Times New Roman" w:hAnsi="Times New Roman" w:cs="Times New Roman"/>
          <w:sz w:val="24"/>
          <w:szCs w:val="24"/>
        </w:rPr>
        <w:t>P</w:t>
      </w:r>
      <w:r w:rsidR="00A07D4A">
        <w:rPr>
          <w:rFonts w:ascii="Times New Roman" w:hAnsi="Times New Roman" w:cs="Times New Roman"/>
          <w:sz w:val="24"/>
          <w:szCs w:val="24"/>
        </w:rPr>
        <w:t>artnership</w:t>
      </w:r>
      <w:r w:rsidR="00DD78A5">
        <w:rPr>
          <w:rFonts w:ascii="Times New Roman" w:hAnsi="Times New Roman" w:cs="Times New Roman"/>
          <w:sz w:val="24"/>
          <w:szCs w:val="24"/>
        </w:rPr>
        <w:t>.</w:t>
      </w:r>
    </w:p>
    <w:p w:rsidR="00482A1A" w:rsidRDefault="00482A1A" w:rsidP="008D1A9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Conclusions </w:t>
      </w:r>
    </w:p>
    <w:p w:rsidR="00482A1A" w:rsidRPr="00482A1A" w:rsidRDefault="00482A1A" w:rsidP="008D1A91">
      <w:pPr>
        <w:spacing w:line="240" w:lineRule="auto"/>
        <w:rPr>
          <w:rFonts w:ascii="Times New Roman" w:hAnsi="Times New Roman" w:cs="Times New Roman"/>
          <w:sz w:val="24"/>
          <w:szCs w:val="24"/>
        </w:rPr>
      </w:pPr>
      <w:r>
        <w:rPr>
          <w:rFonts w:ascii="Times New Roman" w:hAnsi="Times New Roman" w:cs="Times New Roman"/>
          <w:sz w:val="24"/>
          <w:szCs w:val="24"/>
        </w:rPr>
        <w:t>The APPR found that the EP interventions remain broadly relevant</w:t>
      </w:r>
      <w:r w:rsidR="008D66E3">
        <w:rPr>
          <w:rFonts w:ascii="Times New Roman" w:hAnsi="Times New Roman" w:cs="Times New Roman"/>
          <w:sz w:val="24"/>
          <w:szCs w:val="24"/>
        </w:rPr>
        <w:t>.</w:t>
      </w:r>
      <w:r>
        <w:rPr>
          <w:rFonts w:ascii="Times New Roman" w:hAnsi="Times New Roman" w:cs="Times New Roman"/>
          <w:sz w:val="24"/>
          <w:szCs w:val="24"/>
        </w:rPr>
        <w:t xml:space="preserve"> </w:t>
      </w:r>
      <w:r w:rsidR="008D66E3">
        <w:rPr>
          <w:rFonts w:ascii="Times New Roman" w:hAnsi="Times New Roman" w:cs="Times New Roman"/>
          <w:sz w:val="24"/>
          <w:szCs w:val="24"/>
        </w:rPr>
        <w:t>H</w:t>
      </w:r>
      <w:r>
        <w:rPr>
          <w:rFonts w:ascii="Times New Roman" w:hAnsi="Times New Roman" w:cs="Times New Roman"/>
          <w:sz w:val="24"/>
          <w:szCs w:val="24"/>
        </w:rPr>
        <w:t>owever</w:t>
      </w:r>
      <w:r w:rsidR="008D66E3">
        <w:rPr>
          <w:rFonts w:ascii="Times New Roman" w:hAnsi="Times New Roman" w:cs="Times New Roman"/>
          <w:sz w:val="24"/>
          <w:szCs w:val="24"/>
        </w:rPr>
        <w:t>,</w:t>
      </w:r>
      <w:r>
        <w:rPr>
          <w:rFonts w:ascii="Times New Roman" w:hAnsi="Times New Roman" w:cs="Times New Roman"/>
          <w:sz w:val="24"/>
          <w:szCs w:val="24"/>
        </w:rPr>
        <w:t xml:space="preserve"> more flexible management and strategic engagement </w:t>
      </w:r>
      <w:r w:rsidR="008D66E3">
        <w:rPr>
          <w:rFonts w:ascii="Times New Roman" w:hAnsi="Times New Roman" w:cs="Times New Roman"/>
          <w:sz w:val="24"/>
          <w:szCs w:val="24"/>
        </w:rPr>
        <w:t xml:space="preserve">will be required </w:t>
      </w:r>
      <w:r w:rsidR="003947B1">
        <w:rPr>
          <w:rFonts w:ascii="Times New Roman" w:hAnsi="Times New Roman" w:cs="Times New Roman"/>
          <w:sz w:val="24"/>
          <w:szCs w:val="24"/>
        </w:rPr>
        <w:t xml:space="preserve">for the remainder of the program </w:t>
      </w:r>
      <w:r>
        <w:rPr>
          <w:rFonts w:ascii="Times New Roman" w:hAnsi="Times New Roman" w:cs="Times New Roman"/>
          <w:sz w:val="24"/>
          <w:szCs w:val="24"/>
        </w:rPr>
        <w:t>if the strong output level achievement</w:t>
      </w:r>
      <w:r w:rsidR="008D66E3">
        <w:rPr>
          <w:rFonts w:ascii="Times New Roman" w:hAnsi="Times New Roman" w:cs="Times New Roman"/>
          <w:sz w:val="24"/>
          <w:szCs w:val="24"/>
        </w:rPr>
        <w:t>s</w:t>
      </w:r>
      <w:r>
        <w:rPr>
          <w:rFonts w:ascii="Times New Roman" w:hAnsi="Times New Roman" w:cs="Times New Roman"/>
          <w:sz w:val="24"/>
          <w:szCs w:val="24"/>
        </w:rPr>
        <w:t xml:space="preserve"> to date are to be translated into higher level outcomes.</w:t>
      </w:r>
      <w:r w:rsidR="007A6D40">
        <w:rPr>
          <w:rFonts w:ascii="Times New Roman" w:hAnsi="Times New Roman" w:cs="Times New Roman"/>
          <w:sz w:val="24"/>
          <w:szCs w:val="24"/>
        </w:rPr>
        <w:t xml:space="preserve"> It found that while there </w:t>
      </w:r>
      <w:r w:rsidR="003947B1">
        <w:rPr>
          <w:rFonts w:ascii="Times New Roman" w:hAnsi="Times New Roman" w:cs="Times New Roman"/>
          <w:sz w:val="24"/>
          <w:szCs w:val="24"/>
        </w:rPr>
        <w:t>was good</w:t>
      </w:r>
      <w:r w:rsidR="007A6D40">
        <w:rPr>
          <w:rFonts w:ascii="Times New Roman" w:hAnsi="Times New Roman" w:cs="Times New Roman"/>
          <w:sz w:val="24"/>
          <w:szCs w:val="24"/>
        </w:rPr>
        <w:t xml:space="preserve"> progress </w:t>
      </w:r>
      <w:r w:rsidR="00A668C0">
        <w:rPr>
          <w:rFonts w:ascii="Times New Roman" w:hAnsi="Times New Roman" w:cs="Times New Roman"/>
          <w:sz w:val="24"/>
          <w:szCs w:val="24"/>
        </w:rPr>
        <w:t xml:space="preserve">made </w:t>
      </w:r>
      <w:r w:rsidR="007A6D40">
        <w:rPr>
          <w:rFonts w:ascii="Times New Roman" w:hAnsi="Times New Roman" w:cs="Times New Roman"/>
          <w:sz w:val="24"/>
          <w:szCs w:val="24"/>
        </w:rPr>
        <w:t xml:space="preserve">at </w:t>
      </w:r>
      <w:r w:rsidR="00A668C0">
        <w:rPr>
          <w:rFonts w:ascii="Times New Roman" w:hAnsi="Times New Roman" w:cs="Times New Roman"/>
          <w:sz w:val="24"/>
          <w:szCs w:val="24"/>
        </w:rPr>
        <w:t xml:space="preserve">the </w:t>
      </w:r>
      <w:r w:rsidR="007A6D40">
        <w:rPr>
          <w:rFonts w:ascii="Times New Roman" w:hAnsi="Times New Roman" w:cs="Times New Roman"/>
          <w:sz w:val="24"/>
          <w:szCs w:val="24"/>
        </w:rPr>
        <w:t xml:space="preserve">output level, it was too early to judge whether this would result in achieving the </w:t>
      </w:r>
      <w:r w:rsidR="00A668C0">
        <w:rPr>
          <w:rFonts w:ascii="Times New Roman" w:hAnsi="Times New Roman" w:cs="Times New Roman"/>
          <w:sz w:val="24"/>
          <w:szCs w:val="24"/>
        </w:rPr>
        <w:t>E</w:t>
      </w:r>
      <w:r w:rsidR="00024FC2">
        <w:rPr>
          <w:rFonts w:ascii="Times New Roman" w:hAnsi="Times New Roman" w:cs="Times New Roman"/>
          <w:sz w:val="24"/>
          <w:szCs w:val="24"/>
        </w:rPr>
        <w:t xml:space="preserve">nd of </w:t>
      </w:r>
      <w:r w:rsidR="00A668C0">
        <w:rPr>
          <w:rFonts w:ascii="Times New Roman" w:hAnsi="Times New Roman" w:cs="Times New Roman"/>
          <w:sz w:val="24"/>
          <w:szCs w:val="24"/>
        </w:rPr>
        <w:t>P</w:t>
      </w:r>
      <w:r w:rsidR="00024FC2">
        <w:rPr>
          <w:rFonts w:ascii="Times New Roman" w:hAnsi="Times New Roman" w:cs="Times New Roman"/>
          <w:sz w:val="24"/>
          <w:szCs w:val="24"/>
        </w:rPr>
        <w:t xml:space="preserve">artnership </w:t>
      </w:r>
      <w:r w:rsidR="00A668C0">
        <w:rPr>
          <w:rFonts w:ascii="Times New Roman" w:hAnsi="Times New Roman" w:cs="Times New Roman"/>
          <w:sz w:val="24"/>
          <w:szCs w:val="24"/>
        </w:rPr>
        <w:t>O</w:t>
      </w:r>
      <w:r w:rsidR="00024FC2">
        <w:rPr>
          <w:rFonts w:ascii="Times New Roman" w:hAnsi="Times New Roman" w:cs="Times New Roman"/>
          <w:sz w:val="24"/>
          <w:szCs w:val="24"/>
        </w:rPr>
        <w:t>utcome</w:t>
      </w:r>
      <w:r w:rsidR="00A668C0">
        <w:rPr>
          <w:rFonts w:ascii="Times New Roman" w:hAnsi="Times New Roman" w:cs="Times New Roman"/>
          <w:sz w:val="24"/>
          <w:szCs w:val="24"/>
        </w:rPr>
        <w:t>s</w:t>
      </w:r>
      <w:r w:rsidR="007A6D40">
        <w:rPr>
          <w:rFonts w:ascii="Times New Roman" w:hAnsi="Times New Roman" w:cs="Times New Roman"/>
          <w:sz w:val="24"/>
          <w:szCs w:val="24"/>
        </w:rPr>
        <w:t>.</w:t>
      </w:r>
    </w:p>
    <w:p w:rsidR="001D1469" w:rsidRPr="00290C57" w:rsidRDefault="00330F2C" w:rsidP="00290C57">
      <w:pPr>
        <w:pStyle w:val="DocName"/>
        <w:shd w:val="clear" w:color="auto" w:fill="FFFFCC"/>
        <w:jc w:val="left"/>
        <w:rPr>
          <w:rFonts w:ascii="Times New Roman" w:hAnsi="Times New Roman"/>
          <w:sz w:val="26"/>
          <w:szCs w:val="26"/>
          <w:lang w:eastAsia="en-AU"/>
        </w:rPr>
      </w:pPr>
      <w:r w:rsidRPr="00290C57">
        <w:rPr>
          <w:rFonts w:ascii="Times New Roman" w:hAnsi="Times New Roman"/>
          <w:sz w:val="26"/>
          <w:szCs w:val="26"/>
          <w:lang w:eastAsia="en-AU"/>
        </w:rPr>
        <w:t>Management Response</w:t>
      </w:r>
    </w:p>
    <w:p w:rsidR="00842720" w:rsidRDefault="00842720" w:rsidP="00842720">
      <w:pPr>
        <w:spacing w:after="0" w:line="240" w:lineRule="auto"/>
        <w:rPr>
          <w:rFonts w:ascii="Times New Roman" w:hAnsi="Times New Roman" w:cs="Times New Roman"/>
          <w:sz w:val="24"/>
          <w:szCs w:val="24"/>
        </w:rPr>
      </w:pPr>
    </w:p>
    <w:p w:rsidR="00842720" w:rsidRDefault="00842720" w:rsidP="008D1A91">
      <w:pPr>
        <w:spacing w:line="240" w:lineRule="auto"/>
        <w:rPr>
          <w:rFonts w:ascii="Times New Roman" w:hAnsi="Times New Roman" w:cs="Times New Roman"/>
          <w:sz w:val="24"/>
          <w:szCs w:val="24"/>
        </w:rPr>
      </w:pPr>
      <w:r>
        <w:rPr>
          <w:rFonts w:ascii="Times New Roman" w:hAnsi="Times New Roman" w:cs="Times New Roman"/>
          <w:sz w:val="24"/>
          <w:szCs w:val="24"/>
        </w:rPr>
        <w:t xml:space="preserve">DFAT welcomes the analysis and recommendations presented in the </w:t>
      </w:r>
      <w:r w:rsidR="00A668C0">
        <w:rPr>
          <w:rFonts w:ascii="Times New Roman" w:hAnsi="Times New Roman" w:cs="Times New Roman"/>
          <w:sz w:val="24"/>
          <w:szCs w:val="24"/>
        </w:rPr>
        <w:t xml:space="preserve">2013 </w:t>
      </w:r>
      <w:r>
        <w:rPr>
          <w:rFonts w:ascii="Times New Roman" w:hAnsi="Times New Roman" w:cs="Times New Roman"/>
          <w:sz w:val="24"/>
          <w:szCs w:val="24"/>
        </w:rPr>
        <w:t xml:space="preserve">APPR. The </w:t>
      </w:r>
      <w:r w:rsidR="00A668C0">
        <w:rPr>
          <w:rFonts w:ascii="Times New Roman" w:hAnsi="Times New Roman" w:cs="Times New Roman"/>
          <w:sz w:val="24"/>
          <w:szCs w:val="24"/>
        </w:rPr>
        <w:t xml:space="preserve">report </w:t>
      </w:r>
      <w:r>
        <w:rPr>
          <w:rFonts w:ascii="Times New Roman" w:hAnsi="Times New Roman" w:cs="Times New Roman"/>
          <w:sz w:val="24"/>
          <w:szCs w:val="24"/>
        </w:rPr>
        <w:t xml:space="preserve">and consultative drafting process have provided valuable opportunities for EP stakeholders to reflect on the achievements, challenges and future directions </w:t>
      </w:r>
      <w:r w:rsidR="00A668C0">
        <w:rPr>
          <w:rFonts w:ascii="Times New Roman" w:hAnsi="Times New Roman" w:cs="Times New Roman"/>
          <w:sz w:val="24"/>
          <w:szCs w:val="24"/>
        </w:rPr>
        <w:t>of the program</w:t>
      </w:r>
      <w:r>
        <w:rPr>
          <w:rFonts w:ascii="Times New Roman" w:hAnsi="Times New Roman" w:cs="Times New Roman"/>
          <w:sz w:val="24"/>
          <w:szCs w:val="24"/>
        </w:rPr>
        <w:t>.</w:t>
      </w:r>
    </w:p>
    <w:p w:rsidR="0080184F" w:rsidRPr="00290C57" w:rsidRDefault="00661302" w:rsidP="008D1A91">
      <w:pPr>
        <w:spacing w:line="240" w:lineRule="auto"/>
        <w:rPr>
          <w:rFonts w:ascii="Times New Roman" w:hAnsi="Times New Roman" w:cs="Times New Roman"/>
          <w:sz w:val="24"/>
          <w:szCs w:val="24"/>
        </w:rPr>
      </w:pPr>
      <w:r>
        <w:rPr>
          <w:rFonts w:ascii="Times New Roman" w:hAnsi="Times New Roman" w:cs="Times New Roman"/>
          <w:sz w:val="24"/>
          <w:szCs w:val="24"/>
        </w:rPr>
        <w:t>T</w:t>
      </w:r>
      <w:r w:rsidR="001D1469" w:rsidRPr="00290C57">
        <w:rPr>
          <w:rFonts w:ascii="Times New Roman" w:hAnsi="Times New Roman" w:cs="Times New Roman"/>
          <w:sz w:val="24"/>
          <w:szCs w:val="24"/>
        </w:rPr>
        <w:t xml:space="preserve">he </w:t>
      </w:r>
      <w:r w:rsidR="00842720">
        <w:rPr>
          <w:rFonts w:ascii="Times New Roman" w:hAnsi="Times New Roman" w:cs="Times New Roman"/>
          <w:sz w:val="24"/>
          <w:szCs w:val="24"/>
        </w:rPr>
        <w:t xml:space="preserve">APPR </w:t>
      </w:r>
      <w:r w:rsidR="00842720" w:rsidRPr="00024FC2">
        <w:rPr>
          <w:rFonts w:ascii="Times New Roman" w:hAnsi="Times New Roman" w:cs="Times New Roman"/>
          <w:sz w:val="24"/>
          <w:szCs w:val="24"/>
        </w:rPr>
        <w:t>2013</w:t>
      </w:r>
      <w:r w:rsidR="00A07D4A">
        <w:rPr>
          <w:rFonts w:ascii="Times New Roman" w:hAnsi="Times New Roman" w:cs="Times New Roman"/>
          <w:sz w:val="24"/>
          <w:szCs w:val="24"/>
        </w:rPr>
        <w:t xml:space="preserve"> </w:t>
      </w:r>
      <w:r w:rsidR="001D1469" w:rsidRPr="00024FC2">
        <w:rPr>
          <w:rFonts w:ascii="Times New Roman" w:hAnsi="Times New Roman" w:cs="Times New Roman"/>
          <w:sz w:val="24"/>
          <w:szCs w:val="24"/>
        </w:rPr>
        <w:t>provides</w:t>
      </w:r>
      <w:r>
        <w:rPr>
          <w:rFonts w:ascii="Times New Roman" w:hAnsi="Times New Roman" w:cs="Times New Roman"/>
          <w:sz w:val="24"/>
          <w:szCs w:val="24"/>
        </w:rPr>
        <w:t xml:space="preserve"> 24</w:t>
      </w:r>
      <w:r w:rsidR="001D1469" w:rsidRPr="00024FC2">
        <w:rPr>
          <w:rFonts w:ascii="Times New Roman" w:hAnsi="Times New Roman" w:cs="Times New Roman"/>
          <w:sz w:val="24"/>
          <w:szCs w:val="24"/>
        </w:rPr>
        <w:t xml:space="preserve"> practical recommendations </w:t>
      </w:r>
      <w:r>
        <w:rPr>
          <w:rFonts w:ascii="Times New Roman" w:hAnsi="Times New Roman" w:cs="Times New Roman"/>
          <w:sz w:val="24"/>
          <w:szCs w:val="24"/>
        </w:rPr>
        <w:t>that will</w:t>
      </w:r>
      <w:r w:rsidR="001D1469" w:rsidRPr="00024FC2">
        <w:rPr>
          <w:rFonts w:ascii="Times New Roman" w:hAnsi="Times New Roman" w:cs="Times New Roman"/>
          <w:sz w:val="24"/>
          <w:szCs w:val="24"/>
        </w:rPr>
        <w:t xml:space="preserve"> inform </w:t>
      </w:r>
      <w:r w:rsidR="008813EA" w:rsidRPr="00024FC2">
        <w:rPr>
          <w:rFonts w:ascii="Times New Roman" w:hAnsi="Times New Roman" w:cs="Times New Roman"/>
          <w:sz w:val="24"/>
          <w:szCs w:val="24"/>
        </w:rPr>
        <w:t>EP</w:t>
      </w:r>
      <w:r w:rsidR="001D1469" w:rsidRPr="00024FC2">
        <w:rPr>
          <w:rFonts w:ascii="Times New Roman" w:hAnsi="Times New Roman" w:cs="Times New Roman"/>
          <w:sz w:val="24"/>
          <w:szCs w:val="24"/>
        </w:rPr>
        <w:t xml:space="preserve"> </w:t>
      </w:r>
      <w:r w:rsidR="00F97384">
        <w:rPr>
          <w:rFonts w:ascii="Times New Roman" w:hAnsi="Times New Roman" w:cs="Times New Roman"/>
          <w:sz w:val="24"/>
          <w:szCs w:val="24"/>
        </w:rPr>
        <w:t>implementation</w:t>
      </w:r>
      <w:r w:rsidR="001D1469" w:rsidRPr="00024FC2">
        <w:rPr>
          <w:rFonts w:ascii="Times New Roman" w:hAnsi="Times New Roman" w:cs="Times New Roman"/>
          <w:sz w:val="24"/>
          <w:szCs w:val="24"/>
        </w:rPr>
        <w:t xml:space="preserve">. </w:t>
      </w:r>
      <w:r w:rsidR="00842720" w:rsidRPr="00024FC2">
        <w:rPr>
          <w:rFonts w:ascii="Times New Roman" w:hAnsi="Times New Roman" w:cs="Times New Roman"/>
          <w:sz w:val="24"/>
          <w:szCs w:val="24"/>
        </w:rPr>
        <w:t>DFAT a</w:t>
      </w:r>
      <w:r w:rsidR="00024FC2">
        <w:rPr>
          <w:rFonts w:ascii="Times New Roman" w:hAnsi="Times New Roman" w:cs="Times New Roman"/>
          <w:sz w:val="24"/>
          <w:szCs w:val="24"/>
        </w:rPr>
        <w:t>grees with</w:t>
      </w:r>
      <w:r w:rsidR="00842720" w:rsidRPr="00024FC2">
        <w:rPr>
          <w:rFonts w:ascii="Times New Roman" w:hAnsi="Times New Roman" w:cs="Times New Roman"/>
          <w:sz w:val="24"/>
          <w:szCs w:val="24"/>
        </w:rPr>
        <w:t xml:space="preserve"> </w:t>
      </w:r>
      <w:r w:rsidR="008E7338">
        <w:rPr>
          <w:rFonts w:ascii="Times New Roman" w:hAnsi="Times New Roman" w:cs="Times New Roman"/>
          <w:sz w:val="24"/>
          <w:szCs w:val="24"/>
        </w:rPr>
        <w:t>21</w:t>
      </w:r>
      <w:r w:rsidR="003947B1" w:rsidRPr="00024FC2">
        <w:rPr>
          <w:rFonts w:ascii="Times New Roman" w:hAnsi="Times New Roman" w:cs="Times New Roman"/>
          <w:sz w:val="24"/>
          <w:szCs w:val="24"/>
        </w:rPr>
        <w:t xml:space="preserve"> </w:t>
      </w:r>
      <w:r w:rsidR="001754CD" w:rsidRPr="00024FC2">
        <w:rPr>
          <w:rFonts w:ascii="Times New Roman" w:hAnsi="Times New Roman" w:cs="Times New Roman"/>
          <w:sz w:val="24"/>
          <w:szCs w:val="24"/>
        </w:rPr>
        <w:t xml:space="preserve">of </w:t>
      </w:r>
      <w:r w:rsidR="00663CAA" w:rsidRPr="00024FC2">
        <w:rPr>
          <w:rFonts w:ascii="Times New Roman" w:hAnsi="Times New Roman" w:cs="Times New Roman"/>
          <w:sz w:val="24"/>
          <w:szCs w:val="24"/>
        </w:rPr>
        <w:t>the recommendation</w:t>
      </w:r>
      <w:r w:rsidR="005D3CAB" w:rsidRPr="00024FC2">
        <w:rPr>
          <w:rFonts w:ascii="Times New Roman" w:hAnsi="Times New Roman" w:cs="Times New Roman"/>
          <w:sz w:val="24"/>
          <w:szCs w:val="24"/>
        </w:rPr>
        <w:t>s</w:t>
      </w:r>
      <w:r w:rsidR="00663CAA" w:rsidRPr="00024FC2">
        <w:rPr>
          <w:rFonts w:ascii="Times New Roman" w:hAnsi="Times New Roman" w:cs="Times New Roman"/>
          <w:sz w:val="24"/>
          <w:szCs w:val="24"/>
        </w:rPr>
        <w:t xml:space="preserve"> and partially </w:t>
      </w:r>
      <w:r w:rsidR="00842720" w:rsidRPr="00024FC2">
        <w:rPr>
          <w:rFonts w:ascii="Times New Roman" w:hAnsi="Times New Roman" w:cs="Times New Roman"/>
          <w:sz w:val="24"/>
          <w:szCs w:val="24"/>
        </w:rPr>
        <w:t>a</w:t>
      </w:r>
      <w:r w:rsidR="00024FC2">
        <w:rPr>
          <w:rFonts w:ascii="Times New Roman" w:hAnsi="Times New Roman" w:cs="Times New Roman"/>
          <w:sz w:val="24"/>
          <w:szCs w:val="24"/>
        </w:rPr>
        <w:t>grees with</w:t>
      </w:r>
      <w:r w:rsidR="00842720" w:rsidRPr="00024FC2">
        <w:rPr>
          <w:rFonts w:ascii="Times New Roman" w:hAnsi="Times New Roman" w:cs="Times New Roman"/>
          <w:sz w:val="24"/>
          <w:szCs w:val="24"/>
        </w:rPr>
        <w:t xml:space="preserve"> </w:t>
      </w:r>
      <w:r w:rsidR="00C00DAD">
        <w:rPr>
          <w:rFonts w:ascii="Times New Roman" w:hAnsi="Times New Roman" w:cs="Times New Roman"/>
          <w:sz w:val="24"/>
          <w:szCs w:val="24"/>
        </w:rPr>
        <w:t>t</w:t>
      </w:r>
      <w:r w:rsidR="008E7338">
        <w:rPr>
          <w:rFonts w:ascii="Times New Roman" w:hAnsi="Times New Roman" w:cs="Times New Roman"/>
          <w:sz w:val="24"/>
          <w:szCs w:val="24"/>
        </w:rPr>
        <w:t>hree</w:t>
      </w:r>
      <w:r w:rsidR="001754CD" w:rsidRPr="00024FC2">
        <w:rPr>
          <w:rFonts w:ascii="Times New Roman" w:hAnsi="Times New Roman" w:cs="Times New Roman"/>
          <w:sz w:val="24"/>
          <w:szCs w:val="24"/>
        </w:rPr>
        <w:t xml:space="preserve">. </w:t>
      </w:r>
    </w:p>
    <w:p w:rsidR="005619E6" w:rsidRDefault="00D04443" w:rsidP="00666987">
      <w:pPr>
        <w:spacing w:line="240" w:lineRule="auto"/>
        <w:jc w:val="both"/>
        <w:rPr>
          <w:rFonts w:ascii="Times New Roman" w:hAnsi="Times New Roman" w:cs="Times New Roman"/>
          <w:b/>
          <w:sz w:val="24"/>
          <w:szCs w:val="24"/>
        </w:rPr>
        <w:sectPr w:rsidR="005619E6" w:rsidSect="00A71114">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851" w:left="1440" w:header="708" w:footer="708" w:gutter="0"/>
          <w:cols w:space="708"/>
          <w:docGrid w:linePitch="360"/>
        </w:sectPr>
      </w:pPr>
      <w:r w:rsidRPr="00290C57">
        <w:rPr>
          <w:rFonts w:ascii="Times New Roman" w:hAnsi="Times New Roman" w:cs="Times New Roman"/>
          <w:sz w:val="24"/>
          <w:szCs w:val="24"/>
        </w:rPr>
        <w:t>The APPR</w:t>
      </w:r>
      <w:r w:rsidR="0080184F" w:rsidRPr="00290C57">
        <w:rPr>
          <w:rFonts w:ascii="Times New Roman" w:hAnsi="Times New Roman" w:cs="Times New Roman"/>
          <w:sz w:val="24"/>
          <w:szCs w:val="24"/>
        </w:rPr>
        <w:t xml:space="preserve"> recommendations and </w:t>
      </w:r>
      <w:r w:rsidR="00842720">
        <w:rPr>
          <w:rFonts w:ascii="Times New Roman" w:hAnsi="Times New Roman" w:cs="Times New Roman"/>
          <w:sz w:val="24"/>
          <w:szCs w:val="24"/>
        </w:rPr>
        <w:t>DFAT’s</w:t>
      </w:r>
      <w:r w:rsidR="0080184F" w:rsidRPr="00290C57">
        <w:rPr>
          <w:rFonts w:ascii="Times New Roman" w:hAnsi="Times New Roman" w:cs="Times New Roman"/>
          <w:sz w:val="24"/>
          <w:szCs w:val="24"/>
        </w:rPr>
        <w:t xml:space="preserve"> </w:t>
      </w:r>
      <w:r w:rsidR="000E4021">
        <w:rPr>
          <w:rFonts w:ascii="Times New Roman" w:hAnsi="Times New Roman" w:cs="Times New Roman"/>
          <w:sz w:val="24"/>
          <w:szCs w:val="24"/>
        </w:rPr>
        <w:t xml:space="preserve">management </w:t>
      </w:r>
      <w:r w:rsidR="0080184F" w:rsidRPr="00290C57">
        <w:rPr>
          <w:rFonts w:ascii="Times New Roman" w:hAnsi="Times New Roman" w:cs="Times New Roman"/>
          <w:sz w:val="24"/>
          <w:szCs w:val="24"/>
        </w:rPr>
        <w:t xml:space="preserve">responses are </w:t>
      </w:r>
      <w:r w:rsidR="00842720">
        <w:rPr>
          <w:rFonts w:ascii="Times New Roman" w:hAnsi="Times New Roman" w:cs="Times New Roman"/>
          <w:sz w:val="24"/>
          <w:szCs w:val="24"/>
        </w:rPr>
        <w:t>set out below</w:t>
      </w:r>
      <w:r w:rsidR="0080184F" w:rsidRPr="00290C57">
        <w:rPr>
          <w:rFonts w:ascii="Times New Roman" w:hAnsi="Times New Roman" w:cs="Times New Roman"/>
          <w:sz w:val="24"/>
          <w:szCs w:val="24"/>
        </w:rPr>
        <w:t>.</w:t>
      </w:r>
      <w:r w:rsidR="00B24B6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070"/>
        <w:gridCol w:w="4961"/>
        <w:gridCol w:w="4678"/>
      </w:tblGrid>
      <w:tr w:rsidR="005619E6" w:rsidRPr="00EF51ED" w:rsidTr="005619E6">
        <w:tc>
          <w:tcPr>
            <w:tcW w:w="14709" w:type="dxa"/>
            <w:gridSpan w:val="3"/>
          </w:tcPr>
          <w:p w:rsidR="005619E6" w:rsidRPr="00EF51ED" w:rsidRDefault="005619E6" w:rsidP="000E4021">
            <w:pPr>
              <w:spacing w:before="60" w:after="60"/>
              <w:jc w:val="both"/>
              <w:rPr>
                <w:rFonts w:ascii="Times New Roman" w:hAnsi="Times New Roman" w:cs="Times New Roman"/>
                <w:b/>
                <w:sz w:val="28"/>
                <w:szCs w:val="24"/>
              </w:rPr>
            </w:pPr>
            <w:r w:rsidRPr="00EF51ED">
              <w:rPr>
                <w:rFonts w:ascii="Times New Roman" w:hAnsi="Times New Roman" w:cs="Times New Roman"/>
                <w:b/>
                <w:sz w:val="28"/>
                <w:szCs w:val="24"/>
              </w:rPr>
              <w:lastRenderedPageBreak/>
              <w:t xml:space="preserve">Component 1 </w:t>
            </w:r>
            <w:r w:rsidR="000E4021">
              <w:rPr>
                <w:rFonts w:ascii="Times New Roman" w:hAnsi="Times New Roman" w:cs="Times New Roman"/>
                <w:b/>
                <w:sz w:val="28"/>
                <w:szCs w:val="24"/>
              </w:rPr>
              <w:t xml:space="preserve">– </w:t>
            </w:r>
            <w:r w:rsidR="000E4021" w:rsidRPr="00C57F17">
              <w:rPr>
                <w:rFonts w:ascii="Times New Roman" w:hAnsi="Times New Roman" w:cs="Times New Roman"/>
                <w:b/>
                <w:i/>
                <w:sz w:val="28"/>
                <w:szCs w:val="24"/>
              </w:rPr>
              <w:t>School Construction</w:t>
            </w:r>
            <w:r w:rsidR="00A07D4A">
              <w:rPr>
                <w:rFonts w:ascii="Times New Roman" w:hAnsi="Times New Roman" w:cs="Times New Roman"/>
                <w:b/>
                <w:sz w:val="28"/>
                <w:szCs w:val="24"/>
              </w:rPr>
              <w:t xml:space="preserve"> (C1)</w:t>
            </w:r>
          </w:p>
        </w:tc>
      </w:tr>
      <w:tr w:rsidR="005619E6" w:rsidRPr="00EF51ED" w:rsidTr="005619E6">
        <w:tc>
          <w:tcPr>
            <w:tcW w:w="5070" w:type="dxa"/>
          </w:tcPr>
          <w:p w:rsidR="005619E6" w:rsidRPr="00EF51ED" w:rsidRDefault="005619E6"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 xml:space="preserve">Recommendation </w:t>
            </w:r>
          </w:p>
        </w:tc>
        <w:tc>
          <w:tcPr>
            <w:tcW w:w="4961" w:type="dxa"/>
          </w:tcPr>
          <w:p w:rsidR="005619E6" w:rsidRPr="00EF51ED" w:rsidRDefault="00F35A3E"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 xml:space="preserve">Management </w:t>
            </w:r>
            <w:r w:rsidR="005619E6" w:rsidRPr="00EF51ED">
              <w:rPr>
                <w:rFonts w:ascii="Times New Roman" w:hAnsi="Times New Roman" w:cs="Times New Roman"/>
                <w:b/>
                <w:sz w:val="24"/>
                <w:szCs w:val="24"/>
              </w:rPr>
              <w:t xml:space="preserve">Response </w:t>
            </w:r>
          </w:p>
        </w:tc>
        <w:tc>
          <w:tcPr>
            <w:tcW w:w="4678" w:type="dxa"/>
          </w:tcPr>
          <w:p w:rsidR="005619E6" w:rsidRPr="00EF51ED" w:rsidRDefault="005619E6"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Actions</w:t>
            </w:r>
          </w:p>
        </w:tc>
      </w:tr>
      <w:tr w:rsidR="005619E6" w:rsidRPr="00EF51ED" w:rsidTr="007D1E80">
        <w:tc>
          <w:tcPr>
            <w:tcW w:w="5070" w:type="dxa"/>
            <w:shd w:val="clear" w:color="auto" w:fill="CDFFCD"/>
          </w:tcPr>
          <w:p w:rsidR="005619E6" w:rsidRPr="00EF51ED" w:rsidRDefault="005619E6"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 xml:space="preserve">1 </w:t>
            </w:r>
          </w:p>
          <w:p w:rsidR="005619E6" w:rsidRPr="00EF51ED" w:rsidRDefault="00EF51ED" w:rsidP="00EF51ED">
            <w:pPr>
              <w:spacing w:before="60" w:after="60"/>
              <w:jc w:val="both"/>
              <w:rPr>
                <w:rFonts w:ascii="Times New Roman" w:hAnsi="Times New Roman" w:cs="Times New Roman"/>
                <w:sz w:val="24"/>
                <w:szCs w:val="24"/>
              </w:rPr>
            </w:pPr>
            <w:r w:rsidRPr="00EF51ED">
              <w:rPr>
                <w:rFonts w:ascii="Times New Roman" w:hAnsi="Times New Roman" w:cs="Times New Roman"/>
                <w:sz w:val="24"/>
                <w:szCs w:val="24"/>
              </w:rPr>
              <w:t xml:space="preserve">DFAT and MoEC should reaffirm their commitment to the current EOPO </w:t>
            </w:r>
          </w:p>
        </w:tc>
        <w:tc>
          <w:tcPr>
            <w:tcW w:w="4961" w:type="dxa"/>
            <w:shd w:val="clear" w:color="auto" w:fill="CDFFCD"/>
          </w:tcPr>
          <w:p w:rsidR="005619E6" w:rsidRPr="00EF51ED" w:rsidRDefault="00024FC2"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p w:rsidR="001E04F1" w:rsidRPr="00EF51ED" w:rsidRDefault="001E04F1" w:rsidP="005619E6">
            <w:pPr>
              <w:spacing w:before="60" w:after="60"/>
              <w:jc w:val="both"/>
              <w:rPr>
                <w:rFonts w:ascii="Times New Roman" w:hAnsi="Times New Roman" w:cs="Times New Roman"/>
                <w:sz w:val="24"/>
                <w:szCs w:val="24"/>
              </w:rPr>
            </w:pPr>
          </w:p>
        </w:tc>
        <w:tc>
          <w:tcPr>
            <w:tcW w:w="4678" w:type="dxa"/>
            <w:shd w:val="clear" w:color="auto" w:fill="CDFFCD"/>
          </w:tcPr>
          <w:p w:rsidR="005619E6" w:rsidRPr="00EF51ED" w:rsidRDefault="00B47F4D" w:rsidP="00B47F4D">
            <w:pPr>
              <w:spacing w:before="60" w:after="60"/>
              <w:jc w:val="both"/>
              <w:rPr>
                <w:rFonts w:ascii="Times New Roman" w:hAnsi="Times New Roman" w:cs="Times New Roman"/>
                <w:sz w:val="24"/>
                <w:szCs w:val="24"/>
              </w:rPr>
            </w:pPr>
            <w:r>
              <w:rPr>
                <w:rFonts w:ascii="Times New Roman" w:hAnsi="Times New Roman" w:cs="Times New Roman"/>
                <w:sz w:val="24"/>
                <w:szCs w:val="24"/>
              </w:rPr>
              <w:t>At the Infrastructure Technical Oversight Group in May 2014 DFAT and MoEC reaffirmed their commitment to the current EOPO, but not to the exclusion of other objectives. MoEC noted that the program also had potential to contribute to other objectives, such as reducing overcrowding and increasing the affordability of schooling through reducing transport costs.</w:t>
            </w:r>
          </w:p>
        </w:tc>
      </w:tr>
      <w:tr w:rsidR="005619E6" w:rsidRPr="00EF51ED" w:rsidTr="00E94A36">
        <w:tc>
          <w:tcPr>
            <w:tcW w:w="5070" w:type="dxa"/>
            <w:shd w:val="clear" w:color="auto" w:fill="CCFFCC"/>
          </w:tcPr>
          <w:p w:rsidR="005619E6" w:rsidRPr="00E259D6" w:rsidRDefault="005619E6" w:rsidP="005619E6">
            <w:pPr>
              <w:spacing w:before="60" w:after="60"/>
              <w:jc w:val="both"/>
              <w:rPr>
                <w:rFonts w:ascii="Times New Roman" w:hAnsi="Times New Roman" w:cs="Times New Roman"/>
                <w:sz w:val="24"/>
                <w:szCs w:val="24"/>
              </w:rPr>
            </w:pPr>
            <w:r w:rsidRPr="00EF51ED">
              <w:rPr>
                <w:rFonts w:ascii="Times New Roman" w:hAnsi="Times New Roman" w:cs="Times New Roman"/>
                <w:b/>
                <w:sz w:val="24"/>
                <w:szCs w:val="24"/>
              </w:rPr>
              <w:t>2</w:t>
            </w:r>
          </w:p>
          <w:p w:rsidR="005619E6" w:rsidRPr="00EF51ED" w:rsidRDefault="00EF51ED" w:rsidP="00EF51ED">
            <w:pPr>
              <w:spacing w:before="60" w:after="60"/>
              <w:jc w:val="both"/>
              <w:rPr>
                <w:rFonts w:ascii="Times New Roman" w:hAnsi="Times New Roman" w:cs="Times New Roman"/>
                <w:sz w:val="24"/>
                <w:szCs w:val="24"/>
              </w:rPr>
            </w:pPr>
            <w:r w:rsidRPr="00E259D6">
              <w:rPr>
                <w:rFonts w:ascii="Times New Roman" w:hAnsi="Times New Roman" w:cs="Times New Roman"/>
                <w:sz w:val="24"/>
                <w:szCs w:val="24"/>
              </w:rPr>
              <w:t>Critically appraise coordination of school construction with other access-related initiatives within M</w:t>
            </w:r>
            <w:r w:rsidR="00A07D4A" w:rsidRPr="00E259D6">
              <w:rPr>
                <w:rFonts w:ascii="Times New Roman" w:hAnsi="Times New Roman" w:cs="Times New Roman"/>
                <w:sz w:val="24"/>
                <w:szCs w:val="24"/>
              </w:rPr>
              <w:t>o</w:t>
            </w:r>
            <w:r w:rsidRPr="00E259D6">
              <w:rPr>
                <w:rFonts w:ascii="Times New Roman" w:hAnsi="Times New Roman" w:cs="Times New Roman"/>
                <w:sz w:val="24"/>
                <w:szCs w:val="24"/>
              </w:rPr>
              <w:t>EC with a view to maximising the extent of EOPO achievement</w:t>
            </w:r>
          </w:p>
        </w:tc>
        <w:tc>
          <w:tcPr>
            <w:tcW w:w="4961" w:type="dxa"/>
            <w:shd w:val="clear" w:color="auto" w:fill="CCFFCC"/>
          </w:tcPr>
          <w:p w:rsidR="001E04F1" w:rsidRPr="00EF51ED" w:rsidRDefault="00E259D6" w:rsidP="001E04F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r w:rsidR="000E6D57" w:rsidRPr="00EF51ED">
              <w:rPr>
                <w:rFonts w:ascii="Times New Roman" w:hAnsi="Times New Roman" w:cs="Times New Roman"/>
                <w:b/>
                <w:sz w:val="24"/>
                <w:szCs w:val="24"/>
              </w:rPr>
              <w:t xml:space="preserve"> </w:t>
            </w:r>
          </w:p>
          <w:p w:rsidR="005619E6" w:rsidRPr="00EF51ED" w:rsidRDefault="005619E6" w:rsidP="00E259D6">
            <w:pPr>
              <w:spacing w:before="60" w:after="60"/>
              <w:jc w:val="both"/>
              <w:rPr>
                <w:rFonts w:ascii="Times New Roman" w:hAnsi="Times New Roman" w:cs="Times New Roman"/>
                <w:sz w:val="24"/>
                <w:szCs w:val="24"/>
              </w:rPr>
            </w:pPr>
          </w:p>
        </w:tc>
        <w:tc>
          <w:tcPr>
            <w:tcW w:w="4678" w:type="dxa"/>
            <w:shd w:val="clear" w:color="auto" w:fill="CCFFCC"/>
          </w:tcPr>
          <w:p w:rsidR="005619E6" w:rsidRPr="00EF51ED" w:rsidRDefault="004C204C" w:rsidP="006715ED">
            <w:pPr>
              <w:spacing w:before="60" w:after="60"/>
              <w:jc w:val="both"/>
              <w:rPr>
                <w:rFonts w:ascii="Times New Roman" w:hAnsi="Times New Roman" w:cs="Times New Roman"/>
                <w:sz w:val="24"/>
                <w:szCs w:val="24"/>
              </w:rPr>
            </w:pPr>
            <w:r>
              <w:rPr>
                <w:rFonts w:ascii="Times New Roman" w:hAnsi="Times New Roman" w:cs="Times New Roman"/>
                <w:sz w:val="24"/>
                <w:szCs w:val="24"/>
              </w:rPr>
              <w:t>O</w:t>
            </w:r>
            <w:r w:rsidR="003947B1">
              <w:rPr>
                <w:rFonts w:ascii="Times New Roman" w:hAnsi="Times New Roman" w:cs="Times New Roman"/>
                <w:sz w:val="24"/>
                <w:szCs w:val="24"/>
              </w:rPr>
              <w:t xml:space="preserve">pportunities for cross-sector collaboration </w:t>
            </w:r>
            <w:r w:rsidR="00415CCC">
              <w:rPr>
                <w:rFonts w:ascii="Times New Roman" w:hAnsi="Times New Roman" w:cs="Times New Roman"/>
                <w:sz w:val="24"/>
                <w:szCs w:val="24"/>
              </w:rPr>
              <w:t>with DFAT’s social protection program (that supports GoI’s scholarships for the poor and other cash transfer programs) were explored in the first quarter of 2014</w:t>
            </w:r>
            <w:r w:rsidR="003947B1">
              <w:rPr>
                <w:rFonts w:ascii="Times New Roman" w:hAnsi="Times New Roman" w:cs="Times New Roman"/>
                <w:sz w:val="24"/>
                <w:szCs w:val="24"/>
              </w:rPr>
              <w:t>.</w:t>
            </w:r>
            <w:r w:rsidR="00415CCC">
              <w:rPr>
                <w:rFonts w:ascii="Times New Roman" w:hAnsi="Times New Roman" w:cs="Times New Roman"/>
                <w:sz w:val="24"/>
                <w:szCs w:val="24"/>
              </w:rPr>
              <w:t xml:space="preserve"> </w:t>
            </w:r>
            <w:r w:rsidR="00B47F4D">
              <w:rPr>
                <w:rFonts w:ascii="Times New Roman" w:hAnsi="Times New Roman" w:cs="Times New Roman"/>
                <w:sz w:val="24"/>
                <w:szCs w:val="24"/>
              </w:rPr>
              <w:t>DFAT has identified areas of mutual interest with potential for improved coordination (such as public awareness campaigns to increase uptake of the scholarships for the poor program). More detailed arrangements for coordination and support will be agreed once the new administration is in place in Indonesia and institutional arrangements for social protection programs are clearer.</w:t>
            </w:r>
          </w:p>
        </w:tc>
      </w:tr>
      <w:tr w:rsidR="005619E6" w:rsidRPr="00EF51ED" w:rsidTr="007D1E80">
        <w:tc>
          <w:tcPr>
            <w:tcW w:w="5070" w:type="dxa"/>
            <w:shd w:val="clear" w:color="auto" w:fill="CDFFCD"/>
          </w:tcPr>
          <w:p w:rsidR="005619E6" w:rsidRPr="00EF51ED" w:rsidRDefault="005619E6"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3</w:t>
            </w:r>
          </w:p>
          <w:p w:rsidR="005619E6" w:rsidRPr="00EF51ED" w:rsidRDefault="00EF51ED" w:rsidP="00EF51ED">
            <w:pPr>
              <w:spacing w:before="60" w:after="60"/>
              <w:jc w:val="both"/>
              <w:rPr>
                <w:rFonts w:ascii="Times New Roman" w:hAnsi="Times New Roman" w:cs="Times New Roman"/>
                <w:sz w:val="24"/>
                <w:szCs w:val="24"/>
              </w:rPr>
            </w:pPr>
            <w:r w:rsidRPr="00EF51ED">
              <w:rPr>
                <w:rFonts w:ascii="Times New Roman" w:hAnsi="Times New Roman" w:cs="Times New Roman"/>
                <w:sz w:val="24"/>
                <w:szCs w:val="24"/>
              </w:rPr>
              <w:t>Further analysis of site selection outcomes should be undertaken to provide a robust basis t</w:t>
            </w:r>
            <w:r>
              <w:rPr>
                <w:rFonts w:ascii="Times New Roman" w:hAnsi="Times New Roman" w:cs="Times New Roman"/>
                <w:sz w:val="24"/>
                <w:szCs w:val="24"/>
              </w:rPr>
              <w:t>o improve the selection process</w:t>
            </w:r>
          </w:p>
        </w:tc>
        <w:tc>
          <w:tcPr>
            <w:tcW w:w="4961" w:type="dxa"/>
            <w:shd w:val="clear" w:color="auto" w:fill="CDFFCD"/>
          </w:tcPr>
          <w:p w:rsidR="001E04F1" w:rsidRPr="00EF51ED" w:rsidRDefault="00024FC2" w:rsidP="001E04F1">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A17951">
              <w:rPr>
                <w:rFonts w:ascii="Times New Roman" w:hAnsi="Times New Roman" w:cs="Times New Roman"/>
                <w:b/>
                <w:sz w:val="24"/>
                <w:szCs w:val="24"/>
              </w:rPr>
              <w:t>gree</w:t>
            </w:r>
          </w:p>
          <w:p w:rsidR="005619E6" w:rsidRPr="00EF51ED" w:rsidRDefault="005619E6" w:rsidP="001E04F1">
            <w:pPr>
              <w:spacing w:before="60" w:after="60"/>
              <w:jc w:val="both"/>
              <w:rPr>
                <w:rFonts w:ascii="Times New Roman" w:hAnsi="Times New Roman" w:cs="Times New Roman"/>
                <w:b/>
                <w:sz w:val="24"/>
                <w:szCs w:val="24"/>
              </w:rPr>
            </w:pPr>
          </w:p>
        </w:tc>
        <w:tc>
          <w:tcPr>
            <w:tcW w:w="4678" w:type="dxa"/>
            <w:shd w:val="clear" w:color="auto" w:fill="CDFFCD"/>
          </w:tcPr>
          <w:p w:rsidR="005619E6" w:rsidRPr="00EF51ED" w:rsidRDefault="000E6D57" w:rsidP="00B47F4D">
            <w:pPr>
              <w:spacing w:before="60" w:after="60"/>
              <w:jc w:val="both"/>
              <w:rPr>
                <w:rFonts w:ascii="Times New Roman" w:hAnsi="Times New Roman" w:cs="Times New Roman"/>
                <w:sz w:val="24"/>
                <w:szCs w:val="24"/>
              </w:rPr>
            </w:pPr>
            <w:r w:rsidRPr="00EF51ED">
              <w:rPr>
                <w:rFonts w:ascii="Times New Roman" w:hAnsi="Times New Roman" w:cs="Times New Roman"/>
                <w:sz w:val="24"/>
                <w:szCs w:val="24"/>
              </w:rPr>
              <w:t xml:space="preserve">DFAT </w:t>
            </w:r>
            <w:r w:rsidR="000705AB">
              <w:rPr>
                <w:rFonts w:ascii="Times New Roman" w:hAnsi="Times New Roman" w:cs="Times New Roman"/>
                <w:sz w:val="24"/>
                <w:szCs w:val="24"/>
              </w:rPr>
              <w:t>requested</w:t>
            </w:r>
            <w:r w:rsidRPr="00EF51ED">
              <w:rPr>
                <w:rFonts w:ascii="Times New Roman" w:hAnsi="Times New Roman" w:cs="Times New Roman"/>
                <w:sz w:val="24"/>
                <w:szCs w:val="24"/>
              </w:rPr>
              <w:t xml:space="preserve"> POM to conduct this further analysis</w:t>
            </w:r>
            <w:r w:rsidR="000705AB">
              <w:rPr>
                <w:rFonts w:ascii="Times New Roman" w:hAnsi="Times New Roman" w:cs="Times New Roman"/>
                <w:sz w:val="24"/>
                <w:szCs w:val="24"/>
              </w:rPr>
              <w:t>,</w:t>
            </w:r>
            <w:r w:rsidRPr="00EF51ED">
              <w:rPr>
                <w:rFonts w:ascii="Times New Roman" w:hAnsi="Times New Roman" w:cs="Times New Roman"/>
                <w:sz w:val="24"/>
                <w:szCs w:val="24"/>
              </w:rPr>
              <w:t xml:space="preserve"> in coordination with MoEC and SSQ</w:t>
            </w:r>
            <w:r w:rsidR="000705AB">
              <w:rPr>
                <w:rFonts w:ascii="Times New Roman" w:hAnsi="Times New Roman" w:cs="Times New Roman"/>
                <w:sz w:val="24"/>
                <w:szCs w:val="24"/>
              </w:rPr>
              <w:t xml:space="preserve">, in the second quarter of 2014. At the time of publication data </w:t>
            </w:r>
            <w:r w:rsidR="00B47F4D">
              <w:rPr>
                <w:rFonts w:ascii="Times New Roman" w:hAnsi="Times New Roman" w:cs="Times New Roman"/>
                <w:sz w:val="24"/>
                <w:szCs w:val="24"/>
              </w:rPr>
              <w:t>collection was underway.</w:t>
            </w:r>
          </w:p>
        </w:tc>
      </w:tr>
      <w:tr w:rsidR="005619E6" w:rsidRPr="00EF51ED" w:rsidTr="007D1E80">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4</w:t>
            </w:r>
          </w:p>
          <w:p w:rsidR="00AE3E2C" w:rsidRPr="00EF51ED" w:rsidRDefault="00EF51ED" w:rsidP="00EF51ED">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lastRenderedPageBreak/>
              <w:t>DFAT and MoEC should strengthen the site selection process by refining factors of JSE demand and supply in the selection criteria, and ensuring a stric</w:t>
            </w:r>
            <w:r>
              <w:rPr>
                <w:rFonts w:ascii="Times New Roman" w:hAnsi="Times New Roman" w:cs="Times New Roman"/>
                <w:sz w:val="24"/>
                <w:szCs w:val="24"/>
              </w:rPr>
              <w:t>t application of these criteria</w:t>
            </w:r>
          </w:p>
        </w:tc>
        <w:tc>
          <w:tcPr>
            <w:tcW w:w="4961" w:type="dxa"/>
            <w:shd w:val="clear" w:color="auto" w:fill="CDFFCD"/>
          </w:tcPr>
          <w:p w:rsidR="001E04F1" w:rsidRPr="00EF51ED" w:rsidRDefault="00024FC2" w:rsidP="001E04F1">
            <w:pPr>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A17951">
              <w:rPr>
                <w:rFonts w:ascii="Times New Roman" w:hAnsi="Times New Roman" w:cs="Times New Roman"/>
                <w:b/>
                <w:sz w:val="24"/>
                <w:szCs w:val="24"/>
              </w:rPr>
              <w:t>gree</w:t>
            </w:r>
          </w:p>
          <w:p w:rsidR="005619E6" w:rsidRPr="00EF51ED" w:rsidRDefault="005619E6" w:rsidP="001E04F1">
            <w:pPr>
              <w:spacing w:before="60" w:after="60"/>
              <w:jc w:val="both"/>
              <w:rPr>
                <w:rFonts w:ascii="Times New Roman" w:hAnsi="Times New Roman" w:cs="Times New Roman"/>
                <w:b/>
                <w:sz w:val="24"/>
                <w:szCs w:val="24"/>
              </w:rPr>
            </w:pPr>
          </w:p>
        </w:tc>
        <w:tc>
          <w:tcPr>
            <w:tcW w:w="4678" w:type="dxa"/>
            <w:shd w:val="clear" w:color="auto" w:fill="CDFFCD"/>
          </w:tcPr>
          <w:p w:rsidR="00B07DA1" w:rsidRDefault="00B07DA1" w:rsidP="00B07DA1">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80F36">
              <w:rPr>
                <w:rFonts w:ascii="Times New Roman" w:hAnsi="Times New Roman" w:cs="Times New Roman"/>
                <w:sz w:val="24"/>
                <w:szCs w:val="24"/>
              </w:rPr>
              <w:t xml:space="preserve">site selection </w:t>
            </w:r>
            <w:r>
              <w:rPr>
                <w:rFonts w:ascii="Times New Roman" w:hAnsi="Times New Roman" w:cs="Times New Roman"/>
                <w:sz w:val="24"/>
                <w:szCs w:val="24"/>
              </w:rPr>
              <w:t>process was significantly improved for the selection of 2014 schools</w:t>
            </w:r>
            <w:r w:rsidR="00680F36">
              <w:rPr>
                <w:rFonts w:ascii="Times New Roman" w:hAnsi="Times New Roman" w:cs="Times New Roman"/>
                <w:sz w:val="24"/>
                <w:szCs w:val="24"/>
              </w:rPr>
              <w:t xml:space="preserve">. </w:t>
            </w:r>
            <w:r w:rsidR="00680F36">
              <w:rPr>
                <w:rFonts w:ascii="Times New Roman" w:hAnsi="Times New Roman" w:cs="Times New Roman"/>
                <w:sz w:val="24"/>
                <w:szCs w:val="24"/>
              </w:rPr>
              <w:lastRenderedPageBreak/>
              <w:t>For each new school proposal, an assessment was made of the</w:t>
            </w:r>
            <w:r>
              <w:rPr>
                <w:rFonts w:ascii="Times New Roman" w:hAnsi="Times New Roman" w:cs="Times New Roman"/>
                <w:sz w:val="24"/>
                <w:szCs w:val="24"/>
              </w:rPr>
              <w:t xml:space="preserve"> district’s demand analysis, and </w:t>
            </w:r>
            <w:r w:rsidR="00680F36">
              <w:rPr>
                <w:rFonts w:ascii="Times New Roman" w:hAnsi="Times New Roman" w:cs="Times New Roman"/>
                <w:sz w:val="24"/>
                <w:szCs w:val="24"/>
              </w:rPr>
              <w:t xml:space="preserve">then </w:t>
            </w:r>
            <w:r>
              <w:rPr>
                <w:rFonts w:ascii="Times New Roman" w:hAnsi="Times New Roman" w:cs="Times New Roman"/>
                <w:sz w:val="24"/>
                <w:szCs w:val="24"/>
              </w:rPr>
              <w:t xml:space="preserve">cross </w:t>
            </w:r>
            <w:r w:rsidR="00680F36">
              <w:rPr>
                <w:rFonts w:ascii="Times New Roman" w:hAnsi="Times New Roman" w:cs="Times New Roman"/>
                <w:sz w:val="24"/>
                <w:szCs w:val="24"/>
              </w:rPr>
              <w:t>checked</w:t>
            </w:r>
            <w:r>
              <w:rPr>
                <w:rFonts w:ascii="Times New Roman" w:hAnsi="Times New Roman" w:cs="Times New Roman"/>
                <w:sz w:val="24"/>
                <w:szCs w:val="24"/>
              </w:rPr>
              <w:t xml:space="preserve"> against the existing school supply to </w:t>
            </w:r>
            <w:r w:rsidR="00680F36">
              <w:rPr>
                <w:rFonts w:ascii="Times New Roman" w:hAnsi="Times New Roman" w:cs="Times New Roman"/>
                <w:sz w:val="24"/>
                <w:szCs w:val="24"/>
              </w:rPr>
              <w:t>form a judgement as to</w:t>
            </w:r>
            <w:r>
              <w:rPr>
                <w:rFonts w:ascii="Times New Roman" w:hAnsi="Times New Roman" w:cs="Times New Roman"/>
                <w:sz w:val="24"/>
                <w:szCs w:val="24"/>
              </w:rPr>
              <w:t xml:space="preserve"> whether the new school proposal has </w:t>
            </w:r>
            <w:r w:rsidR="00680F36">
              <w:rPr>
                <w:rFonts w:ascii="Times New Roman" w:hAnsi="Times New Roman" w:cs="Times New Roman"/>
                <w:sz w:val="24"/>
                <w:szCs w:val="24"/>
              </w:rPr>
              <w:t>merit</w:t>
            </w:r>
            <w:r>
              <w:rPr>
                <w:rFonts w:ascii="Times New Roman" w:hAnsi="Times New Roman" w:cs="Times New Roman"/>
                <w:sz w:val="24"/>
                <w:szCs w:val="24"/>
              </w:rPr>
              <w:t xml:space="preserve">. Population data was also included as a predictor of future demand for proposed new schools. </w:t>
            </w:r>
          </w:p>
          <w:p w:rsidR="00B07DA1" w:rsidRPr="00EF51ED" w:rsidRDefault="00B07DA1" w:rsidP="00B07DA1">
            <w:pPr>
              <w:spacing w:before="60" w:after="60"/>
              <w:jc w:val="both"/>
              <w:rPr>
                <w:rFonts w:ascii="Times New Roman" w:hAnsi="Times New Roman" w:cs="Times New Roman"/>
                <w:sz w:val="24"/>
                <w:szCs w:val="24"/>
              </w:rPr>
            </w:pPr>
            <w:r>
              <w:rPr>
                <w:rFonts w:ascii="Times New Roman" w:hAnsi="Times New Roman" w:cs="Times New Roman"/>
                <w:sz w:val="24"/>
                <w:szCs w:val="24"/>
              </w:rPr>
              <w:t>DFAT, MoEC and SSQ teams will continue to refine and improve site selection processes for selection of 2015 schools.</w:t>
            </w:r>
          </w:p>
        </w:tc>
      </w:tr>
      <w:tr w:rsidR="005619E6" w:rsidRPr="00EF51ED" w:rsidTr="007D1E80">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lastRenderedPageBreak/>
              <w:t>5</w:t>
            </w:r>
          </w:p>
          <w:p w:rsidR="00AE3E2C" w:rsidRPr="00EF51ED" w:rsidRDefault="00EF51ED" w:rsidP="00EF51ED">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Lessons learned from EP implementation (e.g. regarding monitoring process) should be synthesised and disseminated to interested parties (e.g. MoEC and other GoI institutions/agencies involved in construction processes), should there be merit or demand</w:t>
            </w:r>
          </w:p>
        </w:tc>
        <w:tc>
          <w:tcPr>
            <w:tcW w:w="4961" w:type="dxa"/>
            <w:shd w:val="clear" w:color="auto" w:fill="CDFFCD"/>
          </w:tcPr>
          <w:p w:rsidR="001E04F1" w:rsidRPr="00EF51ED" w:rsidRDefault="00024FC2" w:rsidP="001E04F1">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A17951">
              <w:rPr>
                <w:rFonts w:ascii="Times New Roman" w:hAnsi="Times New Roman" w:cs="Times New Roman"/>
                <w:b/>
                <w:sz w:val="24"/>
                <w:szCs w:val="24"/>
              </w:rPr>
              <w:t>gree</w:t>
            </w:r>
          </w:p>
          <w:p w:rsidR="005619E6" w:rsidRPr="00EF51ED" w:rsidRDefault="005619E6" w:rsidP="001E04F1">
            <w:pPr>
              <w:spacing w:before="60" w:after="60"/>
              <w:jc w:val="both"/>
              <w:rPr>
                <w:rFonts w:ascii="Times New Roman" w:hAnsi="Times New Roman" w:cs="Times New Roman"/>
                <w:b/>
                <w:sz w:val="24"/>
                <w:szCs w:val="24"/>
              </w:rPr>
            </w:pPr>
          </w:p>
        </w:tc>
        <w:tc>
          <w:tcPr>
            <w:tcW w:w="4678" w:type="dxa"/>
            <w:shd w:val="clear" w:color="auto" w:fill="CDFFCD"/>
          </w:tcPr>
          <w:p w:rsidR="00B47F4D" w:rsidRDefault="00F01E4E" w:rsidP="005619E6">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In 2014, </w:t>
            </w:r>
            <w:r w:rsidR="00B47F4D">
              <w:rPr>
                <w:rFonts w:ascii="Times New Roman" w:hAnsi="Times New Roman" w:cs="Times New Roman"/>
                <w:sz w:val="24"/>
                <w:szCs w:val="24"/>
              </w:rPr>
              <w:t>DFAT, the World Bank</w:t>
            </w:r>
            <w:r>
              <w:rPr>
                <w:rFonts w:ascii="Times New Roman" w:hAnsi="Times New Roman" w:cs="Times New Roman"/>
                <w:sz w:val="24"/>
                <w:szCs w:val="24"/>
              </w:rPr>
              <w:t xml:space="preserve">, </w:t>
            </w:r>
            <w:r w:rsidR="00B47F4D">
              <w:rPr>
                <w:rFonts w:ascii="Times New Roman" w:hAnsi="Times New Roman" w:cs="Times New Roman"/>
                <w:sz w:val="24"/>
                <w:szCs w:val="24"/>
              </w:rPr>
              <w:t>and the ADB supported B</w:t>
            </w:r>
            <w:r>
              <w:rPr>
                <w:rFonts w:ascii="Times New Roman" w:hAnsi="Times New Roman" w:cs="Times New Roman"/>
                <w:sz w:val="24"/>
                <w:szCs w:val="24"/>
              </w:rPr>
              <w:t>APPENAS</w:t>
            </w:r>
            <w:r w:rsidR="00B47F4D">
              <w:rPr>
                <w:rFonts w:ascii="Times New Roman" w:hAnsi="Times New Roman" w:cs="Times New Roman"/>
                <w:sz w:val="24"/>
                <w:szCs w:val="24"/>
              </w:rPr>
              <w:t xml:space="preserve"> and MoEC to conduct a learning event on the provision of senior secondary education which included lessons learned from EP implementation. </w:t>
            </w:r>
          </w:p>
          <w:p w:rsidR="00981B45" w:rsidRPr="00EF51ED" w:rsidRDefault="00B47F4D" w:rsidP="00B47F4D">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Further opportunities will be identified and pursued over 2014-2015. </w:t>
            </w:r>
          </w:p>
        </w:tc>
      </w:tr>
    </w:tbl>
    <w:p w:rsidR="00AE3E2C" w:rsidRDefault="00AE3E2C"/>
    <w:tbl>
      <w:tblPr>
        <w:tblStyle w:val="TableGrid"/>
        <w:tblW w:w="0" w:type="auto"/>
        <w:tblLook w:val="04A0" w:firstRow="1" w:lastRow="0" w:firstColumn="1" w:lastColumn="0" w:noHBand="0" w:noVBand="1"/>
      </w:tblPr>
      <w:tblGrid>
        <w:gridCol w:w="5070"/>
        <w:gridCol w:w="4961"/>
        <w:gridCol w:w="4678"/>
      </w:tblGrid>
      <w:tr w:rsidR="00AE3E2C" w:rsidTr="00AE3E2C">
        <w:tc>
          <w:tcPr>
            <w:tcW w:w="14709" w:type="dxa"/>
            <w:gridSpan w:val="3"/>
          </w:tcPr>
          <w:p w:rsidR="00AE3E2C" w:rsidRPr="00A07D4A" w:rsidRDefault="00AE3E2C" w:rsidP="000E4021">
            <w:pPr>
              <w:spacing w:before="60" w:after="60"/>
              <w:jc w:val="both"/>
              <w:rPr>
                <w:rFonts w:ascii="Times New Roman" w:hAnsi="Times New Roman" w:cs="Times New Roman"/>
                <w:b/>
                <w:sz w:val="28"/>
                <w:szCs w:val="28"/>
              </w:rPr>
            </w:pPr>
            <w:r w:rsidRPr="00AE3E2C">
              <w:rPr>
                <w:rFonts w:ascii="Times New Roman" w:hAnsi="Times New Roman" w:cs="Times New Roman"/>
                <w:b/>
                <w:sz w:val="28"/>
                <w:szCs w:val="28"/>
              </w:rPr>
              <w:t xml:space="preserve">Component </w:t>
            </w:r>
            <w:r>
              <w:rPr>
                <w:rFonts w:ascii="Times New Roman" w:hAnsi="Times New Roman" w:cs="Times New Roman"/>
                <w:b/>
                <w:sz w:val="28"/>
                <w:szCs w:val="28"/>
              </w:rPr>
              <w:t>2</w:t>
            </w:r>
            <w:r w:rsidRPr="00AE3E2C">
              <w:rPr>
                <w:rFonts w:ascii="Times New Roman" w:hAnsi="Times New Roman" w:cs="Times New Roman"/>
                <w:b/>
                <w:sz w:val="28"/>
                <w:szCs w:val="28"/>
              </w:rPr>
              <w:t xml:space="preserve"> </w:t>
            </w:r>
            <w:r w:rsidR="000E4021">
              <w:rPr>
                <w:rFonts w:ascii="Times New Roman" w:hAnsi="Times New Roman" w:cs="Times New Roman"/>
                <w:b/>
                <w:sz w:val="28"/>
                <w:szCs w:val="28"/>
              </w:rPr>
              <w:t xml:space="preserve">– </w:t>
            </w:r>
            <w:r w:rsidR="000E4021" w:rsidRPr="00A17951">
              <w:rPr>
                <w:rFonts w:ascii="Times New Roman" w:hAnsi="Times New Roman" w:cs="Times New Roman"/>
                <w:b/>
                <w:i/>
                <w:sz w:val="28"/>
                <w:szCs w:val="28"/>
              </w:rPr>
              <w:t>Professional Development of Education Personnel</w:t>
            </w:r>
            <w:r w:rsidR="00A07D4A">
              <w:rPr>
                <w:rFonts w:ascii="Times New Roman" w:hAnsi="Times New Roman" w:cs="Times New Roman"/>
                <w:b/>
                <w:i/>
                <w:sz w:val="28"/>
                <w:szCs w:val="28"/>
              </w:rPr>
              <w:t xml:space="preserve"> </w:t>
            </w:r>
            <w:r w:rsidR="00A07D4A">
              <w:rPr>
                <w:rFonts w:ascii="Times New Roman" w:hAnsi="Times New Roman" w:cs="Times New Roman"/>
                <w:b/>
                <w:sz w:val="28"/>
                <w:szCs w:val="28"/>
              </w:rPr>
              <w:t>(C2)</w:t>
            </w:r>
          </w:p>
        </w:tc>
      </w:tr>
      <w:tr w:rsidR="00AE3E2C" w:rsidTr="005619E6">
        <w:tc>
          <w:tcPr>
            <w:tcW w:w="5070"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tc>
        <w:tc>
          <w:tcPr>
            <w:tcW w:w="4961" w:type="dxa"/>
          </w:tcPr>
          <w:p w:rsidR="00AE3E2C" w:rsidRDefault="00F35A3E"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Management </w:t>
            </w:r>
            <w:r w:rsidR="00AE3E2C">
              <w:rPr>
                <w:rFonts w:ascii="Times New Roman" w:hAnsi="Times New Roman" w:cs="Times New Roman"/>
                <w:b/>
                <w:sz w:val="24"/>
                <w:szCs w:val="24"/>
              </w:rPr>
              <w:t xml:space="preserve">Response </w:t>
            </w:r>
          </w:p>
        </w:tc>
        <w:tc>
          <w:tcPr>
            <w:tcW w:w="4678"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Actions</w:t>
            </w:r>
          </w:p>
        </w:tc>
      </w:tr>
      <w:tr w:rsidR="005619E6" w:rsidTr="001C7AF7">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6</w:t>
            </w:r>
          </w:p>
          <w:p w:rsidR="00AE3E2C" w:rsidRPr="00EF51ED" w:rsidRDefault="00EF51ED" w:rsidP="003F30CC">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DFAT-MoEC should assign sufficient resources to </w:t>
            </w:r>
            <w:r w:rsidR="003F30CC">
              <w:rPr>
                <w:rFonts w:ascii="Times New Roman" w:hAnsi="Times New Roman" w:cs="Times New Roman"/>
                <w:sz w:val="24"/>
                <w:szCs w:val="24"/>
              </w:rPr>
              <w:t>the Education Personnel Professional Development</w:t>
            </w:r>
            <w:r w:rsidR="003F30CC" w:rsidRPr="00EF51ED">
              <w:rPr>
                <w:rFonts w:ascii="Times New Roman" w:hAnsi="Times New Roman" w:cs="Times New Roman"/>
                <w:sz w:val="24"/>
                <w:szCs w:val="24"/>
              </w:rPr>
              <w:t xml:space="preserve"> </w:t>
            </w:r>
            <w:r w:rsidR="003F30CC">
              <w:rPr>
                <w:rFonts w:ascii="Times New Roman" w:hAnsi="Times New Roman" w:cs="Times New Roman"/>
                <w:sz w:val="24"/>
                <w:szCs w:val="24"/>
              </w:rPr>
              <w:t xml:space="preserve">program (ProDEP) </w:t>
            </w:r>
            <w:r w:rsidRPr="00EF51ED">
              <w:rPr>
                <w:rFonts w:ascii="Times New Roman" w:hAnsi="Times New Roman" w:cs="Times New Roman"/>
                <w:sz w:val="24"/>
                <w:szCs w:val="24"/>
              </w:rPr>
              <w:t>so as to ensure timely delivery of results</w:t>
            </w:r>
            <w:r w:rsidR="000F66FC">
              <w:rPr>
                <w:rFonts w:ascii="Times New Roman" w:hAnsi="Times New Roman" w:cs="Times New Roman"/>
                <w:sz w:val="24"/>
                <w:szCs w:val="24"/>
              </w:rPr>
              <w:t xml:space="preserve"> by June 2016</w:t>
            </w:r>
            <w:r w:rsidRPr="00EF51ED">
              <w:rPr>
                <w:rFonts w:ascii="Times New Roman" w:hAnsi="Times New Roman" w:cs="Times New Roman"/>
                <w:sz w:val="24"/>
                <w:szCs w:val="24"/>
              </w:rPr>
              <w:t xml:space="preserve">, or should readjust the </w:t>
            </w:r>
            <w:r w:rsidR="000F66FC">
              <w:rPr>
                <w:rFonts w:ascii="Times New Roman" w:hAnsi="Times New Roman" w:cs="Times New Roman"/>
                <w:sz w:val="24"/>
                <w:szCs w:val="24"/>
              </w:rPr>
              <w:t>number of target beneficiaries</w:t>
            </w:r>
            <w:r w:rsidRPr="00EF51ED">
              <w:rPr>
                <w:rFonts w:ascii="Times New Roman" w:hAnsi="Times New Roman" w:cs="Times New Roman"/>
                <w:sz w:val="24"/>
                <w:szCs w:val="24"/>
              </w:rPr>
              <w:t xml:space="preserve"> and</w:t>
            </w:r>
            <w:r w:rsidR="000F66FC">
              <w:rPr>
                <w:rFonts w:ascii="Times New Roman" w:hAnsi="Times New Roman" w:cs="Times New Roman"/>
                <w:sz w:val="24"/>
                <w:szCs w:val="24"/>
              </w:rPr>
              <w:t>/or</w:t>
            </w:r>
            <w:r w:rsidRPr="00EF51ED">
              <w:rPr>
                <w:rFonts w:ascii="Times New Roman" w:hAnsi="Times New Roman" w:cs="Times New Roman"/>
                <w:sz w:val="24"/>
                <w:szCs w:val="24"/>
              </w:rPr>
              <w:t xml:space="preserve"> implementation</w:t>
            </w:r>
            <w:r>
              <w:rPr>
                <w:rFonts w:ascii="Times New Roman" w:hAnsi="Times New Roman" w:cs="Times New Roman"/>
                <w:sz w:val="24"/>
                <w:szCs w:val="24"/>
              </w:rPr>
              <w:t xml:space="preserve"> strategy accordingly</w:t>
            </w:r>
          </w:p>
        </w:tc>
        <w:tc>
          <w:tcPr>
            <w:tcW w:w="4961" w:type="dxa"/>
            <w:shd w:val="clear" w:color="auto" w:fill="CDFFCD"/>
          </w:tcPr>
          <w:p w:rsidR="005619E6" w:rsidRDefault="00A17951"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5619E6" w:rsidRPr="008057D7" w:rsidRDefault="00F01E4E" w:rsidP="00C255B8">
            <w:pPr>
              <w:spacing w:before="60" w:after="60"/>
              <w:jc w:val="both"/>
              <w:rPr>
                <w:rFonts w:ascii="Times New Roman" w:hAnsi="Times New Roman" w:cs="Times New Roman"/>
                <w:sz w:val="24"/>
                <w:szCs w:val="24"/>
              </w:rPr>
            </w:pPr>
            <w:r w:rsidRPr="00F01E4E">
              <w:rPr>
                <w:rFonts w:ascii="Times New Roman" w:hAnsi="Times New Roman" w:cs="Times New Roman"/>
                <w:sz w:val="24"/>
                <w:szCs w:val="24"/>
              </w:rPr>
              <w:t xml:space="preserve">As implementation and planning has progressed, </w:t>
            </w:r>
            <w:r w:rsidR="00B47F4D" w:rsidRPr="00F01E4E">
              <w:rPr>
                <w:rFonts w:ascii="Times New Roman" w:hAnsi="Times New Roman" w:cs="Times New Roman"/>
                <w:sz w:val="24"/>
                <w:szCs w:val="24"/>
              </w:rPr>
              <w:t xml:space="preserve">DFAT and MoEC have a better understanding of resources available to ProDEP (from both DFAT and MoEC). </w:t>
            </w:r>
            <w:r w:rsidR="000F66FC" w:rsidRPr="00F01E4E">
              <w:rPr>
                <w:rFonts w:ascii="Times New Roman" w:hAnsi="Times New Roman" w:cs="Times New Roman"/>
                <w:sz w:val="24"/>
                <w:szCs w:val="24"/>
              </w:rPr>
              <w:t xml:space="preserve">DFAT </w:t>
            </w:r>
            <w:r w:rsidR="00340741" w:rsidRPr="00F01E4E">
              <w:rPr>
                <w:rFonts w:ascii="Times New Roman" w:hAnsi="Times New Roman" w:cs="Times New Roman"/>
                <w:sz w:val="24"/>
                <w:szCs w:val="24"/>
              </w:rPr>
              <w:t>and</w:t>
            </w:r>
            <w:r w:rsidR="000F66FC" w:rsidRPr="00F01E4E">
              <w:rPr>
                <w:rFonts w:ascii="Times New Roman" w:hAnsi="Times New Roman" w:cs="Times New Roman"/>
                <w:sz w:val="24"/>
                <w:szCs w:val="24"/>
              </w:rPr>
              <w:t xml:space="preserve"> MoEC </w:t>
            </w:r>
            <w:r w:rsidR="00340741" w:rsidRPr="00F01E4E">
              <w:rPr>
                <w:rFonts w:ascii="Times New Roman" w:hAnsi="Times New Roman" w:cs="Times New Roman"/>
                <w:sz w:val="24"/>
                <w:szCs w:val="24"/>
              </w:rPr>
              <w:t xml:space="preserve">have revised </w:t>
            </w:r>
            <w:r w:rsidR="000F66FC" w:rsidRPr="00F01E4E">
              <w:rPr>
                <w:rFonts w:ascii="Times New Roman" w:hAnsi="Times New Roman" w:cs="Times New Roman"/>
                <w:sz w:val="24"/>
                <w:szCs w:val="24"/>
              </w:rPr>
              <w:t>the timefr</w:t>
            </w:r>
            <w:r w:rsidR="00340741" w:rsidRPr="00F01E4E">
              <w:rPr>
                <w:rFonts w:ascii="Times New Roman" w:hAnsi="Times New Roman" w:cs="Times New Roman"/>
                <w:sz w:val="24"/>
                <w:szCs w:val="24"/>
              </w:rPr>
              <w:t xml:space="preserve">ame of grant implementation and </w:t>
            </w:r>
            <w:r w:rsidR="00C255B8">
              <w:rPr>
                <w:rFonts w:ascii="Times New Roman" w:hAnsi="Times New Roman" w:cs="Times New Roman"/>
                <w:sz w:val="24"/>
                <w:szCs w:val="24"/>
              </w:rPr>
              <w:t>propose to</w:t>
            </w:r>
            <w:r w:rsidR="00340741" w:rsidRPr="00F01E4E">
              <w:rPr>
                <w:rFonts w:ascii="Times New Roman" w:hAnsi="Times New Roman" w:cs="Times New Roman"/>
                <w:sz w:val="24"/>
                <w:szCs w:val="24"/>
              </w:rPr>
              <w:t xml:space="preserve"> extend ProDEP to 2017</w:t>
            </w:r>
            <w:r w:rsidRPr="00F01E4E">
              <w:rPr>
                <w:rFonts w:ascii="Times New Roman" w:hAnsi="Times New Roman" w:cs="Times New Roman"/>
                <w:sz w:val="24"/>
                <w:szCs w:val="24"/>
              </w:rPr>
              <w:t xml:space="preserve"> in order to maintain quality standards while meeting MoEC expectations for coverage</w:t>
            </w:r>
            <w:r w:rsidR="00340741" w:rsidRPr="00F01E4E">
              <w:rPr>
                <w:rFonts w:ascii="Times New Roman" w:hAnsi="Times New Roman" w:cs="Times New Roman"/>
                <w:sz w:val="24"/>
                <w:szCs w:val="24"/>
              </w:rPr>
              <w:t xml:space="preserve">.  </w:t>
            </w:r>
          </w:p>
        </w:tc>
      </w:tr>
      <w:tr w:rsidR="0078178D" w:rsidTr="00680F36">
        <w:tc>
          <w:tcPr>
            <w:tcW w:w="5070" w:type="dxa"/>
            <w:shd w:val="clear" w:color="auto" w:fill="CDFFCD"/>
          </w:tcPr>
          <w:p w:rsidR="0078178D" w:rsidRPr="00EF51ED" w:rsidRDefault="0078178D" w:rsidP="00680F36">
            <w:pPr>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7</w:t>
            </w:r>
          </w:p>
          <w:p w:rsidR="0078178D" w:rsidRPr="00EF51ED" w:rsidRDefault="0078178D" w:rsidP="00680F36">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MoEC should lobby and advocate for the </w:t>
            </w:r>
            <w:r>
              <w:rPr>
                <w:rFonts w:ascii="Times New Roman" w:hAnsi="Times New Roman" w:cs="Times New Roman"/>
                <w:sz w:val="24"/>
                <w:szCs w:val="24"/>
              </w:rPr>
              <w:t>professional development</w:t>
            </w:r>
            <w:r w:rsidRPr="00EF51ED">
              <w:rPr>
                <w:rFonts w:ascii="Times New Roman" w:hAnsi="Times New Roman" w:cs="Times New Roman"/>
                <w:sz w:val="24"/>
                <w:szCs w:val="24"/>
              </w:rPr>
              <w:t xml:space="preserve"> system to be included in strategic documents (e.g. the RPJMN and the upcoming Renstra), thereby enhancing political commitment to its implementation</w:t>
            </w:r>
          </w:p>
        </w:tc>
        <w:tc>
          <w:tcPr>
            <w:tcW w:w="4961" w:type="dxa"/>
            <w:shd w:val="clear" w:color="auto" w:fill="CDFFCD"/>
          </w:tcPr>
          <w:p w:rsidR="0078178D" w:rsidRDefault="0078178D" w:rsidP="00680F36">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78178D" w:rsidRPr="00F01E4E" w:rsidRDefault="0078178D" w:rsidP="0078178D">
            <w:pPr>
              <w:spacing w:before="60" w:after="60"/>
              <w:jc w:val="both"/>
              <w:rPr>
                <w:rFonts w:ascii="Times New Roman" w:hAnsi="Times New Roman" w:cs="Times New Roman"/>
                <w:sz w:val="24"/>
                <w:szCs w:val="24"/>
              </w:rPr>
            </w:pPr>
            <w:r w:rsidRPr="00F01E4E">
              <w:rPr>
                <w:rFonts w:ascii="Times New Roman" w:hAnsi="Times New Roman" w:cs="Times New Roman"/>
                <w:sz w:val="24"/>
                <w:szCs w:val="24"/>
              </w:rPr>
              <w:t xml:space="preserve">DFAT </w:t>
            </w:r>
            <w:r w:rsidR="00340741" w:rsidRPr="00F01E4E">
              <w:rPr>
                <w:rFonts w:ascii="Times New Roman" w:hAnsi="Times New Roman" w:cs="Times New Roman"/>
                <w:sz w:val="24"/>
                <w:szCs w:val="24"/>
              </w:rPr>
              <w:t>is supporting</w:t>
            </w:r>
            <w:r w:rsidRPr="00F01E4E">
              <w:rPr>
                <w:rFonts w:ascii="Times New Roman" w:hAnsi="Times New Roman" w:cs="Times New Roman"/>
                <w:sz w:val="24"/>
                <w:szCs w:val="24"/>
              </w:rPr>
              <w:t xml:space="preserve"> MoEC to </w:t>
            </w:r>
            <w:r w:rsidR="00340741" w:rsidRPr="00F01E4E">
              <w:rPr>
                <w:rFonts w:ascii="Times New Roman" w:hAnsi="Times New Roman" w:cs="Times New Roman"/>
                <w:sz w:val="24"/>
                <w:szCs w:val="24"/>
              </w:rPr>
              <w:t>ensure that ProDEP is incorporated into strategic planning</w:t>
            </w:r>
            <w:r w:rsidRPr="00F01E4E">
              <w:rPr>
                <w:rFonts w:ascii="Times New Roman" w:hAnsi="Times New Roman" w:cs="Times New Roman"/>
                <w:sz w:val="24"/>
                <w:szCs w:val="24"/>
              </w:rPr>
              <w:t>.</w:t>
            </w:r>
            <w:r w:rsidR="00340741" w:rsidRPr="00F01E4E">
              <w:rPr>
                <w:rFonts w:ascii="Times New Roman" w:hAnsi="Times New Roman" w:cs="Times New Roman"/>
                <w:sz w:val="24"/>
                <w:szCs w:val="24"/>
              </w:rPr>
              <w:t xml:space="preserve"> The next strategic plan will be finalised in 2015.</w:t>
            </w:r>
          </w:p>
          <w:p w:rsidR="0078178D" w:rsidRPr="008057D7" w:rsidRDefault="0078178D" w:rsidP="00F01E4E">
            <w:pPr>
              <w:spacing w:before="60" w:after="60"/>
              <w:jc w:val="both"/>
              <w:rPr>
                <w:rFonts w:ascii="Times New Roman" w:hAnsi="Times New Roman" w:cs="Times New Roman"/>
                <w:sz w:val="24"/>
                <w:szCs w:val="24"/>
              </w:rPr>
            </w:pPr>
            <w:r w:rsidRPr="00F01E4E">
              <w:rPr>
                <w:rFonts w:ascii="Times New Roman" w:hAnsi="Times New Roman" w:cs="Times New Roman"/>
                <w:sz w:val="24"/>
                <w:szCs w:val="24"/>
              </w:rPr>
              <w:t xml:space="preserve">DFAT </w:t>
            </w:r>
            <w:r w:rsidR="00340741" w:rsidRPr="00F01E4E">
              <w:rPr>
                <w:rFonts w:ascii="Times New Roman" w:hAnsi="Times New Roman" w:cs="Times New Roman"/>
                <w:sz w:val="24"/>
                <w:szCs w:val="24"/>
              </w:rPr>
              <w:t>and its</w:t>
            </w:r>
            <w:r w:rsidRPr="00F01E4E">
              <w:rPr>
                <w:rFonts w:ascii="Times New Roman" w:hAnsi="Times New Roman" w:cs="Times New Roman"/>
                <w:sz w:val="24"/>
                <w:szCs w:val="24"/>
              </w:rPr>
              <w:t xml:space="preserve"> implementing partners </w:t>
            </w:r>
            <w:r w:rsidR="00340741" w:rsidRPr="00F01E4E">
              <w:rPr>
                <w:rFonts w:ascii="Times New Roman" w:hAnsi="Times New Roman" w:cs="Times New Roman"/>
                <w:sz w:val="24"/>
                <w:szCs w:val="24"/>
              </w:rPr>
              <w:t>are developing a</w:t>
            </w:r>
            <w:r w:rsidRPr="00F01E4E">
              <w:rPr>
                <w:rFonts w:ascii="Times New Roman" w:hAnsi="Times New Roman" w:cs="Times New Roman"/>
                <w:sz w:val="24"/>
                <w:szCs w:val="24"/>
              </w:rPr>
              <w:t xml:space="preserve"> sustainability strategy </w:t>
            </w:r>
            <w:r w:rsidR="00340741" w:rsidRPr="00F01E4E">
              <w:rPr>
                <w:rFonts w:ascii="Times New Roman" w:hAnsi="Times New Roman" w:cs="Times New Roman"/>
                <w:sz w:val="24"/>
                <w:szCs w:val="24"/>
              </w:rPr>
              <w:t>for ProDEP, and this will be discussed at technical oversight meetings in late 2014 and early 2015.</w:t>
            </w:r>
            <w:r w:rsidRPr="00F01E4E">
              <w:rPr>
                <w:rFonts w:ascii="Times New Roman" w:hAnsi="Times New Roman" w:cs="Times New Roman"/>
                <w:sz w:val="24"/>
                <w:szCs w:val="24"/>
              </w:rPr>
              <w:t xml:space="preserve"> The sustainability strategy will be </w:t>
            </w:r>
            <w:r w:rsidR="00043CE0" w:rsidRPr="00F01E4E">
              <w:rPr>
                <w:rFonts w:ascii="Times New Roman" w:hAnsi="Times New Roman" w:cs="Times New Roman"/>
                <w:sz w:val="24"/>
                <w:szCs w:val="24"/>
              </w:rPr>
              <w:t xml:space="preserve">finalised in early 2015, </w:t>
            </w:r>
            <w:r w:rsidR="00F01E4E">
              <w:rPr>
                <w:rFonts w:ascii="Times New Roman" w:hAnsi="Times New Roman" w:cs="Times New Roman"/>
                <w:sz w:val="24"/>
                <w:szCs w:val="24"/>
              </w:rPr>
              <w:t>using</w:t>
            </w:r>
            <w:r w:rsidR="00043CE0" w:rsidRPr="00F01E4E">
              <w:rPr>
                <w:rFonts w:ascii="Times New Roman" w:hAnsi="Times New Roman" w:cs="Times New Roman"/>
                <w:sz w:val="24"/>
                <w:szCs w:val="24"/>
              </w:rPr>
              <w:t xml:space="preserve"> evidence </w:t>
            </w:r>
            <w:r w:rsidR="00F01E4E">
              <w:rPr>
                <w:rFonts w:ascii="Times New Roman" w:hAnsi="Times New Roman" w:cs="Times New Roman"/>
                <w:sz w:val="24"/>
                <w:szCs w:val="24"/>
              </w:rPr>
              <w:t>from implementation to determine the preferred</w:t>
            </w:r>
            <w:r w:rsidR="00043CE0" w:rsidRPr="00F01E4E">
              <w:rPr>
                <w:rFonts w:ascii="Times New Roman" w:hAnsi="Times New Roman" w:cs="Times New Roman"/>
                <w:sz w:val="24"/>
                <w:szCs w:val="24"/>
              </w:rPr>
              <w:t xml:space="preserve"> model</w:t>
            </w:r>
            <w:r w:rsidR="00F01E4E">
              <w:rPr>
                <w:rFonts w:ascii="Times New Roman" w:hAnsi="Times New Roman" w:cs="Times New Roman"/>
                <w:sz w:val="24"/>
                <w:szCs w:val="24"/>
              </w:rPr>
              <w:t>(s) for delivery</w:t>
            </w:r>
            <w:r w:rsidR="00043CE0" w:rsidRPr="00F01E4E">
              <w:rPr>
                <w:rFonts w:ascii="Times New Roman" w:hAnsi="Times New Roman" w:cs="Times New Roman"/>
                <w:sz w:val="24"/>
                <w:szCs w:val="24"/>
              </w:rPr>
              <w:t>.</w:t>
            </w:r>
            <w:r w:rsidR="00340741" w:rsidRPr="00F01E4E">
              <w:rPr>
                <w:rFonts w:ascii="Times New Roman" w:hAnsi="Times New Roman" w:cs="Times New Roman"/>
                <w:sz w:val="24"/>
                <w:szCs w:val="24"/>
              </w:rPr>
              <w:t xml:space="preserve"> </w:t>
            </w:r>
          </w:p>
        </w:tc>
      </w:tr>
      <w:tr w:rsidR="005619E6" w:rsidTr="001C7AF7">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8</w:t>
            </w:r>
          </w:p>
          <w:p w:rsidR="00AE3E2C" w:rsidRPr="00EF51ED" w:rsidRDefault="00EF51ED" w:rsidP="00D23516">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Institutional Partners must better understand the financial capacity and willingness of all government levels to fund </w:t>
            </w:r>
            <w:r w:rsidR="00D23516">
              <w:rPr>
                <w:rFonts w:ascii="Times New Roman" w:hAnsi="Times New Roman" w:cs="Times New Roman"/>
                <w:sz w:val="24"/>
                <w:szCs w:val="24"/>
              </w:rPr>
              <w:t>professional development</w:t>
            </w:r>
            <w:r w:rsidR="00D23516" w:rsidRPr="00EF51ED">
              <w:rPr>
                <w:rFonts w:ascii="Times New Roman" w:hAnsi="Times New Roman" w:cs="Times New Roman"/>
                <w:sz w:val="24"/>
                <w:szCs w:val="24"/>
              </w:rPr>
              <w:t xml:space="preserve"> </w:t>
            </w:r>
            <w:r w:rsidRPr="00EF51ED">
              <w:rPr>
                <w:rFonts w:ascii="Times New Roman" w:hAnsi="Times New Roman" w:cs="Times New Roman"/>
                <w:sz w:val="24"/>
                <w:szCs w:val="24"/>
              </w:rPr>
              <w:t>services, and develop a workable sustainability strategy</w:t>
            </w:r>
          </w:p>
        </w:tc>
        <w:tc>
          <w:tcPr>
            <w:tcW w:w="4961" w:type="dxa"/>
            <w:shd w:val="clear" w:color="auto" w:fill="CDFFCD"/>
          </w:tcPr>
          <w:p w:rsidR="005619E6" w:rsidRDefault="00A17951"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364205" w:rsidRPr="00F01E4E" w:rsidRDefault="00340741" w:rsidP="00364205">
            <w:pPr>
              <w:spacing w:before="60" w:after="60"/>
              <w:jc w:val="both"/>
              <w:rPr>
                <w:rFonts w:ascii="Times New Roman" w:hAnsi="Times New Roman" w:cs="Times New Roman"/>
                <w:sz w:val="24"/>
                <w:szCs w:val="24"/>
              </w:rPr>
            </w:pPr>
            <w:r w:rsidRPr="00F01E4E">
              <w:rPr>
                <w:rFonts w:ascii="Times New Roman" w:hAnsi="Times New Roman" w:cs="Times New Roman"/>
                <w:sz w:val="24"/>
                <w:szCs w:val="24"/>
              </w:rPr>
              <w:t>The sustainability strategy for this component will identify the regulatory frameworks and possible sources of fun</w:t>
            </w:r>
            <w:r w:rsidR="00F01E4E" w:rsidRPr="00F01E4E">
              <w:rPr>
                <w:rFonts w:ascii="Times New Roman" w:hAnsi="Times New Roman" w:cs="Times New Roman"/>
                <w:sz w:val="24"/>
                <w:szCs w:val="24"/>
              </w:rPr>
              <w:t xml:space="preserve">ding that will enable ProDEP </w:t>
            </w:r>
            <w:r w:rsidR="004C0713" w:rsidRPr="00F01E4E">
              <w:rPr>
                <w:rFonts w:ascii="Times New Roman" w:hAnsi="Times New Roman" w:cs="Times New Roman"/>
                <w:sz w:val="24"/>
                <w:szCs w:val="24"/>
              </w:rPr>
              <w:t xml:space="preserve">to be implemented by </w:t>
            </w:r>
            <w:r w:rsidRPr="00F01E4E">
              <w:rPr>
                <w:rFonts w:ascii="Times New Roman" w:hAnsi="Times New Roman" w:cs="Times New Roman"/>
                <w:sz w:val="24"/>
                <w:szCs w:val="24"/>
              </w:rPr>
              <w:t xml:space="preserve">MoEC. </w:t>
            </w:r>
            <w:r w:rsidR="00364205" w:rsidRPr="00F01E4E">
              <w:rPr>
                <w:rFonts w:ascii="Times New Roman" w:hAnsi="Times New Roman" w:cs="Times New Roman"/>
                <w:sz w:val="24"/>
                <w:szCs w:val="24"/>
              </w:rPr>
              <w:t>Evaluation of ProDEP implementation will generate impact information that MoEC can use to demonstrate to districts the returns from investing in this program.</w:t>
            </w:r>
          </w:p>
          <w:p w:rsidR="00364205" w:rsidRPr="00F01E4E" w:rsidRDefault="00364205" w:rsidP="00364205">
            <w:pPr>
              <w:spacing w:before="60" w:after="60"/>
              <w:jc w:val="both"/>
              <w:rPr>
                <w:rFonts w:ascii="Times New Roman" w:hAnsi="Times New Roman" w:cs="Times New Roman"/>
                <w:sz w:val="24"/>
                <w:szCs w:val="24"/>
              </w:rPr>
            </w:pPr>
            <w:r w:rsidRPr="00F01E4E">
              <w:rPr>
                <w:rFonts w:ascii="Times New Roman" w:hAnsi="Times New Roman" w:cs="Times New Roman"/>
                <w:sz w:val="24"/>
                <w:szCs w:val="24"/>
              </w:rPr>
              <w:t xml:space="preserve">POM </w:t>
            </w:r>
            <w:r w:rsidR="00F01E4E" w:rsidRPr="00F01E4E">
              <w:rPr>
                <w:rFonts w:ascii="Times New Roman" w:hAnsi="Times New Roman" w:cs="Times New Roman"/>
                <w:sz w:val="24"/>
                <w:szCs w:val="24"/>
              </w:rPr>
              <w:t>will consider</w:t>
            </w:r>
            <w:r w:rsidRPr="00F01E4E">
              <w:rPr>
                <w:rFonts w:ascii="Times New Roman" w:hAnsi="Times New Roman" w:cs="Times New Roman"/>
                <w:sz w:val="24"/>
                <w:szCs w:val="24"/>
              </w:rPr>
              <w:t xml:space="preserve"> providing a breakdown of district education financing (i.e. recurrent vs discretionary funds) in the 2013 Annual Sector Finance Report. </w:t>
            </w:r>
            <w:r w:rsidR="00F01E4E" w:rsidRPr="00F01E4E">
              <w:rPr>
                <w:rFonts w:ascii="Times New Roman" w:hAnsi="Times New Roman" w:cs="Times New Roman"/>
                <w:sz w:val="24"/>
                <w:szCs w:val="24"/>
              </w:rPr>
              <w:t>If the data is available to undertake this analysis,</w:t>
            </w:r>
            <w:r w:rsidRPr="00F01E4E">
              <w:rPr>
                <w:rFonts w:ascii="Times New Roman" w:hAnsi="Times New Roman" w:cs="Times New Roman"/>
                <w:sz w:val="24"/>
                <w:szCs w:val="24"/>
              </w:rPr>
              <w:t xml:space="preserve"> DFAT and MoEC </w:t>
            </w:r>
            <w:r w:rsidR="00F01E4E" w:rsidRPr="00F01E4E">
              <w:rPr>
                <w:rFonts w:ascii="Times New Roman" w:hAnsi="Times New Roman" w:cs="Times New Roman"/>
                <w:sz w:val="24"/>
                <w:szCs w:val="24"/>
              </w:rPr>
              <w:t>will</w:t>
            </w:r>
            <w:r w:rsidRPr="00F01E4E">
              <w:rPr>
                <w:rFonts w:ascii="Times New Roman" w:hAnsi="Times New Roman" w:cs="Times New Roman"/>
                <w:sz w:val="24"/>
                <w:szCs w:val="24"/>
              </w:rPr>
              <w:t xml:space="preserve"> use this data to better understand the financial capacity of district governments for implementing ProDEP.</w:t>
            </w:r>
          </w:p>
          <w:p w:rsidR="005619E6" w:rsidRPr="008057D7" w:rsidRDefault="00D94A74" w:rsidP="00364205">
            <w:pPr>
              <w:spacing w:before="60" w:after="60"/>
              <w:jc w:val="both"/>
              <w:rPr>
                <w:rFonts w:ascii="Times New Roman" w:hAnsi="Times New Roman" w:cs="Times New Roman"/>
                <w:sz w:val="24"/>
                <w:szCs w:val="24"/>
              </w:rPr>
            </w:pPr>
            <w:r w:rsidRPr="00F01E4E">
              <w:rPr>
                <w:rFonts w:ascii="Times New Roman" w:hAnsi="Times New Roman" w:cs="Times New Roman"/>
                <w:sz w:val="24"/>
                <w:szCs w:val="24"/>
              </w:rPr>
              <w:t>MoEC and DFAT are piloting online learning to reach large numbers of principals at an affordable cost. Evidence generated from the pilot will inform ongoing implementation of ProDEP.</w:t>
            </w:r>
            <w:r w:rsidR="00340741" w:rsidRPr="00043CE0">
              <w:rPr>
                <w:rFonts w:ascii="Times New Roman" w:hAnsi="Times New Roman" w:cs="Times New Roman"/>
                <w:color w:val="FF0000"/>
                <w:sz w:val="24"/>
                <w:szCs w:val="24"/>
              </w:rPr>
              <w:t xml:space="preserve"> </w:t>
            </w:r>
          </w:p>
        </w:tc>
      </w:tr>
    </w:tbl>
    <w:p w:rsidR="00974DDA" w:rsidRDefault="00974DDA"/>
    <w:tbl>
      <w:tblPr>
        <w:tblStyle w:val="TableGrid"/>
        <w:tblW w:w="0" w:type="auto"/>
        <w:tblLook w:val="04A0" w:firstRow="1" w:lastRow="0" w:firstColumn="1" w:lastColumn="0" w:noHBand="0" w:noVBand="1"/>
      </w:tblPr>
      <w:tblGrid>
        <w:gridCol w:w="5070"/>
        <w:gridCol w:w="4961"/>
        <w:gridCol w:w="4678"/>
      </w:tblGrid>
      <w:tr w:rsidR="00AE3E2C" w:rsidTr="00AE3E2C">
        <w:tc>
          <w:tcPr>
            <w:tcW w:w="14709" w:type="dxa"/>
            <w:gridSpan w:val="3"/>
          </w:tcPr>
          <w:p w:rsidR="00AE3E2C" w:rsidRPr="00AE3E2C" w:rsidRDefault="00AE3E2C" w:rsidP="00A07D4A">
            <w:pPr>
              <w:spacing w:before="60" w:after="60"/>
              <w:jc w:val="both"/>
              <w:rPr>
                <w:rFonts w:ascii="Times New Roman" w:hAnsi="Times New Roman" w:cs="Times New Roman"/>
                <w:b/>
                <w:sz w:val="28"/>
                <w:szCs w:val="28"/>
              </w:rPr>
            </w:pPr>
            <w:r w:rsidRPr="00AE3E2C">
              <w:rPr>
                <w:rFonts w:ascii="Times New Roman" w:hAnsi="Times New Roman" w:cs="Times New Roman"/>
                <w:b/>
                <w:sz w:val="28"/>
                <w:szCs w:val="28"/>
              </w:rPr>
              <w:t xml:space="preserve">Component </w:t>
            </w:r>
            <w:r>
              <w:rPr>
                <w:rFonts w:ascii="Times New Roman" w:hAnsi="Times New Roman" w:cs="Times New Roman"/>
                <w:b/>
                <w:sz w:val="28"/>
                <w:szCs w:val="28"/>
              </w:rPr>
              <w:t>3</w:t>
            </w:r>
            <w:r w:rsidRPr="00AE3E2C">
              <w:rPr>
                <w:rFonts w:ascii="Times New Roman" w:hAnsi="Times New Roman" w:cs="Times New Roman"/>
                <w:b/>
                <w:sz w:val="28"/>
                <w:szCs w:val="28"/>
              </w:rPr>
              <w:t xml:space="preserve"> </w:t>
            </w:r>
            <w:r w:rsidR="000E4021">
              <w:rPr>
                <w:rFonts w:ascii="Times New Roman" w:hAnsi="Times New Roman" w:cs="Times New Roman"/>
                <w:b/>
                <w:sz w:val="28"/>
                <w:szCs w:val="28"/>
              </w:rPr>
              <w:t xml:space="preserve">– </w:t>
            </w:r>
            <w:r w:rsidR="00A17951">
              <w:rPr>
                <w:rFonts w:ascii="Times New Roman" w:hAnsi="Times New Roman" w:cs="Times New Roman"/>
                <w:b/>
                <w:i/>
                <w:sz w:val="28"/>
                <w:szCs w:val="28"/>
              </w:rPr>
              <w:t>Support for m</w:t>
            </w:r>
            <w:r w:rsidR="000E4021" w:rsidRPr="00A17951">
              <w:rPr>
                <w:rFonts w:ascii="Times New Roman" w:hAnsi="Times New Roman" w:cs="Times New Roman"/>
                <w:b/>
                <w:i/>
                <w:sz w:val="28"/>
                <w:szCs w:val="28"/>
              </w:rPr>
              <w:t>adrasah Accreditation</w:t>
            </w:r>
            <w:r w:rsidR="00A07D4A">
              <w:rPr>
                <w:rFonts w:ascii="Times New Roman" w:hAnsi="Times New Roman" w:cs="Times New Roman"/>
                <w:b/>
                <w:i/>
                <w:sz w:val="28"/>
                <w:szCs w:val="28"/>
              </w:rPr>
              <w:t xml:space="preserve"> </w:t>
            </w:r>
            <w:r w:rsidRPr="00AE3E2C">
              <w:rPr>
                <w:rFonts w:ascii="Times New Roman" w:hAnsi="Times New Roman" w:cs="Times New Roman"/>
                <w:b/>
                <w:sz w:val="28"/>
                <w:szCs w:val="28"/>
              </w:rPr>
              <w:t>(C</w:t>
            </w:r>
            <w:r>
              <w:rPr>
                <w:rFonts w:ascii="Times New Roman" w:hAnsi="Times New Roman" w:cs="Times New Roman"/>
                <w:b/>
                <w:sz w:val="28"/>
                <w:szCs w:val="28"/>
              </w:rPr>
              <w:t>3</w:t>
            </w:r>
            <w:r w:rsidRPr="00AE3E2C">
              <w:rPr>
                <w:rFonts w:ascii="Times New Roman" w:hAnsi="Times New Roman" w:cs="Times New Roman"/>
                <w:b/>
                <w:sz w:val="28"/>
                <w:szCs w:val="28"/>
              </w:rPr>
              <w:t xml:space="preserve">) </w:t>
            </w:r>
            <w:r w:rsidR="00A07D4A">
              <w:rPr>
                <w:rFonts w:ascii="Times New Roman" w:hAnsi="Times New Roman" w:cs="Times New Roman"/>
                <w:b/>
                <w:sz w:val="28"/>
                <w:szCs w:val="28"/>
              </w:rPr>
              <w:t xml:space="preserve"> </w:t>
            </w:r>
          </w:p>
        </w:tc>
      </w:tr>
      <w:tr w:rsidR="00AE3E2C" w:rsidTr="005619E6">
        <w:tc>
          <w:tcPr>
            <w:tcW w:w="5070"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tc>
        <w:tc>
          <w:tcPr>
            <w:tcW w:w="4961" w:type="dxa"/>
          </w:tcPr>
          <w:p w:rsidR="00AE3E2C" w:rsidRDefault="00F35A3E"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Management </w:t>
            </w:r>
            <w:r w:rsidR="00AE3E2C">
              <w:rPr>
                <w:rFonts w:ascii="Times New Roman" w:hAnsi="Times New Roman" w:cs="Times New Roman"/>
                <w:b/>
                <w:sz w:val="24"/>
                <w:szCs w:val="24"/>
              </w:rPr>
              <w:t xml:space="preserve">Response </w:t>
            </w:r>
          </w:p>
        </w:tc>
        <w:tc>
          <w:tcPr>
            <w:tcW w:w="4678"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Actions</w:t>
            </w:r>
          </w:p>
        </w:tc>
      </w:tr>
      <w:tr w:rsidR="005619E6" w:rsidTr="00580846">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9</w:t>
            </w:r>
          </w:p>
          <w:p w:rsidR="00AE3E2C" w:rsidRPr="00EF51ED" w:rsidRDefault="00EF51ED" w:rsidP="00EF51ED">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DFAT and MoRA should define and agree upon the nature and ext</w:t>
            </w:r>
            <w:r>
              <w:rPr>
                <w:rFonts w:ascii="Times New Roman" w:hAnsi="Times New Roman" w:cs="Times New Roman"/>
                <w:sz w:val="24"/>
                <w:szCs w:val="24"/>
              </w:rPr>
              <w:t>ent of systemic change expected</w:t>
            </w:r>
          </w:p>
        </w:tc>
        <w:tc>
          <w:tcPr>
            <w:tcW w:w="4961" w:type="dxa"/>
            <w:shd w:val="clear" w:color="auto" w:fill="CDFFCD"/>
          </w:tcPr>
          <w:p w:rsidR="005619E6" w:rsidRDefault="00A17951" w:rsidP="00A17951">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5619E6" w:rsidRPr="00580846" w:rsidRDefault="00E36C29" w:rsidP="0062759C">
            <w:pPr>
              <w:spacing w:before="60" w:after="60"/>
              <w:jc w:val="both"/>
              <w:rPr>
                <w:rFonts w:ascii="Times New Roman" w:hAnsi="Times New Roman" w:cs="Times New Roman"/>
                <w:sz w:val="24"/>
                <w:szCs w:val="24"/>
              </w:rPr>
            </w:pPr>
            <w:r w:rsidRPr="0062759C">
              <w:rPr>
                <w:rFonts w:ascii="Times New Roman" w:hAnsi="Times New Roman" w:cs="Times New Roman"/>
                <w:sz w:val="24"/>
                <w:szCs w:val="24"/>
              </w:rPr>
              <w:t xml:space="preserve">This component is testing and developing a model for improving the quality of Madrasah education and the Madrasah system. Over 2014 and 2015, DFAT </w:t>
            </w:r>
            <w:r w:rsidR="0062759C">
              <w:rPr>
                <w:rFonts w:ascii="Times New Roman" w:hAnsi="Times New Roman" w:cs="Times New Roman"/>
                <w:sz w:val="24"/>
                <w:szCs w:val="24"/>
              </w:rPr>
              <w:t>will support</w:t>
            </w:r>
            <w:r w:rsidRPr="0062759C">
              <w:rPr>
                <w:rFonts w:ascii="Times New Roman" w:hAnsi="Times New Roman" w:cs="Times New Roman"/>
                <w:sz w:val="24"/>
                <w:szCs w:val="24"/>
              </w:rPr>
              <w:t xml:space="preserve"> MoRA to develop a </w:t>
            </w:r>
            <w:r w:rsidR="0062759C">
              <w:rPr>
                <w:rFonts w:ascii="Times New Roman" w:hAnsi="Times New Roman" w:cs="Times New Roman"/>
                <w:sz w:val="24"/>
                <w:szCs w:val="24"/>
              </w:rPr>
              <w:t>strategic</w:t>
            </w:r>
            <w:r w:rsidRPr="0062759C">
              <w:rPr>
                <w:rFonts w:ascii="Times New Roman" w:hAnsi="Times New Roman" w:cs="Times New Roman"/>
                <w:sz w:val="24"/>
                <w:szCs w:val="24"/>
              </w:rPr>
              <w:t xml:space="preserve"> plan to improve Madrasah quality</w:t>
            </w:r>
            <w:r w:rsidR="0062759C">
              <w:rPr>
                <w:rFonts w:ascii="Times New Roman" w:hAnsi="Times New Roman" w:cs="Times New Roman"/>
                <w:sz w:val="24"/>
                <w:szCs w:val="24"/>
              </w:rPr>
              <w:t>,</w:t>
            </w:r>
            <w:r w:rsidR="0062759C" w:rsidRPr="0062759C">
              <w:rPr>
                <w:rFonts w:ascii="Times New Roman" w:hAnsi="Times New Roman" w:cs="Times New Roman"/>
                <w:sz w:val="24"/>
                <w:szCs w:val="24"/>
              </w:rPr>
              <w:t xml:space="preserve"> draw</w:t>
            </w:r>
            <w:r w:rsidR="0062759C">
              <w:rPr>
                <w:rFonts w:ascii="Times New Roman" w:hAnsi="Times New Roman" w:cs="Times New Roman"/>
                <w:sz w:val="24"/>
                <w:szCs w:val="24"/>
              </w:rPr>
              <w:t>ing</w:t>
            </w:r>
            <w:r w:rsidR="0062759C" w:rsidRPr="0062759C">
              <w:rPr>
                <w:rFonts w:ascii="Times New Roman" w:hAnsi="Times New Roman" w:cs="Times New Roman"/>
                <w:sz w:val="24"/>
                <w:szCs w:val="24"/>
              </w:rPr>
              <w:t xml:space="preserve"> on evidence from the program</w:t>
            </w:r>
            <w:r w:rsidRPr="0062759C">
              <w:rPr>
                <w:rFonts w:ascii="Times New Roman" w:hAnsi="Times New Roman" w:cs="Times New Roman"/>
                <w:sz w:val="24"/>
                <w:szCs w:val="24"/>
              </w:rPr>
              <w:t>.</w:t>
            </w:r>
          </w:p>
        </w:tc>
      </w:tr>
      <w:tr w:rsidR="005619E6" w:rsidTr="00580846">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10</w:t>
            </w:r>
          </w:p>
          <w:p w:rsidR="00AE3E2C" w:rsidRPr="00EF51ED" w:rsidRDefault="00EF51ED" w:rsidP="00EF51ED">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EP support to systemic change should encourage and be based on a clear and resourced MoRA strategy for supporting Madrasah continuous quality improvement </w:t>
            </w:r>
          </w:p>
        </w:tc>
        <w:tc>
          <w:tcPr>
            <w:tcW w:w="4961" w:type="dxa"/>
            <w:shd w:val="clear" w:color="auto" w:fill="CDFFCD"/>
          </w:tcPr>
          <w:p w:rsidR="005619E6" w:rsidRDefault="00F54F1C" w:rsidP="00A17951">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A17951">
              <w:rPr>
                <w:rFonts w:ascii="Times New Roman" w:hAnsi="Times New Roman" w:cs="Times New Roman"/>
                <w:b/>
                <w:sz w:val="24"/>
                <w:szCs w:val="24"/>
              </w:rPr>
              <w:t>gree</w:t>
            </w:r>
          </w:p>
        </w:tc>
        <w:tc>
          <w:tcPr>
            <w:tcW w:w="4678" w:type="dxa"/>
            <w:shd w:val="clear" w:color="auto" w:fill="CDFFCD"/>
          </w:tcPr>
          <w:p w:rsidR="005619E6" w:rsidRPr="00580846" w:rsidRDefault="005E4E86" w:rsidP="0062759C">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MoRA </w:t>
            </w:r>
            <w:r w:rsidR="0062759C">
              <w:rPr>
                <w:rFonts w:ascii="Times New Roman" w:hAnsi="Times New Roman" w:cs="Times New Roman"/>
                <w:sz w:val="24"/>
                <w:szCs w:val="24"/>
              </w:rPr>
              <w:t>intend</w:t>
            </w:r>
            <w:r>
              <w:rPr>
                <w:rFonts w:ascii="Times New Roman" w:hAnsi="Times New Roman" w:cs="Times New Roman"/>
                <w:sz w:val="24"/>
                <w:szCs w:val="24"/>
              </w:rPr>
              <w:t xml:space="preserve"> to develop a </w:t>
            </w:r>
            <w:r w:rsidR="00D94A74">
              <w:rPr>
                <w:rFonts w:ascii="Times New Roman" w:hAnsi="Times New Roman" w:cs="Times New Roman"/>
                <w:sz w:val="24"/>
                <w:szCs w:val="24"/>
              </w:rPr>
              <w:t>national strategy</w:t>
            </w:r>
            <w:r>
              <w:rPr>
                <w:rFonts w:ascii="Times New Roman" w:hAnsi="Times New Roman" w:cs="Times New Roman"/>
                <w:sz w:val="24"/>
                <w:szCs w:val="24"/>
              </w:rPr>
              <w:t xml:space="preserve"> for </w:t>
            </w:r>
            <w:r w:rsidR="00D94A74">
              <w:rPr>
                <w:rFonts w:ascii="Times New Roman" w:hAnsi="Times New Roman" w:cs="Times New Roman"/>
                <w:sz w:val="24"/>
                <w:szCs w:val="24"/>
              </w:rPr>
              <w:t>madrasah quality improvement with technical support from DFAT</w:t>
            </w:r>
            <w:r>
              <w:rPr>
                <w:rFonts w:ascii="Times New Roman" w:hAnsi="Times New Roman" w:cs="Times New Roman"/>
                <w:sz w:val="24"/>
                <w:szCs w:val="24"/>
              </w:rPr>
              <w:t>. This will draw on evidence from support to madrasah accreditation and related areas of support to madrasah under other components of the EP.</w:t>
            </w:r>
          </w:p>
        </w:tc>
      </w:tr>
      <w:tr w:rsidR="005619E6" w:rsidTr="002F4598">
        <w:tc>
          <w:tcPr>
            <w:tcW w:w="5070" w:type="dxa"/>
            <w:shd w:val="clear" w:color="auto" w:fill="FFFF99"/>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11</w:t>
            </w:r>
          </w:p>
          <w:p w:rsidR="00AE3E2C" w:rsidRPr="00EF51ED" w:rsidRDefault="00EF51ED" w:rsidP="002F6225">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There should be an explicit and systematic targeting of beneficiary Madrasah with low initial standards </w:t>
            </w:r>
            <w:r w:rsidR="002F6225">
              <w:rPr>
                <w:rFonts w:ascii="Times New Roman" w:hAnsi="Times New Roman" w:cs="Times New Roman"/>
                <w:sz w:val="24"/>
                <w:szCs w:val="24"/>
              </w:rPr>
              <w:t>(specifically TT- non accredited madrasah)</w:t>
            </w:r>
          </w:p>
        </w:tc>
        <w:tc>
          <w:tcPr>
            <w:tcW w:w="4961" w:type="dxa"/>
            <w:shd w:val="clear" w:color="auto" w:fill="FFFF99"/>
          </w:tcPr>
          <w:p w:rsidR="005619E6" w:rsidRDefault="00D23516" w:rsidP="00A17951">
            <w:pPr>
              <w:spacing w:before="60" w:after="60"/>
              <w:jc w:val="both"/>
              <w:rPr>
                <w:rFonts w:ascii="Times New Roman" w:hAnsi="Times New Roman" w:cs="Times New Roman"/>
                <w:b/>
                <w:sz w:val="24"/>
                <w:szCs w:val="24"/>
              </w:rPr>
            </w:pPr>
            <w:r>
              <w:rPr>
                <w:rFonts w:ascii="Times New Roman" w:hAnsi="Times New Roman" w:cs="Times New Roman"/>
                <w:b/>
                <w:sz w:val="24"/>
                <w:szCs w:val="24"/>
              </w:rPr>
              <w:t>Partially a</w:t>
            </w:r>
            <w:r w:rsidR="00A17951">
              <w:rPr>
                <w:rFonts w:ascii="Times New Roman" w:hAnsi="Times New Roman" w:cs="Times New Roman"/>
                <w:b/>
                <w:sz w:val="24"/>
                <w:szCs w:val="24"/>
              </w:rPr>
              <w:t>gree</w:t>
            </w:r>
          </w:p>
        </w:tc>
        <w:tc>
          <w:tcPr>
            <w:tcW w:w="4678" w:type="dxa"/>
            <w:shd w:val="clear" w:color="auto" w:fill="FFFF99"/>
          </w:tcPr>
          <w:p w:rsidR="005619E6" w:rsidRPr="00580846" w:rsidRDefault="00D23516" w:rsidP="00D23516">
            <w:pPr>
              <w:spacing w:before="60" w:after="60"/>
              <w:jc w:val="both"/>
              <w:rPr>
                <w:rFonts w:ascii="Times New Roman" w:hAnsi="Times New Roman" w:cs="Times New Roman"/>
                <w:sz w:val="24"/>
                <w:szCs w:val="24"/>
              </w:rPr>
            </w:pPr>
            <w:r>
              <w:rPr>
                <w:rFonts w:ascii="Times New Roman" w:hAnsi="Times New Roman" w:cs="Times New Roman"/>
                <w:sz w:val="24"/>
                <w:szCs w:val="24"/>
              </w:rPr>
              <w:t>A full madrasah baseline assessment can only occur after the target madrasah are selected; however, DFAT and GoI have a pre-existing agreement that only madrasah that appear to be of Level C or below will be included in the program. This decision was taken prior to the commencement of Phase 2.</w:t>
            </w:r>
          </w:p>
        </w:tc>
      </w:tr>
      <w:tr w:rsidR="005619E6" w:rsidTr="002F4598">
        <w:tc>
          <w:tcPr>
            <w:tcW w:w="5070" w:type="dxa"/>
            <w:shd w:val="clear" w:color="auto" w:fill="FFFF99"/>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12</w:t>
            </w:r>
          </w:p>
          <w:p w:rsidR="00AE3E2C" w:rsidRPr="00EF51ED" w:rsidRDefault="00EF51ED" w:rsidP="005619E6">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EP should continue and increase engagement with sub-national institutions to develop and seek support for non-targeted Madrasah, including engagement with KKM </w:t>
            </w:r>
            <w:r w:rsidR="00C57F17">
              <w:rPr>
                <w:rFonts w:ascii="Times New Roman" w:hAnsi="Times New Roman" w:cs="Times New Roman"/>
                <w:sz w:val="24"/>
                <w:szCs w:val="24"/>
              </w:rPr>
              <w:t xml:space="preserve">(madrasah working groups) </w:t>
            </w:r>
            <w:r w:rsidRPr="00EF51ED">
              <w:rPr>
                <w:rFonts w:ascii="Times New Roman" w:hAnsi="Times New Roman" w:cs="Times New Roman"/>
                <w:sz w:val="24"/>
                <w:szCs w:val="24"/>
              </w:rPr>
              <w:t>and Madrasah supervisors</w:t>
            </w:r>
            <w:r w:rsidR="005E4E86">
              <w:rPr>
                <w:rFonts w:ascii="Times New Roman" w:hAnsi="Times New Roman" w:cs="Times New Roman"/>
                <w:sz w:val="24"/>
                <w:szCs w:val="24"/>
              </w:rPr>
              <w:t>.</w:t>
            </w:r>
          </w:p>
        </w:tc>
        <w:tc>
          <w:tcPr>
            <w:tcW w:w="4961" w:type="dxa"/>
            <w:shd w:val="clear" w:color="auto" w:fill="FFFF99"/>
          </w:tcPr>
          <w:p w:rsidR="005619E6" w:rsidRDefault="00D23516" w:rsidP="002F6225">
            <w:pPr>
              <w:spacing w:before="60" w:after="60"/>
              <w:jc w:val="both"/>
              <w:rPr>
                <w:rFonts w:ascii="Times New Roman" w:hAnsi="Times New Roman" w:cs="Times New Roman"/>
                <w:b/>
                <w:sz w:val="24"/>
                <w:szCs w:val="24"/>
              </w:rPr>
            </w:pPr>
            <w:r>
              <w:rPr>
                <w:rFonts w:ascii="Times New Roman" w:hAnsi="Times New Roman" w:cs="Times New Roman"/>
                <w:b/>
                <w:sz w:val="24"/>
                <w:szCs w:val="24"/>
              </w:rPr>
              <w:t>Partially a</w:t>
            </w:r>
            <w:r w:rsidR="002F6225">
              <w:rPr>
                <w:rFonts w:ascii="Times New Roman" w:hAnsi="Times New Roman" w:cs="Times New Roman"/>
                <w:b/>
                <w:sz w:val="24"/>
                <w:szCs w:val="24"/>
              </w:rPr>
              <w:t>gree</w:t>
            </w:r>
          </w:p>
        </w:tc>
        <w:tc>
          <w:tcPr>
            <w:tcW w:w="4678" w:type="dxa"/>
            <w:shd w:val="clear" w:color="auto" w:fill="FFFF99"/>
          </w:tcPr>
          <w:p w:rsidR="00CB1187" w:rsidRDefault="0062759C" w:rsidP="00CB1187">
            <w:pPr>
              <w:spacing w:before="60" w:after="60"/>
              <w:jc w:val="both"/>
              <w:rPr>
                <w:rFonts w:ascii="Times New Roman" w:hAnsi="Times New Roman" w:cs="Times New Roman"/>
                <w:sz w:val="24"/>
                <w:szCs w:val="24"/>
              </w:rPr>
            </w:pPr>
            <w:r>
              <w:rPr>
                <w:rFonts w:ascii="Times New Roman" w:hAnsi="Times New Roman" w:cs="Times New Roman"/>
                <w:sz w:val="24"/>
                <w:szCs w:val="24"/>
              </w:rPr>
              <w:t>S</w:t>
            </w:r>
            <w:r w:rsidR="00CB1187">
              <w:rPr>
                <w:rFonts w:ascii="Times New Roman" w:hAnsi="Times New Roman" w:cs="Times New Roman"/>
                <w:sz w:val="24"/>
                <w:szCs w:val="24"/>
              </w:rPr>
              <w:t xml:space="preserve">ub-national institutions </w:t>
            </w:r>
            <w:r>
              <w:rPr>
                <w:rFonts w:ascii="Times New Roman" w:hAnsi="Times New Roman" w:cs="Times New Roman"/>
                <w:sz w:val="24"/>
                <w:szCs w:val="24"/>
              </w:rPr>
              <w:t>are</w:t>
            </w:r>
            <w:r w:rsidR="00CB1187">
              <w:rPr>
                <w:rFonts w:ascii="Times New Roman" w:hAnsi="Times New Roman" w:cs="Times New Roman"/>
                <w:sz w:val="24"/>
                <w:szCs w:val="24"/>
              </w:rPr>
              <w:t xml:space="preserve"> central to improving madrasah quality. We are working to include other stakeholders </w:t>
            </w:r>
            <w:r>
              <w:rPr>
                <w:rFonts w:ascii="Times New Roman" w:hAnsi="Times New Roman" w:cs="Times New Roman"/>
                <w:sz w:val="24"/>
                <w:szCs w:val="24"/>
              </w:rPr>
              <w:t xml:space="preserve">in the program </w:t>
            </w:r>
            <w:r w:rsidR="00CB1187">
              <w:rPr>
                <w:rFonts w:ascii="Times New Roman" w:hAnsi="Times New Roman" w:cs="Times New Roman"/>
                <w:sz w:val="24"/>
                <w:szCs w:val="24"/>
              </w:rPr>
              <w:t xml:space="preserve">at a pace that will not overburden them. </w:t>
            </w:r>
          </w:p>
          <w:p w:rsidR="00E36C29" w:rsidRPr="00580846" w:rsidRDefault="00CB1187" w:rsidP="00B33C3A">
            <w:pPr>
              <w:spacing w:before="60" w:after="60"/>
              <w:jc w:val="both"/>
              <w:rPr>
                <w:rFonts w:ascii="Times New Roman" w:hAnsi="Times New Roman" w:cs="Times New Roman"/>
                <w:sz w:val="24"/>
                <w:szCs w:val="24"/>
              </w:rPr>
            </w:pPr>
            <w:r w:rsidRPr="0062759C">
              <w:rPr>
                <w:rFonts w:ascii="Times New Roman" w:hAnsi="Times New Roman" w:cs="Times New Roman"/>
                <w:sz w:val="24"/>
                <w:szCs w:val="24"/>
              </w:rPr>
              <w:t>T</w:t>
            </w:r>
            <w:r w:rsidR="00D23516" w:rsidRPr="0062759C">
              <w:rPr>
                <w:rFonts w:ascii="Times New Roman" w:hAnsi="Times New Roman" w:cs="Times New Roman"/>
                <w:sz w:val="24"/>
                <w:szCs w:val="24"/>
              </w:rPr>
              <w:t>he focus on</w:t>
            </w:r>
            <w:r w:rsidR="00E36C29" w:rsidRPr="0062759C">
              <w:rPr>
                <w:rFonts w:ascii="Times New Roman" w:hAnsi="Times New Roman" w:cs="Times New Roman"/>
                <w:sz w:val="24"/>
                <w:szCs w:val="24"/>
              </w:rPr>
              <w:t xml:space="preserve"> strengthening</w:t>
            </w:r>
            <w:r w:rsidR="00D23516" w:rsidRPr="0062759C">
              <w:rPr>
                <w:rFonts w:ascii="Times New Roman" w:hAnsi="Times New Roman" w:cs="Times New Roman"/>
                <w:sz w:val="24"/>
                <w:szCs w:val="24"/>
              </w:rPr>
              <w:t xml:space="preserve"> sub-national </w:t>
            </w:r>
            <w:r w:rsidR="00E36C29" w:rsidRPr="0062759C">
              <w:rPr>
                <w:rFonts w:ascii="Times New Roman" w:hAnsi="Times New Roman" w:cs="Times New Roman"/>
                <w:sz w:val="24"/>
                <w:szCs w:val="24"/>
              </w:rPr>
              <w:t>insti</w:t>
            </w:r>
            <w:r w:rsidR="00043CE0" w:rsidRPr="0062759C">
              <w:rPr>
                <w:rFonts w:ascii="Times New Roman" w:hAnsi="Times New Roman" w:cs="Times New Roman"/>
                <w:sz w:val="24"/>
                <w:szCs w:val="24"/>
              </w:rPr>
              <w:t>tu</w:t>
            </w:r>
            <w:r w:rsidR="00E36C29" w:rsidRPr="0062759C">
              <w:rPr>
                <w:rFonts w:ascii="Times New Roman" w:hAnsi="Times New Roman" w:cs="Times New Roman"/>
                <w:sz w:val="24"/>
                <w:szCs w:val="24"/>
              </w:rPr>
              <w:t xml:space="preserve">tions so they can support </w:t>
            </w:r>
            <w:r w:rsidRPr="0062759C">
              <w:rPr>
                <w:rFonts w:ascii="Times New Roman" w:hAnsi="Times New Roman" w:cs="Times New Roman"/>
                <w:sz w:val="24"/>
                <w:szCs w:val="24"/>
              </w:rPr>
              <w:t xml:space="preserve">madrasah </w:t>
            </w:r>
            <w:r w:rsidR="00E36C29" w:rsidRPr="0062759C">
              <w:rPr>
                <w:rFonts w:ascii="Times New Roman" w:hAnsi="Times New Roman" w:cs="Times New Roman"/>
                <w:sz w:val="24"/>
                <w:szCs w:val="24"/>
              </w:rPr>
              <w:t xml:space="preserve">quality more broadly </w:t>
            </w:r>
            <w:r w:rsidR="00043CE0">
              <w:rPr>
                <w:rFonts w:ascii="Times New Roman" w:hAnsi="Times New Roman" w:cs="Times New Roman"/>
                <w:sz w:val="24"/>
                <w:szCs w:val="24"/>
              </w:rPr>
              <w:t>is</w:t>
            </w:r>
            <w:r w:rsidR="00E36C29">
              <w:rPr>
                <w:rFonts w:ascii="Times New Roman" w:hAnsi="Times New Roman" w:cs="Times New Roman"/>
                <w:sz w:val="24"/>
                <w:szCs w:val="24"/>
              </w:rPr>
              <w:t xml:space="preserve"> central to DFAT’s work with MoRA on a </w:t>
            </w:r>
            <w:r w:rsidR="00D23516">
              <w:rPr>
                <w:rFonts w:ascii="Times New Roman" w:hAnsi="Times New Roman" w:cs="Times New Roman"/>
                <w:sz w:val="24"/>
                <w:szCs w:val="24"/>
              </w:rPr>
              <w:t xml:space="preserve">national strategy for </w:t>
            </w:r>
            <w:r w:rsidR="00D23516">
              <w:rPr>
                <w:rFonts w:ascii="Times New Roman" w:hAnsi="Times New Roman" w:cs="Times New Roman"/>
                <w:sz w:val="24"/>
                <w:szCs w:val="24"/>
              </w:rPr>
              <w:lastRenderedPageBreak/>
              <w:t xml:space="preserve">madrasah </w:t>
            </w:r>
            <w:r w:rsidR="00B33C3A">
              <w:rPr>
                <w:rFonts w:ascii="Times New Roman" w:hAnsi="Times New Roman" w:cs="Times New Roman"/>
                <w:sz w:val="24"/>
                <w:szCs w:val="24"/>
              </w:rPr>
              <w:t>quality improvement</w:t>
            </w:r>
            <w:r w:rsidR="00D23516">
              <w:rPr>
                <w:rFonts w:ascii="Times New Roman" w:hAnsi="Times New Roman" w:cs="Times New Roman"/>
                <w:sz w:val="24"/>
                <w:szCs w:val="24"/>
              </w:rPr>
              <w:t>.</w:t>
            </w:r>
            <w:r w:rsidR="00E36C29">
              <w:rPr>
                <w:rFonts w:ascii="Times New Roman" w:hAnsi="Times New Roman" w:cs="Times New Roman"/>
                <w:sz w:val="24"/>
                <w:szCs w:val="24"/>
              </w:rPr>
              <w:t xml:space="preserve"> </w:t>
            </w:r>
          </w:p>
        </w:tc>
      </w:tr>
      <w:tr w:rsidR="005619E6" w:rsidTr="002F4598">
        <w:tc>
          <w:tcPr>
            <w:tcW w:w="5070" w:type="dxa"/>
            <w:shd w:val="clear" w:color="auto" w:fill="FFFF99"/>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lastRenderedPageBreak/>
              <w:t>13</w:t>
            </w:r>
          </w:p>
          <w:p w:rsidR="00AE3E2C" w:rsidRPr="00EF51ED" w:rsidRDefault="00EF51ED" w:rsidP="005619E6">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 xml:space="preserve">EP should develop, support and monitor measures to better involve other key, but currently untargeted stakeholders (e.g. committee members, </w:t>
            </w:r>
            <w:r w:rsidRPr="00EF51ED">
              <w:rPr>
                <w:rFonts w:ascii="Times New Roman" w:hAnsi="Times New Roman" w:cs="Times New Roman"/>
                <w:i/>
                <w:sz w:val="24"/>
                <w:szCs w:val="24"/>
              </w:rPr>
              <w:t>yayasan</w:t>
            </w:r>
            <w:r w:rsidRPr="00EF51ED">
              <w:rPr>
                <w:rFonts w:ascii="Times New Roman" w:hAnsi="Times New Roman" w:cs="Times New Roman"/>
                <w:sz w:val="24"/>
                <w:szCs w:val="24"/>
              </w:rPr>
              <w:t xml:space="preserve"> and community members) in Madrasah quality improvement strategies</w:t>
            </w:r>
          </w:p>
        </w:tc>
        <w:tc>
          <w:tcPr>
            <w:tcW w:w="4961" w:type="dxa"/>
            <w:shd w:val="clear" w:color="auto" w:fill="FFFF99"/>
          </w:tcPr>
          <w:p w:rsidR="005619E6" w:rsidRDefault="00D23516" w:rsidP="002F6225">
            <w:pPr>
              <w:spacing w:before="60" w:after="60"/>
              <w:jc w:val="both"/>
              <w:rPr>
                <w:rFonts w:ascii="Times New Roman" w:hAnsi="Times New Roman" w:cs="Times New Roman"/>
                <w:b/>
                <w:sz w:val="24"/>
                <w:szCs w:val="24"/>
              </w:rPr>
            </w:pPr>
            <w:r>
              <w:rPr>
                <w:rFonts w:ascii="Times New Roman" w:hAnsi="Times New Roman" w:cs="Times New Roman"/>
                <w:b/>
                <w:sz w:val="24"/>
                <w:szCs w:val="24"/>
              </w:rPr>
              <w:t>Partially a</w:t>
            </w:r>
            <w:r w:rsidR="002F6225">
              <w:rPr>
                <w:rFonts w:ascii="Times New Roman" w:hAnsi="Times New Roman" w:cs="Times New Roman"/>
                <w:b/>
                <w:sz w:val="24"/>
                <w:szCs w:val="24"/>
              </w:rPr>
              <w:t>gree</w:t>
            </w:r>
          </w:p>
        </w:tc>
        <w:tc>
          <w:tcPr>
            <w:tcW w:w="4678" w:type="dxa"/>
            <w:shd w:val="clear" w:color="auto" w:fill="FFFF99"/>
          </w:tcPr>
          <w:p w:rsidR="00D62806" w:rsidRPr="00FE2659" w:rsidRDefault="00D62806" w:rsidP="00B33C3A">
            <w:pPr>
              <w:spacing w:before="60" w:after="60"/>
              <w:jc w:val="both"/>
              <w:rPr>
                <w:rFonts w:ascii="Times New Roman" w:hAnsi="Times New Roman" w:cs="Times New Roman"/>
                <w:sz w:val="24"/>
                <w:szCs w:val="24"/>
              </w:rPr>
            </w:pPr>
            <w:r w:rsidRPr="00FE2659">
              <w:rPr>
                <w:rFonts w:ascii="Times New Roman" w:hAnsi="Times New Roman" w:cs="Times New Roman"/>
                <w:sz w:val="24"/>
                <w:szCs w:val="24"/>
              </w:rPr>
              <w:t xml:space="preserve">The program </w:t>
            </w:r>
            <w:r w:rsidR="00CB1187" w:rsidRPr="00FE2659">
              <w:rPr>
                <w:rFonts w:ascii="Times New Roman" w:hAnsi="Times New Roman" w:cs="Times New Roman"/>
                <w:sz w:val="24"/>
                <w:szCs w:val="24"/>
              </w:rPr>
              <w:t xml:space="preserve">engages in </w:t>
            </w:r>
            <w:r w:rsidRPr="00FE2659">
              <w:rPr>
                <w:rFonts w:ascii="Times New Roman" w:hAnsi="Times New Roman" w:cs="Times New Roman"/>
                <w:sz w:val="24"/>
                <w:szCs w:val="24"/>
              </w:rPr>
              <w:t xml:space="preserve">close review of madrasah improvement plans to assess the extent to which local stakeholders are involved and agree with the proposed plan.  </w:t>
            </w:r>
            <w:r w:rsidR="00CB1187" w:rsidRPr="00FE2659">
              <w:rPr>
                <w:rFonts w:ascii="Times New Roman" w:hAnsi="Times New Roman" w:cs="Times New Roman"/>
                <w:sz w:val="24"/>
                <w:szCs w:val="24"/>
              </w:rPr>
              <w:t>Sub-national institutional partners play a key role in encouraging madrasah to involve madrasah committees, yayasan, and the community in development and implementation of their improvement plans.</w:t>
            </w:r>
          </w:p>
          <w:p w:rsidR="005619E6" w:rsidRPr="00580846" w:rsidRDefault="00D23516" w:rsidP="00CB1187">
            <w:pPr>
              <w:spacing w:before="60" w:after="60"/>
              <w:jc w:val="both"/>
              <w:rPr>
                <w:rFonts w:ascii="Times New Roman" w:hAnsi="Times New Roman" w:cs="Times New Roman"/>
                <w:sz w:val="24"/>
                <w:szCs w:val="24"/>
              </w:rPr>
            </w:pPr>
            <w:r w:rsidRPr="00FE2659">
              <w:rPr>
                <w:rFonts w:ascii="Times New Roman" w:hAnsi="Times New Roman" w:cs="Times New Roman"/>
                <w:sz w:val="24"/>
                <w:szCs w:val="24"/>
              </w:rPr>
              <w:t xml:space="preserve">The roles of subsector stakeholders will </w:t>
            </w:r>
            <w:r w:rsidR="00D62806" w:rsidRPr="00FE2659">
              <w:rPr>
                <w:rFonts w:ascii="Times New Roman" w:hAnsi="Times New Roman" w:cs="Times New Roman"/>
                <w:sz w:val="24"/>
                <w:szCs w:val="24"/>
              </w:rPr>
              <w:t xml:space="preserve">also </w:t>
            </w:r>
            <w:r w:rsidRPr="00FE2659">
              <w:rPr>
                <w:rFonts w:ascii="Times New Roman" w:hAnsi="Times New Roman" w:cs="Times New Roman"/>
                <w:sz w:val="24"/>
                <w:szCs w:val="24"/>
              </w:rPr>
              <w:t xml:space="preserve">be explored in </w:t>
            </w:r>
            <w:r w:rsidR="002F6225" w:rsidRPr="00FE2659">
              <w:rPr>
                <w:rFonts w:ascii="Times New Roman" w:hAnsi="Times New Roman" w:cs="Times New Roman"/>
                <w:sz w:val="24"/>
                <w:szCs w:val="24"/>
              </w:rPr>
              <w:t xml:space="preserve">the </w:t>
            </w:r>
            <w:r w:rsidRPr="00FE2659">
              <w:rPr>
                <w:rFonts w:ascii="Times New Roman" w:hAnsi="Times New Roman" w:cs="Times New Roman"/>
                <w:sz w:val="24"/>
                <w:szCs w:val="24"/>
              </w:rPr>
              <w:t xml:space="preserve">development of </w:t>
            </w:r>
            <w:r w:rsidR="00CB1187" w:rsidRPr="00FE2659">
              <w:rPr>
                <w:rFonts w:ascii="Times New Roman" w:hAnsi="Times New Roman" w:cs="Times New Roman"/>
                <w:sz w:val="24"/>
                <w:szCs w:val="24"/>
              </w:rPr>
              <w:t xml:space="preserve">MoRA’s </w:t>
            </w:r>
            <w:r w:rsidRPr="00FE2659">
              <w:rPr>
                <w:rFonts w:ascii="Times New Roman" w:hAnsi="Times New Roman" w:cs="Times New Roman"/>
                <w:sz w:val="24"/>
                <w:szCs w:val="24"/>
              </w:rPr>
              <w:t xml:space="preserve">national strategy for madrasah </w:t>
            </w:r>
            <w:r w:rsidR="00B33C3A" w:rsidRPr="00FE2659">
              <w:rPr>
                <w:rFonts w:ascii="Times New Roman" w:hAnsi="Times New Roman" w:cs="Times New Roman"/>
                <w:sz w:val="24"/>
                <w:szCs w:val="24"/>
              </w:rPr>
              <w:t>quality improvement</w:t>
            </w:r>
            <w:r w:rsidR="00D62806" w:rsidRPr="00FE2659">
              <w:rPr>
                <w:rFonts w:ascii="Times New Roman" w:hAnsi="Times New Roman" w:cs="Times New Roman"/>
                <w:sz w:val="24"/>
                <w:szCs w:val="24"/>
              </w:rPr>
              <w:t>.</w:t>
            </w:r>
          </w:p>
        </w:tc>
      </w:tr>
    </w:tbl>
    <w:p w:rsidR="00AE3E2C" w:rsidRDefault="00AE3E2C"/>
    <w:tbl>
      <w:tblPr>
        <w:tblStyle w:val="TableGrid"/>
        <w:tblW w:w="0" w:type="auto"/>
        <w:tblLook w:val="04A0" w:firstRow="1" w:lastRow="0" w:firstColumn="1" w:lastColumn="0" w:noHBand="0" w:noVBand="1"/>
      </w:tblPr>
      <w:tblGrid>
        <w:gridCol w:w="5070"/>
        <w:gridCol w:w="4961"/>
        <w:gridCol w:w="4678"/>
      </w:tblGrid>
      <w:tr w:rsidR="00AE3E2C" w:rsidTr="00AE3E2C">
        <w:tc>
          <w:tcPr>
            <w:tcW w:w="14709" w:type="dxa"/>
            <w:gridSpan w:val="3"/>
          </w:tcPr>
          <w:p w:rsidR="00AE3E2C" w:rsidRPr="00AE3E2C" w:rsidRDefault="00AE3E2C" w:rsidP="00A07D4A">
            <w:pPr>
              <w:spacing w:before="60" w:after="60"/>
              <w:jc w:val="both"/>
              <w:rPr>
                <w:rFonts w:ascii="Times New Roman" w:hAnsi="Times New Roman" w:cs="Times New Roman"/>
                <w:b/>
                <w:sz w:val="28"/>
                <w:szCs w:val="28"/>
              </w:rPr>
            </w:pPr>
            <w:r w:rsidRPr="00AE3E2C">
              <w:rPr>
                <w:rFonts w:ascii="Times New Roman" w:hAnsi="Times New Roman" w:cs="Times New Roman"/>
                <w:b/>
                <w:sz w:val="28"/>
                <w:szCs w:val="28"/>
              </w:rPr>
              <w:t xml:space="preserve">Component </w:t>
            </w:r>
            <w:r>
              <w:rPr>
                <w:rFonts w:ascii="Times New Roman" w:hAnsi="Times New Roman" w:cs="Times New Roman"/>
                <w:b/>
                <w:sz w:val="28"/>
                <w:szCs w:val="28"/>
              </w:rPr>
              <w:t>4</w:t>
            </w:r>
            <w:r w:rsidRPr="00AE3E2C">
              <w:rPr>
                <w:rFonts w:ascii="Times New Roman" w:hAnsi="Times New Roman" w:cs="Times New Roman"/>
                <w:b/>
                <w:sz w:val="28"/>
                <w:szCs w:val="28"/>
              </w:rPr>
              <w:t xml:space="preserve"> </w:t>
            </w:r>
            <w:r w:rsidR="000E4021">
              <w:rPr>
                <w:rFonts w:ascii="Times New Roman" w:hAnsi="Times New Roman" w:cs="Times New Roman"/>
                <w:b/>
                <w:sz w:val="28"/>
                <w:szCs w:val="28"/>
              </w:rPr>
              <w:t xml:space="preserve">– </w:t>
            </w:r>
            <w:r w:rsidR="000E4021" w:rsidRPr="002F6225">
              <w:rPr>
                <w:rFonts w:ascii="Times New Roman" w:hAnsi="Times New Roman" w:cs="Times New Roman"/>
                <w:b/>
                <w:i/>
                <w:sz w:val="28"/>
                <w:szCs w:val="28"/>
              </w:rPr>
              <w:t>Analytical</w:t>
            </w:r>
            <w:r w:rsidR="002F6225">
              <w:rPr>
                <w:rFonts w:ascii="Times New Roman" w:hAnsi="Times New Roman" w:cs="Times New Roman"/>
                <w:b/>
                <w:i/>
                <w:sz w:val="28"/>
                <w:szCs w:val="28"/>
              </w:rPr>
              <w:t xml:space="preserve"> and</w:t>
            </w:r>
            <w:r w:rsidR="000E4021" w:rsidRPr="002F6225">
              <w:rPr>
                <w:rFonts w:ascii="Times New Roman" w:hAnsi="Times New Roman" w:cs="Times New Roman"/>
                <w:b/>
                <w:i/>
                <w:sz w:val="28"/>
                <w:szCs w:val="28"/>
              </w:rPr>
              <w:t xml:space="preserve"> Capacity Development Partnership</w:t>
            </w:r>
            <w:r w:rsidR="00A07D4A">
              <w:rPr>
                <w:rFonts w:ascii="Times New Roman" w:hAnsi="Times New Roman" w:cs="Times New Roman"/>
                <w:b/>
                <w:i/>
                <w:sz w:val="28"/>
                <w:szCs w:val="28"/>
              </w:rPr>
              <w:t xml:space="preserve"> </w:t>
            </w:r>
            <w:r w:rsidRPr="00AE3E2C">
              <w:rPr>
                <w:rFonts w:ascii="Times New Roman" w:hAnsi="Times New Roman" w:cs="Times New Roman"/>
                <w:b/>
                <w:sz w:val="28"/>
                <w:szCs w:val="28"/>
              </w:rPr>
              <w:t>(C</w:t>
            </w:r>
            <w:r>
              <w:rPr>
                <w:rFonts w:ascii="Times New Roman" w:hAnsi="Times New Roman" w:cs="Times New Roman"/>
                <w:b/>
                <w:sz w:val="28"/>
                <w:szCs w:val="28"/>
              </w:rPr>
              <w:t>4</w:t>
            </w:r>
            <w:r w:rsidRPr="00AE3E2C">
              <w:rPr>
                <w:rFonts w:ascii="Times New Roman" w:hAnsi="Times New Roman" w:cs="Times New Roman"/>
                <w:b/>
                <w:sz w:val="28"/>
                <w:szCs w:val="28"/>
              </w:rPr>
              <w:t>)</w:t>
            </w:r>
          </w:p>
        </w:tc>
      </w:tr>
      <w:tr w:rsidR="00AE3E2C" w:rsidTr="005619E6">
        <w:tc>
          <w:tcPr>
            <w:tcW w:w="5070"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tc>
        <w:tc>
          <w:tcPr>
            <w:tcW w:w="4961" w:type="dxa"/>
          </w:tcPr>
          <w:p w:rsidR="00AE3E2C" w:rsidRDefault="00F35A3E"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Management </w:t>
            </w:r>
            <w:r w:rsidR="00AE3E2C">
              <w:rPr>
                <w:rFonts w:ascii="Times New Roman" w:hAnsi="Times New Roman" w:cs="Times New Roman"/>
                <w:b/>
                <w:sz w:val="24"/>
                <w:szCs w:val="24"/>
              </w:rPr>
              <w:t xml:space="preserve">Response </w:t>
            </w:r>
          </w:p>
        </w:tc>
        <w:tc>
          <w:tcPr>
            <w:tcW w:w="4678"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Actions</w:t>
            </w:r>
          </w:p>
        </w:tc>
      </w:tr>
      <w:tr w:rsidR="005619E6" w:rsidTr="00580846">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14</w:t>
            </w:r>
          </w:p>
          <w:p w:rsidR="00AE3E2C" w:rsidRPr="00EF51ED" w:rsidRDefault="00EF51ED" w:rsidP="005619E6">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ACDP should continue to revise and diversify its product offering (activity types) such that it is responsive and timely, and offers value for money</w:t>
            </w:r>
          </w:p>
        </w:tc>
        <w:tc>
          <w:tcPr>
            <w:tcW w:w="4961" w:type="dxa"/>
            <w:shd w:val="clear" w:color="auto" w:fill="CDFFCD"/>
          </w:tcPr>
          <w:p w:rsidR="005619E6" w:rsidRDefault="00580846" w:rsidP="002F6225">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2F6225">
              <w:rPr>
                <w:rFonts w:ascii="Times New Roman" w:hAnsi="Times New Roman" w:cs="Times New Roman"/>
                <w:b/>
                <w:sz w:val="24"/>
                <w:szCs w:val="24"/>
              </w:rPr>
              <w:t>gree</w:t>
            </w:r>
          </w:p>
        </w:tc>
        <w:tc>
          <w:tcPr>
            <w:tcW w:w="4678" w:type="dxa"/>
            <w:shd w:val="clear" w:color="auto" w:fill="CDFFCD"/>
          </w:tcPr>
          <w:p w:rsidR="000B35C4" w:rsidRDefault="000B35C4" w:rsidP="002B262D">
            <w:pPr>
              <w:spacing w:before="60" w:after="60"/>
              <w:jc w:val="both"/>
              <w:rPr>
                <w:rFonts w:ascii="Times New Roman" w:hAnsi="Times New Roman" w:cs="Times New Roman"/>
                <w:sz w:val="24"/>
                <w:szCs w:val="24"/>
              </w:rPr>
            </w:pPr>
            <w:r>
              <w:rPr>
                <w:rFonts w:ascii="Times New Roman" w:hAnsi="Times New Roman" w:cs="Times New Roman"/>
                <w:sz w:val="24"/>
                <w:szCs w:val="24"/>
              </w:rPr>
              <w:t>The ACDP continues to diversify its product offerings.  Successful activities include: two rapid assessments of student nutrition and the scholarships for the poor program and a learning event on senior secondary education</w:t>
            </w:r>
            <w:r w:rsidR="007A0214">
              <w:rPr>
                <w:rFonts w:ascii="Times New Roman" w:hAnsi="Times New Roman" w:cs="Times New Roman"/>
                <w:sz w:val="24"/>
                <w:szCs w:val="24"/>
              </w:rPr>
              <w:t xml:space="preserve">.  The learning event was in response to a request from MoEC to stimulate debate on a high-priority issue for GoI.  </w:t>
            </w:r>
          </w:p>
          <w:p w:rsidR="000B35C4" w:rsidRDefault="000B35C4" w:rsidP="002B262D">
            <w:pPr>
              <w:spacing w:before="60" w:after="60"/>
              <w:jc w:val="both"/>
              <w:rPr>
                <w:rFonts w:ascii="Times New Roman" w:hAnsi="Times New Roman" w:cs="Times New Roman"/>
                <w:sz w:val="24"/>
                <w:szCs w:val="24"/>
              </w:rPr>
            </w:pPr>
          </w:p>
          <w:p w:rsidR="005619E6" w:rsidRPr="00580846" w:rsidRDefault="00A1758C" w:rsidP="007A0214">
            <w:pPr>
              <w:spacing w:before="60" w:after="60"/>
              <w:jc w:val="both"/>
              <w:rPr>
                <w:rFonts w:ascii="Times New Roman" w:hAnsi="Times New Roman" w:cs="Times New Roman"/>
                <w:sz w:val="24"/>
                <w:szCs w:val="24"/>
              </w:rPr>
            </w:pPr>
            <w:r>
              <w:rPr>
                <w:rFonts w:ascii="Times New Roman" w:hAnsi="Times New Roman" w:cs="Times New Roman"/>
                <w:sz w:val="24"/>
                <w:szCs w:val="24"/>
              </w:rPr>
              <w:t>DFAT</w:t>
            </w:r>
            <w:r w:rsidR="00B33C3A">
              <w:rPr>
                <w:rFonts w:ascii="Times New Roman" w:hAnsi="Times New Roman" w:cs="Times New Roman"/>
                <w:sz w:val="24"/>
                <w:szCs w:val="24"/>
              </w:rPr>
              <w:t>, together with the European Union,</w:t>
            </w:r>
            <w:r>
              <w:rPr>
                <w:rFonts w:ascii="Times New Roman" w:hAnsi="Times New Roman" w:cs="Times New Roman"/>
                <w:sz w:val="24"/>
                <w:szCs w:val="24"/>
              </w:rPr>
              <w:t xml:space="preserve"> </w:t>
            </w:r>
            <w:r w:rsidR="002B262D">
              <w:rPr>
                <w:rFonts w:ascii="Times New Roman" w:hAnsi="Times New Roman" w:cs="Times New Roman"/>
                <w:sz w:val="24"/>
                <w:szCs w:val="24"/>
              </w:rPr>
              <w:t>ha</w:t>
            </w:r>
            <w:r>
              <w:rPr>
                <w:rFonts w:ascii="Times New Roman" w:hAnsi="Times New Roman" w:cs="Times New Roman"/>
                <w:sz w:val="24"/>
                <w:szCs w:val="24"/>
              </w:rPr>
              <w:t>s support</w:t>
            </w:r>
            <w:r w:rsidR="002B262D">
              <w:rPr>
                <w:rFonts w:ascii="Times New Roman" w:hAnsi="Times New Roman" w:cs="Times New Roman"/>
                <w:sz w:val="24"/>
                <w:szCs w:val="24"/>
              </w:rPr>
              <w:t>ed</w:t>
            </w:r>
            <w:r>
              <w:rPr>
                <w:rFonts w:ascii="Times New Roman" w:hAnsi="Times New Roman" w:cs="Times New Roman"/>
                <w:sz w:val="24"/>
                <w:szCs w:val="24"/>
              </w:rPr>
              <w:t xml:space="preserve"> a</w:t>
            </w:r>
            <w:r w:rsidR="002B262D">
              <w:rPr>
                <w:rFonts w:ascii="Times New Roman" w:hAnsi="Times New Roman" w:cs="Times New Roman"/>
                <w:sz w:val="24"/>
                <w:szCs w:val="24"/>
              </w:rPr>
              <w:t xml:space="preserve"> mid-term review of</w:t>
            </w:r>
            <w:r>
              <w:rPr>
                <w:rFonts w:ascii="Times New Roman" w:hAnsi="Times New Roman" w:cs="Times New Roman"/>
                <w:sz w:val="24"/>
                <w:szCs w:val="24"/>
              </w:rPr>
              <w:t xml:space="preserve"> </w:t>
            </w:r>
            <w:r w:rsidR="00580846">
              <w:rPr>
                <w:rFonts w:ascii="Times New Roman" w:hAnsi="Times New Roman" w:cs="Times New Roman"/>
                <w:sz w:val="24"/>
                <w:szCs w:val="24"/>
              </w:rPr>
              <w:t xml:space="preserve">ACDP </w:t>
            </w:r>
            <w:r>
              <w:rPr>
                <w:rFonts w:ascii="Times New Roman" w:hAnsi="Times New Roman" w:cs="Times New Roman"/>
                <w:sz w:val="24"/>
                <w:szCs w:val="24"/>
              </w:rPr>
              <w:t xml:space="preserve">which </w:t>
            </w:r>
            <w:r w:rsidR="002B262D">
              <w:rPr>
                <w:rFonts w:ascii="Times New Roman" w:hAnsi="Times New Roman" w:cs="Times New Roman"/>
                <w:sz w:val="24"/>
                <w:szCs w:val="24"/>
              </w:rPr>
              <w:t xml:space="preserve">has </w:t>
            </w:r>
            <w:r w:rsidR="00580846">
              <w:rPr>
                <w:rFonts w:ascii="Times New Roman" w:hAnsi="Times New Roman" w:cs="Times New Roman"/>
                <w:sz w:val="24"/>
                <w:szCs w:val="24"/>
              </w:rPr>
              <w:t>consider</w:t>
            </w:r>
            <w:r w:rsidR="002B262D">
              <w:rPr>
                <w:rFonts w:ascii="Times New Roman" w:hAnsi="Times New Roman" w:cs="Times New Roman"/>
                <w:sz w:val="24"/>
                <w:szCs w:val="24"/>
              </w:rPr>
              <w:t>ed</w:t>
            </w:r>
            <w:r w:rsidR="00580846">
              <w:rPr>
                <w:rFonts w:ascii="Times New Roman" w:hAnsi="Times New Roman" w:cs="Times New Roman"/>
                <w:sz w:val="24"/>
                <w:szCs w:val="24"/>
              </w:rPr>
              <w:t xml:space="preserve"> </w:t>
            </w:r>
            <w:r w:rsidR="002F6225">
              <w:rPr>
                <w:rFonts w:ascii="Times New Roman" w:hAnsi="Times New Roman" w:cs="Times New Roman"/>
                <w:sz w:val="24"/>
                <w:szCs w:val="24"/>
              </w:rPr>
              <w:t>issues of</w:t>
            </w:r>
            <w:r>
              <w:rPr>
                <w:rFonts w:ascii="Times New Roman" w:hAnsi="Times New Roman" w:cs="Times New Roman"/>
                <w:sz w:val="24"/>
                <w:szCs w:val="24"/>
              </w:rPr>
              <w:t xml:space="preserve"> effectiveness </w:t>
            </w:r>
            <w:r w:rsidR="002F6225">
              <w:rPr>
                <w:rFonts w:ascii="Times New Roman" w:hAnsi="Times New Roman" w:cs="Times New Roman"/>
                <w:sz w:val="24"/>
                <w:szCs w:val="24"/>
              </w:rPr>
              <w:t>and value for money</w:t>
            </w:r>
            <w:r w:rsidR="007A0214">
              <w:rPr>
                <w:rFonts w:ascii="Times New Roman" w:hAnsi="Times New Roman" w:cs="Times New Roman"/>
                <w:sz w:val="24"/>
                <w:szCs w:val="24"/>
              </w:rPr>
              <w:t>.</w:t>
            </w:r>
            <w:r w:rsidR="002B262D">
              <w:rPr>
                <w:rFonts w:ascii="Times New Roman" w:hAnsi="Times New Roman" w:cs="Times New Roman"/>
                <w:sz w:val="24"/>
                <w:szCs w:val="24"/>
              </w:rPr>
              <w:t xml:space="preserve"> The final report</w:t>
            </w:r>
            <w:r w:rsidR="007A0214">
              <w:rPr>
                <w:rFonts w:ascii="Times New Roman" w:hAnsi="Times New Roman" w:cs="Times New Roman"/>
                <w:sz w:val="24"/>
                <w:szCs w:val="24"/>
              </w:rPr>
              <w:t xml:space="preserve"> and related recommendations</w:t>
            </w:r>
            <w:r w:rsidR="002B262D">
              <w:rPr>
                <w:rFonts w:ascii="Times New Roman" w:hAnsi="Times New Roman" w:cs="Times New Roman"/>
                <w:sz w:val="24"/>
                <w:szCs w:val="24"/>
              </w:rPr>
              <w:t xml:space="preserve"> will be received by end of </w:t>
            </w:r>
            <w:r w:rsidR="002B262D">
              <w:rPr>
                <w:rFonts w:ascii="Times New Roman" w:hAnsi="Times New Roman" w:cs="Times New Roman"/>
                <w:sz w:val="24"/>
                <w:szCs w:val="24"/>
              </w:rPr>
              <w:lastRenderedPageBreak/>
              <w:t xml:space="preserve">October 2014.  </w:t>
            </w:r>
          </w:p>
        </w:tc>
      </w:tr>
      <w:tr w:rsidR="002F6225" w:rsidTr="00580846">
        <w:tc>
          <w:tcPr>
            <w:tcW w:w="5070" w:type="dxa"/>
            <w:shd w:val="clear" w:color="auto" w:fill="CDFFCD"/>
          </w:tcPr>
          <w:p w:rsidR="002F6225" w:rsidRPr="00EF51ED" w:rsidRDefault="002F6225" w:rsidP="002F6225">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lastRenderedPageBreak/>
              <w:t>15</w:t>
            </w:r>
          </w:p>
          <w:p w:rsidR="002F6225" w:rsidRPr="00EF51ED" w:rsidRDefault="002F6225" w:rsidP="002F6225">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DFAT should better articulate how, when and why it seeks to gain strategic value from its investment in the ACDP</w:t>
            </w:r>
          </w:p>
        </w:tc>
        <w:tc>
          <w:tcPr>
            <w:tcW w:w="4961" w:type="dxa"/>
            <w:shd w:val="clear" w:color="auto" w:fill="CDFFCD"/>
          </w:tcPr>
          <w:p w:rsidR="002F6225" w:rsidRDefault="002F6225" w:rsidP="002F6225">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2F6225" w:rsidRDefault="002F6225" w:rsidP="00CB1187">
            <w:pPr>
              <w:spacing w:before="60" w:after="60"/>
              <w:jc w:val="both"/>
              <w:rPr>
                <w:rFonts w:ascii="Times New Roman" w:hAnsi="Times New Roman" w:cs="Times New Roman"/>
                <w:sz w:val="24"/>
                <w:szCs w:val="24"/>
              </w:rPr>
            </w:pPr>
            <w:r>
              <w:rPr>
                <w:rFonts w:ascii="Times New Roman" w:hAnsi="Times New Roman" w:cs="Times New Roman"/>
                <w:sz w:val="24"/>
                <w:szCs w:val="24"/>
              </w:rPr>
              <w:t>DFAT has engaged with its partners in the ACDP</w:t>
            </w:r>
            <w:r w:rsidR="007A0214">
              <w:rPr>
                <w:rFonts w:ascii="Times New Roman" w:hAnsi="Times New Roman" w:cs="Times New Roman"/>
                <w:sz w:val="24"/>
                <w:szCs w:val="24"/>
              </w:rPr>
              <w:t xml:space="preserve"> (including through regular ACDP Technical Oversight Group meetings and progress meetings with ADB, EU and ACDP Secretariat) </w:t>
            </w:r>
            <w:r>
              <w:rPr>
                <w:rFonts w:ascii="Times New Roman" w:hAnsi="Times New Roman" w:cs="Times New Roman"/>
                <w:sz w:val="24"/>
                <w:szCs w:val="24"/>
              </w:rPr>
              <w:t>to better articulate what we expect to achieve through our support to ACDP.</w:t>
            </w:r>
            <w:r w:rsidR="00B33C3A">
              <w:rPr>
                <w:rFonts w:ascii="Times New Roman" w:hAnsi="Times New Roman" w:cs="Times New Roman"/>
                <w:sz w:val="24"/>
                <w:szCs w:val="24"/>
              </w:rPr>
              <w:t xml:space="preserve"> This is</w:t>
            </w:r>
            <w:r w:rsidR="007A0214">
              <w:rPr>
                <w:rFonts w:ascii="Times New Roman" w:hAnsi="Times New Roman" w:cs="Times New Roman"/>
                <w:sz w:val="24"/>
                <w:szCs w:val="24"/>
              </w:rPr>
              <w:t xml:space="preserve"> consistently</w:t>
            </w:r>
            <w:r w:rsidR="00B33C3A">
              <w:rPr>
                <w:rFonts w:ascii="Times New Roman" w:hAnsi="Times New Roman" w:cs="Times New Roman"/>
                <w:sz w:val="24"/>
                <w:szCs w:val="24"/>
              </w:rPr>
              <w:t xml:space="preserve"> reflected in</w:t>
            </w:r>
            <w:r w:rsidR="007A0214">
              <w:rPr>
                <w:rFonts w:ascii="Times New Roman" w:hAnsi="Times New Roman" w:cs="Times New Roman"/>
                <w:sz w:val="24"/>
                <w:szCs w:val="24"/>
              </w:rPr>
              <w:t xml:space="preserve"> our comments on ACDP Progress Reports and M&amp;E Framework, in</w:t>
            </w:r>
            <w:r w:rsidR="00B33C3A">
              <w:rPr>
                <w:rFonts w:ascii="Times New Roman" w:hAnsi="Times New Roman" w:cs="Times New Roman"/>
                <w:sz w:val="24"/>
                <w:szCs w:val="24"/>
              </w:rPr>
              <w:t xml:space="preserve"> the </w:t>
            </w:r>
            <w:r w:rsidR="00CB1187">
              <w:rPr>
                <w:rFonts w:ascii="Times New Roman" w:hAnsi="Times New Roman" w:cs="Times New Roman"/>
                <w:sz w:val="24"/>
                <w:szCs w:val="24"/>
              </w:rPr>
              <w:t>EP</w:t>
            </w:r>
            <w:r w:rsidR="00DA006D">
              <w:rPr>
                <w:rFonts w:ascii="Times New Roman" w:hAnsi="Times New Roman" w:cs="Times New Roman"/>
                <w:sz w:val="24"/>
                <w:szCs w:val="24"/>
              </w:rPr>
              <w:t xml:space="preserve"> </w:t>
            </w:r>
            <w:r w:rsidR="007A0214">
              <w:rPr>
                <w:rFonts w:ascii="Times New Roman" w:hAnsi="Times New Roman" w:cs="Times New Roman"/>
                <w:sz w:val="24"/>
                <w:szCs w:val="24"/>
              </w:rPr>
              <w:t xml:space="preserve">Performance Milestone Framework and the </w:t>
            </w:r>
            <w:r w:rsidR="00CB1187">
              <w:rPr>
                <w:rFonts w:ascii="Times New Roman" w:hAnsi="Times New Roman" w:cs="Times New Roman"/>
                <w:sz w:val="24"/>
                <w:szCs w:val="24"/>
              </w:rPr>
              <w:t>EP</w:t>
            </w:r>
            <w:r w:rsidR="007A0214">
              <w:rPr>
                <w:rFonts w:ascii="Times New Roman" w:hAnsi="Times New Roman" w:cs="Times New Roman"/>
                <w:sz w:val="24"/>
                <w:szCs w:val="24"/>
              </w:rPr>
              <w:t xml:space="preserve"> Theory of Change and </w:t>
            </w:r>
            <w:r w:rsidR="00CB1187">
              <w:rPr>
                <w:rFonts w:ascii="Times New Roman" w:hAnsi="Times New Roman" w:cs="Times New Roman"/>
                <w:sz w:val="24"/>
                <w:szCs w:val="24"/>
              </w:rPr>
              <w:t>e</w:t>
            </w:r>
            <w:r w:rsidR="007A0214">
              <w:rPr>
                <w:rFonts w:ascii="Times New Roman" w:hAnsi="Times New Roman" w:cs="Times New Roman"/>
                <w:sz w:val="24"/>
                <w:szCs w:val="24"/>
              </w:rPr>
              <w:t>valuation documents.</w:t>
            </w:r>
          </w:p>
        </w:tc>
      </w:tr>
      <w:tr w:rsidR="005619E6" w:rsidTr="00580846">
        <w:tc>
          <w:tcPr>
            <w:tcW w:w="5070" w:type="dxa"/>
            <w:shd w:val="clear" w:color="auto" w:fill="CDFFCD"/>
          </w:tcPr>
          <w:p w:rsidR="005619E6" w:rsidRPr="00EF51ED" w:rsidRDefault="00AE3E2C" w:rsidP="005619E6">
            <w:pPr>
              <w:spacing w:before="60" w:after="60"/>
              <w:jc w:val="both"/>
              <w:rPr>
                <w:rFonts w:ascii="Times New Roman" w:hAnsi="Times New Roman" w:cs="Times New Roman"/>
                <w:b/>
                <w:sz w:val="24"/>
                <w:szCs w:val="24"/>
              </w:rPr>
            </w:pPr>
            <w:r w:rsidRPr="00EF51ED">
              <w:rPr>
                <w:rFonts w:ascii="Times New Roman" w:hAnsi="Times New Roman" w:cs="Times New Roman"/>
                <w:b/>
                <w:sz w:val="24"/>
                <w:szCs w:val="24"/>
              </w:rPr>
              <w:t>16</w:t>
            </w:r>
          </w:p>
          <w:p w:rsidR="00AE3E2C" w:rsidRPr="00EF51ED" w:rsidRDefault="00EF51ED" w:rsidP="005619E6">
            <w:pPr>
              <w:spacing w:before="60" w:after="60"/>
              <w:jc w:val="both"/>
              <w:rPr>
                <w:rFonts w:ascii="Times New Roman" w:hAnsi="Times New Roman" w:cs="Times New Roman"/>
                <w:b/>
                <w:sz w:val="24"/>
                <w:szCs w:val="24"/>
              </w:rPr>
            </w:pPr>
            <w:r w:rsidRPr="00EF51ED">
              <w:rPr>
                <w:rFonts w:ascii="Times New Roman" w:hAnsi="Times New Roman" w:cs="Times New Roman"/>
                <w:sz w:val="24"/>
                <w:szCs w:val="24"/>
              </w:rPr>
              <w:t>DFAT/ACDP should make a concerted effort to identify cross-component links and to flag relevant upcoming events such that ACDP becomes a more integral part of the EP and that synergies are exploited</w:t>
            </w:r>
          </w:p>
        </w:tc>
        <w:tc>
          <w:tcPr>
            <w:tcW w:w="4961" w:type="dxa"/>
            <w:shd w:val="clear" w:color="auto" w:fill="CDFFCD"/>
          </w:tcPr>
          <w:p w:rsidR="005619E6" w:rsidRDefault="00580846" w:rsidP="002F6225">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2F6225">
              <w:rPr>
                <w:rFonts w:ascii="Times New Roman" w:hAnsi="Times New Roman" w:cs="Times New Roman"/>
                <w:b/>
                <w:sz w:val="24"/>
                <w:szCs w:val="24"/>
              </w:rPr>
              <w:t>gree</w:t>
            </w:r>
          </w:p>
        </w:tc>
        <w:tc>
          <w:tcPr>
            <w:tcW w:w="4678" w:type="dxa"/>
            <w:shd w:val="clear" w:color="auto" w:fill="CDFFCD"/>
          </w:tcPr>
          <w:p w:rsidR="005619E6" w:rsidRPr="00580846" w:rsidRDefault="00913585" w:rsidP="00DA006D">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DFAT </w:t>
            </w:r>
            <w:r w:rsidR="00DA006D">
              <w:rPr>
                <w:rFonts w:ascii="Times New Roman" w:hAnsi="Times New Roman" w:cs="Times New Roman"/>
                <w:sz w:val="24"/>
                <w:szCs w:val="24"/>
              </w:rPr>
              <w:t xml:space="preserve">has appointed a part-time </w:t>
            </w:r>
            <w:r>
              <w:rPr>
                <w:rFonts w:ascii="Times New Roman" w:hAnsi="Times New Roman" w:cs="Times New Roman"/>
                <w:sz w:val="24"/>
                <w:szCs w:val="24"/>
              </w:rPr>
              <w:t xml:space="preserve">ACDP Program Manager </w:t>
            </w:r>
            <w:r w:rsidR="00DA006D">
              <w:rPr>
                <w:rFonts w:ascii="Times New Roman" w:hAnsi="Times New Roman" w:cs="Times New Roman"/>
                <w:sz w:val="24"/>
                <w:szCs w:val="24"/>
              </w:rPr>
              <w:t>with</w:t>
            </w:r>
            <w:r>
              <w:rPr>
                <w:rFonts w:ascii="Times New Roman" w:hAnsi="Times New Roman" w:cs="Times New Roman"/>
                <w:sz w:val="24"/>
                <w:szCs w:val="24"/>
              </w:rPr>
              <w:t xml:space="preserve"> specific responsibility for cross-component and cross-program coordination.</w:t>
            </w:r>
            <w:r w:rsidR="00EA49F8">
              <w:rPr>
                <w:rFonts w:ascii="Times New Roman" w:hAnsi="Times New Roman" w:cs="Times New Roman"/>
                <w:sz w:val="24"/>
                <w:szCs w:val="24"/>
              </w:rPr>
              <w:t xml:space="preserve">  </w:t>
            </w:r>
            <w:r w:rsidR="00DA006D">
              <w:rPr>
                <w:rFonts w:ascii="Times New Roman" w:hAnsi="Times New Roman" w:cs="Times New Roman"/>
                <w:sz w:val="24"/>
                <w:szCs w:val="24"/>
              </w:rPr>
              <w:t xml:space="preserve">Recent examples of strengthened cross-portfolio synergies include DFAT’s involvement in the support to Papuan provinces, mother-tongue education, and early childhood development studies.  </w:t>
            </w:r>
            <w:r w:rsidR="00EA49F8">
              <w:rPr>
                <w:rFonts w:ascii="Times New Roman" w:hAnsi="Times New Roman" w:cs="Times New Roman"/>
                <w:sz w:val="24"/>
                <w:szCs w:val="24"/>
              </w:rPr>
              <w:t xml:space="preserve">DFAT will </w:t>
            </w:r>
            <w:r w:rsidR="002F6225">
              <w:rPr>
                <w:rFonts w:ascii="Times New Roman" w:hAnsi="Times New Roman" w:cs="Times New Roman"/>
                <w:sz w:val="24"/>
                <w:szCs w:val="24"/>
              </w:rPr>
              <w:t>continue to work with ACDP and other partners to improve communications around ACDP activities</w:t>
            </w:r>
            <w:r w:rsidR="00EA49F8">
              <w:rPr>
                <w:rFonts w:ascii="Times New Roman" w:hAnsi="Times New Roman" w:cs="Times New Roman"/>
                <w:sz w:val="24"/>
                <w:szCs w:val="24"/>
              </w:rPr>
              <w:t xml:space="preserve">, including </w:t>
            </w:r>
            <w:r w:rsidR="00DA006D">
              <w:rPr>
                <w:rFonts w:ascii="Times New Roman" w:hAnsi="Times New Roman" w:cs="Times New Roman"/>
                <w:sz w:val="24"/>
                <w:szCs w:val="24"/>
              </w:rPr>
              <w:t>by initiating</w:t>
            </w:r>
            <w:r w:rsidR="00EA49F8">
              <w:rPr>
                <w:rFonts w:ascii="Times New Roman" w:hAnsi="Times New Roman" w:cs="Times New Roman"/>
                <w:sz w:val="24"/>
                <w:szCs w:val="24"/>
              </w:rPr>
              <w:t xml:space="preserve"> a weekly </w:t>
            </w:r>
            <w:r w:rsidR="00DA006D">
              <w:rPr>
                <w:rFonts w:ascii="Times New Roman" w:hAnsi="Times New Roman" w:cs="Times New Roman"/>
                <w:sz w:val="24"/>
                <w:szCs w:val="24"/>
              </w:rPr>
              <w:t xml:space="preserve">email </w:t>
            </w:r>
            <w:r w:rsidR="00EA49F8">
              <w:rPr>
                <w:rFonts w:ascii="Times New Roman" w:hAnsi="Times New Roman" w:cs="Times New Roman"/>
                <w:sz w:val="24"/>
                <w:szCs w:val="24"/>
              </w:rPr>
              <w:t xml:space="preserve">update </w:t>
            </w:r>
            <w:r w:rsidR="00DA006D">
              <w:rPr>
                <w:rFonts w:ascii="Times New Roman" w:hAnsi="Times New Roman" w:cs="Times New Roman"/>
                <w:sz w:val="24"/>
                <w:szCs w:val="24"/>
              </w:rPr>
              <w:t>from</w:t>
            </w:r>
            <w:r w:rsidR="00EA49F8">
              <w:rPr>
                <w:rFonts w:ascii="Times New Roman" w:hAnsi="Times New Roman" w:cs="Times New Roman"/>
                <w:sz w:val="24"/>
                <w:szCs w:val="24"/>
              </w:rPr>
              <w:t xml:space="preserve"> the ACDP Secretariat to relevant stakeholder</w:t>
            </w:r>
            <w:r w:rsidR="00DA006D">
              <w:rPr>
                <w:rFonts w:ascii="Times New Roman" w:hAnsi="Times New Roman" w:cs="Times New Roman"/>
                <w:sz w:val="24"/>
                <w:szCs w:val="24"/>
              </w:rPr>
              <w:t>s</w:t>
            </w:r>
            <w:r w:rsidR="00EA49F8">
              <w:rPr>
                <w:rFonts w:ascii="Times New Roman" w:hAnsi="Times New Roman" w:cs="Times New Roman"/>
                <w:sz w:val="24"/>
                <w:szCs w:val="24"/>
              </w:rPr>
              <w:t xml:space="preserve"> on current and upcoming activities.</w:t>
            </w:r>
          </w:p>
        </w:tc>
      </w:tr>
    </w:tbl>
    <w:p w:rsidR="00974DDA" w:rsidRDefault="00974DDA">
      <w:r>
        <w:br w:type="page"/>
      </w:r>
    </w:p>
    <w:p w:rsidR="00AE3E2C" w:rsidRDefault="00AE3E2C"/>
    <w:tbl>
      <w:tblPr>
        <w:tblStyle w:val="TableGrid"/>
        <w:tblW w:w="0" w:type="auto"/>
        <w:tblLook w:val="04A0" w:firstRow="1" w:lastRow="0" w:firstColumn="1" w:lastColumn="0" w:noHBand="0" w:noVBand="1"/>
      </w:tblPr>
      <w:tblGrid>
        <w:gridCol w:w="5070"/>
        <w:gridCol w:w="4961"/>
        <w:gridCol w:w="4678"/>
      </w:tblGrid>
      <w:tr w:rsidR="00AE3E2C" w:rsidTr="00AE3E2C">
        <w:tc>
          <w:tcPr>
            <w:tcW w:w="14709" w:type="dxa"/>
            <w:gridSpan w:val="3"/>
          </w:tcPr>
          <w:p w:rsidR="00AE3E2C"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8"/>
                <w:szCs w:val="28"/>
              </w:rPr>
              <w:t>Beneficiaries</w:t>
            </w:r>
            <w:r w:rsidRPr="00AE3E2C">
              <w:rPr>
                <w:rFonts w:ascii="Times New Roman" w:hAnsi="Times New Roman" w:cs="Times New Roman"/>
                <w:b/>
                <w:sz w:val="28"/>
                <w:szCs w:val="28"/>
              </w:rPr>
              <w:t xml:space="preserve"> of</w:t>
            </w:r>
            <w:r w:rsidR="00A07D4A">
              <w:rPr>
                <w:rFonts w:ascii="Times New Roman" w:hAnsi="Times New Roman" w:cs="Times New Roman"/>
                <w:b/>
                <w:sz w:val="28"/>
                <w:szCs w:val="28"/>
              </w:rPr>
              <w:t xml:space="preserve"> the</w:t>
            </w:r>
            <w:r w:rsidRPr="00AE3E2C">
              <w:rPr>
                <w:rFonts w:ascii="Times New Roman" w:hAnsi="Times New Roman" w:cs="Times New Roman"/>
                <w:b/>
                <w:sz w:val="28"/>
                <w:szCs w:val="28"/>
              </w:rPr>
              <w:t xml:space="preserve"> EP</w:t>
            </w:r>
          </w:p>
        </w:tc>
      </w:tr>
      <w:tr w:rsidR="00AE3E2C" w:rsidTr="005619E6">
        <w:tc>
          <w:tcPr>
            <w:tcW w:w="5070"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tc>
        <w:tc>
          <w:tcPr>
            <w:tcW w:w="4961" w:type="dxa"/>
          </w:tcPr>
          <w:p w:rsidR="00AE3E2C" w:rsidRDefault="00F35A3E"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Management </w:t>
            </w:r>
            <w:r w:rsidR="00AE3E2C">
              <w:rPr>
                <w:rFonts w:ascii="Times New Roman" w:hAnsi="Times New Roman" w:cs="Times New Roman"/>
                <w:b/>
                <w:sz w:val="24"/>
                <w:szCs w:val="24"/>
              </w:rPr>
              <w:t xml:space="preserve">Response </w:t>
            </w:r>
          </w:p>
        </w:tc>
        <w:tc>
          <w:tcPr>
            <w:tcW w:w="4678"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Actions</w:t>
            </w:r>
          </w:p>
        </w:tc>
      </w:tr>
      <w:tr w:rsidR="005619E6" w:rsidTr="00A1758C">
        <w:tc>
          <w:tcPr>
            <w:tcW w:w="5070" w:type="dxa"/>
            <w:shd w:val="clear" w:color="auto" w:fill="CDFFCD"/>
          </w:tcPr>
          <w:p w:rsidR="005619E6"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17</w:t>
            </w:r>
          </w:p>
          <w:p w:rsidR="00AE3E2C" w:rsidRDefault="00AE3E2C" w:rsidP="005619E6">
            <w:pPr>
              <w:spacing w:before="60" w:after="60"/>
              <w:jc w:val="both"/>
              <w:rPr>
                <w:rFonts w:ascii="Times New Roman" w:hAnsi="Times New Roman" w:cs="Times New Roman"/>
                <w:b/>
                <w:sz w:val="24"/>
                <w:szCs w:val="24"/>
              </w:rPr>
            </w:pPr>
            <w:r w:rsidRPr="00E631C9">
              <w:rPr>
                <w:rFonts w:ascii="Times New Roman" w:hAnsi="Times New Roman" w:cs="Times New Roman"/>
                <w:sz w:val="24"/>
              </w:rPr>
              <w:t>Institutional partners should identify categories of beneficiaries whose targeting will increase the likelihood of EOPO achievement, and devise a targeting strategy for each component</w:t>
            </w:r>
          </w:p>
        </w:tc>
        <w:tc>
          <w:tcPr>
            <w:tcW w:w="4961" w:type="dxa"/>
            <w:shd w:val="clear" w:color="auto" w:fill="CDFFCD"/>
          </w:tcPr>
          <w:p w:rsidR="005619E6" w:rsidRDefault="00A1758C" w:rsidP="00C57F17">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C57F17">
              <w:rPr>
                <w:rFonts w:ascii="Times New Roman" w:hAnsi="Times New Roman" w:cs="Times New Roman"/>
                <w:b/>
                <w:sz w:val="24"/>
                <w:szCs w:val="24"/>
              </w:rPr>
              <w:t>gree</w:t>
            </w:r>
          </w:p>
        </w:tc>
        <w:tc>
          <w:tcPr>
            <w:tcW w:w="4678" w:type="dxa"/>
            <w:shd w:val="clear" w:color="auto" w:fill="CDFFCD"/>
          </w:tcPr>
          <w:p w:rsidR="00C57F17" w:rsidRPr="00DA006D" w:rsidRDefault="00302F39" w:rsidP="005619E6">
            <w:pPr>
              <w:spacing w:before="60" w:after="60"/>
              <w:jc w:val="both"/>
              <w:rPr>
                <w:rFonts w:ascii="Times New Roman" w:hAnsi="Times New Roman" w:cs="Times New Roman"/>
                <w:sz w:val="24"/>
                <w:szCs w:val="24"/>
              </w:rPr>
            </w:pPr>
            <w:r w:rsidRPr="00DA006D">
              <w:rPr>
                <w:rFonts w:ascii="Times New Roman" w:hAnsi="Times New Roman" w:cs="Times New Roman"/>
                <w:sz w:val="24"/>
                <w:szCs w:val="24"/>
              </w:rPr>
              <w:t xml:space="preserve">Since completion of the APPR, DFAT  has </w:t>
            </w:r>
            <w:r w:rsidR="00E30572" w:rsidRPr="00DA006D">
              <w:rPr>
                <w:rFonts w:ascii="Times New Roman" w:hAnsi="Times New Roman" w:cs="Times New Roman"/>
                <w:sz w:val="24"/>
                <w:szCs w:val="24"/>
              </w:rPr>
              <w:t xml:space="preserve">done further work in relation to </w:t>
            </w:r>
            <w:r w:rsidR="001A0341" w:rsidRPr="00DA006D">
              <w:rPr>
                <w:rFonts w:ascii="Times New Roman" w:hAnsi="Times New Roman" w:cs="Times New Roman"/>
                <w:sz w:val="24"/>
                <w:szCs w:val="24"/>
              </w:rPr>
              <w:t>targeting</w:t>
            </w:r>
            <w:r w:rsidRPr="00DA006D">
              <w:rPr>
                <w:rFonts w:ascii="Times New Roman" w:hAnsi="Times New Roman" w:cs="Times New Roman"/>
                <w:sz w:val="24"/>
                <w:szCs w:val="24"/>
              </w:rPr>
              <w:t xml:space="preserve">. </w:t>
            </w:r>
          </w:p>
          <w:p w:rsidR="00567C32" w:rsidRPr="00DA006D" w:rsidRDefault="00567C32" w:rsidP="005619E6">
            <w:pPr>
              <w:spacing w:before="60" w:after="60"/>
              <w:jc w:val="both"/>
              <w:rPr>
                <w:rFonts w:ascii="Times New Roman" w:hAnsi="Times New Roman" w:cs="Times New Roman"/>
                <w:sz w:val="24"/>
                <w:szCs w:val="24"/>
              </w:rPr>
            </w:pPr>
            <w:r w:rsidRPr="00DA006D">
              <w:rPr>
                <w:rFonts w:ascii="Times New Roman" w:hAnsi="Times New Roman" w:cs="Times New Roman"/>
                <w:sz w:val="24"/>
                <w:szCs w:val="24"/>
              </w:rPr>
              <w:t xml:space="preserve">For </w:t>
            </w:r>
            <w:r w:rsidR="00E30572" w:rsidRPr="00DA006D">
              <w:rPr>
                <w:rFonts w:ascii="Times New Roman" w:hAnsi="Times New Roman" w:cs="Times New Roman"/>
                <w:sz w:val="24"/>
                <w:szCs w:val="24"/>
              </w:rPr>
              <w:t xml:space="preserve">example, in </w:t>
            </w:r>
            <w:r w:rsidRPr="00DA006D">
              <w:rPr>
                <w:rFonts w:ascii="Times New Roman" w:hAnsi="Times New Roman" w:cs="Times New Roman"/>
                <w:sz w:val="24"/>
                <w:szCs w:val="24"/>
              </w:rPr>
              <w:t xml:space="preserve">Component 1 DFAT has been </w:t>
            </w:r>
            <w:r w:rsidR="00803961" w:rsidRPr="00DA006D">
              <w:rPr>
                <w:rFonts w:ascii="Times New Roman" w:hAnsi="Times New Roman" w:cs="Times New Roman"/>
                <w:sz w:val="24"/>
                <w:szCs w:val="24"/>
              </w:rPr>
              <w:t xml:space="preserve">supporting </w:t>
            </w:r>
            <w:r w:rsidR="00E30572" w:rsidRPr="00DA006D">
              <w:rPr>
                <w:rFonts w:ascii="Times New Roman" w:hAnsi="Times New Roman" w:cs="Times New Roman"/>
                <w:sz w:val="24"/>
                <w:szCs w:val="24"/>
              </w:rPr>
              <w:t>low enrolment d</w:t>
            </w:r>
            <w:r w:rsidR="00803961" w:rsidRPr="00DA006D">
              <w:rPr>
                <w:rFonts w:ascii="Times New Roman" w:hAnsi="Times New Roman" w:cs="Times New Roman"/>
                <w:sz w:val="24"/>
                <w:szCs w:val="24"/>
              </w:rPr>
              <w:t xml:space="preserve">istricts to better plan for new school infrastructure through </w:t>
            </w:r>
            <w:r w:rsidRPr="00DA006D">
              <w:rPr>
                <w:rFonts w:ascii="Times New Roman" w:hAnsi="Times New Roman" w:cs="Times New Roman"/>
                <w:sz w:val="24"/>
                <w:szCs w:val="24"/>
              </w:rPr>
              <w:t xml:space="preserve">training </w:t>
            </w:r>
            <w:r w:rsidR="00E30572" w:rsidRPr="00DA006D">
              <w:rPr>
                <w:rFonts w:ascii="Times New Roman" w:hAnsi="Times New Roman" w:cs="Times New Roman"/>
                <w:sz w:val="24"/>
                <w:szCs w:val="24"/>
              </w:rPr>
              <w:t xml:space="preserve">and ongoing mentoring </w:t>
            </w:r>
            <w:r w:rsidRPr="00DA006D">
              <w:rPr>
                <w:rFonts w:ascii="Times New Roman" w:hAnsi="Times New Roman" w:cs="Times New Roman"/>
                <w:sz w:val="24"/>
                <w:szCs w:val="24"/>
              </w:rPr>
              <w:t xml:space="preserve">for </w:t>
            </w:r>
            <w:r w:rsidR="00E30572" w:rsidRPr="00DA006D">
              <w:rPr>
                <w:rFonts w:ascii="Times New Roman" w:hAnsi="Times New Roman" w:cs="Times New Roman"/>
                <w:sz w:val="24"/>
                <w:szCs w:val="24"/>
              </w:rPr>
              <w:t xml:space="preserve">district education officers in school master planning. </w:t>
            </w:r>
          </w:p>
          <w:p w:rsidR="005619E6" w:rsidRPr="00DA006D" w:rsidRDefault="00E30572" w:rsidP="00E30572">
            <w:pPr>
              <w:spacing w:before="60" w:after="60"/>
              <w:jc w:val="both"/>
              <w:rPr>
                <w:rFonts w:ascii="Times New Roman" w:hAnsi="Times New Roman" w:cs="Times New Roman"/>
                <w:sz w:val="24"/>
                <w:szCs w:val="24"/>
              </w:rPr>
            </w:pPr>
            <w:r w:rsidRPr="00DA006D">
              <w:rPr>
                <w:rFonts w:ascii="Times New Roman" w:hAnsi="Times New Roman" w:cs="Times New Roman"/>
                <w:sz w:val="24"/>
                <w:szCs w:val="24"/>
              </w:rPr>
              <w:t xml:space="preserve">In </w:t>
            </w:r>
            <w:r w:rsidR="00D23516" w:rsidRPr="00DA006D">
              <w:rPr>
                <w:rFonts w:ascii="Times New Roman" w:hAnsi="Times New Roman" w:cs="Times New Roman"/>
                <w:sz w:val="24"/>
                <w:szCs w:val="24"/>
              </w:rPr>
              <w:t>Component 2 the selection process for principals is based on performance appraisal and actively targets those with lower performance on key skill areas.</w:t>
            </w:r>
            <w:r w:rsidR="00302F39" w:rsidRPr="00DA006D">
              <w:rPr>
                <w:rFonts w:ascii="Times New Roman" w:hAnsi="Times New Roman" w:cs="Times New Roman"/>
                <w:sz w:val="24"/>
                <w:szCs w:val="24"/>
              </w:rPr>
              <w:t xml:space="preserve"> </w:t>
            </w:r>
          </w:p>
          <w:p w:rsidR="00E30572" w:rsidRPr="00DA006D" w:rsidRDefault="00E30572" w:rsidP="00E30572">
            <w:pPr>
              <w:spacing w:before="60" w:after="60"/>
              <w:jc w:val="both"/>
              <w:rPr>
                <w:rFonts w:ascii="Times New Roman" w:hAnsi="Times New Roman" w:cs="Times New Roman"/>
                <w:sz w:val="24"/>
                <w:szCs w:val="24"/>
              </w:rPr>
            </w:pPr>
            <w:r w:rsidRPr="00DA006D">
              <w:rPr>
                <w:rFonts w:ascii="Times New Roman" w:hAnsi="Times New Roman" w:cs="Times New Roman"/>
                <w:sz w:val="24"/>
                <w:szCs w:val="24"/>
              </w:rPr>
              <w:t>In C</w:t>
            </w:r>
            <w:r w:rsidR="00612780" w:rsidRPr="00DA006D">
              <w:rPr>
                <w:rFonts w:ascii="Times New Roman" w:hAnsi="Times New Roman" w:cs="Times New Roman"/>
                <w:sz w:val="24"/>
                <w:szCs w:val="24"/>
              </w:rPr>
              <w:t>omponent 3 evidence from evaluation of Phase 1 showed that the madrasah who made the most gains in quality improvement were those that had the poorest performance against the eight national education standards. Th</w:t>
            </w:r>
            <w:r w:rsidR="00DA006D" w:rsidRPr="00DA006D">
              <w:rPr>
                <w:rFonts w:ascii="Times New Roman" w:hAnsi="Times New Roman" w:cs="Times New Roman"/>
                <w:sz w:val="24"/>
                <w:szCs w:val="24"/>
              </w:rPr>
              <w:t>is</w:t>
            </w:r>
            <w:r w:rsidR="00612780" w:rsidRPr="00DA006D">
              <w:rPr>
                <w:rFonts w:ascii="Times New Roman" w:hAnsi="Times New Roman" w:cs="Times New Roman"/>
                <w:sz w:val="24"/>
                <w:szCs w:val="24"/>
              </w:rPr>
              <w:t xml:space="preserve"> type of madrasah </w:t>
            </w:r>
            <w:r w:rsidR="00DA006D" w:rsidRPr="00DA006D">
              <w:rPr>
                <w:rFonts w:ascii="Times New Roman" w:hAnsi="Times New Roman" w:cs="Times New Roman"/>
                <w:sz w:val="24"/>
                <w:szCs w:val="24"/>
              </w:rPr>
              <w:t>is</w:t>
            </w:r>
            <w:r w:rsidR="00612780" w:rsidRPr="00DA006D">
              <w:rPr>
                <w:rFonts w:ascii="Times New Roman" w:hAnsi="Times New Roman" w:cs="Times New Roman"/>
                <w:sz w:val="24"/>
                <w:szCs w:val="24"/>
              </w:rPr>
              <w:t xml:space="preserve"> explicitly targeted in Phase 3. </w:t>
            </w:r>
          </w:p>
          <w:p w:rsidR="00E30572" w:rsidRPr="00BD2348" w:rsidRDefault="00E30572" w:rsidP="00E30572">
            <w:pPr>
              <w:spacing w:before="60" w:after="60"/>
              <w:jc w:val="both"/>
              <w:rPr>
                <w:rFonts w:ascii="Times New Roman" w:hAnsi="Times New Roman" w:cs="Times New Roman"/>
                <w:sz w:val="24"/>
                <w:szCs w:val="24"/>
                <w:highlight w:val="yellow"/>
              </w:rPr>
            </w:pPr>
            <w:r w:rsidRPr="00DA006D">
              <w:rPr>
                <w:rFonts w:ascii="Times New Roman" w:hAnsi="Times New Roman" w:cs="Times New Roman"/>
                <w:sz w:val="24"/>
                <w:szCs w:val="24"/>
              </w:rPr>
              <w:t>We will continue to work with the Government of Indonesia to ensure targeting strategies for each component are clear.</w:t>
            </w:r>
          </w:p>
        </w:tc>
      </w:tr>
      <w:tr w:rsidR="005619E6" w:rsidTr="00A1758C">
        <w:tc>
          <w:tcPr>
            <w:tcW w:w="5070" w:type="dxa"/>
            <w:shd w:val="clear" w:color="auto" w:fill="CDFFCD"/>
          </w:tcPr>
          <w:p w:rsidR="005619E6"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18</w:t>
            </w:r>
          </w:p>
          <w:p w:rsidR="00AE3E2C" w:rsidRDefault="00AE3E2C"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Institutional partners should finalise and implement a social inclusion strategy that outlines objectives, boundaries, indicators and targets; and describes what the EP aspires to, i.e. what it should be doing, not just what it is doing</w:t>
            </w:r>
          </w:p>
        </w:tc>
        <w:tc>
          <w:tcPr>
            <w:tcW w:w="4961" w:type="dxa"/>
            <w:shd w:val="clear" w:color="auto" w:fill="CDFFCD"/>
          </w:tcPr>
          <w:p w:rsidR="005619E6" w:rsidRDefault="00E30572" w:rsidP="00E30572">
            <w:pPr>
              <w:spacing w:before="60" w:after="60"/>
              <w:jc w:val="both"/>
              <w:rPr>
                <w:rFonts w:ascii="Times New Roman" w:hAnsi="Times New Roman" w:cs="Times New Roman"/>
                <w:b/>
                <w:sz w:val="24"/>
                <w:szCs w:val="24"/>
              </w:rPr>
            </w:pPr>
            <w:r>
              <w:rPr>
                <w:rFonts w:ascii="Times New Roman" w:hAnsi="Times New Roman" w:cs="Times New Roman"/>
                <w:b/>
                <w:sz w:val="24"/>
                <w:szCs w:val="24"/>
              </w:rPr>
              <w:t>Partially a</w:t>
            </w:r>
            <w:r w:rsidR="005F0968">
              <w:rPr>
                <w:rFonts w:ascii="Times New Roman" w:hAnsi="Times New Roman" w:cs="Times New Roman"/>
                <w:b/>
                <w:sz w:val="24"/>
                <w:szCs w:val="24"/>
              </w:rPr>
              <w:t>gree</w:t>
            </w:r>
          </w:p>
        </w:tc>
        <w:tc>
          <w:tcPr>
            <w:tcW w:w="4678" w:type="dxa"/>
            <w:shd w:val="clear" w:color="auto" w:fill="CDFFCD"/>
          </w:tcPr>
          <w:p w:rsidR="005619E6" w:rsidRPr="00BD2348" w:rsidRDefault="001570DA" w:rsidP="00DA006D">
            <w:pPr>
              <w:spacing w:before="60" w:after="60"/>
              <w:jc w:val="both"/>
              <w:rPr>
                <w:rFonts w:ascii="Times New Roman" w:hAnsi="Times New Roman" w:cs="Times New Roman"/>
                <w:sz w:val="24"/>
                <w:szCs w:val="24"/>
                <w:highlight w:val="yellow"/>
              </w:rPr>
            </w:pPr>
            <w:r w:rsidRPr="00DA006D">
              <w:rPr>
                <w:rFonts w:ascii="Times New Roman" w:hAnsi="Times New Roman" w:cs="Times New Roman"/>
                <w:sz w:val="24"/>
                <w:szCs w:val="24"/>
              </w:rPr>
              <w:t>DFAT tasked t</w:t>
            </w:r>
            <w:r w:rsidR="00692348" w:rsidRPr="00DA006D">
              <w:rPr>
                <w:rFonts w:ascii="Times New Roman" w:hAnsi="Times New Roman" w:cs="Times New Roman"/>
                <w:sz w:val="24"/>
                <w:szCs w:val="24"/>
              </w:rPr>
              <w:t xml:space="preserve">he SSQ contractor </w:t>
            </w:r>
            <w:r w:rsidRPr="00DA006D">
              <w:rPr>
                <w:rFonts w:ascii="Times New Roman" w:hAnsi="Times New Roman" w:cs="Times New Roman"/>
                <w:sz w:val="24"/>
                <w:szCs w:val="24"/>
              </w:rPr>
              <w:t>with</w:t>
            </w:r>
            <w:r w:rsidR="00692348" w:rsidRPr="00DA006D">
              <w:rPr>
                <w:rFonts w:ascii="Times New Roman" w:hAnsi="Times New Roman" w:cs="Times New Roman"/>
                <w:sz w:val="24"/>
                <w:szCs w:val="24"/>
              </w:rPr>
              <w:t xml:space="preserve"> recruiting a social inclusion advisor</w:t>
            </w:r>
            <w:r w:rsidRPr="00DA006D">
              <w:rPr>
                <w:rFonts w:ascii="Times New Roman" w:hAnsi="Times New Roman" w:cs="Times New Roman"/>
                <w:sz w:val="24"/>
                <w:szCs w:val="24"/>
              </w:rPr>
              <w:t xml:space="preserve"> (</w:t>
            </w:r>
            <w:r w:rsidR="00692348" w:rsidRPr="00DA006D">
              <w:rPr>
                <w:rFonts w:ascii="Times New Roman" w:hAnsi="Times New Roman" w:cs="Times New Roman"/>
                <w:sz w:val="24"/>
                <w:szCs w:val="24"/>
              </w:rPr>
              <w:t xml:space="preserve">to </w:t>
            </w:r>
            <w:r w:rsidRPr="00DA006D">
              <w:rPr>
                <w:rFonts w:ascii="Times New Roman" w:hAnsi="Times New Roman" w:cs="Times New Roman"/>
                <w:sz w:val="24"/>
                <w:szCs w:val="24"/>
              </w:rPr>
              <w:t>commence</w:t>
            </w:r>
            <w:r w:rsidR="00DA006D" w:rsidRPr="00DA006D">
              <w:rPr>
                <w:rFonts w:ascii="Times New Roman" w:hAnsi="Times New Roman" w:cs="Times New Roman"/>
                <w:sz w:val="24"/>
                <w:szCs w:val="24"/>
              </w:rPr>
              <w:t xml:space="preserve"> </w:t>
            </w:r>
            <w:r w:rsidR="001A0341" w:rsidRPr="00DA006D">
              <w:rPr>
                <w:rFonts w:ascii="Times New Roman" w:hAnsi="Times New Roman" w:cs="Times New Roman"/>
                <w:sz w:val="24"/>
                <w:szCs w:val="24"/>
              </w:rPr>
              <w:t>in October</w:t>
            </w:r>
            <w:r w:rsidR="00DA006D" w:rsidRPr="00DA006D">
              <w:rPr>
                <w:rFonts w:ascii="Times New Roman" w:hAnsi="Times New Roman" w:cs="Times New Roman"/>
                <w:sz w:val="24"/>
                <w:szCs w:val="24"/>
              </w:rPr>
              <w:t xml:space="preserve"> 2014</w:t>
            </w:r>
            <w:r w:rsidRPr="00DA006D">
              <w:rPr>
                <w:rFonts w:ascii="Times New Roman" w:hAnsi="Times New Roman" w:cs="Times New Roman"/>
                <w:sz w:val="24"/>
                <w:szCs w:val="24"/>
              </w:rPr>
              <w:t>)</w:t>
            </w:r>
            <w:r w:rsidR="00692348" w:rsidRPr="00DA006D">
              <w:rPr>
                <w:rFonts w:ascii="Times New Roman" w:hAnsi="Times New Roman" w:cs="Times New Roman"/>
                <w:sz w:val="24"/>
                <w:szCs w:val="24"/>
              </w:rPr>
              <w:t xml:space="preserve">. </w:t>
            </w:r>
            <w:r w:rsidR="00DA006D" w:rsidRPr="00DA006D">
              <w:rPr>
                <w:rFonts w:ascii="Times New Roman" w:hAnsi="Times New Roman" w:cs="Times New Roman"/>
                <w:sz w:val="24"/>
                <w:szCs w:val="24"/>
              </w:rPr>
              <w:t>This adviser</w:t>
            </w:r>
            <w:r w:rsidR="00692348" w:rsidRPr="00DA006D">
              <w:rPr>
                <w:rFonts w:ascii="Times New Roman" w:hAnsi="Times New Roman" w:cs="Times New Roman"/>
                <w:sz w:val="24"/>
                <w:szCs w:val="24"/>
              </w:rPr>
              <w:t xml:space="preserve"> will work with each component team to </w:t>
            </w:r>
            <w:r w:rsidR="00DA006D" w:rsidRPr="00DA006D">
              <w:rPr>
                <w:rFonts w:ascii="Times New Roman" w:hAnsi="Times New Roman" w:cs="Times New Roman"/>
                <w:sz w:val="24"/>
                <w:szCs w:val="24"/>
              </w:rPr>
              <w:t>identify</w:t>
            </w:r>
            <w:r w:rsidRPr="00DA006D">
              <w:rPr>
                <w:rFonts w:ascii="Times New Roman" w:hAnsi="Times New Roman" w:cs="Times New Roman"/>
                <w:sz w:val="24"/>
                <w:szCs w:val="24"/>
              </w:rPr>
              <w:t xml:space="preserve"> </w:t>
            </w:r>
            <w:r w:rsidR="00DA006D" w:rsidRPr="00DA006D">
              <w:rPr>
                <w:rFonts w:ascii="Times New Roman" w:hAnsi="Times New Roman" w:cs="Times New Roman"/>
                <w:sz w:val="24"/>
                <w:szCs w:val="24"/>
              </w:rPr>
              <w:t>opportunities for</w:t>
            </w:r>
            <w:r w:rsidRPr="00DA006D">
              <w:rPr>
                <w:rFonts w:ascii="Times New Roman" w:hAnsi="Times New Roman" w:cs="Times New Roman"/>
                <w:sz w:val="24"/>
                <w:szCs w:val="24"/>
              </w:rPr>
              <w:t xml:space="preserve"> the program </w:t>
            </w:r>
            <w:r w:rsidR="00DA006D" w:rsidRPr="00DA006D">
              <w:rPr>
                <w:rFonts w:ascii="Times New Roman" w:hAnsi="Times New Roman" w:cs="Times New Roman"/>
                <w:sz w:val="24"/>
                <w:szCs w:val="24"/>
              </w:rPr>
              <w:t xml:space="preserve">to </w:t>
            </w:r>
            <w:r w:rsidR="00692348" w:rsidRPr="00DA006D">
              <w:rPr>
                <w:rFonts w:ascii="Times New Roman" w:hAnsi="Times New Roman" w:cs="Times New Roman"/>
                <w:sz w:val="24"/>
                <w:szCs w:val="24"/>
              </w:rPr>
              <w:t xml:space="preserve">promote social inclusion </w:t>
            </w:r>
            <w:r w:rsidR="00DA006D" w:rsidRPr="00DA006D">
              <w:rPr>
                <w:rFonts w:ascii="Times New Roman" w:hAnsi="Times New Roman" w:cs="Times New Roman"/>
                <w:sz w:val="24"/>
                <w:szCs w:val="24"/>
              </w:rPr>
              <w:t xml:space="preserve">more effectively, </w:t>
            </w:r>
            <w:r w:rsidR="00692348" w:rsidRPr="00DA006D">
              <w:rPr>
                <w:rFonts w:ascii="Times New Roman" w:hAnsi="Times New Roman" w:cs="Times New Roman"/>
                <w:sz w:val="24"/>
                <w:szCs w:val="24"/>
              </w:rPr>
              <w:t xml:space="preserve">and </w:t>
            </w:r>
            <w:r w:rsidR="00DA006D" w:rsidRPr="00DA006D">
              <w:rPr>
                <w:rFonts w:ascii="Times New Roman" w:hAnsi="Times New Roman" w:cs="Times New Roman"/>
                <w:sz w:val="24"/>
                <w:szCs w:val="24"/>
              </w:rPr>
              <w:t xml:space="preserve">will subsequently support the teams on </w:t>
            </w:r>
            <w:r w:rsidR="00DA006D" w:rsidRPr="00DA006D">
              <w:rPr>
                <w:rFonts w:ascii="Times New Roman" w:hAnsi="Times New Roman" w:cs="Times New Roman"/>
                <w:sz w:val="24"/>
                <w:szCs w:val="24"/>
              </w:rPr>
              <w:lastRenderedPageBreak/>
              <w:t>implementation.</w:t>
            </w:r>
          </w:p>
        </w:tc>
      </w:tr>
      <w:tr w:rsidR="005619E6" w:rsidTr="00A1758C">
        <w:tc>
          <w:tcPr>
            <w:tcW w:w="5070" w:type="dxa"/>
            <w:shd w:val="clear" w:color="auto" w:fill="CDFFCD"/>
          </w:tcPr>
          <w:p w:rsidR="005619E6"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19</w:t>
            </w:r>
          </w:p>
          <w:p w:rsidR="00AE3E2C" w:rsidRDefault="00AE3E2C"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Institutional partners should clarify the extent to which equity is an objective of the EP and, where appropriate, explore EP targeting objectives and review selection criteria and targeting mechanisms</w:t>
            </w:r>
          </w:p>
        </w:tc>
        <w:tc>
          <w:tcPr>
            <w:tcW w:w="4961" w:type="dxa"/>
            <w:shd w:val="clear" w:color="auto" w:fill="CDFFCD"/>
          </w:tcPr>
          <w:p w:rsidR="005619E6" w:rsidRDefault="00A1758C" w:rsidP="005F0968">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5F0968">
              <w:rPr>
                <w:rFonts w:ascii="Times New Roman" w:hAnsi="Times New Roman" w:cs="Times New Roman"/>
                <w:b/>
                <w:sz w:val="24"/>
                <w:szCs w:val="24"/>
              </w:rPr>
              <w:t>gree</w:t>
            </w:r>
          </w:p>
        </w:tc>
        <w:tc>
          <w:tcPr>
            <w:tcW w:w="4678" w:type="dxa"/>
            <w:shd w:val="clear" w:color="auto" w:fill="CDFFCD"/>
          </w:tcPr>
          <w:p w:rsidR="005619E6" w:rsidRPr="00350745" w:rsidRDefault="001570DA" w:rsidP="001570DA">
            <w:pPr>
              <w:spacing w:before="60" w:after="60"/>
              <w:jc w:val="both"/>
              <w:rPr>
                <w:rFonts w:ascii="Times New Roman" w:hAnsi="Times New Roman" w:cs="Times New Roman"/>
                <w:sz w:val="24"/>
                <w:szCs w:val="24"/>
              </w:rPr>
            </w:pPr>
            <w:r w:rsidRPr="00350745">
              <w:rPr>
                <w:rFonts w:ascii="Times New Roman" w:hAnsi="Times New Roman" w:cs="Times New Roman"/>
                <w:sz w:val="24"/>
                <w:szCs w:val="24"/>
              </w:rPr>
              <w:t xml:space="preserve">Equity issues have been </w:t>
            </w:r>
            <w:r w:rsidR="00350745" w:rsidRPr="00350745">
              <w:rPr>
                <w:rFonts w:ascii="Times New Roman" w:hAnsi="Times New Roman" w:cs="Times New Roman"/>
                <w:sz w:val="24"/>
                <w:szCs w:val="24"/>
              </w:rPr>
              <w:t>reviewed</w:t>
            </w:r>
            <w:r w:rsidRPr="00350745">
              <w:rPr>
                <w:rFonts w:ascii="Times New Roman" w:hAnsi="Times New Roman" w:cs="Times New Roman"/>
                <w:sz w:val="24"/>
                <w:szCs w:val="24"/>
              </w:rPr>
              <w:t xml:space="preserve"> in </w:t>
            </w:r>
            <w:r w:rsidR="00034A50" w:rsidRPr="00350745">
              <w:rPr>
                <w:rFonts w:ascii="Times New Roman" w:hAnsi="Times New Roman" w:cs="Times New Roman"/>
                <w:sz w:val="24"/>
                <w:szCs w:val="24"/>
              </w:rPr>
              <w:t>relation</w:t>
            </w:r>
            <w:r w:rsidRPr="00350745">
              <w:rPr>
                <w:rFonts w:ascii="Times New Roman" w:hAnsi="Times New Roman" w:cs="Times New Roman"/>
                <w:sz w:val="24"/>
                <w:szCs w:val="24"/>
              </w:rPr>
              <w:t xml:space="preserve"> to each component of the program and </w:t>
            </w:r>
            <w:r w:rsidR="00692348" w:rsidRPr="00350745">
              <w:rPr>
                <w:rFonts w:ascii="Times New Roman" w:hAnsi="Times New Roman" w:cs="Times New Roman"/>
                <w:sz w:val="24"/>
                <w:szCs w:val="24"/>
              </w:rPr>
              <w:t>component</w:t>
            </w:r>
            <w:r w:rsidR="00350745" w:rsidRPr="00350745">
              <w:rPr>
                <w:rFonts w:ascii="Times New Roman" w:hAnsi="Times New Roman" w:cs="Times New Roman"/>
                <w:sz w:val="24"/>
                <w:szCs w:val="24"/>
              </w:rPr>
              <w:t>-specific responses agreed</w:t>
            </w:r>
            <w:r w:rsidR="00692348" w:rsidRPr="00350745">
              <w:rPr>
                <w:rFonts w:ascii="Times New Roman" w:hAnsi="Times New Roman" w:cs="Times New Roman"/>
                <w:sz w:val="24"/>
                <w:szCs w:val="24"/>
              </w:rPr>
              <w:t xml:space="preserve">. These </w:t>
            </w:r>
            <w:r w:rsidR="00350745" w:rsidRPr="00350745">
              <w:rPr>
                <w:rFonts w:ascii="Times New Roman" w:hAnsi="Times New Roman" w:cs="Times New Roman"/>
                <w:sz w:val="24"/>
                <w:szCs w:val="24"/>
              </w:rPr>
              <w:t>actions</w:t>
            </w:r>
            <w:r w:rsidR="00692348" w:rsidRPr="00350745">
              <w:rPr>
                <w:rFonts w:ascii="Times New Roman" w:hAnsi="Times New Roman" w:cs="Times New Roman"/>
                <w:sz w:val="24"/>
                <w:szCs w:val="24"/>
              </w:rPr>
              <w:t xml:space="preserve"> </w:t>
            </w:r>
            <w:r w:rsidR="00803961" w:rsidRPr="00350745">
              <w:rPr>
                <w:rFonts w:ascii="Times New Roman" w:hAnsi="Times New Roman" w:cs="Times New Roman"/>
                <w:sz w:val="24"/>
                <w:szCs w:val="24"/>
              </w:rPr>
              <w:t xml:space="preserve">are </w:t>
            </w:r>
            <w:r w:rsidR="00350745" w:rsidRPr="00350745">
              <w:rPr>
                <w:rFonts w:ascii="Times New Roman" w:hAnsi="Times New Roman" w:cs="Times New Roman"/>
                <w:sz w:val="24"/>
                <w:szCs w:val="24"/>
              </w:rPr>
              <w:t xml:space="preserve">being </w:t>
            </w:r>
            <w:r w:rsidR="00803961" w:rsidRPr="00350745">
              <w:rPr>
                <w:rFonts w:ascii="Times New Roman" w:hAnsi="Times New Roman" w:cs="Times New Roman"/>
                <w:sz w:val="24"/>
                <w:szCs w:val="24"/>
              </w:rPr>
              <w:t xml:space="preserve">supported by </w:t>
            </w:r>
            <w:r w:rsidR="00350745" w:rsidRPr="00350745">
              <w:rPr>
                <w:rFonts w:ascii="Times New Roman" w:hAnsi="Times New Roman" w:cs="Times New Roman"/>
                <w:sz w:val="24"/>
                <w:szCs w:val="24"/>
              </w:rPr>
              <w:t>increased</w:t>
            </w:r>
            <w:r w:rsidR="00692348" w:rsidRPr="00350745">
              <w:rPr>
                <w:rFonts w:ascii="Times New Roman" w:hAnsi="Times New Roman" w:cs="Times New Roman"/>
                <w:sz w:val="24"/>
                <w:szCs w:val="24"/>
              </w:rPr>
              <w:t xml:space="preserve"> analysis </w:t>
            </w:r>
            <w:r w:rsidR="00803961" w:rsidRPr="00350745">
              <w:rPr>
                <w:rFonts w:ascii="Times New Roman" w:hAnsi="Times New Roman" w:cs="Times New Roman"/>
                <w:sz w:val="24"/>
                <w:szCs w:val="24"/>
              </w:rPr>
              <w:t xml:space="preserve">and research into </w:t>
            </w:r>
            <w:r w:rsidR="00692348" w:rsidRPr="00350745">
              <w:rPr>
                <w:rFonts w:ascii="Times New Roman" w:hAnsi="Times New Roman" w:cs="Times New Roman"/>
                <w:sz w:val="24"/>
                <w:szCs w:val="24"/>
              </w:rPr>
              <w:t>equity issues in education in Indonesia.</w:t>
            </w:r>
          </w:p>
          <w:p w:rsidR="001570DA" w:rsidRPr="00350745" w:rsidRDefault="001570DA" w:rsidP="00034A50">
            <w:pPr>
              <w:spacing w:before="60" w:after="60"/>
              <w:jc w:val="both"/>
              <w:rPr>
                <w:rFonts w:ascii="Times New Roman" w:hAnsi="Times New Roman" w:cs="Times New Roman"/>
                <w:sz w:val="24"/>
                <w:szCs w:val="24"/>
              </w:rPr>
            </w:pPr>
            <w:r w:rsidRPr="00350745">
              <w:rPr>
                <w:rFonts w:ascii="Times New Roman" w:hAnsi="Times New Roman" w:cs="Times New Roman"/>
                <w:sz w:val="24"/>
                <w:szCs w:val="24"/>
              </w:rPr>
              <w:t xml:space="preserve">For example, in Component 1 we provided support to </w:t>
            </w:r>
            <w:r w:rsidR="00350745" w:rsidRPr="00350745">
              <w:rPr>
                <w:rFonts w:ascii="Times New Roman" w:hAnsi="Times New Roman" w:cs="Times New Roman"/>
                <w:sz w:val="24"/>
                <w:szCs w:val="24"/>
              </w:rPr>
              <w:t xml:space="preserve">low-enrolment </w:t>
            </w:r>
            <w:r w:rsidRPr="00350745">
              <w:rPr>
                <w:rFonts w:ascii="Times New Roman" w:hAnsi="Times New Roman" w:cs="Times New Roman"/>
                <w:sz w:val="24"/>
                <w:szCs w:val="24"/>
              </w:rPr>
              <w:t>districts (noted in the response to recommendation 1</w:t>
            </w:r>
            <w:r w:rsidR="00350745" w:rsidRPr="00350745">
              <w:rPr>
                <w:rFonts w:ascii="Times New Roman" w:hAnsi="Times New Roman" w:cs="Times New Roman"/>
                <w:sz w:val="24"/>
                <w:szCs w:val="24"/>
              </w:rPr>
              <w:t>7);</w:t>
            </w:r>
            <w:r w:rsidRPr="00350745">
              <w:rPr>
                <w:rFonts w:ascii="Times New Roman" w:hAnsi="Times New Roman" w:cs="Times New Roman"/>
                <w:sz w:val="24"/>
                <w:szCs w:val="24"/>
              </w:rPr>
              <w:t xml:space="preserve"> </w:t>
            </w:r>
            <w:r w:rsidR="00350745" w:rsidRPr="00350745">
              <w:rPr>
                <w:rFonts w:ascii="Times New Roman" w:hAnsi="Times New Roman" w:cs="Times New Roman"/>
                <w:sz w:val="24"/>
                <w:szCs w:val="24"/>
              </w:rPr>
              <w:t xml:space="preserve">and </w:t>
            </w:r>
            <w:r w:rsidRPr="00350745">
              <w:rPr>
                <w:rFonts w:ascii="Times New Roman" w:hAnsi="Times New Roman" w:cs="Times New Roman"/>
                <w:sz w:val="24"/>
                <w:szCs w:val="24"/>
              </w:rPr>
              <w:t xml:space="preserve">changed </w:t>
            </w:r>
            <w:r w:rsidR="00350745" w:rsidRPr="00350745">
              <w:rPr>
                <w:rFonts w:ascii="Times New Roman" w:hAnsi="Times New Roman" w:cs="Times New Roman"/>
                <w:sz w:val="24"/>
                <w:szCs w:val="24"/>
              </w:rPr>
              <w:t xml:space="preserve">the </w:t>
            </w:r>
            <w:r w:rsidRPr="00350745">
              <w:rPr>
                <w:rFonts w:ascii="Times New Roman" w:hAnsi="Times New Roman" w:cs="Times New Roman"/>
                <w:sz w:val="24"/>
                <w:szCs w:val="24"/>
              </w:rPr>
              <w:t xml:space="preserve">data requirements </w:t>
            </w:r>
            <w:r w:rsidR="00350745" w:rsidRPr="00350745">
              <w:rPr>
                <w:rFonts w:ascii="Times New Roman" w:hAnsi="Times New Roman" w:cs="Times New Roman"/>
                <w:sz w:val="24"/>
                <w:szCs w:val="24"/>
              </w:rPr>
              <w:t>for</w:t>
            </w:r>
            <w:r w:rsidRPr="00350745">
              <w:rPr>
                <w:rFonts w:ascii="Times New Roman" w:hAnsi="Times New Roman" w:cs="Times New Roman"/>
                <w:sz w:val="24"/>
                <w:szCs w:val="24"/>
              </w:rPr>
              <w:t xml:space="preserve"> new school proposal</w:t>
            </w:r>
            <w:r w:rsidR="00350745" w:rsidRPr="00350745">
              <w:rPr>
                <w:rFonts w:ascii="Times New Roman" w:hAnsi="Times New Roman" w:cs="Times New Roman"/>
                <w:sz w:val="24"/>
                <w:szCs w:val="24"/>
              </w:rPr>
              <w:t>s</w:t>
            </w:r>
            <w:r w:rsidRPr="00350745">
              <w:rPr>
                <w:rFonts w:ascii="Times New Roman" w:hAnsi="Times New Roman" w:cs="Times New Roman"/>
                <w:sz w:val="24"/>
                <w:szCs w:val="24"/>
              </w:rPr>
              <w:t xml:space="preserve"> and improved </w:t>
            </w:r>
            <w:r w:rsidR="00350745" w:rsidRPr="00350745">
              <w:rPr>
                <w:rFonts w:ascii="Times New Roman" w:hAnsi="Times New Roman" w:cs="Times New Roman"/>
                <w:sz w:val="24"/>
                <w:szCs w:val="24"/>
              </w:rPr>
              <w:t xml:space="preserve">the </w:t>
            </w:r>
            <w:r w:rsidRPr="00350745">
              <w:rPr>
                <w:rFonts w:ascii="Times New Roman" w:hAnsi="Times New Roman" w:cs="Times New Roman"/>
                <w:sz w:val="24"/>
                <w:szCs w:val="24"/>
              </w:rPr>
              <w:t>analysis of the proposal</w:t>
            </w:r>
            <w:r w:rsidR="00350745" w:rsidRPr="00350745">
              <w:rPr>
                <w:rFonts w:ascii="Times New Roman" w:hAnsi="Times New Roman" w:cs="Times New Roman"/>
                <w:sz w:val="24"/>
                <w:szCs w:val="24"/>
              </w:rPr>
              <w:t>s</w:t>
            </w:r>
            <w:r w:rsidRPr="00350745">
              <w:rPr>
                <w:rFonts w:ascii="Times New Roman" w:hAnsi="Times New Roman" w:cs="Times New Roman"/>
                <w:sz w:val="24"/>
                <w:szCs w:val="24"/>
              </w:rPr>
              <w:t xml:space="preserve"> (see response to recommendation 4)</w:t>
            </w:r>
            <w:r w:rsidR="00034A50" w:rsidRPr="00350745">
              <w:rPr>
                <w:rFonts w:ascii="Times New Roman" w:hAnsi="Times New Roman" w:cs="Times New Roman"/>
                <w:sz w:val="24"/>
                <w:szCs w:val="24"/>
              </w:rPr>
              <w:t xml:space="preserve"> to ensure new schools are targeted to underserved populations. </w:t>
            </w:r>
            <w:r w:rsidR="00350745" w:rsidRPr="00350745">
              <w:rPr>
                <w:rFonts w:ascii="Times New Roman" w:hAnsi="Times New Roman" w:cs="Times New Roman"/>
                <w:sz w:val="24"/>
                <w:szCs w:val="24"/>
              </w:rPr>
              <w:t>DFAT has tasked</w:t>
            </w:r>
            <w:r w:rsidR="00034A50" w:rsidRPr="00350745">
              <w:rPr>
                <w:rFonts w:ascii="Times New Roman" w:hAnsi="Times New Roman" w:cs="Times New Roman"/>
                <w:sz w:val="24"/>
                <w:szCs w:val="24"/>
              </w:rPr>
              <w:t xml:space="preserve"> POM to </w:t>
            </w:r>
            <w:r w:rsidR="00350745" w:rsidRPr="00350745">
              <w:rPr>
                <w:rFonts w:ascii="Times New Roman" w:hAnsi="Times New Roman" w:cs="Times New Roman"/>
                <w:sz w:val="24"/>
                <w:szCs w:val="24"/>
              </w:rPr>
              <w:t>analyse</w:t>
            </w:r>
            <w:r w:rsidR="00034A50" w:rsidRPr="00350745">
              <w:rPr>
                <w:rFonts w:ascii="Times New Roman" w:hAnsi="Times New Roman" w:cs="Times New Roman"/>
                <w:sz w:val="24"/>
                <w:szCs w:val="24"/>
              </w:rPr>
              <w:t xml:space="preserve"> the correlation of enrolment and poverty data for targeted districts</w:t>
            </w:r>
            <w:r w:rsidR="00350745" w:rsidRPr="00350745">
              <w:rPr>
                <w:rFonts w:ascii="Times New Roman" w:hAnsi="Times New Roman" w:cs="Times New Roman"/>
                <w:sz w:val="24"/>
                <w:szCs w:val="24"/>
              </w:rPr>
              <w:t>,</w:t>
            </w:r>
            <w:r w:rsidR="00034A50" w:rsidRPr="00350745">
              <w:rPr>
                <w:rFonts w:ascii="Times New Roman" w:hAnsi="Times New Roman" w:cs="Times New Roman"/>
                <w:sz w:val="24"/>
                <w:szCs w:val="24"/>
              </w:rPr>
              <w:t xml:space="preserve"> to identify if further refinement of selection criteria </w:t>
            </w:r>
            <w:r w:rsidR="00350745" w:rsidRPr="00350745">
              <w:rPr>
                <w:rFonts w:ascii="Times New Roman" w:hAnsi="Times New Roman" w:cs="Times New Roman"/>
                <w:sz w:val="24"/>
                <w:szCs w:val="24"/>
              </w:rPr>
              <w:t>would</w:t>
            </w:r>
            <w:r w:rsidR="00034A50" w:rsidRPr="00350745">
              <w:rPr>
                <w:rFonts w:ascii="Times New Roman" w:hAnsi="Times New Roman" w:cs="Times New Roman"/>
                <w:sz w:val="24"/>
                <w:szCs w:val="24"/>
              </w:rPr>
              <w:t xml:space="preserve"> improve new school targeting.</w:t>
            </w:r>
            <w:r w:rsidRPr="00350745">
              <w:rPr>
                <w:rFonts w:ascii="Times New Roman" w:hAnsi="Times New Roman" w:cs="Times New Roman"/>
                <w:sz w:val="24"/>
                <w:szCs w:val="24"/>
              </w:rPr>
              <w:t xml:space="preserve"> </w:t>
            </w:r>
          </w:p>
          <w:p w:rsidR="00034A50" w:rsidRPr="00350745" w:rsidRDefault="008B185C" w:rsidP="00034A50">
            <w:pPr>
              <w:spacing w:before="60" w:after="60"/>
              <w:jc w:val="both"/>
              <w:rPr>
                <w:rFonts w:ascii="Times New Roman" w:hAnsi="Times New Roman" w:cs="Times New Roman"/>
                <w:sz w:val="24"/>
                <w:szCs w:val="24"/>
              </w:rPr>
            </w:pPr>
            <w:r w:rsidRPr="00350745">
              <w:rPr>
                <w:rFonts w:ascii="Times New Roman" w:hAnsi="Times New Roman" w:cs="Times New Roman"/>
                <w:sz w:val="24"/>
                <w:szCs w:val="24"/>
              </w:rPr>
              <w:t>C2 has an explicit strategy for targeting female principals and senior female teachers to ensure they have equal opportunity to advance their careers.</w:t>
            </w:r>
          </w:p>
          <w:p w:rsidR="00034A50" w:rsidRPr="00BD2348" w:rsidRDefault="00034A50" w:rsidP="00350745">
            <w:pPr>
              <w:spacing w:before="60" w:after="60"/>
              <w:jc w:val="both"/>
              <w:rPr>
                <w:rFonts w:ascii="Times New Roman" w:hAnsi="Times New Roman" w:cs="Times New Roman"/>
                <w:sz w:val="24"/>
                <w:szCs w:val="24"/>
                <w:highlight w:val="yellow"/>
              </w:rPr>
            </w:pPr>
            <w:r w:rsidRPr="00350745">
              <w:rPr>
                <w:rFonts w:ascii="Times New Roman" w:hAnsi="Times New Roman" w:cs="Times New Roman"/>
                <w:sz w:val="24"/>
                <w:szCs w:val="24"/>
              </w:rPr>
              <w:t>In C3</w:t>
            </w:r>
            <w:r w:rsidR="008B185C" w:rsidRPr="00350745">
              <w:rPr>
                <w:rFonts w:ascii="Times New Roman" w:hAnsi="Times New Roman" w:cs="Times New Roman"/>
                <w:sz w:val="24"/>
                <w:szCs w:val="24"/>
              </w:rPr>
              <w:t xml:space="preserve"> </w:t>
            </w:r>
            <w:r w:rsidR="00CC53E2" w:rsidRPr="00350745">
              <w:rPr>
                <w:rFonts w:ascii="Times New Roman" w:hAnsi="Times New Roman" w:cs="Times New Roman"/>
                <w:sz w:val="24"/>
                <w:szCs w:val="24"/>
              </w:rPr>
              <w:t xml:space="preserve">we expect </w:t>
            </w:r>
            <w:r w:rsidR="008B185C" w:rsidRPr="00350745">
              <w:rPr>
                <w:rFonts w:ascii="Times New Roman" w:hAnsi="Times New Roman" w:cs="Times New Roman"/>
                <w:sz w:val="24"/>
                <w:szCs w:val="24"/>
              </w:rPr>
              <w:t>improved targeting of madrasah</w:t>
            </w:r>
            <w:r w:rsidR="00350745" w:rsidRPr="00350745">
              <w:rPr>
                <w:rFonts w:ascii="Times New Roman" w:hAnsi="Times New Roman" w:cs="Times New Roman"/>
                <w:sz w:val="24"/>
                <w:szCs w:val="24"/>
              </w:rPr>
              <w:t>,</w:t>
            </w:r>
            <w:r w:rsidR="008B185C" w:rsidRPr="00350745">
              <w:rPr>
                <w:rFonts w:ascii="Times New Roman" w:hAnsi="Times New Roman" w:cs="Times New Roman"/>
                <w:sz w:val="24"/>
                <w:szCs w:val="24"/>
              </w:rPr>
              <w:t xml:space="preserve"> based on evidence generated in the first phase of the program</w:t>
            </w:r>
            <w:r w:rsidR="00350745" w:rsidRPr="00350745">
              <w:rPr>
                <w:rFonts w:ascii="Times New Roman" w:hAnsi="Times New Roman" w:cs="Times New Roman"/>
                <w:sz w:val="24"/>
                <w:szCs w:val="24"/>
              </w:rPr>
              <w:t>,</w:t>
            </w:r>
            <w:r w:rsidR="008B185C" w:rsidRPr="00350745">
              <w:rPr>
                <w:rFonts w:ascii="Times New Roman" w:hAnsi="Times New Roman" w:cs="Times New Roman"/>
                <w:sz w:val="24"/>
                <w:szCs w:val="24"/>
              </w:rPr>
              <w:t xml:space="preserve"> </w:t>
            </w:r>
            <w:r w:rsidR="00CC53E2" w:rsidRPr="00350745">
              <w:rPr>
                <w:rFonts w:ascii="Times New Roman" w:hAnsi="Times New Roman" w:cs="Times New Roman"/>
                <w:sz w:val="24"/>
                <w:szCs w:val="24"/>
              </w:rPr>
              <w:t>will improve equity outcomes given the enrolment profile of private madrasah.</w:t>
            </w:r>
          </w:p>
        </w:tc>
      </w:tr>
    </w:tbl>
    <w:p w:rsidR="00974DDA" w:rsidRDefault="00974DDA">
      <w:r>
        <w:br w:type="page"/>
      </w:r>
    </w:p>
    <w:tbl>
      <w:tblPr>
        <w:tblStyle w:val="TableGrid"/>
        <w:tblW w:w="0" w:type="auto"/>
        <w:tblLook w:val="04A0" w:firstRow="1" w:lastRow="0" w:firstColumn="1" w:lastColumn="0" w:noHBand="0" w:noVBand="1"/>
      </w:tblPr>
      <w:tblGrid>
        <w:gridCol w:w="5070"/>
        <w:gridCol w:w="4961"/>
        <w:gridCol w:w="4678"/>
      </w:tblGrid>
      <w:tr w:rsidR="00AE3E2C" w:rsidTr="00AE3E2C">
        <w:tc>
          <w:tcPr>
            <w:tcW w:w="14709" w:type="dxa"/>
            <w:gridSpan w:val="3"/>
          </w:tcPr>
          <w:p w:rsidR="00AE3E2C" w:rsidRDefault="001E04F1" w:rsidP="005619E6">
            <w:pPr>
              <w:spacing w:before="60" w:after="60"/>
              <w:jc w:val="both"/>
              <w:rPr>
                <w:rFonts w:ascii="Times New Roman" w:hAnsi="Times New Roman" w:cs="Times New Roman"/>
                <w:b/>
                <w:sz w:val="24"/>
                <w:szCs w:val="24"/>
              </w:rPr>
            </w:pPr>
            <w:r>
              <w:rPr>
                <w:rFonts w:ascii="Times New Roman" w:hAnsi="Times New Roman" w:cs="Times New Roman"/>
                <w:b/>
                <w:sz w:val="28"/>
                <w:szCs w:val="28"/>
              </w:rPr>
              <w:lastRenderedPageBreak/>
              <w:t>Management and governance</w:t>
            </w:r>
            <w:r w:rsidRPr="00AE3E2C">
              <w:rPr>
                <w:rFonts w:ascii="Times New Roman" w:hAnsi="Times New Roman" w:cs="Times New Roman"/>
                <w:b/>
                <w:sz w:val="28"/>
                <w:szCs w:val="28"/>
              </w:rPr>
              <w:t xml:space="preserve"> of </w:t>
            </w:r>
            <w:r w:rsidR="00A07D4A">
              <w:rPr>
                <w:rFonts w:ascii="Times New Roman" w:hAnsi="Times New Roman" w:cs="Times New Roman"/>
                <w:b/>
                <w:sz w:val="28"/>
                <w:szCs w:val="28"/>
              </w:rPr>
              <w:t xml:space="preserve">the </w:t>
            </w:r>
            <w:r w:rsidRPr="00AE3E2C">
              <w:rPr>
                <w:rFonts w:ascii="Times New Roman" w:hAnsi="Times New Roman" w:cs="Times New Roman"/>
                <w:b/>
                <w:sz w:val="28"/>
                <w:szCs w:val="28"/>
              </w:rPr>
              <w:t>EP</w:t>
            </w:r>
          </w:p>
        </w:tc>
      </w:tr>
      <w:tr w:rsidR="00AE3E2C" w:rsidTr="005619E6">
        <w:tc>
          <w:tcPr>
            <w:tcW w:w="5070"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tc>
        <w:tc>
          <w:tcPr>
            <w:tcW w:w="4961" w:type="dxa"/>
          </w:tcPr>
          <w:p w:rsidR="00AE3E2C" w:rsidRDefault="00F35A3E"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Management </w:t>
            </w:r>
            <w:r w:rsidR="00AE3E2C">
              <w:rPr>
                <w:rFonts w:ascii="Times New Roman" w:hAnsi="Times New Roman" w:cs="Times New Roman"/>
                <w:b/>
                <w:sz w:val="24"/>
                <w:szCs w:val="24"/>
              </w:rPr>
              <w:t xml:space="preserve">Response </w:t>
            </w:r>
          </w:p>
        </w:tc>
        <w:tc>
          <w:tcPr>
            <w:tcW w:w="4678" w:type="dxa"/>
          </w:tcPr>
          <w:p w:rsidR="00AE3E2C" w:rsidRDefault="00AE3E2C" w:rsidP="00AE3E2C">
            <w:pPr>
              <w:spacing w:before="60" w:after="60"/>
              <w:jc w:val="both"/>
              <w:rPr>
                <w:rFonts w:ascii="Times New Roman" w:hAnsi="Times New Roman" w:cs="Times New Roman"/>
                <w:b/>
                <w:sz w:val="24"/>
                <w:szCs w:val="24"/>
              </w:rPr>
            </w:pPr>
            <w:r>
              <w:rPr>
                <w:rFonts w:ascii="Times New Roman" w:hAnsi="Times New Roman" w:cs="Times New Roman"/>
                <w:b/>
                <w:sz w:val="24"/>
                <w:szCs w:val="24"/>
              </w:rPr>
              <w:t>Actions</w:t>
            </w:r>
          </w:p>
        </w:tc>
      </w:tr>
      <w:tr w:rsidR="005619E6" w:rsidTr="001545CB">
        <w:tc>
          <w:tcPr>
            <w:tcW w:w="5070" w:type="dxa"/>
            <w:shd w:val="clear" w:color="auto" w:fill="CDFFCD"/>
          </w:tcPr>
          <w:p w:rsidR="005619E6"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20</w:t>
            </w:r>
          </w:p>
          <w:p w:rsidR="001E04F1" w:rsidRDefault="001E04F1"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DFAT’s management of the EP should aim to be more flexible and adaptive, i.e. be more forward looking (at opportunities) than backward-looking (at the EP design)</w:t>
            </w:r>
          </w:p>
        </w:tc>
        <w:tc>
          <w:tcPr>
            <w:tcW w:w="4961" w:type="dxa"/>
            <w:shd w:val="clear" w:color="auto" w:fill="CDFFCD"/>
          </w:tcPr>
          <w:p w:rsidR="005619E6" w:rsidRDefault="00A1758C" w:rsidP="00C57F17">
            <w:pPr>
              <w:spacing w:before="60" w:after="60"/>
              <w:jc w:val="both"/>
              <w:rPr>
                <w:rFonts w:ascii="Times New Roman" w:hAnsi="Times New Roman" w:cs="Times New Roman"/>
                <w:b/>
                <w:sz w:val="24"/>
                <w:szCs w:val="24"/>
              </w:rPr>
            </w:pPr>
            <w:r>
              <w:rPr>
                <w:rFonts w:ascii="Times New Roman" w:hAnsi="Times New Roman" w:cs="Times New Roman"/>
                <w:b/>
                <w:sz w:val="24"/>
                <w:szCs w:val="24"/>
              </w:rPr>
              <w:t>A</w:t>
            </w:r>
            <w:r w:rsidR="00C57F17">
              <w:rPr>
                <w:rFonts w:ascii="Times New Roman" w:hAnsi="Times New Roman" w:cs="Times New Roman"/>
                <w:b/>
                <w:sz w:val="24"/>
                <w:szCs w:val="24"/>
              </w:rPr>
              <w:t>gree</w:t>
            </w:r>
          </w:p>
        </w:tc>
        <w:tc>
          <w:tcPr>
            <w:tcW w:w="4678" w:type="dxa"/>
            <w:shd w:val="clear" w:color="auto" w:fill="CDFFCD"/>
          </w:tcPr>
          <w:p w:rsidR="005619E6" w:rsidRPr="00BD2348" w:rsidRDefault="00567C32" w:rsidP="00803961">
            <w:pPr>
              <w:spacing w:before="60" w:after="60"/>
              <w:jc w:val="both"/>
              <w:rPr>
                <w:rFonts w:ascii="Times New Roman" w:hAnsi="Times New Roman" w:cs="Times New Roman"/>
                <w:sz w:val="24"/>
                <w:szCs w:val="24"/>
                <w:highlight w:val="yellow"/>
              </w:rPr>
            </w:pPr>
            <w:r w:rsidRPr="00350745">
              <w:rPr>
                <w:rFonts w:ascii="Times New Roman" w:hAnsi="Times New Roman" w:cs="Times New Roman"/>
                <w:sz w:val="24"/>
                <w:szCs w:val="24"/>
              </w:rPr>
              <w:t xml:space="preserve">The Education Partnership is </w:t>
            </w:r>
            <w:r w:rsidR="00350745" w:rsidRPr="00350745">
              <w:rPr>
                <w:rFonts w:ascii="Times New Roman" w:hAnsi="Times New Roman" w:cs="Times New Roman"/>
                <w:sz w:val="24"/>
                <w:szCs w:val="24"/>
              </w:rPr>
              <w:t>mid-</w:t>
            </w:r>
            <w:r w:rsidR="00803961" w:rsidRPr="00350745">
              <w:rPr>
                <w:rFonts w:ascii="Times New Roman" w:hAnsi="Times New Roman" w:cs="Times New Roman"/>
                <w:sz w:val="24"/>
                <w:szCs w:val="24"/>
              </w:rPr>
              <w:t>way</w:t>
            </w:r>
            <w:r w:rsidRPr="00350745">
              <w:rPr>
                <w:rFonts w:ascii="Times New Roman" w:hAnsi="Times New Roman" w:cs="Times New Roman"/>
                <w:sz w:val="24"/>
                <w:szCs w:val="24"/>
              </w:rPr>
              <w:t xml:space="preserve"> in </w:t>
            </w:r>
            <w:r w:rsidR="00803961" w:rsidRPr="00350745">
              <w:rPr>
                <w:rFonts w:ascii="Times New Roman" w:hAnsi="Times New Roman" w:cs="Times New Roman"/>
                <w:sz w:val="24"/>
                <w:szCs w:val="24"/>
              </w:rPr>
              <w:t xml:space="preserve">its </w:t>
            </w:r>
            <w:r w:rsidRPr="00350745">
              <w:rPr>
                <w:rFonts w:ascii="Times New Roman" w:hAnsi="Times New Roman" w:cs="Times New Roman"/>
                <w:sz w:val="24"/>
                <w:szCs w:val="24"/>
              </w:rPr>
              <w:t xml:space="preserve">implementation. All components are now established and functioning well with good program data available. DFAT will draw on this data in its </w:t>
            </w:r>
            <w:r w:rsidR="001545CB" w:rsidRPr="00350745">
              <w:rPr>
                <w:rFonts w:ascii="Times New Roman" w:hAnsi="Times New Roman" w:cs="Times New Roman"/>
                <w:sz w:val="24"/>
                <w:szCs w:val="24"/>
              </w:rPr>
              <w:t xml:space="preserve">management of the EP </w:t>
            </w:r>
            <w:r w:rsidRPr="00350745">
              <w:rPr>
                <w:rFonts w:ascii="Times New Roman" w:hAnsi="Times New Roman" w:cs="Times New Roman"/>
                <w:sz w:val="24"/>
                <w:szCs w:val="24"/>
              </w:rPr>
              <w:t xml:space="preserve">to take advantage of opportunities to </w:t>
            </w:r>
            <w:r w:rsidR="00803961" w:rsidRPr="00350745">
              <w:rPr>
                <w:rFonts w:ascii="Times New Roman" w:hAnsi="Times New Roman" w:cs="Times New Roman"/>
                <w:sz w:val="24"/>
                <w:szCs w:val="24"/>
              </w:rPr>
              <w:t>improve the implementation of the program</w:t>
            </w:r>
            <w:r w:rsidR="001545CB" w:rsidRPr="00350745">
              <w:rPr>
                <w:rFonts w:ascii="Times New Roman" w:hAnsi="Times New Roman" w:cs="Times New Roman"/>
                <w:sz w:val="24"/>
                <w:szCs w:val="24"/>
              </w:rPr>
              <w:t>.</w:t>
            </w:r>
          </w:p>
        </w:tc>
      </w:tr>
      <w:tr w:rsidR="005619E6" w:rsidTr="001545CB">
        <w:tc>
          <w:tcPr>
            <w:tcW w:w="5070" w:type="dxa"/>
            <w:shd w:val="clear" w:color="auto" w:fill="CDFFCD"/>
          </w:tcPr>
          <w:p w:rsidR="005619E6"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21</w:t>
            </w:r>
          </w:p>
          <w:p w:rsidR="001E04F1" w:rsidRDefault="001E04F1"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DFAT should prioritise (varied) strategic engagement with GoI: e.g. strategic discussion on C1 and C3; advocacy of current EP approach on C2; and broader policy engagement through C4</w:t>
            </w:r>
          </w:p>
        </w:tc>
        <w:tc>
          <w:tcPr>
            <w:tcW w:w="4961" w:type="dxa"/>
            <w:shd w:val="clear" w:color="auto" w:fill="CDFFCD"/>
          </w:tcPr>
          <w:p w:rsidR="005619E6" w:rsidRDefault="00C57F17"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5619E6" w:rsidRPr="00BD2348" w:rsidRDefault="003A66D8" w:rsidP="00350745">
            <w:pPr>
              <w:spacing w:before="60" w:after="60"/>
              <w:jc w:val="both"/>
              <w:rPr>
                <w:rFonts w:ascii="Times New Roman" w:hAnsi="Times New Roman" w:cs="Times New Roman"/>
                <w:sz w:val="24"/>
                <w:szCs w:val="24"/>
                <w:highlight w:val="yellow"/>
              </w:rPr>
            </w:pPr>
            <w:r w:rsidRPr="00350745">
              <w:rPr>
                <w:rFonts w:ascii="Times New Roman" w:hAnsi="Times New Roman" w:cs="Times New Roman"/>
                <w:sz w:val="24"/>
                <w:szCs w:val="24"/>
              </w:rPr>
              <w:t xml:space="preserve">At the mid-point of implementation, DFAT now </w:t>
            </w:r>
            <w:r w:rsidR="00350745" w:rsidRPr="00350745">
              <w:rPr>
                <w:rFonts w:ascii="Times New Roman" w:hAnsi="Times New Roman" w:cs="Times New Roman"/>
                <w:sz w:val="24"/>
                <w:szCs w:val="24"/>
              </w:rPr>
              <w:t>has</w:t>
            </w:r>
            <w:r w:rsidRPr="00350745">
              <w:rPr>
                <w:rFonts w:ascii="Times New Roman" w:hAnsi="Times New Roman" w:cs="Times New Roman"/>
                <w:sz w:val="24"/>
                <w:szCs w:val="24"/>
              </w:rPr>
              <w:t xml:space="preserve"> established </w:t>
            </w:r>
            <w:r w:rsidR="00350745" w:rsidRPr="00350745">
              <w:rPr>
                <w:rFonts w:ascii="Times New Roman" w:hAnsi="Times New Roman" w:cs="Times New Roman"/>
                <w:sz w:val="24"/>
                <w:szCs w:val="24"/>
              </w:rPr>
              <w:t>relationships and</w:t>
            </w:r>
            <w:r w:rsidRPr="00350745">
              <w:rPr>
                <w:rFonts w:ascii="Times New Roman" w:hAnsi="Times New Roman" w:cs="Times New Roman"/>
                <w:sz w:val="24"/>
                <w:szCs w:val="24"/>
              </w:rPr>
              <w:t xml:space="preserve"> trust with our institutional partners. </w:t>
            </w:r>
            <w:r w:rsidR="00265593" w:rsidRPr="00350745">
              <w:rPr>
                <w:rFonts w:ascii="Times New Roman" w:hAnsi="Times New Roman" w:cs="Times New Roman"/>
                <w:sz w:val="24"/>
                <w:szCs w:val="24"/>
              </w:rPr>
              <w:t xml:space="preserve">DFAT will continue to engage in strategic discussions with </w:t>
            </w:r>
            <w:r w:rsidRPr="00350745">
              <w:rPr>
                <w:rFonts w:ascii="Times New Roman" w:hAnsi="Times New Roman" w:cs="Times New Roman"/>
                <w:sz w:val="24"/>
                <w:szCs w:val="24"/>
              </w:rPr>
              <w:t xml:space="preserve">our </w:t>
            </w:r>
            <w:r w:rsidR="00265593" w:rsidRPr="00350745">
              <w:rPr>
                <w:rFonts w:ascii="Times New Roman" w:hAnsi="Times New Roman" w:cs="Times New Roman"/>
                <w:sz w:val="24"/>
                <w:szCs w:val="24"/>
              </w:rPr>
              <w:t xml:space="preserve">GoI </w:t>
            </w:r>
            <w:r w:rsidRPr="00350745">
              <w:rPr>
                <w:rFonts w:ascii="Times New Roman" w:hAnsi="Times New Roman" w:cs="Times New Roman"/>
                <w:sz w:val="24"/>
                <w:szCs w:val="24"/>
              </w:rPr>
              <w:t xml:space="preserve">partners </w:t>
            </w:r>
            <w:r w:rsidR="00265593" w:rsidRPr="00350745">
              <w:rPr>
                <w:rFonts w:ascii="Times New Roman" w:hAnsi="Times New Roman" w:cs="Times New Roman"/>
                <w:sz w:val="24"/>
                <w:szCs w:val="24"/>
              </w:rPr>
              <w:t xml:space="preserve">through existing </w:t>
            </w:r>
            <w:r w:rsidR="00D349F8" w:rsidRPr="00350745">
              <w:rPr>
                <w:rFonts w:ascii="Times New Roman" w:hAnsi="Times New Roman" w:cs="Times New Roman"/>
                <w:sz w:val="24"/>
                <w:szCs w:val="24"/>
              </w:rPr>
              <w:t>governance and management</w:t>
            </w:r>
            <w:r w:rsidR="00265593" w:rsidRPr="00350745">
              <w:rPr>
                <w:rFonts w:ascii="Times New Roman" w:hAnsi="Times New Roman" w:cs="Times New Roman"/>
                <w:sz w:val="24"/>
                <w:szCs w:val="24"/>
              </w:rPr>
              <w:t xml:space="preserve"> mechanisms</w:t>
            </w:r>
            <w:r w:rsidRPr="00350745">
              <w:rPr>
                <w:rFonts w:ascii="Times New Roman" w:hAnsi="Times New Roman" w:cs="Times New Roman"/>
                <w:sz w:val="24"/>
                <w:szCs w:val="24"/>
              </w:rPr>
              <w:t xml:space="preserve"> drawing on the </w:t>
            </w:r>
            <w:r w:rsidR="00350745" w:rsidRPr="00350745">
              <w:rPr>
                <w:rFonts w:ascii="Times New Roman" w:hAnsi="Times New Roman" w:cs="Times New Roman"/>
                <w:sz w:val="24"/>
                <w:szCs w:val="24"/>
              </w:rPr>
              <w:t>increasing flow of</w:t>
            </w:r>
            <w:r w:rsidRPr="00350745">
              <w:rPr>
                <w:rFonts w:ascii="Times New Roman" w:hAnsi="Times New Roman" w:cs="Times New Roman"/>
                <w:sz w:val="24"/>
                <w:szCs w:val="24"/>
              </w:rPr>
              <w:t xml:space="preserve"> performance data available</w:t>
            </w:r>
            <w:r w:rsidR="00265593" w:rsidRPr="00350745">
              <w:rPr>
                <w:rFonts w:ascii="Times New Roman" w:hAnsi="Times New Roman" w:cs="Times New Roman"/>
                <w:sz w:val="24"/>
                <w:szCs w:val="24"/>
              </w:rPr>
              <w:t>.</w:t>
            </w:r>
            <w:r w:rsidR="00043CE0" w:rsidRPr="00350745">
              <w:rPr>
                <w:rFonts w:ascii="Times New Roman" w:hAnsi="Times New Roman" w:cs="Times New Roman"/>
                <w:sz w:val="24"/>
                <w:szCs w:val="24"/>
              </w:rPr>
              <w:t xml:space="preserve"> </w:t>
            </w:r>
            <w:r w:rsidR="00D349F8" w:rsidRPr="00350745">
              <w:rPr>
                <w:rFonts w:ascii="Times New Roman" w:hAnsi="Times New Roman" w:cs="Times New Roman"/>
                <w:sz w:val="24"/>
                <w:szCs w:val="24"/>
              </w:rPr>
              <w:t xml:space="preserve">DFAT </w:t>
            </w:r>
            <w:r w:rsidRPr="00350745">
              <w:rPr>
                <w:rFonts w:ascii="Times New Roman" w:hAnsi="Times New Roman" w:cs="Times New Roman"/>
                <w:sz w:val="24"/>
                <w:szCs w:val="24"/>
              </w:rPr>
              <w:t>has</w:t>
            </w:r>
            <w:r w:rsidR="00350745" w:rsidRPr="00350745">
              <w:rPr>
                <w:rFonts w:ascii="Times New Roman" w:hAnsi="Times New Roman" w:cs="Times New Roman"/>
                <w:sz w:val="24"/>
                <w:szCs w:val="24"/>
              </w:rPr>
              <w:t>,</w:t>
            </w:r>
            <w:r w:rsidRPr="00350745">
              <w:rPr>
                <w:rFonts w:ascii="Times New Roman" w:hAnsi="Times New Roman" w:cs="Times New Roman"/>
                <w:sz w:val="24"/>
                <w:szCs w:val="24"/>
              </w:rPr>
              <w:t xml:space="preserve"> and </w:t>
            </w:r>
            <w:r w:rsidR="00D349F8" w:rsidRPr="00350745">
              <w:rPr>
                <w:rFonts w:ascii="Times New Roman" w:hAnsi="Times New Roman" w:cs="Times New Roman"/>
                <w:sz w:val="24"/>
                <w:szCs w:val="24"/>
              </w:rPr>
              <w:t>will continue to</w:t>
            </w:r>
            <w:r w:rsidR="00350745" w:rsidRPr="00350745">
              <w:rPr>
                <w:rFonts w:ascii="Times New Roman" w:hAnsi="Times New Roman" w:cs="Times New Roman"/>
                <w:sz w:val="24"/>
                <w:szCs w:val="24"/>
              </w:rPr>
              <w:t>,</w:t>
            </w:r>
            <w:r w:rsidR="00D349F8" w:rsidRPr="00350745">
              <w:rPr>
                <w:rFonts w:ascii="Times New Roman" w:hAnsi="Times New Roman" w:cs="Times New Roman"/>
                <w:sz w:val="24"/>
                <w:szCs w:val="24"/>
              </w:rPr>
              <w:t xml:space="preserve"> pursue dialogue </w:t>
            </w:r>
            <w:r w:rsidRPr="00350745">
              <w:rPr>
                <w:rFonts w:ascii="Times New Roman" w:hAnsi="Times New Roman" w:cs="Times New Roman"/>
                <w:sz w:val="24"/>
                <w:szCs w:val="24"/>
              </w:rPr>
              <w:t>opportunities</w:t>
            </w:r>
            <w:r w:rsidR="00D349F8" w:rsidRPr="00350745">
              <w:rPr>
                <w:rFonts w:ascii="Times New Roman" w:hAnsi="Times New Roman" w:cs="Times New Roman"/>
                <w:sz w:val="24"/>
                <w:szCs w:val="24"/>
              </w:rPr>
              <w:t xml:space="preserve"> with senior GoI counterparts</w:t>
            </w:r>
            <w:r w:rsidRPr="00350745">
              <w:rPr>
                <w:rFonts w:ascii="Times New Roman" w:hAnsi="Times New Roman" w:cs="Times New Roman"/>
                <w:sz w:val="24"/>
                <w:szCs w:val="24"/>
              </w:rPr>
              <w:t xml:space="preserve"> on issues such as </w:t>
            </w:r>
            <w:r w:rsidR="00350745" w:rsidRPr="00350745">
              <w:rPr>
                <w:rFonts w:ascii="Times New Roman" w:hAnsi="Times New Roman" w:cs="Times New Roman"/>
                <w:sz w:val="24"/>
                <w:szCs w:val="24"/>
              </w:rPr>
              <w:t>GoI’s Medium Term Development Plan</w:t>
            </w:r>
            <w:r w:rsidRPr="00350745">
              <w:rPr>
                <w:rFonts w:ascii="Times New Roman" w:hAnsi="Times New Roman" w:cs="Times New Roman"/>
                <w:sz w:val="24"/>
                <w:szCs w:val="24"/>
              </w:rPr>
              <w:t>, Curriculum 2013</w:t>
            </w:r>
            <w:r w:rsidR="00350745" w:rsidRPr="00350745">
              <w:rPr>
                <w:rFonts w:ascii="Times New Roman" w:hAnsi="Times New Roman" w:cs="Times New Roman"/>
                <w:sz w:val="24"/>
                <w:szCs w:val="24"/>
              </w:rPr>
              <w:t>,</w:t>
            </w:r>
            <w:r w:rsidRPr="00350745">
              <w:rPr>
                <w:rFonts w:ascii="Times New Roman" w:hAnsi="Times New Roman" w:cs="Times New Roman"/>
                <w:sz w:val="24"/>
                <w:szCs w:val="24"/>
              </w:rPr>
              <w:t xml:space="preserve"> and Senior Secondary Education</w:t>
            </w:r>
            <w:r w:rsidR="00D349F8" w:rsidRPr="00350745">
              <w:rPr>
                <w:rFonts w:ascii="Times New Roman" w:hAnsi="Times New Roman" w:cs="Times New Roman"/>
                <w:sz w:val="24"/>
                <w:szCs w:val="24"/>
              </w:rPr>
              <w:t>.</w:t>
            </w:r>
            <w:r w:rsidRPr="00350745">
              <w:rPr>
                <w:rFonts w:ascii="Times New Roman" w:hAnsi="Times New Roman" w:cs="Times New Roman"/>
                <w:sz w:val="24"/>
                <w:szCs w:val="24"/>
              </w:rPr>
              <w:t xml:space="preserve"> For example, DFAT </w:t>
            </w:r>
            <w:r w:rsidR="00803961" w:rsidRPr="00350745">
              <w:rPr>
                <w:rFonts w:ascii="Times New Roman" w:hAnsi="Times New Roman" w:cs="Times New Roman"/>
                <w:sz w:val="24"/>
                <w:szCs w:val="24"/>
              </w:rPr>
              <w:t xml:space="preserve">recently </w:t>
            </w:r>
            <w:r w:rsidRPr="00350745">
              <w:rPr>
                <w:rFonts w:ascii="Times New Roman" w:hAnsi="Times New Roman" w:cs="Times New Roman"/>
                <w:sz w:val="24"/>
                <w:szCs w:val="24"/>
              </w:rPr>
              <w:t xml:space="preserve">supported </w:t>
            </w:r>
            <w:r w:rsidR="00803961" w:rsidRPr="00350745">
              <w:rPr>
                <w:rFonts w:ascii="Times New Roman" w:hAnsi="Times New Roman" w:cs="Times New Roman"/>
                <w:sz w:val="24"/>
                <w:szCs w:val="24"/>
              </w:rPr>
              <w:t xml:space="preserve">a </w:t>
            </w:r>
            <w:r w:rsidRPr="00350745">
              <w:rPr>
                <w:rFonts w:ascii="Times New Roman" w:hAnsi="Times New Roman" w:cs="Times New Roman"/>
                <w:sz w:val="24"/>
                <w:szCs w:val="24"/>
              </w:rPr>
              <w:t xml:space="preserve">workshop on ways to implement </w:t>
            </w:r>
            <w:r w:rsidR="00350745" w:rsidRPr="00350745">
              <w:rPr>
                <w:rFonts w:ascii="Times New Roman" w:hAnsi="Times New Roman" w:cs="Times New Roman"/>
                <w:sz w:val="24"/>
                <w:szCs w:val="24"/>
              </w:rPr>
              <w:t>GoI</w:t>
            </w:r>
            <w:r w:rsidRPr="00350745">
              <w:rPr>
                <w:rFonts w:ascii="Times New Roman" w:hAnsi="Times New Roman" w:cs="Times New Roman"/>
                <w:sz w:val="24"/>
                <w:szCs w:val="24"/>
              </w:rPr>
              <w:t xml:space="preserve">’s priorities </w:t>
            </w:r>
            <w:r w:rsidR="00350745" w:rsidRPr="00350745">
              <w:rPr>
                <w:rFonts w:ascii="Times New Roman" w:hAnsi="Times New Roman" w:cs="Times New Roman"/>
                <w:sz w:val="24"/>
                <w:szCs w:val="24"/>
              </w:rPr>
              <w:t>for</w:t>
            </w:r>
            <w:r w:rsidRPr="00350745">
              <w:rPr>
                <w:rFonts w:ascii="Times New Roman" w:hAnsi="Times New Roman" w:cs="Times New Roman"/>
                <w:sz w:val="24"/>
                <w:szCs w:val="24"/>
              </w:rPr>
              <w:t xml:space="preserve"> Senior Secondary Education. </w:t>
            </w:r>
            <w:r w:rsidR="00913585" w:rsidRPr="00350745">
              <w:rPr>
                <w:rFonts w:ascii="Times New Roman" w:hAnsi="Times New Roman" w:cs="Times New Roman"/>
                <w:sz w:val="24"/>
                <w:szCs w:val="24"/>
              </w:rPr>
              <w:t xml:space="preserve">  </w:t>
            </w:r>
          </w:p>
        </w:tc>
      </w:tr>
      <w:tr w:rsidR="005619E6" w:rsidTr="001545CB">
        <w:tc>
          <w:tcPr>
            <w:tcW w:w="5070" w:type="dxa"/>
            <w:shd w:val="clear" w:color="auto" w:fill="CDFFCD"/>
          </w:tcPr>
          <w:p w:rsidR="005619E6"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22</w:t>
            </w:r>
          </w:p>
          <w:p w:rsidR="001E04F1" w:rsidRDefault="001E04F1"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The articulation and agreement on the EP logic and the finalisation and socialisation of the Performance Milestone Framework (PMF) should be prioritised</w:t>
            </w:r>
          </w:p>
        </w:tc>
        <w:tc>
          <w:tcPr>
            <w:tcW w:w="4961" w:type="dxa"/>
            <w:shd w:val="clear" w:color="auto" w:fill="CDFFCD"/>
          </w:tcPr>
          <w:p w:rsidR="005619E6" w:rsidRPr="00E259D6" w:rsidRDefault="00C57F17" w:rsidP="005619E6">
            <w:pPr>
              <w:spacing w:before="60" w:after="60"/>
              <w:jc w:val="both"/>
              <w:rPr>
                <w:rFonts w:ascii="Times New Roman" w:hAnsi="Times New Roman" w:cs="Times New Roman"/>
                <w:b/>
                <w:sz w:val="24"/>
                <w:szCs w:val="24"/>
              </w:rPr>
            </w:pPr>
            <w:r w:rsidRPr="00E259D6">
              <w:rPr>
                <w:rFonts w:ascii="Times New Roman" w:hAnsi="Times New Roman" w:cs="Times New Roman"/>
                <w:b/>
                <w:sz w:val="24"/>
                <w:szCs w:val="24"/>
              </w:rPr>
              <w:t>Agree</w:t>
            </w:r>
          </w:p>
        </w:tc>
        <w:tc>
          <w:tcPr>
            <w:tcW w:w="4678" w:type="dxa"/>
            <w:shd w:val="clear" w:color="auto" w:fill="CDFFCD"/>
          </w:tcPr>
          <w:p w:rsidR="005619E6" w:rsidRPr="00DA006D" w:rsidRDefault="00D349F8" w:rsidP="001545CB">
            <w:pPr>
              <w:spacing w:before="60" w:after="60"/>
              <w:jc w:val="both"/>
              <w:rPr>
                <w:rFonts w:ascii="Times New Roman" w:hAnsi="Times New Roman" w:cs="Times New Roman"/>
                <w:color w:val="000000"/>
                <w:sz w:val="24"/>
                <w:szCs w:val="24"/>
              </w:rPr>
            </w:pPr>
            <w:r w:rsidRPr="00DA006D">
              <w:rPr>
                <w:rFonts w:ascii="Times New Roman" w:hAnsi="Times New Roman" w:cs="Times New Roman"/>
                <w:color w:val="000000"/>
                <w:sz w:val="24"/>
                <w:szCs w:val="24"/>
              </w:rPr>
              <w:t xml:space="preserve">A revised EP logic was agreed in </w:t>
            </w:r>
            <w:r w:rsidR="00D545A7" w:rsidRPr="00DA006D">
              <w:rPr>
                <w:rFonts w:ascii="Times New Roman" w:hAnsi="Times New Roman" w:cs="Times New Roman"/>
                <w:color w:val="000000"/>
                <w:sz w:val="24"/>
                <w:szCs w:val="24"/>
              </w:rPr>
              <w:t xml:space="preserve">May </w:t>
            </w:r>
            <w:r w:rsidRPr="00DA006D">
              <w:rPr>
                <w:rFonts w:ascii="Times New Roman" w:hAnsi="Times New Roman" w:cs="Times New Roman"/>
                <w:color w:val="000000"/>
                <w:sz w:val="24"/>
                <w:szCs w:val="24"/>
              </w:rPr>
              <w:t>2014 and has been circulated to the Government of Indonesia, ACDP and EP contractors.</w:t>
            </w:r>
          </w:p>
          <w:p w:rsidR="00D349F8" w:rsidRPr="00E259D6" w:rsidRDefault="00D349F8" w:rsidP="00D545A7">
            <w:pPr>
              <w:spacing w:before="60" w:after="60"/>
              <w:jc w:val="both"/>
              <w:rPr>
                <w:rFonts w:ascii="Times New Roman" w:hAnsi="Times New Roman" w:cs="Times New Roman"/>
                <w:sz w:val="24"/>
                <w:szCs w:val="24"/>
              </w:rPr>
            </w:pPr>
            <w:r w:rsidRPr="00DA006D">
              <w:rPr>
                <w:rFonts w:ascii="Times New Roman" w:hAnsi="Times New Roman" w:cs="Times New Roman"/>
                <w:color w:val="000000"/>
                <w:sz w:val="24"/>
                <w:szCs w:val="24"/>
              </w:rPr>
              <w:t xml:space="preserve">The PMF was finalised in </w:t>
            </w:r>
            <w:r w:rsidR="00D545A7" w:rsidRPr="00DA006D">
              <w:rPr>
                <w:rFonts w:ascii="Times New Roman" w:hAnsi="Times New Roman" w:cs="Times New Roman"/>
                <w:color w:val="000000"/>
                <w:sz w:val="24"/>
                <w:szCs w:val="24"/>
              </w:rPr>
              <w:t xml:space="preserve">August </w:t>
            </w:r>
            <w:r w:rsidRPr="00DA006D">
              <w:rPr>
                <w:rFonts w:ascii="Times New Roman" w:hAnsi="Times New Roman" w:cs="Times New Roman"/>
                <w:color w:val="000000"/>
                <w:sz w:val="24"/>
                <w:szCs w:val="24"/>
              </w:rPr>
              <w:t>2014; the document has been shared with Government of Indonesia, ACDP and EP contractors</w:t>
            </w:r>
            <w:r>
              <w:rPr>
                <w:rFonts w:ascii="Times New Roman" w:hAnsi="Times New Roman" w:cs="Times New Roman"/>
                <w:color w:val="000000"/>
                <w:sz w:val="24"/>
                <w:szCs w:val="24"/>
              </w:rPr>
              <w:t xml:space="preserve"> </w:t>
            </w:r>
          </w:p>
        </w:tc>
      </w:tr>
      <w:tr w:rsidR="00AE3E2C" w:rsidTr="001545CB">
        <w:tc>
          <w:tcPr>
            <w:tcW w:w="5070" w:type="dxa"/>
            <w:shd w:val="clear" w:color="auto" w:fill="CDFFCD"/>
          </w:tcPr>
          <w:p w:rsidR="00AE3E2C"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23</w:t>
            </w:r>
          </w:p>
          <w:p w:rsidR="001E04F1" w:rsidRDefault="001E04F1"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Existing governance structures need to be more effectively engaged, utilizing performance evidence to inform strategic, higher-level decisions</w:t>
            </w:r>
          </w:p>
        </w:tc>
        <w:tc>
          <w:tcPr>
            <w:tcW w:w="4961" w:type="dxa"/>
            <w:shd w:val="clear" w:color="auto" w:fill="CDFFCD"/>
          </w:tcPr>
          <w:p w:rsidR="00AE3E2C" w:rsidRDefault="00B33C3A"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Agree</w:t>
            </w:r>
          </w:p>
        </w:tc>
        <w:tc>
          <w:tcPr>
            <w:tcW w:w="4678" w:type="dxa"/>
            <w:shd w:val="clear" w:color="auto" w:fill="CDFFCD"/>
          </w:tcPr>
          <w:p w:rsidR="00AE3E2C" w:rsidRPr="001545CB" w:rsidRDefault="001545CB" w:rsidP="00350745">
            <w:pPr>
              <w:spacing w:before="60" w:after="60"/>
              <w:jc w:val="both"/>
              <w:rPr>
                <w:rFonts w:ascii="Times New Roman" w:hAnsi="Times New Roman" w:cs="Times New Roman"/>
                <w:sz w:val="24"/>
                <w:szCs w:val="24"/>
              </w:rPr>
            </w:pPr>
            <w:r>
              <w:rPr>
                <w:rFonts w:ascii="Times New Roman" w:hAnsi="Times New Roman" w:cs="Times New Roman"/>
                <w:sz w:val="24"/>
                <w:szCs w:val="24"/>
              </w:rPr>
              <w:t>The EP has sufficiently matured so that performance information is available</w:t>
            </w:r>
            <w:r w:rsidR="00D349F8">
              <w:rPr>
                <w:rFonts w:ascii="Times New Roman" w:hAnsi="Times New Roman" w:cs="Times New Roman"/>
                <w:sz w:val="24"/>
                <w:szCs w:val="24"/>
              </w:rPr>
              <w:t xml:space="preserve"> now</w:t>
            </w:r>
            <w:r w:rsidR="00350745">
              <w:rPr>
                <w:rFonts w:ascii="Times New Roman" w:hAnsi="Times New Roman" w:cs="Times New Roman"/>
                <w:sz w:val="24"/>
                <w:szCs w:val="24"/>
              </w:rPr>
              <w:t>.</w:t>
            </w:r>
            <w:r w:rsidR="00D349F8">
              <w:rPr>
                <w:rFonts w:ascii="Times New Roman" w:hAnsi="Times New Roman" w:cs="Times New Roman"/>
                <w:sz w:val="24"/>
                <w:szCs w:val="24"/>
              </w:rPr>
              <w:t xml:space="preserve"> </w:t>
            </w:r>
            <w:r>
              <w:rPr>
                <w:rFonts w:ascii="Times New Roman" w:hAnsi="Times New Roman" w:cs="Times New Roman"/>
                <w:sz w:val="24"/>
                <w:szCs w:val="24"/>
              </w:rPr>
              <w:t xml:space="preserve">DFAT </w:t>
            </w:r>
            <w:r w:rsidR="003A66D8">
              <w:rPr>
                <w:rFonts w:ascii="Times New Roman" w:hAnsi="Times New Roman" w:cs="Times New Roman"/>
                <w:sz w:val="24"/>
                <w:szCs w:val="24"/>
              </w:rPr>
              <w:t>utilised this performance information as a basis for dialogue in Technical Oversight G</w:t>
            </w:r>
            <w:r w:rsidR="00350745">
              <w:rPr>
                <w:rFonts w:ascii="Times New Roman" w:hAnsi="Times New Roman" w:cs="Times New Roman"/>
                <w:sz w:val="24"/>
                <w:szCs w:val="24"/>
              </w:rPr>
              <w:t>roup (TOG) meetings and</w:t>
            </w:r>
            <w:r w:rsidR="003A66D8">
              <w:rPr>
                <w:rFonts w:ascii="Times New Roman" w:hAnsi="Times New Roman" w:cs="Times New Roman"/>
                <w:sz w:val="24"/>
                <w:szCs w:val="24"/>
              </w:rPr>
              <w:t xml:space="preserve"> Governance Oversight Group meeting</w:t>
            </w:r>
            <w:r w:rsidR="00803961">
              <w:rPr>
                <w:rFonts w:ascii="Times New Roman" w:hAnsi="Times New Roman" w:cs="Times New Roman"/>
                <w:sz w:val="24"/>
                <w:szCs w:val="24"/>
              </w:rPr>
              <w:t>s in 2014</w:t>
            </w:r>
            <w:r w:rsidR="00EF64D0">
              <w:rPr>
                <w:rFonts w:ascii="Times New Roman" w:hAnsi="Times New Roman" w:cs="Times New Roman"/>
                <w:sz w:val="24"/>
                <w:szCs w:val="24"/>
              </w:rPr>
              <w:t>.</w:t>
            </w:r>
          </w:p>
        </w:tc>
      </w:tr>
      <w:tr w:rsidR="00AE3E2C" w:rsidTr="001545CB">
        <w:tc>
          <w:tcPr>
            <w:tcW w:w="5070" w:type="dxa"/>
            <w:shd w:val="clear" w:color="auto" w:fill="CDFFCD"/>
          </w:tcPr>
          <w:p w:rsidR="00AE3E2C" w:rsidRDefault="00AE3E2C"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24</w:t>
            </w:r>
          </w:p>
          <w:p w:rsidR="001E04F1" w:rsidRDefault="001E04F1" w:rsidP="005619E6">
            <w:pPr>
              <w:spacing w:before="60" w:after="60"/>
              <w:jc w:val="both"/>
              <w:rPr>
                <w:rFonts w:ascii="Times New Roman" w:hAnsi="Times New Roman" w:cs="Times New Roman"/>
                <w:b/>
                <w:sz w:val="24"/>
                <w:szCs w:val="24"/>
              </w:rPr>
            </w:pPr>
            <w:r w:rsidRPr="00666987">
              <w:rPr>
                <w:rFonts w:ascii="Times New Roman" w:hAnsi="Times New Roman" w:cs="Times New Roman"/>
                <w:sz w:val="24"/>
              </w:rPr>
              <w:t>Institutional partners should identify potential for stronger linkages between POM and governance structures, possibly in a secretariat role</w:t>
            </w:r>
          </w:p>
        </w:tc>
        <w:tc>
          <w:tcPr>
            <w:tcW w:w="4961" w:type="dxa"/>
            <w:shd w:val="clear" w:color="auto" w:fill="CDFFCD"/>
          </w:tcPr>
          <w:p w:rsidR="00AE3E2C" w:rsidRDefault="00D349F8" w:rsidP="005619E6">
            <w:pPr>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Partially </w:t>
            </w:r>
            <w:r w:rsidR="00B33C3A">
              <w:rPr>
                <w:rFonts w:ascii="Times New Roman" w:hAnsi="Times New Roman" w:cs="Times New Roman"/>
                <w:b/>
                <w:sz w:val="24"/>
                <w:szCs w:val="24"/>
              </w:rPr>
              <w:t>Agree</w:t>
            </w:r>
          </w:p>
        </w:tc>
        <w:tc>
          <w:tcPr>
            <w:tcW w:w="4678" w:type="dxa"/>
            <w:shd w:val="clear" w:color="auto" w:fill="CDFFCD"/>
          </w:tcPr>
          <w:p w:rsidR="00AE3E2C" w:rsidRPr="001545CB" w:rsidRDefault="00C57F17" w:rsidP="00350745">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POM </w:t>
            </w:r>
            <w:r w:rsidR="00803961">
              <w:rPr>
                <w:rFonts w:ascii="Times New Roman" w:hAnsi="Times New Roman" w:cs="Times New Roman"/>
                <w:sz w:val="24"/>
                <w:szCs w:val="24"/>
              </w:rPr>
              <w:t xml:space="preserve">has presented on performance issues in every Technical </w:t>
            </w:r>
            <w:r w:rsidR="00350745">
              <w:rPr>
                <w:rFonts w:ascii="Times New Roman" w:hAnsi="Times New Roman" w:cs="Times New Roman"/>
                <w:sz w:val="24"/>
                <w:szCs w:val="24"/>
              </w:rPr>
              <w:t>Oversight Group meeting in 2014</w:t>
            </w:r>
            <w:r>
              <w:rPr>
                <w:rFonts w:ascii="Times New Roman" w:hAnsi="Times New Roman" w:cs="Times New Roman"/>
                <w:sz w:val="24"/>
                <w:szCs w:val="24"/>
              </w:rPr>
              <w:t xml:space="preserve">. </w:t>
            </w:r>
            <w:r w:rsidR="00350745">
              <w:rPr>
                <w:rFonts w:ascii="Times New Roman" w:hAnsi="Times New Roman" w:cs="Times New Roman"/>
                <w:sz w:val="24"/>
                <w:szCs w:val="24"/>
              </w:rPr>
              <w:t>The</w:t>
            </w:r>
            <w:r>
              <w:rPr>
                <w:rFonts w:ascii="Times New Roman" w:hAnsi="Times New Roman" w:cs="Times New Roman"/>
                <w:sz w:val="24"/>
                <w:szCs w:val="24"/>
              </w:rPr>
              <w:t xml:space="preserve"> secretariat role is </w:t>
            </w:r>
            <w:r w:rsidR="00350745">
              <w:rPr>
                <w:rFonts w:ascii="Times New Roman" w:hAnsi="Times New Roman" w:cs="Times New Roman"/>
                <w:sz w:val="24"/>
                <w:szCs w:val="24"/>
              </w:rPr>
              <w:t>undertaken by the Bureau of International Cooperation in MoEC.</w:t>
            </w:r>
          </w:p>
        </w:tc>
      </w:tr>
    </w:tbl>
    <w:p w:rsidR="005619E6" w:rsidRPr="00290C57" w:rsidRDefault="005619E6" w:rsidP="00666987">
      <w:pPr>
        <w:spacing w:line="240" w:lineRule="auto"/>
        <w:jc w:val="both"/>
        <w:rPr>
          <w:rFonts w:ascii="Times New Roman" w:hAnsi="Times New Roman" w:cs="Times New Roman"/>
          <w:b/>
          <w:sz w:val="24"/>
          <w:szCs w:val="24"/>
        </w:rPr>
      </w:pPr>
    </w:p>
    <w:sectPr w:rsidR="005619E6" w:rsidRPr="00290C57" w:rsidSect="00DB4C6A">
      <w:pgSz w:w="16838" w:h="11906" w:orient="landscape"/>
      <w:pgMar w:top="1134" w:right="1276"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36" w:rsidRDefault="00680F36" w:rsidP="00E31C06">
      <w:pPr>
        <w:spacing w:after="0" w:line="240" w:lineRule="auto"/>
      </w:pPr>
      <w:r>
        <w:separator/>
      </w:r>
    </w:p>
  </w:endnote>
  <w:endnote w:type="continuationSeparator" w:id="0">
    <w:p w:rsidR="00680F36" w:rsidRDefault="00680F36" w:rsidP="00E3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F5" w:rsidRDefault="00F95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F5" w:rsidRDefault="00F95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F5" w:rsidRDefault="00F95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36" w:rsidRDefault="00680F36" w:rsidP="00E31C06">
      <w:pPr>
        <w:spacing w:after="0" w:line="240" w:lineRule="auto"/>
      </w:pPr>
      <w:r>
        <w:separator/>
      </w:r>
    </w:p>
  </w:footnote>
  <w:footnote w:type="continuationSeparator" w:id="0">
    <w:p w:rsidR="00680F36" w:rsidRDefault="00680F36" w:rsidP="00E31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F5" w:rsidRDefault="00F95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F5" w:rsidRDefault="00F95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F5" w:rsidRDefault="00F95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819"/>
    <w:multiLevelType w:val="hybridMultilevel"/>
    <w:tmpl w:val="5F3631A8"/>
    <w:lvl w:ilvl="0" w:tplc="EB3C19B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96D60"/>
    <w:multiLevelType w:val="hybridMultilevel"/>
    <w:tmpl w:val="A4F6F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0341C1"/>
    <w:multiLevelType w:val="hybridMultilevel"/>
    <w:tmpl w:val="A964E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6F2E38"/>
    <w:multiLevelType w:val="hybridMultilevel"/>
    <w:tmpl w:val="8764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7496892"/>
    <w:multiLevelType w:val="hybridMultilevel"/>
    <w:tmpl w:val="8FDC6FE4"/>
    <w:lvl w:ilvl="0" w:tplc="F7D2DA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A81434"/>
    <w:multiLevelType w:val="hybridMultilevel"/>
    <w:tmpl w:val="6A40853A"/>
    <w:lvl w:ilvl="0" w:tplc="669495FA">
      <w:start w:val="1"/>
      <w:numFmt w:val="decimal"/>
      <w:pStyle w:val="SCC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3C26043A">
      <w:numFmt w:val="bullet"/>
      <w:lvlText w:val="–"/>
      <w:lvlJc w:val="left"/>
      <w:pPr>
        <w:ind w:left="1980" w:hanging="360"/>
      </w:pPr>
      <w:rPr>
        <w:rFonts w:ascii="Arial" w:eastAsia="Times New Roman" w:hAnsi="Arial" w:hint="default"/>
      </w:rPr>
    </w:lvl>
    <w:lvl w:ilvl="3" w:tplc="2FFACECE">
      <w:start w:val="1"/>
      <w:numFmt w:val="lowerRoman"/>
      <w:lvlText w:val="(%4)"/>
      <w:lvlJc w:val="left"/>
      <w:pPr>
        <w:tabs>
          <w:tab w:val="num" w:pos="2880"/>
        </w:tabs>
        <w:ind w:left="2880" w:hanging="720"/>
      </w:pPr>
      <w:rPr>
        <w:rFonts w:cs="Times New Roman" w:hint="default"/>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31B65EC6"/>
    <w:multiLevelType w:val="hybridMultilevel"/>
    <w:tmpl w:val="147887E4"/>
    <w:lvl w:ilvl="0" w:tplc="7DAC981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4E407D"/>
    <w:multiLevelType w:val="hybridMultilevel"/>
    <w:tmpl w:val="6B2032C8"/>
    <w:lvl w:ilvl="0" w:tplc="EB3C19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FB4847"/>
    <w:multiLevelType w:val="hybridMultilevel"/>
    <w:tmpl w:val="6BA4F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AC6C7F"/>
    <w:multiLevelType w:val="hybridMultilevel"/>
    <w:tmpl w:val="3C72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D42E18"/>
    <w:multiLevelType w:val="hybridMultilevel"/>
    <w:tmpl w:val="91CCA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A32EC2"/>
    <w:multiLevelType w:val="hybridMultilevel"/>
    <w:tmpl w:val="E71E0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8C2990"/>
    <w:multiLevelType w:val="hybridMultilevel"/>
    <w:tmpl w:val="84367A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5C9168B"/>
    <w:multiLevelType w:val="hybridMultilevel"/>
    <w:tmpl w:val="1FA2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7AC0E3D"/>
    <w:multiLevelType w:val="hybridMultilevel"/>
    <w:tmpl w:val="B224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2E13E1"/>
    <w:multiLevelType w:val="hybridMultilevel"/>
    <w:tmpl w:val="A140AB4A"/>
    <w:lvl w:ilvl="0" w:tplc="FFFFFFFF">
      <w:numFmt w:val="bullet"/>
      <w:lvlText w:val=""/>
      <w:lvlJc w:val="left"/>
      <w:pPr>
        <w:tabs>
          <w:tab w:val="num" w:pos="360"/>
        </w:tabs>
        <w:ind w:left="360" w:hanging="360"/>
      </w:pPr>
      <w:rPr>
        <w:rFonts w:ascii="Symbol" w:eastAsia="Times New Roman" w:hAnsi="Symbol"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7A8D57A9"/>
    <w:multiLevelType w:val="hybridMultilevel"/>
    <w:tmpl w:val="3FCCC858"/>
    <w:lvl w:ilvl="0" w:tplc="EB3C19B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DC674A"/>
    <w:multiLevelType w:val="hybridMultilevel"/>
    <w:tmpl w:val="80524D3A"/>
    <w:lvl w:ilvl="0" w:tplc="D4F8D3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0"/>
  </w:num>
  <w:num w:numId="7">
    <w:abstractNumId w:val="13"/>
  </w:num>
  <w:num w:numId="8">
    <w:abstractNumId w:val="18"/>
  </w:num>
  <w:num w:numId="9">
    <w:abstractNumId w:val="8"/>
  </w:num>
  <w:num w:numId="10">
    <w:abstractNumId w:val="11"/>
  </w:num>
  <w:num w:numId="11">
    <w:abstractNumId w:val="17"/>
  </w:num>
  <w:num w:numId="12">
    <w:abstractNumId w:val="15"/>
  </w:num>
  <w:num w:numId="13">
    <w:abstractNumId w:val="16"/>
  </w:num>
  <w:num w:numId="14">
    <w:abstractNumId w:val="2"/>
  </w:num>
  <w:num w:numId="15">
    <w:abstractNumId w:val="10"/>
  </w:num>
  <w:num w:numId="16">
    <w:abstractNumId w:val="3"/>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4"/>
    <w:rsid w:val="000046FF"/>
    <w:rsid w:val="000110CD"/>
    <w:rsid w:val="00022F9A"/>
    <w:rsid w:val="00024FC2"/>
    <w:rsid w:val="00034A50"/>
    <w:rsid w:val="00043CE0"/>
    <w:rsid w:val="00053263"/>
    <w:rsid w:val="00054B75"/>
    <w:rsid w:val="00057D38"/>
    <w:rsid w:val="000612B9"/>
    <w:rsid w:val="0006465A"/>
    <w:rsid w:val="000705AB"/>
    <w:rsid w:val="00077A25"/>
    <w:rsid w:val="000B21CD"/>
    <w:rsid w:val="000B35C4"/>
    <w:rsid w:val="000C6FC6"/>
    <w:rsid w:val="000D2966"/>
    <w:rsid w:val="000E2D8E"/>
    <w:rsid w:val="000E4021"/>
    <w:rsid w:val="000E4944"/>
    <w:rsid w:val="000E6D57"/>
    <w:rsid w:val="000F66FC"/>
    <w:rsid w:val="00120DAF"/>
    <w:rsid w:val="0015224C"/>
    <w:rsid w:val="001545CB"/>
    <w:rsid w:val="001570DA"/>
    <w:rsid w:val="00162A47"/>
    <w:rsid w:val="00174CF3"/>
    <w:rsid w:val="001754CD"/>
    <w:rsid w:val="001A0341"/>
    <w:rsid w:val="001A1D96"/>
    <w:rsid w:val="001A4021"/>
    <w:rsid w:val="001B07A5"/>
    <w:rsid w:val="001C0FB7"/>
    <w:rsid w:val="001C509E"/>
    <w:rsid w:val="001C63B4"/>
    <w:rsid w:val="001C7AF7"/>
    <w:rsid w:val="001D1469"/>
    <w:rsid w:val="001E04F1"/>
    <w:rsid w:val="001E7059"/>
    <w:rsid w:val="001F6C60"/>
    <w:rsid w:val="00206431"/>
    <w:rsid w:val="002217A0"/>
    <w:rsid w:val="00225F8D"/>
    <w:rsid w:val="00240D74"/>
    <w:rsid w:val="002427CD"/>
    <w:rsid w:val="00252BD8"/>
    <w:rsid w:val="00252D55"/>
    <w:rsid w:val="0025473E"/>
    <w:rsid w:val="00265593"/>
    <w:rsid w:val="002678DF"/>
    <w:rsid w:val="002842D0"/>
    <w:rsid w:val="00290C57"/>
    <w:rsid w:val="00297CE4"/>
    <w:rsid w:val="002B0474"/>
    <w:rsid w:val="002B262D"/>
    <w:rsid w:val="002C5209"/>
    <w:rsid w:val="002D0E19"/>
    <w:rsid w:val="002F11E2"/>
    <w:rsid w:val="002F190B"/>
    <w:rsid w:val="002F4598"/>
    <w:rsid w:val="002F6225"/>
    <w:rsid w:val="002F7E58"/>
    <w:rsid w:val="00302F39"/>
    <w:rsid w:val="00325FB9"/>
    <w:rsid w:val="00330F2C"/>
    <w:rsid w:val="00336C2B"/>
    <w:rsid w:val="00340741"/>
    <w:rsid w:val="00350745"/>
    <w:rsid w:val="00364205"/>
    <w:rsid w:val="0037590B"/>
    <w:rsid w:val="003947B1"/>
    <w:rsid w:val="003A66D8"/>
    <w:rsid w:val="003A76B4"/>
    <w:rsid w:val="003D7186"/>
    <w:rsid w:val="003E3E88"/>
    <w:rsid w:val="003F30CC"/>
    <w:rsid w:val="003F4ADA"/>
    <w:rsid w:val="00404AD8"/>
    <w:rsid w:val="004062CF"/>
    <w:rsid w:val="00415CCC"/>
    <w:rsid w:val="00425BF7"/>
    <w:rsid w:val="00427397"/>
    <w:rsid w:val="00454D0F"/>
    <w:rsid w:val="00462D2A"/>
    <w:rsid w:val="004642DC"/>
    <w:rsid w:val="00470F07"/>
    <w:rsid w:val="00482A1A"/>
    <w:rsid w:val="00486FF8"/>
    <w:rsid w:val="004A44D9"/>
    <w:rsid w:val="004A57D6"/>
    <w:rsid w:val="004C0713"/>
    <w:rsid w:val="004C1F8D"/>
    <w:rsid w:val="004C204C"/>
    <w:rsid w:val="004C211A"/>
    <w:rsid w:val="00501815"/>
    <w:rsid w:val="005421C1"/>
    <w:rsid w:val="005619E6"/>
    <w:rsid w:val="0056259F"/>
    <w:rsid w:val="00567C32"/>
    <w:rsid w:val="00580846"/>
    <w:rsid w:val="005832B0"/>
    <w:rsid w:val="005B6B35"/>
    <w:rsid w:val="005C3204"/>
    <w:rsid w:val="005C7465"/>
    <w:rsid w:val="005D3CAB"/>
    <w:rsid w:val="005E4E86"/>
    <w:rsid w:val="005F0968"/>
    <w:rsid w:val="00605D35"/>
    <w:rsid w:val="00612780"/>
    <w:rsid w:val="006203D1"/>
    <w:rsid w:val="00621FBF"/>
    <w:rsid w:val="0062759C"/>
    <w:rsid w:val="00650AFB"/>
    <w:rsid w:val="00651316"/>
    <w:rsid w:val="0065418E"/>
    <w:rsid w:val="00661302"/>
    <w:rsid w:val="00663CAA"/>
    <w:rsid w:val="00666987"/>
    <w:rsid w:val="006715ED"/>
    <w:rsid w:val="00680F36"/>
    <w:rsid w:val="006820CE"/>
    <w:rsid w:val="00692348"/>
    <w:rsid w:val="006B4946"/>
    <w:rsid w:val="006F3519"/>
    <w:rsid w:val="006F6306"/>
    <w:rsid w:val="006F763B"/>
    <w:rsid w:val="007012F2"/>
    <w:rsid w:val="00725887"/>
    <w:rsid w:val="00745D6C"/>
    <w:rsid w:val="00751C4F"/>
    <w:rsid w:val="00774D48"/>
    <w:rsid w:val="00780E67"/>
    <w:rsid w:val="0078178D"/>
    <w:rsid w:val="00783CC7"/>
    <w:rsid w:val="00787D7D"/>
    <w:rsid w:val="007A0214"/>
    <w:rsid w:val="007A5BE4"/>
    <w:rsid w:val="007A6D40"/>
    <w:rsid w:val="007B2256"/>
    <w:rsid w:val="007C1667"/>
    <w:rsid w:val="007D1E80"/>
    <w:rsid w:val="007E06BF"/>
    <w:rsid w:val="007E454F"/>
    <w:rsid w:val="0080184F"/>
    <w:rsid w:val="00803961"/>
    <w:rsid w:val="008057D7"/>
    <w:rsid w:val="0080778F"/>
    <w:rsid w:val="008229F3"/>
    <w:rsid w:val="0083339C"/>
    <w:rsid w:val="008353E7"/>
    <w:rsid w:val="0083621C"/>
    <w:rsid w:val="008403CB"/>
    <w:rsid w:val="00842720"/>
    <w:rsid w:val="00874B77"/>
    <w:rsid w:val="008813EA"/>
    <w:rsid w:val="00894FCF"/>
    <w:rsid w:val="008B185C"/>
    <w:rsid w:val="008B73E8"/>
    <w:rsid w:val="008C46F1"/>
    <w:rsid w:val="008C5C27"/>
    <w:rsid w:val="008C733B"/>
    <w:rsid w:val="008D1A91"/>
    <w:rsid w:val="008D66E3"/>
    <w:rsid w:val="008E7338"/>
    <w:rsid w:val="00902D4B"/>
    <w:rsid w:val="00913585"/>
    <w:rsid w:val="00920284"/>
    <w:rsid w:val="009274DB"/>
    <w:rsid w:val="00945FBF"/>
    <w:rsid w:val="00947C7E"/>
    <w:rsid w:val="00963D5E"/>
    <w:rsid w:val="00974DDA"/>
    <w:rsid w:val="00981B45"/>
    <w:rsid w:val="0099736A"/>
    <w:rsid w:val="009A2EF0"/>
    <w:rsid w:val="009B4362"/>
    <w:rsid w:val="009B65D3"/>
    <w:rsid w:val="009D0643"/>
    <w:rsid w:val="009D0CC8"/>
    <w:rsid w:val="009D51E6"/>
    <w:rsid w:val="009D66CE"/>
    <w:rsid w:val="009F0C1E"/>
    <w:rsid w:val="009F7A1E"/>
    <w:rsid w:val="00A00164"/>
    <w:rsid w:val="00A00D78"/>
    <w:rsid w:val="00A07D4A"/>
    <w:rsid w:val="00A10B53"/>
    <w:rsid w:val="00A1758C"/>
    <w:rsid w:val="00A17951"/>
    <w:rsid w:val="00A22E16"/>
    <w:rsid w:val="00A27469"/>
    <w:rsid w:val="00A370A6"/>
    <w:rsid w:val="00A61A6C"/>
    <w:rsid w:val="00A668C0"/>
    <w:rsid w:val="00A7022E"/>
    <w:rsid w:val="00A71114"/>
    <w:rsid w:val="00A77D1E"/>
    <w:rsid w:val="00A870B5"/>
    <w:rsid w:val="00A95A98"/>
    <w:rsid w:val="00AA1F0D"/>
    <w:rsid w:val="00AC0C26"/>
    <w:rsid w:val="00AC214A"/>
    <w:rsid w:val="00AD2679"/>
    <w:rsid w:val="00AD62B4"/>
    <w:rsid w:val="00AD67AE"/>
    <w:rsid w:val="00AE395C"/>
    <w:rsid w:val="00AE3E2C"/>
    <w:rsid w:val="00B07DA1"/>
    <w:rsid w:val="00B153B9"/>
    <w:rsid w:val="00B24B6D"/>
    <w:rsid w:val="00B32886"/>
    <w:rsid w:val="00B33C3A"/>
    <w:rsid w:val="00B33EF4"/>
    <w:rsid w:val="00B353F4"/>
    <w:rsid w:val="00B47F4D"/>
    <w:rsid w:val="00B47FF4"/>
    <w:rsid w:val="00B55DB1"/>
    <w:rsid w:val="00B72B5B"/>
    <w:rsid w:val="00B76BC5"/>
    <w:rsid w:val="00B76EE1"/>
    <w:rsid w:val="00B85774"/>
    <w:rsid w:val="00BC14D5"/>
    <w:rsid w:val="00BD215F"/>
    <w:rsid w:val="00BD2348"/>
    <w:rsid w:val="00BF000D"/>
    <w:rsid w:val="00BF39F9"/>
    <w:rsid w:val="00C00DAD"/>
    <w:rsid w:val="00C255B8"/>
    <w:rsid w:val="00C42DB0"/>
    <w:rsid w:val="00C57F17"/>
    <w:rsid w:val="00CA011D"/>
    <w:rsid w:val="00CA2664"/>
    <w:rsid w:val="00CB1187"/>
    <w:rsid w:val="00CB3A6A"/>
    <w:rsid w:val="00CB6740"/>
    <w:rsid w:val="00CC2E79"/>
    <w:rsid w:val="00CC53E2"/>
    <w:rsid w:val="00CC79D7"/>
    <w:rsid w:val="00CD49C6"/>
    <w:rsid w:val="00CD7626"/>
    <w:rsid w:val="00CF5183"/>
    <w:rsid w:val="00D04443"/>
    <w:rsid w:val="00D23516"/>
    <w:rsid w:val="00D349F8"/>
    <w:rsid w:val="00D51547"/>
    <w:rsid w:val="00D545A7"/>
    <w:rsid w:val="00D62806"/>
    <w:rsid w:val="00D819EC"/>
    <w:rsid w:val="00D86987"/>
    <w:rsid w:val="00D86EC9"/>
    <w:rsid w:val="00D87D84"/>
    <w:rsid w:val="00D87FAB"/>
    <w:rsid w:val="00D94A74"/>
    <w:rsid w:val="00D96FC5"/>
    <w:rsid w:val="00DA006D"/>
    <w:rsid w:val="00DA1CC5"/>
    <w:rsid w:val="00DB4C6A"/>
    <w:rsid w:val="00DD3DB3"/>
    <w:rsid w:val="00DD4B59"/>
    <w:rsid w:val="00DD78A5"/>
    <w:rsid w:val="00DF5235"/>
    <w:rsid w:val="00E177B8"/>
    <w:rsid w:val="00E214A5"/>
    <w:rsid w:val="00E259D6"/>
    <w:rsid w:val="00E30572"/>
    <w:rsid w:val="00E31C06"/>
    <w:rsid w:val="00E33698"/>
    <w:rsid w:val="00E36C29"/>
    <w:rsid w:val="00E631C9"/>
    <w:rsid w:val="00E7305E"/>
    <w:rsid w:val="00E811A9"/>
    <w:rsid w:val="00E910C3"/>
    <w:rsid w:val="00E92F6F"/>
    <w:rsid w:val="00E94A36"/>
    <w:rsid w:val="00EA2BE1"/>
    <w:rsid w:val="00EA49F8"/>
    <w:rsid w:val="00EA682D"/>
    <w:rsid w:val="00EA7826"/>
    <w:rsid w:val="00EB3E1A"/>
    <w:rsid w:val="00EC65AB"/>
    <w:rsid w:val="00ED21A8"/>
    <w:rsid w:val="00EF51ED"/>
    <w:rsid w:val="00EF64D0"/>
    <w:rsid w:val="00F01E4E"/>
    <w:rsid w:val="00F11DC7"/>
    <w:rsid w:val="00F21EDA"/>
    <w:rsid w:val="00F305BE"/>
    <w:rsid w:val="00F35A3E"/>
    <w:rsid w:val="00F477BB"/>
    <w:rsid w:val="00F54F1C"/>
    <w:rsid w:val="00F559B8"/>
    <w:rsid w:val="00F60A73"/>
    <w:rsid w:val="00F62212"/>
    <w:rsid w:val="00F872D7"/>
    <w:rsid w:val="00F91CFC"/>
    <w:rsid w:val="00F95BF5"/>
    <w:rsid w:val="00F97384"/>
    <w:rsid w:val="00FB2FE3"/>
    <w:rsid w:val="00FD2B3E"/>
    <w:rsid w:val="00FE1D37"/>
    <w:rsid w:val="00FE2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table" w:styleId="TableGrid">
    <w:name w:val="Table Grid"/>
    <w:basedOn w:val="TableNormal"/>
    <w:uiPriority w:val="59"/>
    <w:rsid w:val="005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D4A"/>
    <w:pPr>
      <w:spacing w:after="0" w:line="240" w:lineRule="auto"/>
    </w:pPr>
  </w:style>
  <w:style w:type="paragraph" w:styleId="Header">
    <w:name w:val="header"/>
    <w:basedOn w:val="Normal"/>
    <w:link w:val="HeaderChar"/>
    <w:uiPriority w:val="99"/>
    <w:unhideWhenUsed/>
    <w:rsid w:val="00F9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F5"/>
  </w:style>
  <w:style w:type="paragraph" w:styleId="Footer">
    <w:name w:val="footer"/>
    <w:basedOn w:val="Normal"/>
    <w:link w:val="FooterChar"/>
    <w:uiPriority w:val="99"/>
    <w:unhideWhenUsed/>
    <w:rsid w:val="00F9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table" w:styleId="TableGrid">
    <w:name w:val="Table Grid"/>
    <w:basedOn w:val="TableNormal"/>
    <w:uiPriority w:val="59"/>
    <w:rsid w:val="005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D4A"/>
    <w:pPr>
      <w:spacing w:after="0" w:line="240" w:lineRule="auto"/>
    </w:pPr>
  </w:style>
  <w:style w:type="paragraph" w:styleId="Header">
    <w:name w:val="header"/>
    <w:basedOn w:val="Normal"/>
    <w:link w:val="HeaderChar"/>
    <w:uiPriority w:val="99"/>
    <w:unhideWhenUsed/>
    <w:rsid w:val="00F9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F5"/>
  </w:style>
  <w:style w:type="paragraph" w:styleId="Footer">
    <w:name w:val="footer"/>
    <w:basedOn w:val="Normal"/>
    <w:link w:val="FooterChar"/>
    <w:uiPriority w:val="99"/>
    <w:unhideWhenUsed/>
    <w:rsid w:val="00F9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CADC1-3F7F-4364-B5C4-79EE80F90560}"/>
</file>

<file path=customXml/itemProps2.xml><?xml version="1.0" encoding="utf-8"?>
<ds:datastoreItem xmlns:ds="http://schemas.openxmlformats.org/officeDocument/2006/customXml" ds:itemID="{BD0FDE9B-BDCB-49FC-9F35-0A03BC1CF633}"/>
</file>

<file path=customXml/itemProps3.xml><?xml version="1.0" encoding="utf-8"?>
<ds:datastoreItem xmlns:ds="http://schemas.openxmlformats.org/officeDocument/2006/customXml" ds:itemID="{0D3F9D08-1C78-4D45-81F7-0588AF577CB0}"/>
</file>

<file path=customXml/itemProps4.xml><?xml version="1.0" encoding="utf-8"?>
<ds:datastoreItem xmlns:ds="http://schemas.openxmlformats.org/officeDocument/2006/customXml" ds:itemID="{1AB0202D-5167-4C47-A3AE-42AC82A8E4D2}"/>
</file>

<file path=docProps/app.xml><?xml version="1.0" encoding="utf-8"?>
<Properties xmlns="http://schemas.openxmlformats.org/officeDocument/2006/extended-properties" xmlns:vt="http://schemas.openxmlformats.org/officeDocument/2006/docPropsVTypes">
  <Template>5A3C6FF3.dotm</Template>
  <TotalTime>0</TotalTime>
  <Pages>13</Pages>
  <Words>3327</Words>
  <Characters>18967</Characters>
  <Application>Microsoft Office Word</Application>
  <DocSecurity>0</DocSecurity>
  <Lines>158</Lines>
  <Paragraphs>44</Paragraphs>
  <ScaleCrop>false</ScaleCrop>
  <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2015-08-25T06:31:00Z</dcterms:created>
  <dcterms:modified xsi:type="dcterms:W3CDTF">2015-08-25T06:31:00Z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-1348858173</vt:i4>
  </property>
  <property fmtid="{D5CDD505-2E9C-101B-9397-08002B2CF9AE}" pid="3" name="ContentTypeId">
    <vt:lpwstr>0x01010050F19AC2165D2E47A5E6B7F563E4CF00</vt:lpwstr>
  </property>
  <property fmtid="{D5CDD505-2E9C-101B-9397-08002B2CF9AE}" pid="4" name="Order">
    <vt:r8>960400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